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38866">
      <w:pPr>
        <w:pageBreakBefore w:val="0"/>
        <w:widowControl/>
        <w:shd w:val="clear" w:color="auto" w:fill="FFFFFF"/>
        <w:kinsoku/>
        <w:overflowPunct/>
        <w:bidi w:val="0"/>
        <w:spacing w:before="225" w:after="225" w:line="360" w:lineRule="auto"/>
        <w:jc w:val="center"/>
        <w:rPr>
          <w:rFonts w:hint="eastAsia" w:ascii="宋体" w:hAnsi="宋体" w:eastAsia="宋体" w:cs="宋体"/>
          <w:b/>
          <w:color w:val="auto"/>
          <w:spacing w:val="20"/>
          <w:w w:val="95"/>
          <w:sz w:val="32"/>
          <w:szCs w:val="32"/>
          <w:highlight w:val="none"/>
          <w:lang w:eastAsia="zh-CN"/>
        </w:rPr>
      </w:pPr>
      <w:bookmarkStart w:id="0" w:name="_Toc31213"/>
      <w:bookmarkStart w:id="1" w:name="_Toc27477"/>
      <w:r>
        <w:rPr>
          <w:rFonts w:hint="default" w:ascii="宋体" w:hAnsi="宋体" w:eastAsia="宋体" w:cs="宋体"/>
          <w:b/>
          <w:color w:val="auto"/>
          <w:spacing w:val="20"/>
          <w:w w:val="95"/>
          <w:sz w:val="32"/>
          <w:szCs w:val="32"/>
          <w:highlight w:val="none"/>
          <w:lang w:eastAsia="zh-CN"/>
        </w:rPr>
        <w:t>玉溪市生态环境局</w:t>
      </w:r>
      <w:r>
        <w:rPr>
          <w:rFonts w:hint="eastAsia" w:ascii="宋体" w:hAnsi="宋体" w:eastAsia="宋体" w:cs="宋体"/>
          <w:b/>
          <w:color w:val="auto"/>
          <w:spacing w:val="20"/>
          <w:w w:val="95"/>
          <w:sz w:val="32"/>
          <w:szCs w:val="32"/>
          <w:highlight w:val="none"/>
          <w:lang w:eastAsia="zh-CN"/>
        </w:rPr>
        <w:t>关于《珠江流域（玉溪段）生态环境监测能力提升项目招标文件》向社会公众征求公平竞争审查意见的公告</w:t>
      </w:r>
    </w:p>
    <w:p w14:paraId="2B1D5914">
      <w:pPr>
        <w:pageBreakBefore w:val="0"/>
        <w:widowControl/>
        <w:shd w:val="clear" w:color="auto" w:fill="FFFFFF"/>
        <w:kinsoku/>
        <w:overflowPunct/>
        <w:bidi w:val="0"/>
        <w:spacing w:before="225" w:after="225"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根据《国务院关于在市场体系建设中建立公平竞争审查制度的意见》（国发〔2016〕34号）、《市场监管总局等五部门关于印发&lt;公平竞争审查制度实施细则&gt;》（国市监反垄规〔2021〕2号）</w:t>
      </w:r>
      <w:r>
        <w:rPr>
          <w:rFonts w:hint="eastAsia" w:ascii="宋体" w:hAnsi="宋体" w:eastAsia="宋体" w:cs="宋体"/>
          <w:color w:val="000000"/>
          <w:kern w:val="0"/>
          <w:sz w:val="24"/>
          <w:highlight w:val="none"/>
        </w:rPr>
        <w:t>等有关规</w:t>
      </w:r>
      <w:r>
        <w:rPr>
          <w:rFonts w:hint="eastAsia" w:ascii="宋体" w:hAnsi="宋体" w:eastAsia="宋体" w:cs="宋体"/>
          <w:color w:val="000000"/>
          <w:kern w:val="0"/>
          <w:sz w:val="24"/>
        </w:rPr>
        <w:t>定和要求，现将《</w:t>
      </w:r>
      <w:r>
        <w:rPr>
          <w:rFonts w:hint="eastAsia" w:ascii="宋体" w:hAnsi="宋体" w:eastAsia="宋体" w:cs="宋体"/>
          <w:color w:val="000000"/>
          <w:kern w:val="0"/>
          <w:sz w:val="24"/>
          <w:lang w:eastAsia="zh-CN"/>
        </w:rPr>
        <w:t>珠江流域（玉溪段）生态环境监测能力提升项目</w:t>
      </w:r>
      <w:r>
        <w:rPr>
          <w:rFonts w:hint="eastAsia" w:ascii="宋体" w:hAnsi="宋体" w:eastAsia="宋体" w:cs="宋体"/>
          <w:color w:val="000000"/>
          <w:kern w:val="0"/>
          <w:sz w:val="24"/>
        </w:rPr>
        <w:t>招标文件》向社会公众公开征求意见。如认为本文件存在违反《中华人民共和国反垄断法》《国务院关于在市场体系建设中建立公平竞争审查制度的意见》《公平竞争审查制度实施细则》含有排除或限制市场竞争的内容，</w:t>
      </w:r>
      <w:r>
        <w:rPr>
          <w:rFonts w:hint="eastAsia" w:ascii="宋体" w:hAnsi="宋体" w:eastAsia="宋体" w:cs="宋体"/>
          <w:color w:val="000000"/>
          <w:kern w:val="0"/>
          <w:sz w:val="24"/>
          <w:highlight w:val="yellow"/>
        </w:rPr>
        <w:t>请于</w:t>
      </w:r>
      <w:r>
        <w:rPr>
          <w:rFonts w:hint="eastAsia" w:ascii="宋体" w:hAnsi="宋体" w:eastAsia="宋体" w:cs="宋体"/>
          <w:color w:val="000000"/>
          <w:kern w:val="0"/>
          <w:sz w:val="24"/>
          <w:highlight w:val="yellow"/>
          <w:lang w:val="en-US" w:eastAsia="zh-CN"/>
        </w:rPr>
        <w:t>截止时间</w:t>
      </w:r>
      <w:r>
        <w:rPr>
          <w:rFonts w:hint="eastAsia" w:ascii="宋体" w:hAnsi="宋体" w:eastAsia="宋体" w:cs="宋体"/>
          <w:color w:val="000000"/>
          <w:kern w:val="0"/>
          <w:sz w:val="24"/>
          <w:highlight w:val="yellow"/>
        </w:rPr>
        <w:t>2026年</w:t>
      </w:r>
      <w:r>
        <w:rPr>
          <w:rFonts w:hint="eastAsia" w:ascii="宋体" w:hAnsi="宋体" w:eastAsia="宋体" w:cs="宋体"/>
          <w:color w:val="000000"/>
          <w:kern w:val="0"/>
          <w:sz w:val="24"/>
          <w:highlight w:val="yellow"/>
          <w:lang w:val="en-US" w:eastAsia="zh-CN"/>
        </w:rPr>
        <w:t>5</w:t>
      </w:r>
      <w:r>
        <w:rPr>
          <w:rFonts w:hint="eastAsia" w:ascii="宋体" w:hAnsi="宋体" w:eastAsia="宋体" w:cs="宋体"/>
          <w:color w:val="000000"/>
          <w:kern w:val="0"/>
          <w:sz w:val="24"/>
          <w:highlight w:val="yellow"/>
        </w:rPr>
        <w:t>月</w:t>
      </w:r>
      <w:r>
        <w:rPr>
          <w:rFonts w:hint="eastAsia" w:ascii="宋体" w:hAnsi="宋体" w:cs="宋体"/>
          <w:color w:val="000000"/>
          <w:kern w:val="0"/>
          <w:sz w:val="24"/>
          <w:highlight w:val="yellow"/>
          <w:lang w:val="en-US" w:eastAsia="zh-CN"/>
        </w:rPr>
        <w:t>21</w:t>
      </w:r>
      <w:r>
        <w:rPr>
          <w:rFonts w:hint="eastAsia" w:ascii="宋体" w:hAnsi="宋体" w:eastAsia="宋体" w:cs="宋体"/>
          <w:color w:val="000000"/>
          <w:kern w:val="0"/>
          <w:sz w:val="24"/>
          <w:highlight w:val="yellow"/>
        </w:rPr>
        <w:t>日</w:t>
      </w:r>
      <w:r>
        <w:rPr>
          <w:rFonts w:hint="eastAsia" w:ascii="宋体" w:hAnsi="宋体" w:eastAsia="宋体" w:cs="宋体"/>
          <w:color w:val="000000"/>
          <w:kern w:val="0"/>
          <w:sz w:val="24"/>
          <w:highlight w:val="yellow"/>
          <w:lang w:val="en-US" w:eastAsia="zh-CN"/>
        </w:rPr>
        <w:t>18：00</w:t>
      </w:r>
      <w:r>
        <w:rPr>
          <w:rFonts w:hint="eastAsia" w:ascii="宋体" w:hAnsi="宋体" w:eastAsia="宋体" w:cs="宋体"/>
          <w:color w:val="000000"/>
          <w:kern w:val="0"/>
          <w:sz w:val="24"/>
        </w:rPr>
        <w:t>前向我单位提出。</w:t>
      </w:r>
    </w:p>
    <w:p w14:paraId="21E4EDC6">
      <w:pPr>
        <w:pageBreakBefore w:val="0"/>
        <w:widowControl/>
        <w:shd w:val="clear" w:color="auto" w:fill="FFFFFF"/>
        <w:kinsoku/>
        <w:overflowPunct/>
        <w:bidi w:val="0"/>
        <w:spacing w:before="225" w:after="225" w:line="360" w:lineRule="auto"/>
        <w:ind w:firstLine="480"/>
        <w:rPr>
          <w:rFonts w:hint="eastAsia" w:ascii="宋体" w:hAnsi="宋体" w:eastAsia="宋体" w:cs="宋体"/>
          <w:b/>
          <w:bCs/>
          <w:color w:val="000000"/>
          <w:kern w:val="0"/>
          <w:sz w:val="24"/>
        </w:rPr>
      </w:pPr>
      <w:r>
        <w:rPr>
          <w:rFonts w:hint="eastAsia" w:ascii="宋体" w:hAnsi="宋体" w:eastAsia="宋体" w:cs="宋体"/>
          <w:b/>
          <w:bCs/>
          <w:color w:val="000000"/>
          <w:kern w:val="0"/>
          <w:sz w:val="24"/>
        </w:rPr>
        <w:t>一、联系人及电话</w:t>
      </w:r>
    </w:p>
    <w:p w14:paraId="66045ED6">
      <w:pPr>
        <w:pageBreakBefore w:val="0"/>
        <w:widowControl/>
        <w:shd w:val="clear" w:color="auto" w:fill="FFFFFF"/>
        <w:kinsoku/>
        <w:overflowPunct/>
        <w:bidi w:val="0"/>
        <w:spacing w:before="225" w:after="225" w:line="360" w:lineRule="auto"/>
        <w:ind w:firstLine="480"/>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苗艳  15912390037</w:t>
      </w:r>
    </w:p>
    <w:p w14:paraId="15A749C9">
      <w:pPr>
        <w:pageBreakBefore w:val="0"/>
        <w:widowControl/>
        <w:shd w:val="clear" w:color="auto" w:fill="FFFFFF"/>
        <w:kinsoku/>
        <w:overflowPunct/>
        <w:bidi w:val="0"/>
        <w:spacing w:before="225" w:after="225" w:line="360" w:lineRule="auto"/>
        <w:ind w:firstLine="480"/>
        <w:rPr>
          <w:rFonts w:hint="eastAsia" w:ascii="宋体" w:hAnsi="宋体" w:eastAsia="宋体" w:cs="宋体"/>
          <w:b/>
          <w:bCs/>
          <w:color w:val="000000"/>
          <w:kern w:val="0"/>
          <w:sz w:val="24"/>
        </w:rPr>
      </w:pPr>
      <w:r>
        <w:rPr>
          <w:rFonts w:hint="eastAsia" w:ascii="宋体" w:hAnsi="宋体" w:eastAsia="宋体" w:cs="宋体"/>
          <w:b/>
          <w:bCs/>
          <w:color w:val="000000"/>
          <w:kern w:val="0"/>
          <w:sz w:val="24"/>
        </w:rPr>
        <w:t>二、提交意见方式</w:t>
      </w:r>
    </w:p>
    <w:p w14:paraId="2F3BEB31">
      <w:pPr>
        <w:pageBreakBefore w:val="0"/>
        <w:widowControl/>
        <w:shd w:val="clear" w:color="auto" w:fill="FFFFFF"/>
        <w:kinsoku/>
        <w:overflowPunct/>
        <w:bidi w:val="0"/>
        <w:spacing w:before="225" w:after="225" w:line="360" w:lineRule="auto"/>
        <w:ind w:firstLine="480"/>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rPr>
        <w:t xml:space="preserve">（一）电子邮件：发送至电子邮箱 </w:t>
      </w:r>
      <w:r>
        <w:rPr>
          <w:rFonts w:hint="eastAsia" w:ascii="宋体" w:hAnsi="宋体" w:eastAsia="宋体" w:cs="宋体"/>
          <w:color w:val="000000"/>
          <w:kern w:val="0"/>
          <w:sz w:val="24"/>
          <w:lang w:val="en-US" w:eastAsia="zh-CN"/>
        </w:rPr>
        <w:t>ynszzx@126.com</w:t>
      </w:r>
    </w:p>
    <w:p w14:paraId="6640636A">
      <w:pPr>
        <w:pageBreakBefore w:val="0"/>
        <w:widowControl/>
        <w:shd w:val="clear" w:color="auto" w:fill="FFFFFF"/>
        <w:kinsoku/>
        <w:overflowPunct/>
        <w:bidi w:val="0"/>
        <w:spacing w:before="225" w:after="225" w:line="360" w:lineRule="auto"/>
        <w:ind w:firstLine="480"/>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rPr>
        <w:t>（二）书面信函：邮寄至</w:t>
      </w:r>
      <w:r>
        <w:rPr>
          <w:rFonts w:hint="eastAsia" w:ascii="宋体" w:hAnsi="宋体" w:eastAsia="宋体" w:cs="宋体"/>
          <w:color w:val="000000"/>
          <w:kern w:val="0"/>
          <w:sz w:val="24"/>
          <w:lang w:val="en-US" w:eastAsia="zh-CN"/>
        </w:rPr>
        <w:t>云南上资咨询有限公司玉溪分公司</w:t>
      </w:r>
      <w:r>
        <w:rPr>
          <w:rFonts w:hint="eastAsia" w:ascii="宋体" w:hAnsi="宋体" w:eastAsia="宋体" w:cs="宋体"/>
          <w:color w:val="000000"/>
          <w:kern w:val="0"/>
          <w:sz w:val="24"/>
        </w:rPr>
        <w:t>，地址：</w:t>
      </w:r>
      <w:r>
        <w:rPr>
          <w:rFonts w:hint="eastAsia" w:ascii="宋体" w:hAnsi="宋体" w:eastAsia="宋体" w:cs="宋体"/>
          <w:color w:val="000000"/>
          <w:kern w:val="0"/>
          <w:sz w:val="24"/>
          <w:lang w:val="en-US" w:eastAsia="zh-CN"/>
        </w:rPr>
        <w:t>云南省</w:t>
      </w:r>
      <w:r>
        <w:rPr>
          <w:rFonts w:hint="eastAsia" w:ascii="宋体" w:hAnsi="宋体" w:eastAsia="宋体" w:cs="宋体"/>
          <w:color w:val="auto"/>
          <w:sz w:val="24"/>
          <w:szCs w:val="24"/>
          <w:highlight w:val="none"/>
          <w:lang w:eastAsia="zh-CN"/>
        </w:rPr>
        <w:t>玉溪市红塔区李棋街道上郭井16幢3号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邮编：653100</w:t>
      </w:r>
    </w:p>
    <w:p w14:paraId="3F315069">
      <w:pPr>
        <w:pageBreakBefore w:val="0"/>
        <w:widowControl/>
        <w:shd w:val="clear" w:color="auto" w:fill="FFFFFF"/>
        <w:kinsoku/>
        <w:overflowPunct/>
        <w:bidi w:val="0"/>
        <w:spacing w:before="225" w:after="225"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有关单位提出的意见请加盖单位</w:t>
      </w:r>
      <w:r>
        <w:rPr>
          <w:rFonts w:hint="eastAsia" w:ascii="宋体" w:hAnsi="宋体" w:eastAsia="宋体" w:cs="宋体"/>
          <w:color w:val="000000"/>
          <w:kern w:val="0"/>
          <w:sz w:val="24"/>
          <w:lang w:val="en-US" w:eastAsia="zh-CN"/>
        </w:rPr>
        <w:t>公章</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提交意见时请留下姓名和联系方式，以便必要时进一步联系。</w:t>
      </w:r>
    </w:p>
    <w:p w14:paraId="1C8BA832">
      <w:pPr>
        <w:pageBreakBefore w:val="0"/>
        <w:widowControl/>
        <w:shd w:val="clear" w:color="auto" w:fill="FFFFFF"/>
        <w:kinsoku/>
        <w:overflowPunct/>
        <w:bidi w:val="0"/>
        <w:spacing w:before="225" w:after="225"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特此公告。</w:t>
      </w:r>
    </w:p>
    <w:p w14:paraId="3CE115C7">
      <w:pPr>
        <w:pageBreakBefore w:val="0"/>
        <w:widowControl/>
        <w:shd w:val="clear" w:color="auto" w:fill="FFFFFF"/>
        <w:kinsoku/>
        <w:overflowPunct/>
        <w:bidi w:val="0"/>
        <w:spacing w:before="225" w:after="225"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附件：《</w:t>
      </w:r>
      <w:r>
        <w:rPr>
          <w:rFonts w:hint="eastAsia" w:ascii="宋体" w:hAnsi="宋体" w:eastAsia="宋体" w:cs="宋体"/>
          <w:color w:val="000000"/>
          <w:kern w:val="0"/>
          <w:sz w:val="24"/>
          <w:lang w:eastAsia="zh-CN"/>
        </w:rPr>
        <w:t>珠江流域（玉溪段）生态环境监测能力提升项目</w:t>
      </w:r>
      <w:r>
        <w:rPr>
          <w:rFonts w:hint="eastAsia" w:ascii="宋体" w:hAnsi="宋体" w:eastAsia="宋体" w:cs="宋体"/>
          <w:color w:val="000000"/>
          <w:kern w:val="0"/>
          <w:sz w:val="24"/>
        </w:rPr>
        <w:t>招标文件》</w:t>
      </w:r>
    </w:p>
    <w:p w14:paraId="3BF2C441">
      <w:pPr>
        <w:pageBreakBefore w:val="0"/>
        <w:kinsoku/>
        <w:overflowPunct/>
        <w:bidi w:val="0"/>
        <w:spacing w:line="360" w:lineRule="auto"/>
        <w:rPr>
          <w:rFonts w:hint="eastAsia" w:ascii="宋体" w:hAnsi="宋体" w:eastAsia="宋体" w:cs="宋体"/>
          <w:lang w:val="en-US" w:eastAsia="zh-CN"/>
        </w:rPr>
      </w:pPr>
      <w:r>
        <w:rPr>
          <w:rFonts w:hint="eastAsia" w:ascii="宋体" w:hAnsi="宋体" w:eastAsia="宋体" w:cs="宋体"/>
        </w:rPr>
        <w:br w:type="page"/>
      </w:r>
    </w:p>
    <w:p w14:paraId="527D8FDE">
      <w:pPr>
        <w:pageBreakBefore w:val="0"/>
        <w:kinsoku/>
        <w:overflowPunct/>
        <w:bidi w:val="0"/>
        <w:spacing w:line="360" w:lineRule="auto"/>
        <w:rPr>
          <w:rFonts w:hint="eastAsia" w:ascii="宋体" w:hAnsi="宋体" w:eastAsia="宋体" w:cs="宋体"/>
          <w:b/>
          <w:color w:val="auto"/>
          <w:sz w:val="48"/>
          <w:szCs w:val="48"/>
          <w:highlight w:val="none"/>
          <w:lang w:eastAsia="zh-CN"/>
        </w:rPr>
      </w:pPr>
      <w:r>
        <w:rPr>
          <w:rFonts w:hint="eastAsia" w:ascii="宋体" w:hAnsi="宋体" w:eastAsia="宋体" w:cs="宋体"/>
        </w:rPr>
        <w:drawing>
          <wp:inline distT="0" distB="0" distL="114300" distR="114300">
            <wp:extent cx="480695" cy="593090"/>
            <wp:effectExtent l="0" t="0" r="6985" b="12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480695" cy="593090"/>
                    </a:xfrm>
                    <a:prstGeom prst="rect">
                      <a:avLst/>
                    </a:prstGeom>
                    <a:noFill/>
                    <a:ln>
                      <a:noFill/>
                    </a:ln>
                  </pic:spPr>
                </pic:pic>
              </a:graphicData>
            </a:graphic>
          </wp:inline>
        </w:drawing>
      </w:r>
      <w:r>
        <w:rPr>
          <w:rFonts w:hint="eastAsia" w:ascii="宋体" w:hAnsi="宋体" w:eastAsia="宋体" w:cs="宋体"/>
          <w:b/>
          <w:color w:val="auto"/>
          <w:spacing w:val="20"/>
          <w:w w:val="95"/>
          <w:sz w:val="22"/>
          <w:szCs w:val="22"/>
          <w:highlight w:val="none"/>
          <w:lang w:eastAsia="zh-CN"/>
        </w:rPr>
        <w:t>云南上资咨询有限公司</w:t>
      </w:r>
    </w:p>
    <w:p w14:paraId="2212E875">
      <w:pPr>
        <w:pStyle w:val="5"/>
        <w:pageBreakBefore w:val="0"/>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cs="宋体"/>
          <w:b/>
          <w:color w:val="auto"/>
          <w:sz w:val="52"/>
          <w:szCs w:val="52"/>
          <w:highlight w:val="none"/>
          <w:lang w:eastAsia="zh-CN"/>
        </w:rPr>
        <w:t>珠江流域（玉溪段）生态环境监测能力提升项目</w:t>
      </w:r>
    </w:p>
    <w:p w14:paraId="28B6FEE9">
      <w:pPr>
        <w:pStyle w:val="12"/>
        <w:pageBreakBefore w:val="0"/>
        <w:kinsoku/>
        <w:overflowPunct/>
        <w:bidi w:val="0"/>
        <w:spacing w:line="360" w:lineRule="auto"/>
        <w:jc w:val="both"/>
        <w:rPr>
          <w:rFonts w:hint="eastAsia" w:ascii="宋体" w:hAnsi="宋体" w:eastAsia="宋体" w:cs="宋体"/>
          <w:b/>
          <w:color w:val="auto"/>
          <w:sz w:val="84"/>
          <w:szCs w:val="84"/>
          <w:highlight w:val="none"/>
        </w:rPr>
      </w:pPr>
    </w:p>
    <w:p w14:paraId="43C3406E">
      <w:pPr>
        <w:pStyle w:val="12"/>
        <w:pageBreakBefore w:val="0"/>
        <w:kinsoku/>
        <w:overflowPunct/>
        <w:bidi w:val="0"/>
        <w:spacing w:line="360" w:lineRule="auto"/>
        <w:jc w:val="center"/>
        <w:rPr>
          <w:rFonts w:hint="eastAsia" w:ascii="宋体" w:hAnsi="宋体" w:eastAsia="宋体" w:cs="宋体"/>
          <w:b/>
          <w:color w:val="auto"/>
          <w:sz w:val="84"/>
          <w:szCs w:val="84"/>
          <w:highlight w:val="none"/>
        </w:rPr>
      </w:pPr>
    </w:p>
    <w:p w14:paraId="7C0DB0E1">
      <w:pPr>
        <w:pStyle w:val="12"/>
        <w:pageBreakBefore w:val="0"/>
        <w:kinsoku/>
        <w:overflowPunct/>
        <w:bidi w:val="0"/>
        <w:spacing w:line="360" w:lineRule="auto"/>
        <w:jc w:val="center"/>
        <w:rPr>
          <w:rFonts w:hint="eastAsia" w:ascii="宋体" w:hAnsi="宋体" w:eastAsia="宋体" w:cs="宋体"/>
          <w:b/>
          <w:color w:val="auto"/>
          <w:sz w:val="84"/>
          <w:szCs w:val="84"/>
          <w:highlight w:val="none"/>
        </w:rPr>
      </w:pPr>
      <w:r>
        <w:rPr>
          <w:rFonts w:hint="eastAsia" w:ascii="宋体" w:hAnsi="宋体" w:eastAsia="宋体" w:cs="宋体"/>
          <w:b/>
          <w:color w:val="auto"/>
          <w:sz w:val="84"/>
          <w:szCs w:val="84"/>
          <w:highlight w:val="none"/>
        </w:rPr>
        <w:t>招 标 文 件</w:t>
      </w:r>
    </w:p>
    <w:p w14:paraId="21BC4A00">
      <w:pPr>
        <w:pStyle w:val="12"/>
        <w:pageBreakBefore w:val="0"/>
        <w:kinsoku/>
        <w:overflowPunct/>
        <w:bidi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项目编号：</w:t>
      </w:r>
      <w:r>
        <w:rPr>
          <w:rFonts w:hint="eastAsia" w:hAnsi="宋体" w:cs="宋体"/>
          <w:b/>
          <w:color w:val="auto"/>
          <w:sz w:val="32"/>
          <w:szCs w:val="32"/>
          <w:highlight w:val="none"/>
          <w:lang w:eastAsia="zh-CN"/>
        </w:rPr>
        <w:t xml:space="preserve">YNSZ2026-0512  </w:t>
      </w:r>
    </w:p>
    <w:p w14:paraId="04A69416">
      <w:pPr>
        <w:pStyle w:val="12"/>
        <w:pageBreakBefore w:val="0"/>
        <w:kinsoku/>
        <w:overflowPunct/>
        <w:bidi w:val="0"/>
        <w:spacing w:line="360" w:lineRule="auto"/>
        <w:rPr>
          <w:rFonts w:hint="eastAsia" w:ascii="宋体" w:hAnsi="宋体" w:eastAsia="宋体" w:cs="宋体"/>
          <w:b/>
          <w:color w:val="auto"/>
          <w:sz w:val="24"/>
          <w:szCs w:val="24"/>
          <w:highlight w:val="none"/>
        </w:rPr>
      </w:pPr>
    </w:p>
    <w:p w14:paraId="3E0FD995">
      <w:pPr>
        <w:pageBreakBefore w:val="0"/>
        <w:kinsoku/>
        <w:overflowPunct/>
        <w:bidi w:val="0"/>
        <w:spacing w:line="360" w:lineRule="auto"/>
        <w:rPr>
          <w:rFonts w:hint="eastAsia" w:ascii="宋体" w:hAnsi="宋体" w:eastAsia="宋体" w:cs="宋体"/>
          <w:b/>
          <w:color w:val="auto"/>
          <w:sz w:val="24"/>
          <w:szCs w:val="24"/>
          <w:highlight w:val="none"/>
        </w:rPr>
      </w:pPr>
    </w:p>
    <w:p w14:paraId="040B32B9">
      <w:pPr>
        <w:pStyle w:val="5"/>
        <w:pageBreakBefore w:val="0"/>
        <w:kinsoku/>
        <w:overflowPunct/>
        <w:bidi w:val="0"/>
        <w:spacing w:line="360" w:lineRule="auto"/>
        <w:rPr>
          <w:rFonts w:hint="eastAsia" w:ascii="宋体" w:hAnsi="宋体" w:eastAsia="宋体" w:cs="宋体"/>
          <w:color w:val="auto"/>
          <w:sz w:val="24"/>
          <w:szCs w:val="24"/>
          <w:highlight w:val="none"/>
        </w:rPr>
      </w:pPr>
    </w:p>
    <w:p w14:paraId="2007CAF4">
      <w:pPr>
        <w:pageBreakBefore w:val="0"/>
        <w:kinsoku/>
        <w:overflowPunct/>
        <w:bidi w:val="0"/>
        <w:spacing w:line="360" w:lineRule="auto"/>
        <w:rPr>
          <w:rFonts w:hint="eastAsia" w:ascii="宋体" w:hAnsi="宋体" w:eastAsia="宋体" w:cs="宋体"/>
          <w:color w:val="auto"/>
          <w:sz w:val="24"/>
          <w:szCs w:val="24"/>
          <w:highlight w:val="none"/>
        </w:rPr>
      </w:pPr>
    </w:p>
    <w:p w14:paraId="3E14543C">
      <w:pPr>
        <w:pStyle w:val="18"/>
        <w:keepNext w:val="0"/>
        <w:keepLines w:val="0"/>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left"/>
        <w:textAlignment w:val="auto"/>
        <w:outlineLvl w:val="1"/>
        <w:rPr>
          <w:rFonts w:hint="eastAsia" w:ascii="宋体" w:hAnsi="宋体" w:eastAsia="宋体" w:cs="宋体"/>
          <w:color w:val="auto"/>
          <w:sz w:val="20"/>
          <w:szCs w:val="20"/>
          <w:highlight w:val="none"/>
        </w:rPr>
      </w:pPr>
    </w:p>
    <w:p w14:paraId="210CBAAC">
      <w:pPr>
        <w:pageBreakBefore w:val="0"/>
        <w:kinsoku/>
        <w:overflowPunct/>
        <w:bidi w:val="0"/>
        <w:spacing w:line="360" w:lineRule="auto"/>
        <w:rPr>
          <w:rFonts w:hint="eastAsia" w:ascii="宋体" w:hAnsi="宋体" w:eastAsia="宋体" w:cs="宋体"/>
          <w:color w:val="auto"/>
          <w:sz w:val="24"/>
          <w:szCs w:val="24"/>
          <w:highlight w:val="none"/>
        </w:rPr>
      </w:pPr>
    </w:p>
    <w:p w14:paraId="49721B72">
      <w:pPr>
        <w:pageBreakBefore w:val="0"/>
        <w:kinsoku/>
        <w:overflowPunct/>
        <w:bidi w:val="0"/>
        <w:spacing w:line="360" w:lineRule="auto"/>
        <w:rPr>
          <w:rFonts w:hint="eastAsia" w:ascii="宋体" w:hAnsi="宋体" w:eastAsia="宋体" w:cs="宋体"/>
          <w:color w:val="auto"/>
          <w:sz w:val="24"/>
          <w:szCs w:val="24"/>
          <w:highlight w:val="none"/>
        </w:rPr>
      </w:pPr>
    </w:p>
    <w:p w14:paraId="6A3F93D4">
      <w:pPr>
        <w:pageBreakBefore w:val="0"/>
        <w:kinsoku/>
        <w:overflowPunct/>
        <w:bidi w:val="0"/>
        <w:spacing w:line="360" w:lineRule="auto"/>
        <w:rPr>
          <w:rFonts w:hint="eastAsia" w:ascii="宋体" w:hAnsi="宋体" w:eastAsia="宋体" w:cs="宋体"/>
          <w:color w:val="auto"/>
          <w:sz w:val="24"/>
          <w:szCs w:val="24"/>
          <w:highlight w:val="none"/>
        </w:rPr>
      </w:pPr>
    </w:p>
    <w:p w14:paraId="1CF3A4B8">
      <w:pPr>
        <w:pStyle w:val="12"/>
        <w:pageBreakBefore w:val="0"/>
        <w:kinsoku/>
        <w:overflowPunct/>
        <w:bidi w:val="0"/>
        <w:spacing w:line="360" w:lineRule="auto"/>
        <w:ind w:left="1050" w:leftChars="500"/>
        <w:rPr>
          <w:rFonts w:hint="eastAsia" w:ascii="宋体" w:hAnsi="宋体" w:eastAsia="宋体" w:cs="宋体"/>
          <w:b/>
          <w:color w:val="auto"/>
          <w:spacing w:val="20"/>
          <w:w w:val="95"/>
          <w:sz w:val="32"/>
          <w:szCs w:val="32"/>
          <w:highlight w:val="none"/>
          <w:lang w:eastAsia="zh-CN"/>
        </w:rPr>
      </w:pPr>
      <w:r>
        <w:rPr>
          <w:rFonts w:hint="eastAsia" w:ascii="宋体" w:hAnsi="宋体" w:eastAsia="宋体" w:cs="宋体"/>
          <w:b/>
          <w:color w:val="auto"/>
          <w:spacing w:val="20"/>
          <w:w w:val="95"/>
          <w:sz w:val="32"/>
          <w:szCs w:val="32"/>
          <w:highlight w:val="none"/>
          <w:lang w:eastAsia="zh-CN"/>
        </w:rPr>
        <w:t>采   购   人：</w:t>
      </w:r>
      <w:r>
        <w:rPr>
          <w:rFonts w:hint="default" w:ascii="宋体" w:hAnsi="宋体" w:eastAsia="宋体" w:cs="宋体"/>
          <w:b/>
          <w:color w:val="auto"/>
          <w:spacing w:val="20"/>
          <w:w w:val="95"/>
          <w:sz w:val="32"/>
          <w:szCs w:val="32"/>
          <w:highlight w:val="none"/>
          <w:lang w:eastAsia="zh-CN"/>
        </w:rPr>
        <w:t>玉溪市生态环境局</w:t>
      </w:r>
    </w:p>
    <w:p w14:paraId="40BC65BC">
      <w:pPr>
        <w:pStyle w:val="12"/>
        <w:pageBreakBefore w:val="0"/>
        <w:kinsoku/>
        <w:overflowPunct/>
        <w:bidi w:val="0"/>
        <w:spacing w:line="360" w:lineRule="auto"/>
        <w:ind w:left="1050" w:leftChars="500"/>
        <w:rPr>
          <w:rFonts w:hint="eastAsia" w:ascii="宋体" w:hAnsi="宋体" w:eastAsia="宋体" w:cs="宋体"/>
          <w:b/>
          <w:color w:val="auto"/>
          <w:w w:val="95"/>
          <w:sz w:val="32"/>
          <w:szCs w:val="32"/>
          <w:highlight w:val="none"/>
        </w:rPr>
      </w:pPr>
      <w:r>
        <w:rPr>
          <w:rFonts w:hint="eastAsia" w:ascii="宋体" w:hAnsi="宋体" w:eastAsia="宋体" w:cs="宋体"/>
          <w:b/>
          <w:color w:val="auto"/>
          <w:w w:val="95"/>
          <w:sz w:val="32"/>
          <w:szCs w:val="32"/>
          <w:highlight w:val="none"/>
        </w:rPr>
        <w:t>采购代理机构：</w:t>
      </w:r>
      <w:r>
        <w:rPr>
          <w:rFonts w:hint="eastAsia" w:ascii="宋体" w:hAnsi="宋体" w:eastAsia="宋体" w:cs="宋体"/>
          <w:b/>
          <w:color w:val="auto"/>
          <w:spacing w:val="20"/>
          <w:w w:val="95"/>
          <w:sz w:val="32"/>
          <w:szCs w:val="32"/>
          <w:highlight w:val="none"/>
          <w:lang w:eastAsia="zh-CN"/>
        </w:rPr>
        <w:t>云南上资咨询有限公司</w:t>
      </w:r>
    </w:p>
    <w:p w14:paraId="0BB983F9">
      <w:pPr>
        <w:pageBreakBefore w:val="0"/>
        <w:kinsoku/>
        <w:overflowPunct/>
        <w:bidi w:val="0"/>
        <w:spacing w:line="360" w:lineRule="auto"/>
        <w:rPr>
          <w:rFonts w:hint="eastAsia" w:ascii="宋体" w:hAnsi="宋体" w:eastAsia="宋体" w:cs="宋体"/>
          <w:b/>
          <w:color w:val="auto"/>
          <w:w w:val="95"/>
          <w:sz w:val="32"/>
          <w:szCs w:val="32"/>
          <w:highlight w:val="none"/>
          <w:lang w:eastAsia="zh-CN"/>
        </w:rPr>
      </w:pPr>
      <w:r>
        <w:rPr>
          <w:rFonts w:hint="eastAsia" w:ascii="宋体" w:hAnsi="宋体" w:eastAsia="宋体" w:cs="宋体"/>
          <w:b/>
          <w:color w:val="auto"/>
          <w:w w:val="95"/>
          <w:sz w:val="32"/>
          <w:szCs w:val="32"/>
          <w:highlight w:val="none"/>
          <w:lang w:val="en-US" w:eastAsia="zh-CN"/>
        </w:rPr>
        <w:t xml:space="preserve">       </w:t>
      </w:r>
      <w:r>
        <w:rPr>
          <w:rFonts w:hint="eastAsia" w:ascii="宋体" w:hAnsi="宋体" w:eastAsia="宋体" w:cs="宋体"/>
          <w:b/>
          <w:color w:val="auto"/>
          <w:w w:val="95"/>
          <w:sz w:val="32"/>
          <w:szCs w:val="32"/>
          <w:highlight w:val="none"/>
        </w:rPr>
        <w:t>日       期：</w:t>
      </w:r>
      <w:r>
        <w:rPr>
          <w:rFonts w:hint="eastAsia" w:ascii="宋体" w:hAnsi="宋体" w:cs="宋体"/>
          <w:b/>
          <w:color w:val="auto"/>
          <w:w w:val="95"/>
          <w:sz w:val="32"/>
          <w:szCs w:val="32"/>
          <w:highlight w:val="none"/>
          <w:lang w:val="en-US" w:eastAsia="zh-CN"/>
        </w:rPr>
        <w:t>2026</w:t>
      </w:r>
      <w:r>
        <w:rPr>
          <w:rFonts w:hint="eastAsia" w:ascii="宋体" w:hAnsi="宋体" w:eastAsia="宋体" w:cs="宋体"/>
          <w:b/>
          <w:color w:val="auto"/>
          <w:w w:val="95"/>
          <w:sz w:val="32"/>
          <w:szCs w:val="32"/>
          <w:highlight w:val="none"/>
          <w:lang w:eastAsia="zh-CN"/>
        </w:rPr>
        <w:t>年</w:t>
      </w:r>
      <w:r>
        <w:rPr>
          <w:rFonts w:hint="eastAsia" w:ascii="宋体" w:hAnsi="宋体" w:cs="宋体"/>
          <w:b/>
          <w:color w:val="auto"/>
          <w:w w:val="95"/>
          <w:sz w:val="32"/>
          <w:szCs w:val="32"/>
          <w:highlight w:val="none"/>
          <w:lang w:val="en-US" w:eastAsia="zh-CN"/>
        </w:rPr>
        <w:t>05</w:t>
      </w:r>
      <w:r>
        <w:rPr>
          <w:rFonts w:hint="eastAsia" w:ascii="宋体" w:hAnsi="宋体" w:eastAsia="宋体" w:cs="宋体"/>
          <w:b/>
          <w:color w:val="auto"/>
          <w:w w:val="95"/>
          <w:sz w:val="32"/>
          <w:szCs w:val="32"/>
          <w:highlight w:val="none"/>
          <w:lang w:eastAsia="zh-CN"/>
        </w:rPr>
        <w:t>月</w:t>
      </w:r>
    </w:p>
    <w:p w14:paraId="3CC9615B">
      <w:pPr>
        <w:pageBreakBefore w:val="0"/>
        <w:kinsoku/>
        <w:overflowPunct/>
        <w:bidi w:val="0"/>
        <w:spacing w:line="360" w:lineRule="auto"/>
        <w:jc w:val="center"/>
        <w:rPr>
          <w:rFonts w:hint="eastAsia" w:ascii="宋体" w:hAnsi="宋体" w:eastAsia="宋体" w:cs="宋体"/>
          <w:b/>
          <w:color w:val="auto"/>
          <w:w w:val="95"/>
          <w:sz w:val="44"/>
          <w:szCs w:val="44"/>
          <w:highlight w:val="none"/>
          <w:lang w:val="en-US" w:eastAsia="zh-CN"/>
        </w:rPr>
        <w:sectPr>
          <w:headerReference r:id="rId3" w:type="default"/>
          <w:pgSz w:w="11906" w:h="16838"/>
          <w:pgMar w:top="1440" w:right="1800" w:bottom="1440" w:left="1800" w:header="851" w:footer="992" w:gutter="0"/>
          <w:cols w:space="425" w:num="1"/>
          <w:docGrid w:type="lines" w:linePitch="312" w:charSpace="0"/>
        </w:sectPr>
      </w:pPr>
    </w:p>
    <w:p w14:paraId="7275A553">
      <w:pPr>
        <w:pageBreakBefore w:val="0"/>
        <w:kinsoku/>
        <w:overflowPunct/>
        <w:bidi w:val="0"/>
        <w:spacing w:line="360" w:lineRule="auto"/>
        <w:jc w:val="center"/>
        <w:rPr>
          <w:rFonts w:hint="eastAsia" w:ascii="宋体" w:hAnsi="宋体" w:eastAsia="宋体" w:cs="宋体"/>
          <w:b/>
          <w:color w:val="auto"/>
          <w:w w:val="95"/>
          <w:sz w:val="44"/>
          <w:szCs w:val="44"/>
          <w:highlight w:val="none"/>
          <w:lang w:val="en-US" w:eastAsia="zh-CN"/>
        </w:rPr>
      </w:pPr>
      <w:r>
        <w:rPr>
          <w:rFonts w:hint="eastAsia" w:ascii="宋体" w:hAnsi="宋体" w:eastAsia="宋体" w:cs="宋体"/>
          <w:b/>
          <w:color w:val="auto"/>
          <w:w w:val="95"/>
          <w:sz w:val="44"/>
          <w:szCs w:val="44"/>
          <w:highlight w:val="none"/>
          <w:lang w:val="en-US" w:eastAsia="zh-CN"/>
        </w:rPr>
        <w:t>目  录</w:t>
      </w:r>
    </w:p>
    <w:p w14:paraId="2CF9D96A">
      <w:pPr>
        <w:pStyle w:val="1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b/>
          <w:color w:val="auto"/>
          <w:w w:val="95"/>
          <w:sz w:val="24"/>
          <w:szCs w:val="24"/>
          <w:highlight w:val="none"/>
          <w:lang w:eastAsia="zh-CN"/>
        </w:rPr>
        <w:fldChar w:fldCharType="begin"/>
      </w:r>
      <w:r>
        <w:rPr>
          <w:rFonts w:hint="eastAsia" w:ascii="宋体" w:hAnsi="宋体" w:eastAsia="宋体" w:cs="宋体"/>
          <w:b/>
          <w:color w:val="auto"/>
          <w:w w:val="95"/>
          <w:sz w:val="24"/>
          <w:szCs w:val="24"/>
          <w:highlight w:val="none"/>
          <w:lang w:eastAsia="zh-CN"/>
        </w:rPr>
        <w:instrText xml:space="preserve">TOC \o "1-3" \h \u </w:instrText>
      </w:r>
      <w:r>
        <w:rPr>
          <w:rFonts w:hint="eastAsia" w:ascii="宋体" w:hAnsi="宋体" w:eastAsia="宋体" w:cs="宋体"/>
          <w:b/>
          <w:color w:val="auto"/>
          <w:w w:val="95"/>
          <w:sz w:val="24"/>
          <w:szCs w:val="24"/>
          <w:highlight w:val="none"/>
          <w:lang w:eastAsia="zh-CN"/>
        </w:rPr>
        <w:fldChar w:fldCharType="separate"/>
      </w:r>
      <w:r>
        <w:rPr>
          <w:rFonts w:hint="eastAsia" w:ascii="宋体" w:hAnsi="宋体" w:eastAsia="宋体" w:cs="宋体"/>
          <w:color w:val="auto"/>
          <w:w w:val="95"/>
          <w:sz w:val="24"/>
          <w:szCs w:val="24"/>
          <w:highlight w:val="none"/>
          <w:lang w:eastAsia="zh-CN"/>
        </w:rPr>
        <w:fldChar w:fldCharType="begin"/>
      </w:r>
      <w:r>
        <w:rPr>
          <w:rFonts w:hint="eastAsia" w:ascii="宋体" w:hAnsi="宋体" w:eastAsia="宋体" w:cs="宋体"/>
          <w:w w:val="95"/>
          <w:sz w:val="24"/>
          <w:szCs w:val="24"/>
          <w:highlight w:val="none"/>
          <w:lang w:eastAsia="zh-CN"/>
        </w:rPr>
        <w:instrText xml:space="preserve"> HYPERLINK \l _Toc2951 </w:instrText>
      </w:r>
      <w:r>
        <w:rPr>
          <w:rFonts w:hint="eastAsia" w:ascii="宋体" w:hAnsi="宋体" w:eastAsia="宋体" w:cs="宋体"/>
          <w:w w:val="95"/>
          <w:sz w:val="24"/>
          <w:szCs w:val="24"/>
          <w:highlight w:val="none"/>
          <w:lang w:eastAsia="zh-CN"/>
        </w:rPr>
        <w:fldChar w:fldCharType="separate"/>
      </w:r>
      <w:r>
        <w:rPr>
          <w:rFonts w:hint="eastAsia" w:ascii="宋体" w:hAnsi="宋体" w:eastAsia="宋体" w:cs="宋体"/>
          <w:kern w:val="44"/>
          <w:sz w:val="24"/>
          <w:szCs w:val="24"/>
          <w:lang w:val="en-US" w:eastAsia="zh-CN" w:bidi="ar-SA"/>
        </w:rPr>
        <w:t xml:space="preserve">第一章  </w:t>
      </w:r>
      <w:r>
        <w:rPr>
          <w:rFonts w:hint="eastAsia" w:ascii="宋体" w:hAnsi="宋体" w:eastAsia="宋体" w:cs="宋体"/>
          <w:sz w:val="24"/>
          <w:szCs w:val="24"/>
        </w:rPr>
        <w:t>招标公告</w:t>
      </w:r>
      <w:r>
        <w:rPr>
          <w:sz w:val="24"/>
          <w:szCs w:val="24"/>
        </w:rPr>
        <w:tab/>
      </w:r>
      <w:r>
        <w:rPr>
          <w:sz w:val="24"/>
          <w:szCs w:val="24"/>
        </w:rPr>
        <w:fldChar w:fldCharType="begin"/>
      </w:r>
      <w:r>
        <w:rPr>
          <w:sz w:val="24"/>
          <w:szCs w:val="24"/>
        </w:rPr>
        <w:instrText xml:space="preserve"> PAGEREF _Toc2951 \h </w:instrText>
      </w:r>
      <w:r>
        <w:rPr>
          <w:sz w:val="24"/>
          <w:szCs w:val="24"/>
        </w:rPr>
        <w:fldChar w:fldCharType="separate"/>
      </w:r>
      <w:r>
        <w:rPr>
          <w:sz w:val="24"/>
          <w:szCs w:val="24"/>
        </w:rPr>
        <w:t>2</w:t>
      </w:r>
      <w:r>
        <w:rPr>
          <w:sz w:val="24"/>
          <w:szCs w:val="24"/>
        </w:rPr>
        <w:fldChar w:fldCharType="end"/>
      </w:r>
      <w:r>
        <w:rPr>
          <w:rFonts w:hint="eastAsia" w:ascii="宋体" w:hAnsi="宋体" w:eastAsia="宋体" w:cs="宋体"/>
          <w:color w:val="auto"/>
          <w:w w:val="95"/>
          <w:sz w:val="24"/>
          <w:szCs w:val="24"/>
          <w:highlight w:val="none"/>
          <w:lang w:eastAsia="zh-CN"/>
        </w:rPr>
        <w:fldChar w:fldCharType="end"/>
      </w:r>
    </w:p>
    <w:p w14:paraId="3B480037">
      <w:pPr>
        <w:pStyle w:val="1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color w:val="auto"/>
          <w:w w:val="95"/>
          <w:sz w:val="24"/>
          <w:szCs w:val="24"/>
          <w:highlight w:val="none"/>
          <w:lang w:eastAsia="zh-CN"/>
        </w:rPr>
        <w:fldChar w:fldCharType="begin"/>
      </w:r>
      <w:r>
        <w:rPr>
          <w:rFonts w:hint="eastAsia" w:ascii="宋体" w:hAnsi="宋体" w:eastAsia="宋体" w:cs="宋体"/>
          <w:w w:val="95"/>
          <w:sz w:val="24"/>
          <w:szCs w:val="24"/>
          <w:highlight w:val="none"/>
          <w:lang w:eastAsia="zh-CN"/>
        </w:rPr>
        <w:instrText xml:space="preserve"> HYPERLINK \l _Toc9699 </w:instrText>
      </w:r>
      <w:r>
        <w:rPr>
          <w:rFonts w:hint="eastAsia" w:ascii="宋体" w:hAnsi="宋体" w:eastAsia="宋体" w:cs="宋体"/>
          <w:w w:val="95"/>
          <w:sz w:val="24"/>
          <w:szCs w:val="24"/>
          <w:highlight w:val="none"/>
          <w:lang w:eastAsia="zh-CN"/>
        </w:rPr>
        <w:fldChar w:fldCharType="separate"/>
      </w:r>
      <w:r>
        <w:rPr>
          <w:rFonts w:hint="eastAsia" w:ascii="宋体" w:hAnsi="宋体" w:eastAsia="宋体" w:cs="宋体"/>
          <w:sz w:val="24"/>
          <w:szCs w:val="24"/>
        </w:rPr>
        <w:t>第二章 投标人须知</w:t>
      </w:r>
      <w:r>
        <w:rPr>
          <w:sz w:val="24"/>
          <w:szCs w:val="24"/>
        </w:rPr>
        <w:tab/>
      </w:r>
      <w:r>
        <w:rPr>
          <w:sz w:val="24"/>
          <w:szCs w:val="24"/>
        </w:rPr>
        <w:fldChar w:fldCharType="begin"/>
      </w:r>
      <w:r>
        <w:rPr>
          <w:sz w:val="24"/>
          <w:szCs w:val="24"/>
        </w:rPr>
        <w:instrText xml:space="preserve"> PAGEREF _Toc9699 \h </w:instrText>
      </w:r>
      <w:r>
        <w:rPr>
          <w:sz w:val="24"/>
          <w:szCs w:val="24"/>
        </w:rPr>
        <w:fldChar w:fldCharType="separate"/>
      </w:r>
      <w:r>
        <w:rPr>
          <w:sz w:val="24"/>
          <w:szCs w:val="24"/>
        </w:rPr>
        <w:t>9</w:t>
      </w:r>
      <w:r>
        <w:rPr>
          <w:sz w:val="24"/>
          <w:szCs w:val="24"/>
        </w:rPr>
        <w:fldChar w:fldCharType="end"/>
      </w:r>
      <w:r>
        <w:rPr>
          <w:rFonts w:hint="eastAsia" w:ascii="宋体" w:hAnsi="宋体" w:eastAsia="宋体" w:cs="宋体"/>
          <w:color w:val="auto"/>
          <w:w w:val="95"/>
          <w:sz w:val="24"/>
          <w:szCs w:val="24"/>
          <w:highlight w:val="none"/>
          <w:lang w:eastAsia="zh-CN"/>
        </w:rPr>
        <w:fldChar w:fldCharType="end"/>
      </w:r>
    </w:p>
    <w:p w14:paraId="274DB10C">
      <w:pPr>
        <w:pStyle w:val="1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color w:val="auto"/>
          <w:w w:val="95"/>
          <w:sz w:val="24"/>
          <w:szCs w:val="24"/>
          <w:highlight w:val="none"/>
          <w:lang w:eastAsia="zh-CN"/>
        </w:rPr>
        <w:fldChar w:fldCharType="begin"/>
      </w:r>
      <w:r>
        <w:rPr>
          <w:rFonts w:hint="eastAsia" w:ascii="宋体" w:hAnsi="宋体" w:eastAsia="宋体" w:cs="宋体"/>
          <w:w w:val="95"/>
          <w:sz w:val="24"/>
          <w:szCs w:val="24"/>
          <w:highlight w:val="none"/>
          <w:lang w:eastAsia="zh-CN"/>
        </w:rPr>
        <w:instrText xml:space="preserve"> HYPERLINK \l _Toc7339 </w:instrText>
      </w:r>
      <w:r>
        <w:rPr>
          <w:rFonts w:hint="eastAsia" w:ascii="宋体" w:hAnsi="宋体" w:eastAsia="宋体" w:cs="宋体"/>
          <w:w w:val="95"/>
          <w:sz w:val="24"/>
          <w:szCs w:val="24"/>
          <w:highlight w:val="none"/>
          <w:lang w:eastAsia="zh-CN"/>
        </w:rPr>
        <w:fldChar w:fldCharType="separate"/>
      </w:r>
      <w:r>
        <w:rPr>
          <w:rFonts w:hint="eastAsia" w:ascii="宋体" w:hAnsi="宋体" w:eastAsia="宋体" w:cs="宋体"/>
          <w:sz w:val="24"/>
          <w:szCs w:val="24"/>
          <w:lang w:val="en-US" w:eastAsia="zh-CN"/>
        </w:rPr>
        <w:t xml:space="preserve">第三章 </w:t>
      </w:r>
      <w:r>
        <w:rPr>
          <w:rFonts w:hint="eastAsia" w:ascii="宋体" w:hAnsi="宋体" w:eastAsia="宋体" w:cs="宋体"/>
          <w:sz w:val="24"/>
          <w:szCs w:val="24"/>
        </w:rPr>
        <w:t>合同书样式及主要条款</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草案</w:t>
      </w:r>
      <w:r>
        <w:rPr>
          <w:rFonts w:hint="eastAsia" w:ascii="宋体" w:hAnsi="宋体" w:eastAsia="宋体" w:cs="宋体"/>
          <w:sz w:val="24"/>
          <w:szCs w:val="24"/>
          <w:lang w:eastAsia="zh-CN"/>
        </w:rPr>
        <w:t>）</w:t>
      </w:r>
      <w:r>
        <w:rPr>
          <w:sz w:val="24"/>
          <w:szCs w:val="24"/>
        </w:rPr>
        <w:tab/>
      </w:r>
      <w:r>
        <w:rPr>
          <w:sz w:val="24"/>
          <w:szCs w:val="24"/>
        </w:rPr>
        <w:fldChar w:fldCharType="begin"/>
      </w:r>
      <w:r>
        <w:rPr>
          <w:sz w:val="24"/>
          <w:szCs w:val="24"/>
        </w:rPr>
        <w:instrText xml:space="preserve"> PAGEREF _Toc7339 \h </w:instrText>
      </w:r>
      <w:r>
        <w:rPr>
          <w:sz w:val="24"/>
          <w:szCs w:val="24"/>
        </w:rPr>
        <w:fldChar w:fldCharType="separate"/>
      </w:r>
      <w:r>
        <w:rPr>
          <w:sz w:val="24"/>
          <w:szCs w:val="24"/>
        </w:rPr>
        <w:t>36</w:t>
      </w:r>
      <w:r>
        <w:rPr>
          <w:sz w:val="24"/>
          <w:szCs w:val="24"/>
        </w:rPr>
        <w:fldChar w:fldCharType="end"/>
      </w:r>
      <w:r>
        <w:rPr>
          <w:rFonts w:hint="eastAsia" w:ascii="宋体" w:hAnsi="宋体" w:eastAsia="宋体" w:cs="宋体"/>
          <w:color w:val="auto"/>
          <w:w w:val="95"/>
          <w:sz w:val="24"/>
          <w:szCs w:val="24"/>
          <w:highlight w:val="none"/>
          <w:lang w:eastAsia="zh-CN"/>
        </w:rPr>
        <w:fldChar w:fldCharType="end"/>
      </w:r>
    </w:p>
    <w:p w14:paraId="37045DDE">
      <w:pPr>
        <w:pStyle w:val="1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color w:val="auto"/>
          <w:w w:val="95"/>
          <w:sz w:val="24"/>
          <w:szCs w:val="24"/>
          <w:highlight w:val="none"/>
          <w:lang w:eastAsia="zh-CN"/>
        </w:rPr>
        <w:fldChar w:fldCharType="begin"/>
      </w:r>
      <w:r>
        <w:rPr>
          <w:rFonts w:hint="eastAsia" w:ascii="宋体" w:hAnsi="宋体" w:eastAsia="宋体" w:cs="宋体"/>
          <w:w w:val="95"/>
          <w:sz w:val="24"/>
          <w:szCs w:val="24"/>
          <w:highlight w:val="none"/>
          <w:lang w:eastAsia="zh-CN"/>
        </w:rPr>
        <w:instrText xml:space="preserve"> HYPERLINK \l _Toc24287 </w:instrText>
      </w:r>
      <w:r>
        <w:rPr>
          <w:rFonts w:hint="eastAsia" w:ascii="宋体" w:hAnsi="宋体" w:eastAsia="宋体" w:cs="宋体"/>
          <w:w w:val="95"/>
          <w:sz w:val="24"/>
          <w:szCs w:val="24"/>
          <w:highlight w:val="none"/>
          <w:lang w:eastAsia="zh-CN"/>
        </w:rPr>
        <w:fldChar w:fldCharType="separate"/>
      </w:r>
      <w:r>
        <w:rPr>
          <w:rFonts w:hint="eastAsia" w:ascii="宋体" w:hAnsi="宋体" w:eastAsia="宋体" w:cs="宋体"/>
          <w:sz w:val="24"/>
          <w:szCs w:val="24"/>
          <w:highlight w:val="none"/>
          <w:lang w:val="en-US" w:eastAsia="zh-CN"/>
        </w:rPr>
        <w:t xml:space="preserve">第四章 </w:t>
      </w:r>
      <w:r>
        <w:rPr>
          <w:rFonts w:hint="eastAsia" w:ascii="宋体" w:hAnsi="宋体" w:eastAsia="宋体" w:cs="宋体"/>
          <w:sz w:val="24"/>
          <w:szCs w:val="24"/>
          <w:highlight w:val="none"/>
          <w:lang w:eastAsia="zh-CN"/>
        </w:rPr>
        <w:t>采购需求及技术参数要求</w:t>
      </w:r>
      <w:r>
        <w:rPr>
          <w:sz w:val="24"/>
          <w:szCs w:val="24"/>
        </w:rPr>
        <w:tab/>
      </w:r>
      <w:r>
        <w:rPr>
          <w:sz w:val="24"/>
          <w:szCs w:val="24"/>
        </w:rPr>
        <w:fldChar w:fldCharType="begin"/>
      </w:r>
      <w:r>
        <w:rPr>
          <w:sz w:val="24"/>
          <w:szCs w:val="24"/>
        </w:rPr>
        <w:instrText xml:space="preserve"> PAGEREF _Toc24287 \h </w:instrText>
      </w:r>
      <w:r>
        <w:rPr>
          <w:sz w:val="24"/>
          <w:szCs w:val="24"/>
        </w:rPr>
        <w:fldChar w:fldCharType="separate"/>
      </w:r>
      <w:r>
        <w:rPr>
          <w:sz w:val="24"/>
          <w:szCs w:val="24"/>
        </w:rPr>
        <w:t>43</w:t>
      </w:r>
      <w:r>
        <w:rPr>
          <w:sz w:val="24"/>
          <w:szCs w:val="24"/>
        </w:rPr>
        <w:fldChar w:fldCharType="end"/>
      </w:r>
      <w:r>
        <w:rPr>
          <w:rFonts w:hint="eastAsia" w:ascii="宋体" w:hAnsi="宋体" w:eastAsia="宋体" w:cs="宋体"/>
          <w:color w:val="auto"/>
          <w:w w:val="95"/>
          <w:sz w:val="24"/>
          <w:szCs w:val="24"/>
          <w:highlight w:val="none"/>
          <w:lang w:eastAsia="zh-CN"/>
        </w:rPr>
        <w:fldChar w:fldCharType="end"/>
      </w:r>
    </w:p>
    <w:p w14:paraId="18402DBA">
      <w:pPr>
        <w:pStyle w:val="1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color w:val="auto"/>
          <w:w w:val="95"/>
          <w:sz w:val="24"/>
          <w:szCs w:val="24"/>
          <w:highlight w:val="none"/>
          <w:lang w:eastAsia="zh-CN"/>
        </w:rPr>
        <w:fldChar w:fldCharType="begin"/>
      </w:r>
      <w:r>
        <w:rPr>
          <w:rFonts w:hint="eastAsia" w:ascii="宋体" w:hAnsi="宋体" w:eastAsia="宋体" w:cs="宋体"/>
          <w:w w:val="95"/>
          <w:sz w:val="24"/>
          <w:szCs w:val="24"/>
          <w:highlight w:val="none"/>
          <w:lang w:eastAsia="zh-CN"/>
        </w:rPr>
        <w:instrText xml:space="preserve"> HYPERLINK \l _Toc5402 </w:instrText>
      </w:r>
      <w:r>
        <w:rPr>
          <w:rFonts w:hint="eastAsia" w:ascii="宋体" w:hAnsi="宋体" w:eastAsia="宋体" w:cs="宋体"/>
          <w:w w:val="95"/>
          <w:sz w:val="24"/>
          <w:szCs w:val="24"/>
          <w:highlight w:val="none"/>
          <w:lang w:eastAsia="zh-CN"/>
        </w:rPr>
        <w:fldChar w:fldCharType="separate"/>
      </w:r>
      <w:r>
        <w:rPr>
          <w:rFonts w:hint="eastAsia" w:ascii="宋体" w:hAnsi="宋体" w:eastAsia="宋体" w:cs="宋体"/>
          <w:sz w:val="24"/>
          <w:szCs w:val="24"/>
        </w:rPr>
        <w:t>第</w:t>
      </w:r>
      <w:r>
        <w:rPr>
          <w:rFonts w:hint="eastAsia" w:ascii="宋体" w:hAnsi="宋体" w:eastAsia="宋体" w:cs="宋体"/>
          <w:sz w:val="24"/>
          <w:szCs w:val="24"/>
          <w:lang w:val="en-US" w:eastAsia="zh-CN"/>
        </w:rPr>
        <w:t>五</w:t>
      </w:r>
      <w:r>
        <w:rPr>
          <w:rFonts w:hint="eastAsia" w:ascii="宋体" w:hAnsi="宋体" w:eastAsia="宋体" w:cs="宋体"/>
          <w:sz w:val="24"/>
          <w:szCs w:val="24"/>
        </w:rPr>
        <w:t>章 评标方法（综合评分法）</w:t>
      </w:r>
      <w:r>
        <w:rPr>
          <w:sz w:val="24"/>
          <w:szCs w:val="24"/>
        </w:rPr>
        <w:tab/>
      </w:r>
      <w:r>
        <w:rPr>
          <w:sz w:val="24"/>
          <w:szCs w:val="24"/>
        </w:rPr>
        <w:fldChar w:fldCharType="begin"/>
      </w:r>
      <w:r>
        <w:rPr>
          <w:sz w:val="24"/>
          <w:szCs w:val="24"/>
        </w:rPr>
        <w:instrText xml:space="preserve"> PAGEREF _Toc5402 \h </w:instrText>
      </w:r>
      <w:r>
        <w:rPr>
          <w:sz w:val="24"/>
          <w:szCs w:val="24"/>
        </w:rPr>
        <w:fldChar w:fldCharType="separate"/>
      </w:r>
      <w:r>
        <w:rPr>
          <w:sz w:val="24"/>
          <w:szCs w:val="24"/>
        </w:rPr>
        <w:t>123</w:t>
      </w:r>
      <w:r>
        <w:rPr>
          <w:sz w:val="24"/>
          <w:szCs w:val="24"/>
        </w:rPr>
        <w:fldChar w:fldCharType="end"/>
      </w:r>
      <w:r>
        <w:rPr>
          <w:rFonts w:hint="eastAsia" w:ascii="宋体" w:hAnsi="宋体" w:eastAsia="宋体" w:cs="宋体"/>
          <w:color w:val="auto"/>
          <w:w w:val="95"/>
          <w:sz w:val="24"/>
          <w:szCs w:val="24"/>
          <w:highlight w:val="none"/>
          <w:lang w:eastAsia="zh-CN"/>
        </w:rPr>
        <w:fldChar w:fldCharType="end"/>
      </w:r>
    </w:p>
    <w:p w14:paraId="059E7A2F">
      <w:pPr>
        <w:pStyle w:val="1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color w:val="auto"/>
          <w:w w:val="95"/>
          <w:sz w:val="24"/>
          <w:szCs w:val="24"/>
          <w:highlight w:val="none"/>
          <w:lang w:eastAsia="zh-CN"/>
        </w:rPr>
        <w:fldChar w:fldCharType="begin"/>
      </w:r>
      <w:r>
        <w:rPr>
          <w:rFonts w:hint="eastAsia" w:ascii="宋体" w:hAnsi="宋体" w:eastAsia="宋体" w:cs="宋体"/>
          <w:w w:val="95"/>
          <w:sz w:val="24"/>
          <w:szCs w:val="24"/>
          <w:highlight w:val="none"/>
          <w:lang w:eastAsia="zh-CN"/>
        </w:rPr>
        <w:instrText xml:space="preserve"> HYPERLINK \l _Toc25104 </w:instrText>
      </w:r>
      <w:r>
        <w:rPr>
          <w:rFonts w:hint="eastAsia" w:ascii="宋体" w:hAnsi="宋体" w:eastAsia="宋体" w:cs="宋体"/>
          <w:w w:val="95"/>
          <w:sz w:val="24"/>
          <w:szCs w:val="24"/>
          <w:highlight w:val="none"/>
          <w:lang w:eastAsia="zh-CN"/>
        </w:rPr>
        <w:fldChar w:fldCharType="separate"/>
      </w:r>
      <w:r>
        <w:rPr>
          <w:rFonts w:hint="eastAsia" w:ascii="宋体" w:hAnsi="宋体" w:eastAsia="宋体" w:cs="宋体"/>
          <w:sz w:val="24"/>
          <w:szCs w:val="24"/>
          <w:lang w:val="en-US" w:eastAsia="zh-CN"/>
        </w:rPr>
        <w:t xml:space="preserve">第六章  </w:t>
      </w:r>
      <w:r>
        <w:rPr>
          <w:rFonts w:hint="eastAsia" w:ascii="宋体" w:hAnsi="宋体" w:eastAsia="宋体" w:cs="宋体"/>
          <w:sz w:val="24"/>
          <w:szCs w:val="24"/>
        </w:rPr>
        <w:t>投标文件格式</w:t>
      </w:r>
      <w:r>
        <w:rPr>
          <w:sz w:val="24"/>
          <w:szCs w:val="24"/>
        </w:rPr>
        <w:tab/>
      </w:r>
      <w:r>
        <w:rPr>
          <w:sz w:val="24"/>
          <w:szCs w:val="24"/>
        </w:rPr>
        <w:fldChar w:fldCharType="begin"/>
      </w:r>
      <w:r>
        <w:rPr>
          <w:sz w:val="24"/>
          <w:szCs w:val="24"/>
        </w:rPr>
        <w:instrText xml:space="preserve"> PAGEREF _Toc25104 \h </w:instrText>
      </w:r>
      <w:r>
        <w:rPr>
          <w:sz w:val="24"/>
          <w:szCs w:val="24"/>
        </w:rPr>
        <w:fldChar w:fldCharType="separate"/>
      </w:r>
      <w:r>
        <w:rPr>
          <w:sz w:val="24"/>
          <w:szCs w:val="24"/>
        </w:rPr>
        <w:t>138</w:t>
      </w:r>
      <w:r>
        <w:rPr>
          <w:sz w:val="24"/>
          <w:szCs w:val="24"/>
        </w:rPr>
        <w:fldChar w:fldCharType="end"/>
      </w:r>
      <w:r>
        <w:rPr>
          <w:rFonts w:hint="eastAsia" w:ascii="宋体" w:hAnsi="宋体" w:eastAsia="宋体" w:cs="宋体"/>
          <w:color w:val="auto"/>
          <w:w w:val="95"/>
          <w:sz w:val="24"/>
          <w:szCs w:val="24"/>
          <w:highlight w:val="none"/>
          <w:lang w:eastAsia="zh-CN"/>
        </w:rPr>
        <w:fldChar w:fldCharType="end"/>
      </w:r>
    </w:p>
    <w:p w14:paraId="6C6130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w w:val="95"/>
          <w:sz w:val="24"/>
          <w:szCs w:val="24"/>
          <w:highlight w:val="none"/>
          <w:lang w:eastAsia="zh-CN"/>
        </w:rPr>
      </w:pPr>
      <w:r>
        <w:rPr>
          <w:rFonts w:hint="eastAsia" w:ascii="宋体" w:hAnsi="宋体" w:eastAsia="宋体" w:cs="宋体"/>
          <w:color w:val="auto"/>
          <w:w w:val="95"/>
          <w:sz w:val="24"/>
          <w:szCs w:val="24"/>
          <w:highlight w:val="none"/>
          <w:lang w:eastAsia="zh-CN"/>
        </w:rPr>
        <w:fldChar w:fldCharType="end"/>
      </w:r>
    </w:p>
    <w:p w14:paraId="6DD0BF32">
      <w:pPr>
        <w:pageBreakBefore w:val="0"/>
        <w:kinsoku/>
        <w:overflowPunct/>
        <w:bidi w:val="0"/>
        <w:spacing w:line="360" w:lineRule="auto"/>
        <w:rPr>
          <w:rFonts w:hint="eastAsia" w:ascii="宋体" w:hAnsi="宋体" w:eastAsia="宋体" w:cs="宋体"/>
          <w:b/>
          <w:kern w:val="44"/>
          <w:sz w:val="28"/>
          <w:szCs w:val="20"/>
          <w:lang w:val="en-US" w:eastAsia="zh-CN" w:bidi="ar-SA"/>
        </w:rPr>
      </w:pPr>
    </w:p>
    <w:p w14:paraId="1A8E8E69">
      <w:pPr>
        <w:pStyle w:val="2"/>
        <w:pageBreakBefore w:val="0"/>
        <w:numPr>
          <w:ilvl w:val="0"/>
          <w:numId w:val="0"/>
        </w:numPr>
        <w:kinsoku/>
        <w:overflowPunct/>
        <w:bidi w:val="0"/>
        <w:spacing w:line="360" w:lineRule="auto"/>
        <w:ind w:left="284" w:leftChars="0" w:hanging="284" w:firstLineChars="0"/>
        <w:jc w:val="center"/>
        <w:rPr>
          <w:rFonts w:hint="eastAsia" w:ascii="宋体" w:hAnsi="宋体" w:eastAsia="宋体" w:cs="宋体"/>
          <w:b/>
          <w:kern w:val="44"/>
          <w:sz w:val="28"/>
          <w:szCs w:val="20"/>
          <w:lang w:val="en-US" w:eastAsia="zh-CN" w:bidi="ar-SA"/>
        </w:rPr>
        <w:sectPr>
          <w:footerReference r:id="rId4" w:type="default"/>
          <w:pgSz w:w="11906" w:h="16838"/>
          <w:pgMar w:top="1440" w:right="1800" w:bottom="1440" w:left="1800" w:header="851" w:footer="992" w:gutter="0"/>
          <w:pgNumType w:fmt="decimal" w:start="1"/>
          <w:cols w:space="425" w:num="1"/>
          <w:docGrid w:type="lines" w:linePitch="312" w:charSpace="0"/>
        </w:sectPr>
      </w:pPr>
    </w:p>
    <w:p w14:paraId="4CFEB774">
      <w:pPr>
        <w:pStyle w:val="2"/>
        <w:pageBreakBefore w:val="0"/>
        <w:numPr>
          <w:ilvl w:val="0"/>
          <w:numId w:val="0"/>
        </w:numPr>
        <w:kinsoku/>
        <w:overflowPunct/>
        <w:bidi w:val="0"/>
        <w:spacing w:line="360" w:lineRule="auto"/>
        <w:ind w:left="284" w:leftChars="0" w:hanging="284" w:firstLineChars="0"/>
        <w:jc w:val="center"/>
        <w:rPr>
          <w:rFonts w:hint="eastAsia" w:ascii="宋体" w:hAnsi="宋体" w:eastAsia="宋体" w:cs="宋体"/>
        </w:rPr>
      </w:pPr>
      <w:bookmarkStart w:id="2" w:name="_Toc2951"/>
      <w:bookmarkStart w:id="3" w:name="_Toc26825"/>
      <w:r>
        <w:rPr>
          <w:rFonts w:hint="eastAsia" w:ascii="宋体" w:hAnsi="宋体" w:eastAsia="宋体" w:cs="宋体"/>
          <w:b/>
          <w:kern w:val="44"/>
          <w:sz w:val="28"/>
          <w:szCs w:val="20"/>
          <w:lang w:val="en-US" w:eastAsia="zh-CN" w:bidi="ar-SA"/>
        </w:rPr>
        <w:t xml:space="preserve">第一章  </w:t>
      </w:r>
      <w:r>
        <w:rPr>
          <w:rFonts w:hint="eastAsia" w:ascii="宋体" w:hAnsi="宋体" w:eastAsia="宋体" w:cs="宋体"/>
        </w:rPr>
        <w:t>招标公告</w:t>
      </w:r>
      <w:bookmarkEnd w:id="0"/>
      <w:bookmarkEnd w:id="1"/>
      <w:bookmarkEnd w:id="2"/>
      <w:bookmarkEnd w:id="3"/>
    </w:p>
    <w:p w14:paraId="31EA96FA">
      <w:pPr>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snapToGrid/>
        <w:spacing w:line="360" w:lineRule="auto"/>
        <w:ind w:right="0" w:rightChars="0"/>
        <w:rPr>
          <w:rFonts w:hint="eastAsia" w:ascii="宋体" w:hAnsi="宋体" w:eastAsia="宋体" w:cs="宋体"/>
          <w:color w:val="auto"/>
          <w:sz w:val="24"/>
          <w:highlight w:val="none"/>
        </w:rPr>
      </w:pPr>
      <w:bookmarkStart w:id="4" w:name="_Toc35393627"/>
      <w:bookmarkStart w:id="5" w:name="_Toc35393796"/>
      <w:bookmarkStart w:id="6" w:name="_Toc28359008"/>
      <w:bookmarkStart w:id="7" w:name="_Toc28359085"/>
      <w:r>
        <w:rPr>
          <w:rFonts w:hint="eastAsia" w:ascii="宋体" w:hAnsi="宋体" w:eastAsia="宋体" w:cs="宋体"/>
          <w:color w:val="auto"/>
          <w:sz w:val="24"/>
          <w:highlight w:val="none"/>
        </w:rPr>
        <w:t>项目概况</w:t>
      </w:r>
    </w:p>
    <w:p w14:paraId="0F3958F9">
      <w:pPr>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snapToGrid/>
        <w:spacing w:line="360" w:lineRule="auto"/>
        <w:ind w:left="0" w:leftChars="0" w:right="0" w:rightChars="0"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u w:val="single"/>
          <w:lang w:eastAsia="zh-CN"/>
        </w:rPr>
        <w:t>珠江流域（玉溪段）生态环境监测能力提升项目</w:t>
      </w:r>
      <w:r>
        <w:rPr>
          <w:rFonts w:hint="eastAsia" w:ascii="宋体" w:hAnsi="宋体" w:eastAsia="宋体" w:cs="宋体"/>
          <w:color w:val="auto"/>
          <w:sz w:val="24"/>
          <w:highlight w:val="none"/>
        </w:rPr>
        <w:t>的潜在投标人应登录政采云平台（https://www.zcygov.cn/）获取</w:t>
      </w:r>
      <w:r>
        <w:rPr>
          <w:rStyle w:val="26"/>
          <w:rFonts w:hint="eastAsia" w:ascii="宋体" w:hAnsi="宋体" w:eastAsia="宋体" w:cs="宋体"/>
          <w:color w:val="auto"/>
          <w:highlight w:val="none"/>
        </w:rPr>
        <w:t>招标文件</w:t>
      </w:r>
      <w:r>
        <w:rPr>
          <w:rFonts w:hint="eastAsia" w:ascii="宋体" w:hAnsi="宋体" w:eastAsia="宋体" w:cs="宋体"/>
          <w:color w:val="auto"/>
          <w:sz w:val="24"/>
          <w:highlight w:val="none"/>
        </w:rPr>
        <w:t>，并于</w:t>
      </w:r>
      <w:r>
        <w:rPr>
          <w:rFonts w:hint="eastAsia" w:ascii="宋体" w:hAnsi="宋体" w:cs="宋体"/>
          <w:color w:val="auto"/>
          <w:sz w:val="24"/>
          <w:highlight w:val="none"/>
          <w:u w:val="single"/>
          <w:lang w:val="en-US" w:eastAsia="zh-CN"/>
        </w:rPr>
        <w:t>2026</w:t>
      </w:r>
      <w:r>
        <w:rPr>
          <w:rFonts w:hint="eastAsia" w:ascii="宋体" w:hAnsi="宋体" w:eastAsia="宋体" w:cs="宋体"/>
          <w:color w:val="auto"/>
          <w:sz w:val="24"/>
          <w:highlight w:val="none"/>
          <w:u w:val="single"/>
          <w:lang w:val="en-US" w:eastAsia="zh-CN"/>
        </w:rPr>
        <w:t>年</w:t>
      </w:r>
      <w:r>
        <w:rPr>
          <w:rFonts w:hint="eastAsia" w:ascii="宋体" w:hAnsi="宋体" w:cs="宋体"/>
          <w:color w:val="auto"/>
          <w:sz w:val="24"/>
          <w:highlight w:val="none"/>
          <w:u w:val="single"/>
          <w:lang w:val="en-US" w:eastAsia="zh-CN"/>
        </w:rPr>
        <w:t>06</w:t>
      </w:r>
      <w:r>
        <w:rPr>
          <w:rFonts w:hint="eastAsia" w:ascii="宋体" w:hAnsi="宋体" w:eastAsia="宋体" w:cs="宋体"/>
          <w:color w:val="auto"/>
          <w:sz w:val="24"/>
          <w:highlight w:val="none"/>
          <w:u w:val="single"/>
          <w:lang w:val="en-US" w:eastAsia="zh-CN"/>
        </w:rPr>
        <w:t>月</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日</w:t>
      </w:r>
      <w:r>
        <w:rPr>
          <w:rFonts w:hint="eastAsia" w:ascii="宋体" w:hAnsi="宋体" w:eastAsia="宋体" w:cs="宋体"/>
          <w:color w:val="auto"/>
          <w:sz w:val="24"/>
          <w:highlight w:val="none"/>
          <w:u w:val="single"/>
        </w:rPr>
        <w:t>09</w:t>
      </w:r>
      <w:r>
        <w:rPr>
          <w:rFonts w:hint="eastAsia" w:ascii="宋体" w:hAnsi="宋体" w:eastAsia="宋体" w:cs="宋体"/>
          <w:bCs/>
          <w:color w:val="auto"/>
          <w:sz w:val="24"/>
          <w:highlight w:val="none"/>
          <w:u w:val="single"/>
        </w:rPr>
        <w:t>时00分</w:t>
      </w:r>
      <w:r>
        <w:rPr>
          <w:rFonts w:hint="eastAsia" w:ascii="宋体" w:hAnsi="宋体" w:eastAsia="宋体" w:cs="宋体"/>
          <w:bCs/>
          <w:color w:val="auto"/>
          <w:sz w:val="24"/>
          <w:highlight w:val="none"/>
        </w:rPr>
        <w:t>（北京时间）前</w:t>
      </w:r>
      <w:r>
        <w:rPr>
          <w:rFonts w:hint="eastAsia" w:ascii="宋体" w:hAnsi="宋体" w:eastAsia="宋体" w:cs="宋体"/>
          <w:kern w:val="0"/>
          <w:sz w:val="24"/>
          <w:szCs w:val="24"/>
        </w:rPr>
        <w:t>在政采云平台（https://www.zcygov.cn/）递交投标文件</w:t>
      </w:r>
      <w:r>
        <w:rPr>
          <w:rFonts w:hint="eastAsia" w:ascii="宋体" w:hAnsi="宋体" w:eastAsia="宋体" w:cs="宋体"/>
          <w:color w:val="auto"/>
          <w:sz w:val="24"/>
          <w:highlight w:val="none"/>
        </w:rPr>
        <w:t>。</w:t>
      </w:r>
    </w:p>
    <w:p w14:paraId="6FC1772C">
      <w:pPr>
        <w:pStyle w:val="3"/>
        <w:keepLines w:val="0"/>
        <w:pageBreakBefore w:val="0"/>
        <w:tabs>
          <w:tab w:val="clear" w:pos="1021"/>
        </w:tabs>
        <w:kinsoku/>
        <w:wordWrap/>
        <w:overflowPunct/>
        <w:topLinePunct w:val="0"/>
        <w:autoSpaceDE/>
        <w:autoSpaceDN/>
        <w:bidi w:val="0"/>
        <w:snapToGrid/>
        <w:spacing w:before="158" w:beforeLines="50" w:after="158" w:afterLines="50" w:line="360" w:lineRule="auto"/>
        <w:ind w:left="0" w:leftChars="0" w:right="0" w:rightChars="0" w:firstLine="0"/>
        <w:rPr>
          <w:rFonts w:hint="eastAsia" w:ascii="宋体" w:hAnsi="宋体" w:eastAsia="宋体" w:cs="宋体"/>
          <w:bCs/>
          <w:color w:val="auto"/>
          <w:sz w:val="24"/>
          <w:szCs w:val="24"/>
          <w:highlight w:val="none"/>
        </w:rPr>
      </w:pPr>
      <w:bookmarkStart w:id="8" w:name="_Toc21969"/>
      <w:bookmarkStart w:id="9" w:name="_Toc35393621"/>
      <w:bookmarkStart w:id="10" w:name="_Toc28359002"/>
      <w:bookmarkStart w:id="11" w:name="_Toc14344"/>
      <w:bookmarkStart w:id="12" w:name="_Toc30939"/>
      <w:bookmarkStart w:id="13" w:name="_Toc35393790"/>
      <w:bookmarkStart w:id="14" w:name="_Toc26326"/>
      <w:bookmarkStart w:id="15" w:name="_Toc28359079"/>
      <w:bookmarkStart w:id="16" w:name="_Hlk24379207"/>
      <w:r>
        <w:rPr>
          <w:rFonts w:hint="eastAsia" w:ascii="宋体" w:hAnsi="宋体" w:eastAsia="宋体" w:cs="宋体"/>
          <w:bCs/>
          <w:color w:val="auto"/>
          <w:sz w:val="24"/>
          <w:szCs w:val="24"/>
          <w:highlight w:val="none"/>
        </w:rPr>
        <w:t>一、项目基本情况</w:t>
      </w:r>
      <w:bookmarkEnd w:id="8"/>
      <w:bookmarkEnd w:id="9"/>
      <w:bookmarkEnd w:id="10"/>
      <w:bookmarkEnd w:id="11"/>
      <w:bookmarkEnd w:id="12"/>
      <w:bookmarkEnd w:id="13"/>
      <w:bookmarkEnd w:id="14"/>
      <w:bookmarkEnd w:id="15"/>
    </w:p>
    <w:p w14:paraId="6277946F">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1.项目名称：</w:t>
      </w:r>
      <w:r>
        <w:rPr>
          <w:rFonts w:hint="eastAsia" w:ascii="宋体" w:hAnsi="宋体" w:cs="宋体"/>
          <w:color w:val="auto"/>
          <w:sz w:val="24"/>
          <w:highlight w:val="none"/>
          <w:lang w:eastAsia="zh-CN"/>
        </w:rPr>
        <w:t>珠江流域（玉溪段）生态环境监测能力提升项目</w:t>
      </w:r>
      <w:r>
        <w:rPr>
          <w:rFonts w:hint="eastAsia" w:ascii="宋体" w:hAnsi="宋体" w:eastAsia="宋体" w:cs="宋体"/>
          <w:color w:val="auto"/>
          <w:sz w:val="24"/>
          <w:highlight w:val="none"/>
        </w:rPr>
        <w:t xml:space="preserve"> </w:t>
      </w:r>
      <w:bookmarkEnd w:id="16"/>
    </w:p>
    <w:p w14:paraId="55FD85D1">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rPr>
          <w:rFonts w:hint="eastAsia" w:ascii="宋体" w:hAnsi="宋体" w:cs="宋体"/>
          <w:color w:val="auto"/>
          <w:sz w:val="24"/>
          <w:highlight w:val="none"/>
          <w:lang w:val="en-US" w:eastAsia="zh-CN"/>
        </w:rPr>
      </w:pPr>
      <w:r>
        <w:rPr>
          <w:rFonts w:hint="eastAsia" w:ascii="宋体" w:hAnsi="宋体" w:eastAsia="宋体" w:cs="宋体"/>
          <w:color w:val="auto"/>
          <w:sz w:val="24"/>
          <w:highlight w:val="none"/>
        </w:rPr>
        <w:t>2.项目编</w:t>
      </w:r>
      <w:r>
        <w:rPr>
          <w:rFonts w:hint="eastAsia" w:ascii="宋体" w:hAnsi="宋体" w:cs="宋体"/>
          <w:color w:val="auto"/>
          <w:sz w:val="24"/>
          <w:highlight w:val="none"/>
          <w:lang w:val="en-US" w:eastAsia="zh-CN"/>
        </w:rPr>
        <w:t xml:space="preserve">号：YNSZ2026-0512 （采购计划编号：4530400JH202600670）  </w:t>
      </w:r>
    </w:p>
    <w:p w14:paraId="6AD41C4E">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rPr>
          <w:rFonts w:hint="eastAsia" w:ascii="宋体" w:hAnsi="宋体" w:cs="宋体"/>
          <w:color w:val="auto"/>
          <w:sz w:val="24"/>
          <w:highlight w:val="none"/>
          <w:lang w:val="en-US" w:eastAsia="zh-CN"/>
        </w:rPr>
      </w:pPr>
      <w:r>
        <w:rPr>
          <w:rFonts w:hint="eastAsia" w:ascii="宋体" w:hAnsi="宋体" w:eastAsia="宋体" w:cs="宋体"/>
          <w:color w:val="auto"/>
          <w:sz w:val="24"/>
          <w:highlight w:val="none"/>
          <w:lang w:val="en-US" w:eastAsia="zh-CN"/>
        </w:rPr>
        <w:t>3.预算金额：</w:t>
      </w:r>
      <w:r>
        <w:rPr>
          <w:rFonts w:hint="eastAsia" w:ascii="宋体" w:hAnsi="宋体" w:cs="宋体"/>
          <w:color w:val="auto"/>
          <w:sz w:val="24"/>
          <w:highlight w:val="none"/>
          <w:lang w:val="en-US" w:eastAsia="zh-CN"/>
        </w:rPr>
        <w:t>7835900.00元1包：3915900.00元；2包：3920000.00元）</w:t>
      </w:r>
    </w:p>
    <w:p w14:paraId="4A9A5895">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4.最高限价：</w:t>
      </w:r>
      <w:r>
        <w:rPr>
          <w:rFonts w:hint="eastAsia" w:ascii="宋体" w:hAnsi="宋体" w:cs="宋体"/>
          <w:color w:val="auto"/>
          <w:sz w:val="24"/>
          <w:highlight w:val="none"/>
          <w:lang w:val="en-US" w:eastAsia="zh-CN"/>
        </w:rPr>
        <w:t>7835900.00元（1包：3915900.00元；2包：3920000.00元）</w:t>
      </w:r>
    </w:p>
    <w:p w14:paraId="723FE092">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5.采购需求：详见下表。具体内容详见招标文件“第四章 采购需求及技术参数要求”。</w:t>
      </w:r>
    </w:p>
    <w:tbl>
      <w:tblPr>
        <w:tblStyle w:val="24"/>
        <w:tblW w:w="9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7"/>
        <w:gridCol w:w="824"/>
        <w:gridCol w:w="3156"/>
        <w:gridCol w:w="979"/>
        <w:gridCol w:w="1524"/>
        <w:gridCol w:w="1704"/>
      </w:tblGrid>
      <w:tr w14:paraId="60E6A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blHeader/>
          <w:jc w:val="center"/>
        </w:trPr>
        <w:tc>
          <w:tcPr>
            <w:tcW w:w="1067" w:type="dxa"/>
            <w:vAlign w:val="center"/>
          </w:tcPr>
          <w:p w14:paraId="5480E895">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b/>
                <w:bCs/>
                <w:color w:val="auto"/>
                <w:sz w:val="24"/>
                <w:highlight w:val="none"/>
                <w:vertAlign w:val="baseline"/>
                <w:lang w:val="en-US" w:eastAsia="zh-CN"/>
              </w:rPr>
            </w:pPr>
            <w:r>
              <w:rPr>
                <w:rFonts w:hint="eastAsia" w:ascii="宋体" w:hAnsi="宋体" w:cs="宋体"/>
                <w:b/>
                <w:bCs/>
                <w:color w:val="auto"/>
                <w:sz w:val="24"/>
                <w:highlight w:val="none"/>
                <w:vertAlign w:val="baseline"/>
                <w:lang w:val="en-US" w:eastAsia="zh-CN"/>
              </w:rPr>
              <w:t>包件号</w:t>
            </w:r>
          </w:p>
        </w:tc>
        <w:tc>
          <w:tcPr>
            <w:tcW w:w="824" w:type="dxa"/>
            <w:vAlign w:val="center"/>
          </w:tcPr>
          <w:p w14:paraId="25A2576B">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b/>
                <w:bCs/>
                <w:color w:val="auto"/>
                <w:sz w:val="24"/>
                <w:highlight w:val="none"/>
                <w:vertAlign w:val="baseline"/>
                <w:lang w:val="en-US" w:eastAsia="zh-CN"/>
              </w:rPr>
            </w:pPr>
            <w:r>
              <w:rPr>
                <w:rFonts w:hint="eastAsia" w:ascii="宋体" w:hAnsi="宋体" w:cs="宋体"/>
                <w:b/>
                <w:bCs/>
                <w:color w:val="auto"/>
                <w:sz w:val="24"/>
                <w:highlight w:val="none"/>
                <w:vertAlign w:val="baseline"/>
                <w:lang w:val="en-US" w:eastAsia="zh-CN"/>
              </w:rPr>
              <w:t>序号</w:t>
            </w:r>
          </w:p>
        </w:tc>
        <w:tc>
          <w:tcPr>
            <w:tcW w:w="3156" w:type="dxa"/>
            <w:vAlign w:val="center"/>
          </w:tcPr>
          <w:p w14:paraId="00BB4F29">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b/>
                <w:bCs/>
                <w:color w:val="auto"/>
                <w:sz w:val="24"/>
                <w:highlight w:val="none"/>
                <w:vertAlign w:val="baseline"/>
                <w:lang w:val="en-US" w:eastAsia="zh-CN"/>
              </w:rPr>
            </w:pPr>
            <w:r>
              <w:rPr>
                <w:rFonts w:hint="eastAsia" w:ascii="宋体" w:hAnsi="宋体" w:cs="宋体"/>
                <w:b/>
                <w:bCs/>
                <w:color w:val="auto"/>
                <w:sz w:val="24"/>
                <w:highlight w:val="none"/>
                <w:vertAlign w:val="baseline"/>
                <w:lang w:val="en-US" w:eastAsia="zh-CN"/>
              </w:rPr>
              <w:t>标的名称</w:t>
            </w:r>
          </w:p>
        </w:tc>
        <w:tc>
          <w:tcPr>
            <w:tcW w:w="979" w:type="dxa"/>
            <w:vAlign w:val="center"/>
          </w:tcPr>
          <w:p w14:paraId="704691DF">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b/>
                <w:bCs/>
                <w:color w:val="auto"/>
                <w:sz w:val="24"/>
                <w:highlight w:val="none"/>
                <w:vertAlign w:val="baseline"/>
                <w:lang w:val="en-US" w:eastAsia="zh-CN"/>
              </w:rPr>
            </w:pPr>
            <w:r>
              <w:rPr>
                <w:rFonts w:hint="eastAsia" w:ascii="宋体" w:hAnsi="宋体" w:cs="宋体"/>
                <w:b/>
                <w:bCs/>
                <w:color w:val="auto"/>
                <w:sz w:val="24"/>
                <w:highlight w:val="none"/>
                <w:vertAlign w:val="baseline"/>
                <w:lang w:val="en-US" w:eastAsia="zh-CN"/>
              </w:rPr>
              <w:t>数量（台）</w:t>
            </w:r>
          </w:p>
        </w:tc>
        <w:tc>
          <w:tcPr>
            <w:tcW w:w="1524" w:type="dxa"/>
            <w:vAlign w:val="center"/>
          </w:tcPr>
          <w:p w14:paraId="640EEE4F">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b/>
                <w:bCs/>
                <w:color w:val="auto"/>
                <w:sz w:val="24"/>
                <w:highlight w:val="none"/>
                <w:vertAlign w:val="baseline"/>
                <w:lang w:val="en-US" w:eastAsia="zh-CN"/>
              </w:rPr>
            </w:pPr>
            <w:r>
              <w:rPr>
                <w:rFonts w:hint="eastAsia" w:ascii="宋体" w:hAnsi="宋体" w:cs="宋体"/>
                <w:b/>
                <w:bCs/>
                <w:color w:val="auto"/>
                <w:sz w:val="24"/>
                <w:highlight w:val="none"/>
                <w:vertAlign w:val="baseline"/>
                <w:lang w:val="en-US" w:eastAsia="zh-CN"/>
              </w:rPr>
              <w:t>单价（元）</w:t>
            </w:r>
          </w:p>
        </w:tc>
        <w:tc>
          <w:tcPr>
            <w:tcW w:w="1704" w:type="dxa"/>
            <w:vAlign w:val="center"/>
          </w:tcPr>
          <w:p w14:paraId="5E2C660A">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b/>
                <w:bCs/>
                <w:color w:val="auto"/>
                <w:sz w:val="24"/>
                <w:highlight w:val="none"/>
                <w:vertAlign w:val="baseline"/>
                <w:lang w:val="en-US" w:eastAsia="zh-CN"/>
              </w:rPr>
            </w:pPr>
            <w:r>
              <w:rPr>
                <w:rFonts w:hint="eastAsia" w:ascii="宋体" w:hAnsi="宋体" w:cs="宋体"/>
                <w:b/>
                <w:bCs/>
                <w:color w:val="auto"/>
                <w:sz w:val="24"/>
                <w:highlight w:val="none"/>
                <w:vertAlign w:val="baseline"/>
                <w:lang w:val="en-US" w:eastAsia="zh-CN"/>
              </w:rPr>
              <w:t>备注</w:t>
            </w:r>
          </w:p>
        </w:tc>
      </w:tr>
      <w:tr w14:paraId="74AFF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067" w:type="dxa"/>
            <w:vMerge w:val="restart"/>
            <w:vAlign w:val="center"/>
          </w:tcPr>
          <w:p w14:paraId="77DCB9C1">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w:t>
            </w:r>
          </w:p>
        </w:tc>
        <w:tc>
          <w:tcPr>
            <w:tcW w:w="824" w:type="dxa"/>
            <w:vAlign w:val="center"/>
          </w:tcPr>
          <w:p w14:paraId="3210CCE7">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w:t>
            </w:r>
          </w:p>
        </w:tc>
        <w:tc>
          <w:tcPr>
            <w:tcW w:w="3156" w:type="dxa"/>
            <w:vAlign w:val="center"/>
          </w:tcPr>
          <w:p w14:paraId="3F53FDFE">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原子吸收光谱仪</w:t>
            </w:r>
          </w:p>
          <w:p w14:paraId="3025B65C">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b/>
                <w:bCs/>
                <w:color w:val="auto"/>
                <w:sz w:val="24"/>
                <w:highlight w:val="none"/>
                <w:vertAlign w:val="baseline"/>
                <w:lang w:val="en-US" w:eastAsia="zh-CN"/>
              </w:rPr>
              <w:t>（核心产品）</w:t>
            </w:r>
          </w:p>
        </w:tc>
        <w:tc>
          <w:tcPr>
            <w:tcW w:w="979" w:type="dxa"/>
            <w:vAlign w:val="center"/>
          </w:tcPr>
          <w:p w14:paraId="0566426D">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default"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3</w:t>
            </w:r>
          </w:p>
        </w:tc>
        <w:tc>
          <w:tcPr>
            <w:tcW w:w="1524" w:type="dxa"/>
            <w:vAlign w:val="center"/>
          </w:tcPr>
          <w:p w14:paraId="4BA7CB87">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350000</w:t>
            </w:r>
          </w:p>
        </w:tc>
        <w:tc>
          <w:tcPr>
            <w:tcW w:w="1704" w:type="dxa"/>
            <w:vAlign w:val="center"/>
          </w:tcPr>
          <w:p w14:paraId="5CC0D824">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配置江川站、通海站、峨山站</w:t>
            </w:r>
          </w:p>
        </w:tc>
      </w:tr>
      <w:tr w14:paraId="74F6B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14:paraId="46C97505">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14:paraId="7C70589C">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2</w:t>
            </w:r>
          </w:p>
        </w:tc>
        <w:tc>
          <w:tcPr>
            <w:tcW w:w="3156" w:type="dxa"/>
            <w:vAlign w:val="center"/>
          </w:tcPr>
          <w:p w14:paraId="17BA6BA9">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原子荧光分光光度计</w:t>
            </w:r>
          </w:p>
        </w:tc>
        <w:tc>
          <w:tcPr>
            <w:tcW w:w="979" w:type="dxa"/>
            <w:vAlign w:val="center"/>
          </w:tcPr>
          <w:p w14:paraId="4FFC4E2A">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5</w:t>
            </w:r>
          </w:p>
        </w:tc>
        <w:tc>
          <w:tcPr>
            <w:tcW w:w="1524" w:type="dxa"/>
            <w:vAlign w:val="center"/>
          </w:tcPr>
          <w:p w14:paraId="61497122">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150000</w:t>
            </w:r>
          </w:p>
        </w:tc>
        <w:tc>
          <w:tcPr>
            <w:tcW w:w="1704" w:type="dxa"/>
            <w:vAlign w:val="center"/>
          </w:tcPr>
          <w:p w14:paraId="7EBD1B9B">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红塔站、江川站、通海站、华宁站、峨山站</w:t>
            </w:r>
          </w:p>
        </w:tc>
      </w:tr>
      <w:tr w14:paraId="0284E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14:paraId="07C5DB55">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14:paraId="5366F1F0">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3</w:t>
            </w:r>
          </w:p>
        </w:tc>
        <w:tc>
          <w:tcPr>
            <w:tcW w:w="3156" w:type="dxa"/>
            <w:vAlign w:val="center"/>
          </w:tcPr>
          <w:p w14:paraId="62D0F7DA">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全自动高锰酸盐指数分析仪</w:t>
            </w:r>
          </w:p>
        </w:tc>
        <w:tc>
          <w:tcPr>
            <w:tcW w:w="979" w:type="dxa"/>
            <w:vAlign w:val="center"/>
          </w:tcPr>
          <w:p w14:paraId="3CB897BA">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6</w:t>
            </w:r>
          </w:p>
        </w:tc>
        <w:tc>
          <w:tcPr>
            <w:tcW w:w="1524" w:type="dxa"/>
            <w:vAlign w:val="center"/>
          </w:tcPr>
          <w:p w14:paraId="7DC9E26B">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180000</w:t>
            </w:r>
          </w:p>
        </w:tc>
        <w:tc>
          <w:tcPr>
            <w:tcW w:w="1704" w:type="dxa"/>
            <w:vAlign w:val="center"/>
          </w:tcPr>
          <w:p w14:paraId="71D4BD6D">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红塔站、江川站、通海站、华宁站、峨山站</w:t>
            </w:r>
          </w:p>
        </w:tc>
      </w:tr>
      <w:tr w14:paraId="34298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14:paraId="61843530">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14:paraId="185A7C52">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4</w:t>
            </w:r>
          </w:p>
        </w:tc>
        <w:tc>
          <w:tcPr>
            <w:tcW w:w="3156" w:type="dxa"/>
            <w:vAlign w:val="center"/>
          </w:tcPr>
          <w:p w14:paraId="3B756F76">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全自动COD测定仪</w:t>
            </w:r>
          </w:p>
        </w:tc>
        <w:tc>
          <w:tcPr>
            <w:tcW w:w="979" w:type="dxa"/>
            <w:vAlign w:val="center"/>
          </w:tcPr>
          <w:p w14:paraId="3B08524D">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1524" w:type="dxa"/>
            <w:vAlign w:val="center"/>
          </w:tcPr>
          <w:p w14:paraId="3AB8AF3F">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200000</w:t>
            </w:r>
          </w:p>
        </w:tc>
        <w:tc>
          <w:tcPr>
            <w:tcW w:w="1704" w:type="dxa"/>
            <w:vAlign w:val="center"/>
          </w:tcPr>
          <w:p w14:paraId="55420D52">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红塔站、澄江站</w:t>
            </w:r>
          </w:p>
        </w:tc>
      </w:tr>
      <w:tr w14:paraId="5C306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14:paraId="372D3519">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14:paraId="44FDD929">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5</w:t>
            </w:r>
          </w:p>
        </w:tc>
        <w:tc>
          <w:tcPr>
            <w:tcW w:w="3156" w:type="dxa"/>
            <w:vAlign w:val="center"/>
          </w:tcPr>
          <w:p w14:paraId="1AF51531">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便携式溶解氧测定仪</w:t>
            </w:r>
          </w:p>
        </w:tc>
        <w:tc>
          <w:tcPr>
            <w:tcW w:w="979" w:type="dxa"/>
            <w:vAlign w:val="center"/>
          </w:tcPr>
          <w:p w14:paraId="5818F9E3">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8</w:t>
            </w:r>
          </w:p>
        </w:tc>
        <w:tc>
          <w:tcPr>
            <w:tcW w:w="1524" w:type="dxa"/>
            <w:vAlign w:val="center"/>
          </w:tcPr>
          <w:p w14:paraId="11F97261">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4000</w:t>
            </w:r>
          </w:p>
        </w:tc>
        <w:tc>
          <w:tcPr>
            <w:tcW w:w="1704" w:type="dxa"/>
            <w:vAlign w:val="center"/>
          </w:tcPr>
          <w:p w14:paraId="1798B945">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红塔站、江川站、澄江站、通海站、华宁站、峨山站</w:t>
            </w:r>
          </w:p>
        </w:tc>
      </w:tr>
      <w:tr w14:paraId="1674D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14:paraId="7663FF19">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14:paraId="53280D66">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6</w:t>
            </w:r>
          </w:p>
        </w:tc>
        <w:tc>
          <w:tcPr>
            <w:tcW w:w="3156" w:type="dxa"/>
            <w:vAlign w:val="center"/>
          </w:tcPr>
          <w:p w14:paraId="43383972">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便携式抽滤装置</w:t>
            </w:r>
          </w:p>
        </w:tc>
        <w:tc>
          <w:tcPr>
            <w:tcW w:w="979" w:type="dxa"/>
            <w:vAlign w:val="center"/>
          </w:tcPr>
          <w:p w14:paraId="6FC65B6D">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11</w:t>
            </w:r>
          </w:p>
        </w:tc>
        <w:tc>
          <w:tcPr>
            <w:tcW w:w="1524" w:type="dxa"/>
            <w:vAlign w:val="center"/>
          </w:tcPr>
          <w:p w14:paraId="536C7615">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8000</w:t>
            </w:r>
          </w:p>
        </w:tc>
        <w:tc>
          <w:tcPr>
            <w:tcW w:w="1704" w:type="dxa"/>
            <w:vAlign w:val="center"/>
          </w:tcPr>
          <w:p w14:paraId="2A2FA81D">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红塔站、江川站、澄江站、通海站、华宁站、峨山站</w:t>
            </w:r>
          </w:p>
        </w:tc>
      </w:tr>
      <w:tr w14:paraId="77017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067" w:type="dxa"/>
            <w:vMerge w:val="continue"/>
            <w:vAlign w:val="center"/>
          </w:tcPr>
          <w:p w14:paraId="225007DF">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14:paraId="243B7021">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7</w:t>
            </w:r>
          </w:p>
        </w:tc>
        <w:tc>
          <w:tcPr>
            <w:tcW w:w="3156" w:type="dxa"/>
            <w:vAlign w:val="center"/>
          </w:tcPr>
          <w:p w14:paraId="2C41D0C4">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全自动流动注射分析仪（阴离子模块1个）</w:t>
            </w:r>
          </w:p>
        </w:tc>
        <w:tc>
          <w:tcPr>
            <w:tcW w:w="979" w:type="dxa"/>
            <w:vAlign w:val="center"/>
          </w:tcPr>
          <w:p w14:paraId="46783201">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524" w:type="dxa"/>
            <w:vAlign w:val="center"/>
          </w:tcPr>
          <w:p w14:paraId="10F5B83C">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150000</w:t>
            </w:r>
          </w:p>
        </w:tc>
        <w:tc>
          <w:tcPr>
            <w:tcW w:w="1704" w:type="dxa"/>
            <w:vAlign w:val="center"/>
          </w:tcPr>
          <w:p w14:paraId="3E6F66F8">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通海站</w:t>
            </w:r>
          </w:p>
        </w:tc>
      </w:tr>
      <w:tr w14:paraId="19C1F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14:paraId="23A4A5F2">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14:paraId="57E0508A">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8</w:t>
            </w:r>
          </w:p>
        </w:tc>
        <w:tc>
          <w:tcPr>
            <w:tcW w:w="3156" w:type="dxa"/>
            <w:vAlign w:val="center"/>
          </w:tcPr>
          <w:p w14:paraId="74F63044">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便携式浊度仪</w:t>
            </w:r>
          </w:p>
        </w:tc>
        <w:tc>
          <w:tcPr>
            <w:tcW w:w="979" w:type="dxa"/>
            <w:vAlign w:val="center"/>
          </w:tcPr>
          <w:p w14:paraId="3DCAAEEF">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1524" w:type="dxa"/>
            <w:vAlign w:val="center"/>
          </w:tcPr>
          <w:p w14:paraId="5E67F469">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5000</w:t>
            </w:r>
          </w:p>
        </w:tc>
        <w:tc>
          <w:tcPr>
            <w:tcW w:w="1704" w:type="dxa"/>
            <w:vAlign w:val="center"/>
          </w:tcPr>
          <w:p w14:paraId="0B185BE2">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华宁站、峨山站</w:t>
            </w:r>
          </w:p>
        </w:tc>
      </w:tr>
      <w:tr w14:paraId="46782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14:paraId="074C9E2A">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14:paraId="4266CE5B">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9</w:t>
            </w:r>
          </w:p>
        </w:tc>
        <w:tc>
          <w:tcPr>
            <w:tcW w:w="3156" w:type="dxa"/>
            <w:vAlign w:val="center"/>
          </w:tcPr>
          <w:p w14:paraId="6FE00506">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实验室叶绿素荧光测定仪</w:t>
            </w:r>
          </w:p>
        </w:tc>
        <w:tc>
          <w:tcPr>
            <w:tcW w:w="979" w:type="dxa"/>
            <w:vAlign w:val="center"/>
          </w:tcPr>
          <w:p w14:paraId="09E39A8E">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524" w:type="dxa"/>
            <w:vAlign w:val="center"/>
          </w:tcPr>
          <w:p w14:paraId="50A374D9">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70000</w:t>
            </w:r>
          </w:p>
        </w:tc>
        <w:tc>
          <w:tcPr>
            <w:tcW w:w="1704" w:type="dxa"/>
            <w:vAlign w:val="center"/>
          </w:tcPr>
          <w:p w14:paraId="749E6CB7">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江川站</w:t>
            </w:r>
          </w:p>
        </w:tc>
      </w:tr>
      <w:tr w14:paraId="7AC3D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14:paraId="5C256927">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14:paraId="25374A6F">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10</w:t>
            </w:r>
          </w:p>
        </w:tc>
        <w:tc>
          <w:tcPr>
            <w:tcW w:w="3156" w:type="dxa"/>
            <w:vAlign w:val="center"/>
          </w:tcPr>
          <w:p w14:paraId="6B93A061">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手持叶绿素荧光测定仪</w:t>
            </w:r>
          </w:p>
        </w:tc>
        <w:tc>
          <w:tcPr>
            <w:tcW w:w="979" w:type="dxa"/>
            <w:vAlign w:val="center"/>
          </w:tcPr>
          <w:p w14:paraId="607F58F1">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524" w:type="dxa"/>
            <w:vAlign w:val="center"/>
          </w:tcPr>
          <w:p w14:paraId="49780753">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60000</w:t>
            </w:r>
          </w:p>
        </w:tc>
        <w:tc>
          <w:tcPr>
            <w:tcW w:w="1704" w:type="dxa"/>
            <w:vAlign w:val="center"/>
          </w:tcPr>
          <w:p w14:paraId="4277A273">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江川站</w:t>
            </w:r>
          </w:p>
        </w:tc>
      </w:tr>
      <w:tr w14:paraId="612C1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067" w:type="dxa"/>
            <w:vMerge w:val="continue"/>
            <w:vAlign w:val="center"/>
          </w:tcPr>
          <w:p w14:paraId="282AC27A">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14:paraId="12855465">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11</w:t>
            </w:r>
          </w:p>
        </w:tc>
        <w:tc>
          <w:tcPr>
            <w:tcW w:w="3156" w:type="dxa"/>
            <w:vAlign w:val="center"/>
          </w:tcPr>
          <w:p w14:paraId="63ED1DE5">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便携式多参数水质测定仪（水温、PH、电导率、溶解氧</w:t>
            </w:r>
          </w:p>
        </w:tc>
        <w:tc>
          <w:tcPr>
            <w:tcW w:w="979" w:type="dxa"/>
            <w:vAlign w:val="center"/>
          </w:tcPr>
          <w:p w14:paraId="0FFE5F38">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524" w:type="dxa"/>
            <w:vAlign w:val="center"/>
          </w:tcPr>
          <w:p w14:paraId="2120E5BD">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34000</w:t>
            </w:r>
          </w:p>
        </w:tc>
        <w:tc>
          <w:tcPr>
            <w:tcW w:w="1704" w:type="dxa"/>
            <w:vAlign w:val="center"/>
          </w:tcPr>
          <w:p w14:paraId="14EAA436">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通海站</w:t>
            </w:r>
          </w:p>
        </w:tc>
      </w:tr>
      <w:tr w14:paraId="04E0A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067" w:type="dxa"/>
            <w:vMerge w:val="continue"/>
            <w:vAlign w:val="center"/>
          </w:tcPr>
          <w:p w14:paraId="283506AD">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14:paraId="609D47BD">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12</w:t>
            </w:r>
          </w:p>
        </w:tc>
        <w:tc>
          <w:tcPr>
            <w:tcW w:w="3156" w:type="dxa"/>
            <w:vAlign w:val="center"/>
          </w:tcPr>
          <w:p w14:paraId="7870B23B">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酶底物法微生物快速检测系统</w:t>
            </w:r>
          </w:p>
        </w:tc>
        <w:tc>
          <w:tcPr>
            <w:tcW w:w="979" w:type="dxa"/>
            <w:vAlign w:val="center"/>
          </w:tcPr>
          <w:p w14:paraId="6C46FA4C">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524" w:type="dxa"/>
            <w:vAlign w:val="center"/>
          </w:tcPr>
          <w:p w14:paraId="71D190FD">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70000</w:t>
            </w:r>
          </w:p>
        </w:tc>
        <w:tc>
          <w:tcPr>
            <w:tcW w:w="1704" w:type="dxa"/>
            <w:vAlign w:val="center"/>
          </w:tcPr>
          <w:p w14:paraId="6D4C070E">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峨山站</w:t>
            </w:r>
          </w:p>
        </w:tc>
      </w:tr>
      <w:tr w14:paraId="2AA4A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067" w:type="dxa"/>
            <w:vMerge w:val="continue"/>
            <w:vAlign w:val="center"/>
          </w:tcPr>
          <w:p w14:paraId="01D379AE">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14:paraId="0A609BA0">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13</w:t>
            </w:r>
          </w:p>
        </w:tc>
        <w:tc>
          <w:tcPr>
            <w:tcW w:w="3156" w:type="dxa"/>
            <w:vAlign w:val="center"/>
          </w:tcPr>
          <w:p w14:paraId="71F4ACF8">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台式溶解氧测定仪（电化学探头法）</w:t>
            </w:r>
          </w:p>
        </w:tc>
        <w:tc>
          <w:tcPr>
            <w:tcW w:w="979" w:type="dxa"/>
            <w:vAlign w:val="center"/>
          </w:tcPr>
          <w:p w14:paraId="6533FBA3">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524" w:type="dxa"/>
            <w:vAlign w:val="center"/>
          </w:tcPr>
          <w:p w14:paraId="4098ECB7">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6000</w:t>
            </w:r>
          </w:p>
        </w:tc>
        <w:tc>
          <w:tcPr>
            <w:tcW w:w="1704" w:type="dxa"/>
            <w:vAlign w:val="center"/>
          </w:tcPr>
          <w:p w14:paraId="22F49C8B">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峨山站</w:t>
            </w:r>
          </w:p>
        </w:tc>
      </w:tr>
      <w:tr w14:paraId="4EA1B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14:paraId="4B6412D5">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14:paraId="607FDB38">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14</w:t>
            </w:r>
          </w:p>
        </w:tc>
        <w:tc>
          <w:tcPr>
            <w:tcW w:w="3156" w:type="dxa"/>
            <w:vAlign w:val="center"/>
          </w:tcPr>
          <w:p w14:paraId="512476F4">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COD消解仪</w:t>
            </w:r>
          </w:p>
        </w:tc>
        <w:tc>
          <w:tcPr>
            <w:tcW w:w="979" w:type="dxa"/>
            <w:vAlign w:val="center"/>
          </w:tcPr>
          <w:p w14:paraId="5E4EE89F">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5</w:t>
            </w:r>
          </w:p>
        </w:tc>
        <w:tc>
          <w:tcPr>
            <w:tcW w:w="1524" w:type="dxa"/>
            <w:vAlign w:val="center"/>
          </w:tcPr>
          <w:p w14:paraId="7A020C7E">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12000</w:t>
            </w:r>
          </w:p>
        </w:tc>
        <w:tc>
          <w:tcPr>
            <w:tcW w:w="1704" w:type="dxa"/>
            <w:vAlign w:val="center"/>
          </w:tcPr>
          <w:p w14:paraId="5CDA3014">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红塔站、华宁站、峨山站</w:t>
            </w:r>
          </w:p>
        </w:tc>
      </w:tr>
      <w:tr w14:paraId="31D36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14:paraId="6BFEEF56">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14:paraId="1735444B">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15</w:t>
            </w:r>
          </w:p>
        </w:tc>
        <w:tc>
          <w:tcPr>
            <w:tcW w:w="3156" w:type="dxa"/>
            <w:vAlign w:val="center"/>
          </w:tcPr>
          <w:p w14:paraId="79B11F7D">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生化培养箱</w:t>
            </w:r>
          </w:p>
        </w:tc>
        <w:tc>
          <w:tcPr>
            <w:tcW w:w="979" w:type="dxa"/>
            <w:vAlign w:val="center"/>
          </w:tcPr>
          <w:p w14:paraId="4D8D0D73">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524" w:type="dxa"/>
            <w:vAlign w:val="center"/>
          </w:tcPr>
          <w:p w14:paraId="3CCDF4E4">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7500</w:t>
            </w:r>
          </w:p>
        </w:tc>
        <w:tc>
          <w:tcPr>
            <w:tcW w:w="1704" w:type="dxa"/>
            <w:vAlign w:val="center"/>
          </w:tcPr>
          <w:p w14:paraId="59EF92B1">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峨山站</w:t>
            </w:r>
          </w:p>
        </w:tc>
      </w:tr>
      <w:tr w14:paraId="117D3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14:paraId="193D1993">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14:paraId="060573F0">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16</w:t>
            </w:r>
          </w:p>
        </w:tc>
        <w:tc>
          <w:tcPr>
            <w:tcW w:w="3156" w:type="dxa"/>
            <w:vAlign w:val="center"/>
          </w:tcPr>
          <w:p w14:paraId="666E11BA">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电热鼓风干燥箱</w:t>
            </w:r>
          </w:p>
        </w:tc>
        <w:tc>
          <w:tcPr>
            <w:tcW w:w="979" w:type="dxa"/>
            <w:vAlign w:val="center"/>
          </w:tcPr>
          <w:p w14:paraId="460213A8">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524" w:type="dxa"/>
            <w:vAlign w:val="center"/>
          </w:tcPr>
          <w:p w14:paraId="3A2BF331">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4000</w:t>
            </w:r>
          </w:p>
        </w:tc>
        <w:tc>
          <w:tcPr>
            <w:tcW w:w="1704" w:type="dxa"/>
            <w:vAlign w:val="center"/>
          </w:tcPr>
          <w:p w14:paraId="30588B06">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红塔站</w:t>
            </w:r>
          </w:p>
        </w:tc>
      </w:tr>
      <w:tr w14:paraId="3EF98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14:paraId="3CCFA4D6">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14:paraId="6D710B94">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17</w:t>
            </w:r>
          </w:p>
        </w:tc>
        <w:tc>
          <w:tcPr>
            <w:tcW w:w="3156" w:type="dxa"/>
            <w:vAlign w:val="center"/>
          </w:tcPr>
          <w:p w14:paraId="318457F5">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通风柜</w:t>
            </w:r>
          </w:p>
        </w:tc>
        <w:tc>
          <w:tcPr>
            <w:tcW w:w="979" w:type="dxa"/>
            <w:vAlign w:val="center"/>
          </w:tcPr>
          <w:p w14:paraId="29E9DAE7">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4</w:t>
            </w:r>
          </w:p>
        </w:tc>
        <w:tc>
          <w:tcPr>
            <w:tcW w:w="1524" w:type="dxa"/>
            <w:vAlign w:val="center"/>
          </w:tcPr>
          <w:p w14:paraId="7DDAFC75">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cs="宋体"/>
                <w:i w:val="0"/>
                <w:iCs w:val="0"/>
                <w:color w:val="000000"/>
                <w:kern w:val="0"/>
                <w:sz w:val="24"/>
                <w:szCs w:val="24"/>
                <w:u w:val="none"/>
                <w:lang w:val="en-US" w:eastAsia="zh-CN" w:bidi="ar"/>
              </w:rPr>
              <w:t>11100</w:t>
            </w:r>
          </w:p>
        </w:tc>
        <w:tc>
          <w:tcPr>
            <w:tcW w:w="1704" w:type="dxa"/>
            <w:vAlign w:val="center"/>
          </w:tcPr>
          <w:p w14:paraId="6A975206">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红塔站</w:t>
            </w:r>
          </w:p>
        </w:tc>
      </w:tr>
      <w:tr w14:paraId="3652F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067" w:type="dxa"/>
            <w:vMerge w:val="continue"/>
            <w:vAlign w:val="center"/>
          </w:tcPr>
          <w:p w14:paraId="34D20D33">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4959" w:type="dxa"/>
            <w:gridSpan w:val="3"/>
            <w:vAlign w:val="center"/>
          </w:tcPr>
          <w:p w14:paraId="70F40868">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合计（元）</w:t>
            </w:r>
          </w:p>
        </w:tc>
        <w:tc>
          <w:tcPr>
            <w:tcW w:w="1524" w:type="dxa"/>
            <w:vAlign w:val="center"/>
          </w:tcPr>
          <w:p w14:paraId="6676B672">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cs="宋体"/>
                <w:b/>
                <w:bCs/>
                <w:i w:val="0"/>
                <w:iCs w:val="0"/>
                <w:color w:val="000000"/>
                <w:kern w:val="0"/>
                <w:sz w:val="24"/>
                <w:szCs w:val="24"/>
                <w:u w:val="none"/>
                <w:lang w:val="en-US" w:eastAsia="zh-CN" w:bidi="ar"/>
              </w:rPr>
            </w:pPr>
            <w:r>
              <w:rPr>
                <w:rFonts w:hint="eastAsia" w:ascii="宋体" w:hAnsi="宋体" w:cs="宋体"/>
                <w:b/>
                <w:bCs/>
                <w:color w:val="auto"/>
                <w:sz w:val="24"/>
                <w:highlight w:val="none"/>
                <w:lang w:val="en-US" w:eastAsia="zh-CN"/>
              </w:rPr>
              <w:t>3915900.00</w:t>
            </w:r>
          </w:p>
        </w:tc>
        <w:tc>
          <w:tcPr>
            <w:tcW w:w="1704" w:type="dxa"/>
            <w:vAlign w:val="center"/>
          </w:tcPr>
          <w:p w14:paraId="7633C5A3">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r>
      <w:tr w14:paraId="407F1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067" w:type="dxa"/>
            <w:vAlign w:val="center"/>
          </w:tcPr>
          <w:p w14:paraId="54BE4A81">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cs="宋体"/>
                <w:color w:val="auto"/>
                <w:sz w:val="24"/>
                <w:highlight w:val="none"/>
                <w:vertAlign w:val="baseline"/>
                <w:lang w:val="en-US" w:eastAsia="zh-CN"/>
              </w:rPr>
            </w:pPr>
            <w:r>
              <w:rPr>
                <w:rFonts w:hint="eastAsia" w:ascii="宋体" w:hAnsi="宋体" w:cs="宋体"/>
                <w:b/>
                <w:bCs/>
                <w:color w:val="auto"/>
                <w:sz w:val="24"/>
                <w:highlight w:val="none"/>
                <w:vertAlign w:val="baseline"/>
                <w:lang w:val="en-US" w:eastAsia="zh-CN"/>
              </w:rPr>
              <w:t>包件号</w:t>
            </w:r>
          </w:p>
        </w:tc>
        <w:tc>
          <w:tcPr>
            <w:tcW w:w="824" w:type="dxa"/>
            <w:vAlign w:val="center"/>
          </w:tcPr>
          <w:p w14:paraId="51E5BF75">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cs="宋体"/>
                <w:color w:val="auto"/>
                <w:sz w:val="24"/>
                <w:highlight w:val="none"/>
                <w:vertAlign w:val="baseline"/>
                <w:lang w:val="en-US" w:eastAsia="zh-CN"/>
              </w:rPr>
            </w:pPr>
            <w:r>
              <w:rPr>
                <w:rFonts w:hint="eastAsia" w:ascii="宋体" w:hAnsi="宋体" w:cs="宋体"/>
                <w:b/>
                <w:bCs/>
                <w:color w:val="auto"/>
                <w:sz w:val="24"/>
                <w:highlight w:val="none"/>
                <w:vertAlign w:val="baseline"/>
                <w:lang w:val="en-US" w:eastAsia="zh-CN"/>
              </w:rPr>
              <w:t>序号</w:t>
            </w:r>
          </w:p>
        </w:tc>
        <w:tc>
          <w:tcPr>
            <w:tcW w:w="3156" w:type="dxa"/>
            <w:vAlign w:val="center"/>
          </w:tcPr>
          <w:p w14:paraId="7C987E56">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color w:val="auto"/>
                <w:sz w:val="24"/>
                <w:highlight w:val="none"/>
                <w:vertAlign w:val="baseline"/>
                <w:lang w:val="en-US" w:eastAsia="zh-CN"/>
              </w:rPr>
              <w:t>标的名称</w:t>
            </w:r>
          </w:p>
        </w:tc>
        <w:tc>
          <w:tcPr>
            <w:tcW w:w="979" w:type="dxa"/>
            <w:vAlign w:val="center"/>
          </w:tcPr>
          <w:p w14:paraId="43760413">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b/>
                <w:bCs/>
                <w:color w:val="auto"/>
                <w:sz w:val="24"/>
                <w:highlight w:val="none"/>
                <w:vertAlign w:val="baseline"/>
                <w:lang w:val="en-US" w:eastAsia="zh-CN"/>
              </w:rPr>
              <w:t>数量（台）</w:t>
            </w:r>
          </w:p>
        </w:tc>
        <w:tc>
          <w:tcPr>
            <w:tcW w:w="1524" w:type="dxa"/>
            <w:vAlign w:val="center"/>
          </w:tcPr>
          <w:p w14:paraId="2ED142DE">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b/>
                <w:bCs/>
                <w:color w:val="auto"/>
                <w:sz w:val="24"/>
                <w:highlight w:val="none"/>
                <w:vertAlign w:val="baseline"/>
                <w:lang w:val="en-US" w:eastAsia="zh-CN"/>
              </w:rPr>
              <w:t>单价（元）</w:t>
            </w:r>
          </w:p>
        </w:tc>
        <w:tc>
          <w:tcPr>
            <w:tcW w:w="1704" w:type="dxa"/>
            <w:vAlign w:val="center"/>
          </w:tcPr>
          <w:p w14:paraId="1F994904">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b/>
                <w:bCs/>
                <w:color w:val="auto"/>
                <w:sz w:val="24"/>
                <w:highlight w:val="none"/>
                <w:vertAlign w:val="baseline"/>
                <w:lang w:val="en-US" w:eastAsia="zh-CN"/>
              </w:rPr>
              <w:t>备注</w:t>
            </w:r>
          </w:p>
        </w:tc>
      </w:tr>
      <w:tr w14:paraId="26086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067" w:type="dxa"/>
            <w:vMerge w:val="restart"/>
            <w:vAlign w:val="center"/>
          </w:tcPr>
          <w:p w14:paraId="5D45F277">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2</w:t>
            </w:r>
          </w:p>
        </w:tc>
        <w:tc>
          <w:tcPr>
            <w:tcW w:w="824" w:type="dxa"/>
            <w:vAlign w:val="center"/>
          </w:tcPr>
          <w:p w14:paraId="7A3AA6F2">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w:t>
            </w:r>
          </w:p>
        </w:tc>
        <w:tc>
          <w:tcPr>
            <w:tcW w:w="3156" w:type="dxa"/>
            <w:vAlign w:val="center"/>
          </w:tcPr>
          <w:p w14:paraId="5DC327A6">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气相分子吸收光谱仪</w:t>
            </w:r>
          </w:p>
          <w:p w14:paraId="4C12EC9A">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（核心产品）</w:t>
            </w:r>
          </w:p>
        </w:tc>
        <w:tc>
          <w:tcPr>
            <w:tcW w:w="979" w:type="dxa"/>
            <w:vAlign w:val="center"/>
          </w:tcPr>
          <w:p w14:paraId="05D1741C">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524" w:type="dxa"/>
            <w:vAlign w:val="center"/>
          </w:tcPr>
          <w:p w14:paraId="795727F9">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275000</w:t>
            </w:r>
          </w:p>
        </w:tc>
        <w:tc>
          <w:tcPr>
            <w:tcW w:w="1704" w:type="dxa"/>
            <w:vAlign w:val="center"/>
          </w:tcPr>
          <w:p w14:paraId="46039F45">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红塔站、江川站、澄江站、通海站、华宁站、峨山站</w:t>
            </w:r>
          </w:p>
        </w:tc>
      </w:tr>
      <w:tr w14:paraId="0C8FD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14:paraId="31CBFA00">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14:paraId="12D30056">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2</w:t>
            </w:r>
          </w:p>
        </w:tc>
        <w:tc>
          <w:tcPr>
            <w:tcW w:w="3156" w:type="dxa"/>
            <w:vAlign w:val="center"/>
          </w:tcPr>
          <w:p w14:paraId="53CA1C13">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离子色谱仪</w:t>
            </w:r>
          </w:p>
        </w:tc>
        <w:tc>
          <w:tcPr>
            <w:tcW w:w="979" w:type="dxa"/>
            <w:vAlign w:val="center"/>
          </w:tcPr>
          <w:p w14:paraId="508A65B1">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524" w:type="dxa"/>
            <w:vAlign w:val="center"/>
          </w:tcPr>
          <w:p w14:paraId="6D91D188">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220000</w:t>
            </w:r>
          </w:p>
        </w:tc>
        <w:tc>
          <w:tcPr>
            <w:tcW w:w="1704" w:type="dxa"/>
            <w:vAlign w:val="center"/>
          </w:tcPr>
          <w:p w14:paraId="4F441086">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江川站、澄江站、华宁站、峨山站</w:t>
            </w:r>
          </w:p>
        </w:tc>
      </w:tr>
      <w:tr w14:paraId="00FA7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14:paraId="3BEED295">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14:paraId="161753CE">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3</w:t>
            </w:r>
          </w:p>
        </w:tc>
        <w:tc>
          <w:tcPr>
            <w:tcW w:w="3156" w:type="dxa"/>
            <w:vAlign w:val="center"/>
          </w:tcPr>
          <w:p w14:paraId="344CAD9C">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全自动总磷总氮测定仪</w:t>
            </w:r>
          </w:p>
        </w:tc>
        <w:tc>
          <w:tcPr>
            <w:tcW w:w="979" w:type="dxa"/>
            <w:vAlign w:val="center"/>
          </w:tcPr>
          <w:p w14:paraId="69ED1ED3">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24" w:type="dxa"/>
            <w:vAlign w:val="center"/>
          </w:tcPr>
          <w:p w14:paraId="0E65806E">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248000</w:t>
            </w:r>
          </w:p>
        </w:tc>
        <w:tc>
          <w:tcPr>
            <w:tcW w:w="1704" w:type="dxa"/>
            <w:vAlign w:val="center"/>
          </w:tcPr>
          <w:p w14:paraId="3B8B0F77">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红塔站、江川站</w:t>
            </w:r>
          </w:p>
        </w:tc>
      </w:tr>
      <w:tr w14:paraId="1E51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14:paraId="1008EEF0">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14:paraId="6E2530A1">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4</w:t>
            </w:r>
          </w:p>
        </w:tc>
        <w:tc>
          <w:tcPr>
            <w:tcW w:w="3156" w:type="dxa"/>
            <w:vAlign w:val="center"/>
          </w:tcPr>
          <w:p w14:paraId="43E86BA2">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全自动红外测油仪</w:t>
            </w:r>
          </w:p>
        </w:tc>
        <w:tc>
          <w:tcPr>
            <w:tcW w:w="979" w:type="dxa"/>
            <w:vAlign w:val="center"/>
          </w:tcPr>
          <w:p w14:paraId="39C5784F">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24" w:type="dxa"/>
            <w:vAlign w:val="center"/>
          </w:tcPr>
          <w:p w14:paraId="16359194">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157000</w:t>
            </w:r>
          </w:p>
        </w:tc>
        <w:tc>
          <w:tcPr>
            <w:tcW w:w="1704" w:type="dxa"/>
            <w:vAlign w:val="center"/>
          </w:tcPr>
          <w:p w14:paraId="7858CD40">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红塔站</w:t>
            </w:r>
          </w:p>
        </w:tc>
      </w:tr>
      <w:tr w14:paraId="30894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14:paraId="475F4EE8">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14:paraId="5E3C074F">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5</w:t>
            </w:r>
          </w:p>
        </w:tc>
        <w:tc>
          <w:tcPr>
            <w:tcW w:w="3156" w:type="dxa"/>
            <w:vAlign w:val="center"/>
          </w:tcPr>
          <w:p w14:paraId="2520331E">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超纯水机</w:t>
            </w:r>
          </w:p>
        </w:tc>
        <w:tc>
          <w:tcPr>
            <w:tcW w:w="979" w:type="dxa"/>
            <w:vAlign w:val="center"/>
          </w:tcPr>
          <w:p w14:paraId="5EDC44F3">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524" w:type="dxa"/>
            <w:vAlign w:val="center"/>
          </w:tcPr>
          <w:p w14:paraId="66432817">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22000</w:t>
            </w:r>
          </w:p>
        </w:tc>
        <w:tc>
          <w:tcPr>
            <w:tcW w:w="1704" w:type="dxa"/>
            <w:vAlign w:val="center"/>
          </w:tcPr>
          <w:p w14:paraId="11C31B83">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红塔站、江川站、澄江站、华宁站、峨山站</w:t>
            </w:r>
          </w:p>
        </w:tc>
      </w:tr>
      <w:tr w14:paraId="5D32A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14:paraId="6171E2C6">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14:paraId="090E2B8D">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6</w:t>
            </w:r>
          </w:p>
        </w:tc>
        <w:tc>
          <w:tcPr>
            <w:tcW w:w="3156" w:type="dxa"/>
            <w:vAlign w:val="center"/>
          </w:tcPr>
          <w:p w14:paraId="0186819C">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便携式离心机</w:t>
            </w:r>
          </w:p>
        </w:tc>
        <w:tc>
          <w:tcPr>
            <w:tcW w:w="979" w:type="dxa"/>
            <w:vAlign w:val="center"/>
          </w:tcPr>
          <w:p w14:paraId="674F2911">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524" w:type="dxa"/>
            <w:vAlign w:val="center"/>
          </w:tcPr>
          <w:p w14:paraId="3E8FD28A">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7000</w:t>
            </w:r>
          </w:p>
        </w:tc>
        <w:tc>
          <w:tcPr>
            <w:tcW w:w="1704" w:type="dxa"/>
            <w:vAlign w:val="center"/>
          </w:tcPr>
          <w:p w14:paraId="4ACB72DD">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红塔站、通海站</w:t>
            </w:r>
          </w:p>
        </w:tc>
      </w:tr>
      <w:tr w14:paraId="338B1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14:paraId="45A9C55B">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14:paraId="094F982A">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7</w:t>
            </w:r>
          </w:p>
        </w:tc>
        <w:tc>
          <w:tcPr>
            <w:tcW w:w="3156" w:type="dxa"/>
            <w:vAlign w:val="center"/>
          </w:tcPr>
          <w:p w14:paraId="38062D52">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专用药品柜</w:t>
            </w:r>
          </w:p>
        </w:tc>
        <w:tc>
          <w:tcPr>
            <w:tcW w:w="979" w:type="dxa"/>
            <w:vAlign w:val="center"/>
          </w:tcPr>
          <w:p w14:paraId="12AFCACE">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24" w:type="dxa"/>
            <w:vAlign w:val="center"/>
          </w:tcPr>
          <w:p w14:paraId="58F9A66B">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16500</w:t>
            </w:r>
          </w:p>
        </w:tc>
        <w:tc>
          <w:tcPr>
            <w:tcW w:w="1704" w:type="dxa"/>
            <w:vAlign w:val="center"/>
          </w:tcPr>
          <w:p w14:paraId="4A59A14C">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红塔站</w:t>
            </w:r>
          </w:p>
        </w:tc>
      </w:tr>
      <w:tr w14:paraId="10F6C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7" w:type="dxa"/>
            <w:vMerge w:val="continue"/>
            <w:vAlign w:val="center"/>
          </w:tcPr>
          <w:p w14:paraId="76E7046D">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14:paraId="2890DFB8">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8</w:t>
            </w:r>
          </w:p>
        </w:tc>
        <w:tc>
          <w:tcPr>
            <w:tcW w:w="3156" w:type="dxa"/>
            <w:vAlign w:val="center"/>
          </w:tcPr>
          <w:p w14:paraId="3E9168A6">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瓶口分液器</w:t>
            </w:r>
          </w:p>
        </w:tc>
        <w:tc>
          <w:tcPr>
            <w:tcW w:w="979" w:type="dxa"/>
            <w:vAlign w:val="center"/>
          </w:tcPr>
          <w:p w14:paraId="5E14923F">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524" w:type="dxa"/>
            <w:vAlign w:val="center"/>
          </w:tcPr>
          <w:p w14:paraId="5C3F35D5">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3000</w:t>
            </w:r>
          </w:p>
        </w:tc>
        <w:tc>
          <w:tcPr>
            <w:tcW w:w="1704" w:type="dxa"/>
            <w:vAlign w:val="center"/>
          </w:tcPr>
          <w:p w14:paraId="317A2A78">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红塔站、江川站、通海站</w:t>
            </w:r>
          </w:p>
        </w:tc>
      </w:tr>
      <w:tr w14:paraId="2DF1D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067" w:type="dxa"/>
            <w:vMerge w:val="continue"/>
            <w:vAlign w:val="center"/>
          </w:tcPr>
          <w:p w14:paraId="0F44D52A">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14:paraId="0CA945EE">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9</w:t>
            </w:r>
          </w:p>
        </w:tc>
        <w:tc>
          <w:tcPr>
            <w:tcW w:w="3156" w:type="dxa"/>
            <w:vAlign w:val="center"/>
          </w:tcPr>
          <w:p w14:paraId="1045D3A7">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紫外分光光度计</w:t>
            </w:r>
          </w:p>
        </w:tc>
        <w:tc>
          <w:tcPr>
            <w:tcW w:w="979" w:type="dxa"/>
            <w:vAlign w:val="center"/>
          </w:tcPr>
          <w:p w14:paraId="45FBE057">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24" w:type="dxa"/>
            <w:vAlign w:val="center"/>
          </w:tcPr>
          <w:p w14:paraId="0F4C12A0">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35000</w:t>
            </w:r>
          </w:p>
        </w:tc>
        <w:tc>
          <w:tcPr>
            <w:tcW w:w="1704" w:type="dxa"/>
            <w:vAlign w:val="center"/>
          </w:tcPr>
          <w:p w14:paraId="74B1256D">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江川站、峨山站</w:t>
            </w:r>
          </w:p>
        </w:tc>
      </w:tr>
      <w:tr w14:paraId="5512B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14:paraId="0C4DCB6F">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14:paraId="52D839E7">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10</w:t>
            </w:r>
          </w:p>
        </w:tc>
        <w:tc>
          <w:tcPr>
            <w:tcW w:w="3156" w:type="dxa"/>
            <w:vAlign w:val="center"/>
          </w:tcPr>
          <w:p w14:paraId="7879D614">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垂直震动器</w:t>
            </w:r>
          </w:p>
        </w:tc>
        <w:tc>
          <w:tcPr>
            <w:tcW w:w="979" w:type="dxa"/>
            <w:vAlign w:val="center"/>
          </w:tcPr>
          <w:p w14:paraId="4AF44F5B">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24" w:type="dxa"/>
            <w:vAlign w:val="center"/>
          </w:tcPr>
          <w:p w14:paraId="2343A63B">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20000</w:t>
            </w:r>
          </w:p>
        </w:tc>
        <w:tc>
          <w:tcPr>
            <w:tcW w:w="1704" w:type="dxa"/>
            <w:vAlign w:val="center"/>
          </w:tcPr>
          <w:p w14:paraId="0D59A637">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通海站、华宁站</w:t>
            </w:r>
          </w:p>
        </w:tc>
      </w:tr>
      <w:tr w14:paraId="02D8D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14:paraId="7D4AE15F">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14:paraId="4BD6C19E">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11</w:t>
            </w:r>
          </w:p>
        </w:tc>
        <w:tc>
          <w:tcPr>
            <w:tcW w:w="3156" w:type="dxa"/>
            <w:vAlign w:val="center"/>
          </w:tcPr>
          <w:p w14:paraId="75061738">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全自动液液萃取仪</w:t>
            </w:r>
          </w:p>
        </w:tc>
        <w:tc>
          <w:tcPr>
            <w:tcW w:w="979" w:type="dxa"/>
            <w:vAlign w:val="center"/>
          </w:tcPr>
          <w:p w14:paraId="1B483D34">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524" w:type="dxa"/>
            <w:vAlign w:val="center"/>
          </w:tcPr>
          <w:p w14:paraId="0FFD21FE">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20000</w:t>
            </w:r>
          </w:p>
        </w:tc>
        <w:tc>
          <w:tcPr>
            <w:tcW w:w="1704" w:type="dxa"/>
            <w:vAlign w:val="center"/>
          </w:tcPr>
          <w:p w14:paraId="3FE047D6">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红塔站、江川站、峨山站</w:t>
            </w:r>
          </w:p>
        </w:tc>
      </w:tr>
      <w:tr w14:paraId="6A3A8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067" w:type="dxa"/>
            <w:vMerge w:val="continue"/>
            <w:vAlign w:val="center"/>
          </w:tcPr>
          <w:p w14:paraId="1E039C1A">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14:paraId="75DD6D77">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12</w:t>
            </w:r>
          </w:p>
        </w:tc>
        <w:tc>
          <w:tcPr>
            <w:tcW w:w="3156" w:type="dxa"/>
            <w:vAlign w:val="center"/>
          </w:tcPr>
          <w:p w14:paraId="0415E321">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叶绿素研磨仪（包括抽滤装置全套）</w:t>
            </w:r>
          </w:p>
        </w:tc>
        <w:tc>
          <w:tcPr>
            <w:tcW w:w="979" w:type="dxa"/>
            <w:vAlign w:val="center"/>
          </w:tcPr>
          <w:p w14:paraId="0DDF9245">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24" w:type="dxa"/>
            <w:vAlign w:val="center"/>
          </w:tcPr>
          <w:p w14:paraId="6D024903">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26000</w:t>
            </w:r>
          </w:p>
        </w:tc>
        <w:tc>
          <w:tcPr>
            <w:tcW w:w="1704" w:type="dxa"/>
            <w:vAlign w:val="center"/>
          </w:tcPr>
          <w:p w14:paraId="4008B428">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峨山站</w:t>
            </w:r>
          </w:p>
        </w:tc>
      </w:tr>
      <w:tr w14:paraId="50E04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14:paraId="65D463E0">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14:paraId="56C01B92">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13</w:t>
            </w:r>
          </w:p>
        </w:tc>
        <w:tc>
          <w:tcPr>
            <w:tcW w:w="3156" w:type="dxa"/>
            <w:vAlign w:val="center"/>
          </w:tcPr>
          <w:p w14:paraId="25F881D5">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流速仪</w:t>
            </w:r>
          </w:p>
        </w:tc>
        <w:tc>
          <w:tcPr>
            <w:tcW w:w="979" w:type="dxa"/>
            <w:vAlign w:val="center"/>
          </w:tcPr>
          <w:p w14:paraId="6F66994A">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524" w:type="dxa"/>
            <w:vAlign w:val="center"/>
          </w:tcPr>
          <w:p w14:paraId="284C0830">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6000</w:t>
            </w:r>
          </w:p>
        </w:tc>
        <w:tc>
          <w:tcPr>
            <w:tcW w:w="1704" w:type="dxa"/>
            <w:vAlign w:val="center"/>
          </w:tcPr>
          <w:p w14:paraId="7C63C65C">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红塔站、江川站、华宁站</w:t>
            </w:r>
          </w:p>
        </w:tc>
      </w:tr>
      <w:tr w14:paraId="7CEF4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14:paraId="60A7E0DD">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14:paraId="779F5198">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14</w:t>
            </w:r>
          </w:p>
        </w:tc>
        <w:tc>
          <w:tcPr>
            <w:tcW w:w="3156" w:type="dxa"/>
            <w:vAlign w:val="center"/>
          </w:tcPr>
          <w:p w14:paraId="6633DF21">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多联不锈钢溶液过滤器</w:t>
            </w:r>
          </w:p>
        </w:tc>
        <w:tc>
          <w:tcPr>
            <w:tcW w:w="979" w:type="dxa"/>
            <w:vAlign w:val="center"/>
          </w:tcPr>
          <w:p w14:paraId="162A0E68">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524" w:type="dxa"/>
            <w:vAlign w:val="center"/>
          </w:tcPr>
          <w:p w14:paraId="5D9B865C">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8000</w:t>
            </w:r>
          </w:p>
        </w:tc>
        <w:tc>
          <w:tcPr>
            <w:tcW w:w="1704" w:type="dxa"/>
            <w:vAlign w:val="center"/>
          </w:tcPr>
          <w:p w14:paraId="0EA1489B">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红塔站、江川站、澄江站</w:t>
            </w:r>
          </w:p>
        </w:tc>
      </w:tr>
      <w:tr w14:paraId="5E94D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14:paraId="07150677">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14:paraId="1D31124A">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15</w:t>
            </w:r>
          </w:p>
        </w:tc>
        <w:tc>
          <w:tcPr>
            <w:tcW w:w="3156" w:type="dxa"/>
            <w:vAlign w:val="center"/>
          </w:tcPr>
          <w:p w14:paraId="629CB5CF">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红外测油仪</w:t>
            </w:r>
          </w:p>
        </w:tc>
        <w:tc>
          <w:tcPr>
            <w:tcW w:w="979" w:type="dxa"/>
            <w:vAlign w:val="center"/>
          </w:tcPr>
          <w:p w14:paraId="632FF268">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524" w:type="dxa"/>
            <w:vAlign w:val="center"/>
          </w:tcPr>
          <w:p w14:paraId="49B62E1E">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60000</w:t>
            </w:r>
          </w:p>
        </w:tc>
        <w:tc>
          <w:tcPr>
            <w:tcW w:w="1704" w:type="dxa"/>
            <w:vAlign w:val="center"/>
          </w:tcPr>
          <w:p w14:paraId="308EC551">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江川站、</w:t>
            </w: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澄江站、华宁站、峨山站</w:t>
            </w:r>
          </w:p>
        </w:tc>
      </w:tr>
      <w:tr w14:paraId="1B351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14:paraId="20B1DD75">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14:paraId="2DFD4C93">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16</w:t>
            </w:r>
          </w:p>
        </w:tc>
        <w:tc>
          <w:tcPr>
            <w:tcW w:w="3156" w:type="dxa"/>
            <w:vAlign w:val="center"/>
          </w:tcPr>
          <w:p w14:paraId="3E40731E">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实验室台式离心机</w:t>
            </w:r>
          </w:p>
        </w:tc>
        <w:tc>
          <w:tcPr>
            <w:tcW w:w="979" w:type="dxa"/>
            <w:vAlign w:val="center"/>
          </w:tcPr>
          <w:p w14:paraId="2E633D4B">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524" w:type="dxa"/>
            <w:vAlign w:val="center"/>
          </w:tcPr>
          <w:p w14:paraId="160810F8">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13000</w:t>
            </w:r>
          </w:p>
        </w:tc>
        <w:tc>
          <w:tcPr>
            <w:tcW w:w="1704" w:type="dxa"/>
            <w:vAlign w:val="center"/>
          </w:tcPr>
          <w:p w14:paraId="6AF33167">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配置红塔站、通海</w:t>
            </w:r>
          </w:p>
        </w:tc>
      </w:tr>
      <w:tr w14:paraId="28A0D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067" w:type="dxa"/>
            <w:vMerge w:val="continue"/>
            <w:vAlign w:val="center"/>
          </w:tcPr>
          <w:p w14:paraId="7B6E5467">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14:paraId="4B4B090B">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17</w:t>
            </w:r>
          </w:p>
        </w:tc>
        <w:tc>
          <w:tcPr>
            <w:tcW w:w="3156" w:type="dxa"/>
            <w:vAlign w:val="center"/>
          </w:tcPr>
          <w:p w14:paraId="3B97702F">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氟化物离子计</w:t>
            </w:r>
          </w:p>
        </w:tc>
        <w:tc>
          <w:tcPr>
            <w:tcW w:w="979" w:type="dxa"/>
            <w:vAlign w:val="center"/>
          </w:tcPr>
          <w:p w14:paraId="6D051A06">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24" w:type="dxa"/>
            <w:vAlign w:val="center"/>
          </w:tcPr>
          <w:p w14:paraId="383D8552">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6000</w:t>
            </w:r>
          </w:p>
        </w:tc>
        <w:tc>
          <w:tcPr>
            <w:tcW w:w="1704" w:type="dxa"/>
            <w:vAlign w:val="center"/>
          </w:tcPr>
          <w:p w14:paraId="7ED22E51">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配置江川站</w:t>
            </w:r>
          </w:p>
        </w:tc>
      </w:tr>
      <w:tr w14:paraId="11013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067" w:type="dxa"/>
            <w:vMerge w:val="continue"/>
            <w:vAlign w:val="center"/>
          </w:tcPr>
          <w:p w14:paraId="5B5D7B08">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4959" w:type="dxa"/>
            <w:gridSpan w:val="3"/>
            <w:vAlign w:val="center"/>
          </w:tcPr>
          <w:p w14:paraId="00EDFD78">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合计（元）</w:t>
            </w:r>
          </w:p>
        </w:tc>
        <w:tc>
          <w:tcPr>
            <w:tcW w:w="1524" w:type="dxa"/>
            <w:vAlign w:val="center"/>
          </w:tcPr>
          <w:p w14:paraId="15647B54">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3920000.00</w:t>
            </w:r>
          </w:p>
        </w:tc>
        <w:tc>
          <w:tcPr>
            <w:tcW w:w="1704" w:type="dxa"/>
            <w:vAlign w:val="center"/>
          </w:tcPr>
          <w:p w14:paraId="30885F1A">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r>
    </w:tbl>
    <w:p w14:paraId="54A7E698">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outlineLvl w:val="9"/>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注：①本项目不允许进口产品参与投标。进口产品是指通过中国海关报关验放进入中国境内且产自关境外的产品。</w:t>
      </w:r>
    </w:p>
    <w:p w14:paraId="5C400D7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②本项目共分</w:t>
      </w:r>
      <w:r>
        <w:rPr>
          <w:rFonts w:hint="eastAsia" w:ascii="宋体" w:hAnsi="宋体" w:cs="宋体"/>
          <w:b/>
          <w:bCs/>
          <w:color w:val="auto"/>
          <w:sz w:val="24"/>
          <w:highlight w:val="none"/>
          <w:lang w:val="en-US" w:eastAsia="zh-CN"/>
        </w:rPr>
        <w:t>2</w:t>
      </w:r>
      <w:r>
        <w:rPr>
          <w:rFonts w:hint="eastAsia" w:ascii="宋体" w:hAnsi="宋体" w:eastAsia="宋体" w:cs="宋体"/>
          <w:b/>
          <w:bCs/>
          <w:color w:val="auto"/>
          <w:sz w:val="24"/>
          <w:highlight w:val="none"/>
          <w:lang w:val="en-US" w:eastAsia="zh-CN"/>
        </w:rPr>
        <w:t>个包件，投标人可选择一个包或多个包进行响应，若对多个</w:t>
      </w:r>
      <w:r>
        <w:rPr>
          <w:rFonts w:hint="eastAsia" w:ascii="宋体" w:hAnsi="宋体" w:cs="宋体"/>
          <w:b/>
          <w:bCs/>
          <w:color w:val="auto"/>
          <w:sz w:val="24"/>
          <w:highlight w:val="none"/>
          <w:lang w:val="en-US" w:eastAsia="zh-CN"/>
        </w:rPr>
        <w:t>包件</w:t>
      </w:r>
      <w:r>
        <w:rPr>
          <w:rFonts w:hint="eastAsia" w:ascii="宋体" w:hAnsi="宋体" w:eastAsia="宋体" w:cs="宋体"/>
          <w:b/>
          <w:bCs/>
          <w:color w:val="auto"/>
          <w:sz w:val="24"/>
          <w:highlight w:val="none"/>
          <w:lang w:val="en-US" w:eastAsia="zh-CN"/>
        </w:rPr>
        <w:t>进行响应</w:t>
      </w:r>
      <w:r>
        <w:rPr>
          <w:rFonts w:hint="eastAsia" w:ascii="宋体" w:hAnsi="宋体" w:cs="宋体"/>
          <w:b/>
          <w:bCs/>
          <w:color w:val="auto"/>
          <w:sz w:val="24"/>
          <w:highlight w:val="none"/>
          <w:lang w:val="en-US" w:eastAsia="zh-CN"/>
        </w:rPr>
        <w:t>的</w:t>
      </w:r>
      <w:r>
        <w:rPr>
          <w:rFonts w:hint="eastAsia" w:ascii="宋体" w:hAnsi="宋体" w:eastAsia="宋体" w:cs="宋体"/>
          <w:b/>
          <w:bCs/>
          <w:color w:val="auto"/>
          <w:sz w:val="24"/>
          <w:highlight w:val="none"/>
          <w:lang w:val="en-US" w:eastAsia="zh-CN"/>
        </w:rPr>
        <w:t>，投标人应分包制作及递交投标文件</w:t>
      </w:r>
      <w:r>
        <w:rPr>
          <w:rFonts w:hint="eastAsia" w:ascii="宋体" w:hAnsi="宋体" w:cs="宋体"/>
          <w:b/>
          <w:bCs/>
          <w:color w:val="auto"/>
          <w:sz w:val="24"/>
          <w:highlight w:val="none"/>
          <w:lang w:val="en-US" w:eastAsia="zh-CN"/>
        </w:rPr>
        <w:t>；投标人可同时中多个（2个）包件。</w:t>
      </w:r>
    </w:p>
    <w:p w14:paraId="70EC5B7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③投标人对包件内所有采购内容进行整体投标并作出完整唯一的投标报价，不得出现缺项、漏项或无报价情况，设备的投标报价单价和合价均不得超过采购预算单价和合价，否则按无效标书处理。</w:t>
      </w:r>
    </w:p>
    <w:p w14:paraId="18866967">
      <w:pPr>
        <w:keepNext w:val="0"/>
        <w:keepLines w:val="0"/>
        <w:pageBreakBefore w:val="0"/>
        <w:widowControl w:val="0"/>
        <w:tabs>
          <w:tab w:val="left" w:pos="42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6.交货期：</w:t>
      </w:r>
      <w:r>
        <w:rPr>
          <w:rFonts w:hint="eastAsia" w:ascii="宋体" w:hAnsi="宋体" w:cs="宋体"/>
          <w:color w:val="auto"/>
          <w:sz w:val="24"/>
          <w:highlight w:val="none"/>
          <w:lang w:val="en-US" w:eastAsia="zh-CN"/>
        </w:rPr>
        <w:t>签订合同后45日历天内完成安装、调试、验收合格并交付使用</w:t>
      </w:r>
      <w:r>
        <w:rPr>
          <w:rFonts w:hint="eastAsia" w:ascii="宋体" w:hAnsi="宋体" w:eastAsia="宋体" w:cs="宋体"/>
          <w:color w:val="auto"/>
          <w:sz w:val="24"/>
          <w:highlight w:val="none"/>
          <w:lang w:val="en-US" w:eastAsia="zh-CN"/>
        </w:rPr>
        <w:t>。</w:t>
      </w:r>
    </w:p>
    <w:p w14:paraId="180F0369">
      <w:pPr>
        <w:keepNext w:val="0"/>
        <w:keepLines w:val="0"/>
        <w:pageBreakBefore w:val="0"/>
        <w:widowControl w:val="0"/>
        <w:tabs>
          <w:tab w:val="left" w:pos="42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7.交货地点：</w:t>
      </w:r>
      <w:r>
        <w:rPr>
          <w:rFonts w:hint="eastAsia" w:ascii="宋体" w:hAnsi="宋体" w:cs="宋体"/>
          <w:color w:val="auto"/>
          <w:sz w:val="24"/>
          <w:highlight w:val="none"/>
          <w:lang w:val="en-US" w:eastAsia="zh-CN"/>
        </w:rPr>
        <w:t>采购人指定地点（涉及红塔站、江川站、澄江站、通海站、华宁站、峨山站）</w:t>
      </w:r>
      <w:r>
        <w:rPr>
          <w:rFonts w:hint="eastAsia" w:ascii="宋体" w:hAnsi="宋体" w:eastAsia="宋体" w:cs="宋体"/>
          <w:color w:val="auto"/>
          <w:sz w:val="24"/>
          <w:highlight w:val="none"/>
          <w:lang w:val="en-US" w:eastAsia="zh-CN"/>
        </w:rPr>
        <w:t>。</w:t>
      </w:r>
    </w:p>
    <w:p w14:paraId="2577E50B">
      <w:pPr>
        <w:keepNext w:val="0"/>
        <w:keepLines w:val="0"/>
        <w:pageBreakBefore w:val="0"/>
        <w:widowControl w:val="0"/>
        <w:tabs>
          <w:tab w:val="left" w:pos="42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8.质量标准：符合国家及地方现行的相关标准及法规政策，满足采购人验收要求</w:t>
      </w:r>
      <w:r>
        <w:rPr>
          <w:rFonts w:hint="eastAsia" w:ascii="宋体" w:hAnsi="宋体" w:eastAsia="宋体" w:cs="宋体"/>
          <w:color w:val="auto"/>
          <w:sz w:val="24"/>
          <w:highlight w:val="none"/>
        </w:rPr>
        <w:t>。</w:t>
      </w:r>
    </w:p>
    <w:p w14:paraId="2BE1340E">
      <w:pPr>
        <w:keepNext w:val="0"/>
        <w:keepLines w:val="0"/>
        <w:pageBreakBefore w:val="0"/>
        <w:widowControl w:val="0"/>
        <w:tabs>
          <w:tab w:val="left" w:pos="42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.资格审查方式：资格后审。</w:t>
      </w:r>
    </w:p>
    <w:p w14:paraId="7335A9FB">
      <w:pPr>
        <w:keepNext w:val="0"/>
        <w:keepLines w:val="0"/>
        <w:pageBreakBefore w:val="0"/>
        <w:widowControl w:val="0"/>
        <w:tabs>
          <w:tab w:val="left" w:pos="42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highlight w:val="none"/>
          <w:lang w:val="en-US" w:eastAsia="zh-CN"/>
        </w:rPr>
      </w:pPr>
      <w:bookmarkStart w:id="17" w:name="_Toc25295"/>
      <w:bookmarkStart w:id="18" w:name="_Toc23927"/>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.本项目</w:t>
      </w:r>
      <w:r>
        <w:rPr>
          <w:rFonts w:hint="eastAsia" w:ascii="宋体" w:hAnsi="宋体" w:eastAsia="宋体" w:cs="宋体"/>
          <w:b/>
          <w:bCs/>
          <w:color w:val="auto"/>
          <w:sz w:val="24"/>
          <w:highlight w:val="none"/>
        </w:rPr>
        <w:t>不接受</w:t>
      </w:r>
      <w:r>
        <w:rPr>
          <w:rFonts w:hint="eastAsia" w:ascii="宋体" w:hAnsi="宋体" w:eastAsia="宋体" w:cs="宋体"/>
          <w:color w:val="auto"/>
          <w:sz w:val="24"/>
          <w:highlight w:val="none"/>
        </w:rPr>
        <w:t>联合体投标。</w:t>
      </w:r>
      <w:bookmarkEnd w:id="17"/>
      <w:bookmarkEnd w:id="18"/>
      <w:r>
        <w:rPr>
          <w:rFonts w:hint="eastAsia" w:ascii="宋体" w:hAnsi="宋体" w:eastAsia="宋体" w:cs="宋体"/>
          <w:color w:val="auto"/>
          <w:sz w:val="24"/>
          <w:highlight w:val="none"/>
          <w:lang w:val="en-US" w:eastAsia="zh-CN"/>
        </w:rPr>
        <w:t xml:space="preserve"> </w:t>
      </w:r>
    </w:p>
    <w:p w14:paraId="59DF6B9E">
      <w:pPr>
        <w:keepNext w:val="0"/>
        <w:keepLines w:val="0"/>
        <w:pageBreakBefore w:val="0"/>
        <w:kinsoku/>
        <w:wordWrap/>
        <w:overflowPunct/>
        <w:topLinePunct w:val="0"/>
        <w:bidi w:val="0"/>
        <w:spacing w:line="360" w:lineRule="auto"/>
        <w:rPr>
          <w:rFonts w:hint="eastAsia" w:ascii="宋体" w:hAnsi="宋体" w:eastAsia="宋体" w:cs="宋体"/>
          <w:b/>
          <w:bCs/>
          <w:color w:val="auto"/>
          <w:sz w:val="24"/>
          <w:highlight w:val="none"/>
        </w:rPr>
      </w:pPr>
      <w:bookmarkStart w:id="19" w:name="_Toc28359013"/>
      <w:bookmarkStart w:id="20" w:name="_Toc28359090"/>
      <w:bookmarkStart w:id="21" w:name="_Toc35393630"/>
      <w:bookmarkStart w:id="22" w:name="_Toc35393799"/>
      <w:bookmarkStart w:id="23" w:name="_Toc28359004"/>
      <w:bookmarkStart w:id="24" w:name="_Toc28359081"/>
      <w:r>
        <w:rPr>
          <w:rFonts w:hint="eastAsia" w:ascii="宋体" w:hAnsi="宋体" w:eastAsia="宋体" w:cs="宋体"/>
          <w:b/>
          <w:bCs/>
          <w:sz w:val="24"/>
          <w:szCs w:val="24"/>
        </w:rPr>
        <w:t>二、</w:t>
      </w:r>
      <w:r>
        <w:rPr>
          <w:rFonts w:hint="eastAsia" w:ascii="宋体" w:hAnsi="宋体" w:eastAsia="宋体" w:cs="宋体"/>
          <w:b/>
          <w:bCs/>
          <w:sz w:val="24"/>
          <w:szCs w:val="24"/>
          <w:lang w:val="en-US" w:eastAsia="zh-CN"/>
        </w:rPr>
        <w:t>投标人</w:t>
      </w:r>
      <w:r>
        <w:rPr>
          <w:rFonts w:hint="eastAsia" w:ascii="宋体" w:hAnsi="宋体" w:eastAsia="宋体" w:cs="宋体"/>
          <w:b/>
          <w:bCs/>
          <w:sz w:val="24"/>
          <w:szCs w:val="24"/>
        </w:rPr>
        <w:t>的资格要求：</w:t>
      </w:r>
      <w:bookmarkEnd w:id="19"/>
      <w:bookmarkEnd w:id="20"/>
      <w:bookmarkEnd w:id="21"/>
      <w:bookmarkEnd w:id="22"/>
    </w:p>
    <w:p w14:paraId="2BD03D39">
      <w:pPr>
        <w:keepLines w:val="0"/>
        <w:pageBreakBefore w:val="0"/>
        <w:kinsoku/>
        <w:wordWrap/>
        <w:overflowPunct/>
        <w:topLinePunct w:val="0"/>
        <w:autoSpaceDE/>
        <w:autoSpaceDN/>
        <w:bidi w:val="0"/>
        <w:snapToGrid/>
        <w:spacing w:line="360" w:lineRule="auto"/>
        <w:ind w:left="0" w:leftChars="0" w:right="0" w:righ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1.满足《中华人民共和国政府采购法》第二十二条规定：</w:t>
      </w:r>
    </w:p>
    <w:p w14:paraId="05CE6321">
      <w:pPr>
        <w:keepLines w:val="0"/>
        <w:pageBreakBefore w:val="0"/>
        <w:kinsoku/>
        <w:wordWrap/>
        <w:overflowPunct/>
        <w:topLinePunct w:val="0"/>
        <w:autoSpaceDE/>
        <w:autoSpaceDN/>
        <w:bidi w:val="0"/>
        <w:snapToGrid/>
        <w:spacing w:line="360" w:lineRule="auto"/>
        <w:ind w:left="0" w:leftChars="0" w:right="0" w:righ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1.1投标人自行承诺符合《中华人民共和国政府采购法》第二十二条规定及《中华人民共和国政府采购法实施条例》第十七条的相关要求。</w:t>
      </w:r>
    </w:p>
    <w:p w14:paraId="151E0E57">
      <w:pPr>
        <w:keepLines w:val="0"/>
        <w:pageBreakBefore w:val="0"/>
        <w:kinsoku/>
        <w:wordWrap/>
        <w:overflowPunct/>
        <w:topLinePunct w:val="0"/>
        <w:autoSpaceDE/>
        <w:autoSpaceDN/>
        <w:bidi w:val="0"/>
        <w:snapToGrid/>
        <w:spacing w:line="360" w:lineRule="auto"/>
        <w:ind w:left="0" w:leftChars="0" w:right="0" w:righ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2.落实政府采购政策需满足的资格要求：本项目</w:t>
      </w:r>
      <w:r>
        <w:rPr>
          <w:rFonts w:hint="eastAsia" w:ascii="宋体" w:hAnsi="宋体" w:eastAsia="宋体" w:cs="宋体"/>
          <w:b/>
          <w:bCs/>
          <w:color w:val="auto"/>
          <w:sz w:val="24"/>
          <w:highlight w:val="none"/>
          <w:u w:val="single"/>
        </w:rPr>
        <w:t>不专门</w:t>
      </w:r>
      <w:r>
        <w:rPr>
          <w:rFonts w:hint="eastAsia" w:ascii="宋体" w:hAnsi="宋体" w:eastAsia="宋体" w:cs="宋体"/>
          <w:color w:val="auto"/>
          <w:sz w:val="24"/>
          <w:highlight w:val="none"/>
          <w:u w:val="none"/>
        </w:rPr>
        <w:t>面向</w:t>
      </w:r>
      <w:r>
        <w:rPr>
          <w:rFonts w:hint="eastAsia" w:ascii="宋体" w:hAnsi="宋体" w:eastAsia="宋体" w:cs="宋体"/>
          <w:color w:val="auto"/>
          <w:sz w:val="24"/>
          <w:highlight w:val="none"/>
        </w:rPr>
        <w:t>中小企业（注：监狱企业、残疾人福利性单位视同小型或微型企业）。</w:t>
      </w:r>
    </w:p>
    <w:p w14:paraId="3A342495">
      <w:pPr>
        <w:keepLines w:val="0"/>
        <w:pageBreakBefore w:val="0"/>
        <w:kinsoku/>
        <w:wordWrap/>
        <w:overflowPunct/>
        <w:topLinePunct w:val="0"/>
        <w:autoSpaceDE/>
        <w:autoSpaceDN/>
        <w:bidi w:val="0"/>
        <w:snapToGrid/>
        <w:spacing w:line="360" w:lineRule="auto"/>
        <w:ind w:left="0" w:leftChars="0" w:right="0" w:righ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3.本项目的特定资格要求：</w:t>
      </w:r>
    </w:p>
    <w:p w14:paraId="303F0BC4">
      <w:pPr>
        <w:keepLines w:val="0"/>
        <w:pageBreakBefore w:val="0"/>
        <w:kinsoku/>
        <w:wordWrap/>
        <w:overflowPunct/>
        <w:topLinePunct w:val="0"/>
        <w:autoSpaceDE/>
        <w:autoSpaceDN/>
        <w:bidi w:val="0"/>
        <w:snapToGrid/>
        <w:spacing w:line="360" w:lineRule="auto"/>
        <w:ind w:left="0" w:leftChars="0" w:right="0" w:rightChars="0" w:firstLine="480" w:firstLineChars="200"/>
        <w:rPr>
          <w:rFonts w:hint="eastAsia" w:ascii="宋体" w:hAnsi="宋体" w:eastAsia="宋体" w:cs="宋体"/>
          <w:bCs/>
          <w:color w:val="auto"/>
          <w:kern w:val="0"/>
          <w:sz w:val="24"/>
          <w:highlight w:val="none"/>
        </w:rPr>
      </w:pPr>
      <w:r>
        <w:rPr>
          <w:rFonts w:hint="eastAsia" w:ascii="宋体" w:hAnsi="宋体" w:eastAsia="宋体" w:cs="宋体"/>
          <w:color w:val="auto"/>
          <w:sz w:val="24"/>
          <w:highlight w:val="none"/>
        </w:rPr>
        <w:t>3.1投标人在中国境内注册登记具有独立承担民事责任的能力，提供有效的营业执照或者其他主体资格证明文件；投标人为</w:t>
      </w:r>
      <w:r>
        <w:rPr>
          <w:rFonts w:hint="eastAsia" w:ascii="宋体" w:hAnsi="宋体" w:eastAsia="宋体" w:cs="宋体"/>
          <w:bCs/>
          <w:color w:val="auto"/>
          <w:kern w:val="0"/>
          <w:sz w:val="24"/>
          <w:highlight w:val="none"/>
        </w:rPr>
        <w:t>自然人的提供身份证明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适用于自然人参加投标情形）</w:t>
      </w:r>
      <w:r>
        <w:rPr>
          <w:rFonts w:hint="eastAsia" w:ascii="宋体" w:hAnsi="宋体" w:eastAsia="宋体" w:cs="宋体"/>
          <w:bCs/>
          <w:color w:val="auto"/>
          <w:kern w:val="0"/>
          <w:sz w:val="24"/>
          <w:highlight w:val="none"/>
        </w:rPr>
        <w:t>。</w:t>
      </w:r>
    </w:p>
    <w:p w14:paraId="104FE2DE">
      <w:pPr>
        <w:keepLines w:val="0"/>
        <w:pageBreakBefore w:val="0"/>
        <w:kinsoku/>
        <w:wordWrap/>
        <w:overflowPunct/>
        <w:topLinePunct w:val="0"/>
        <w:autoSpaceDE/>
        <w:autoSpaceDN/>
        <w:bidi w:val="0"/>
        <w:snapToGrid/>
        <w:spacing w:line="360" w:lineRule="auto"/>
        <w:ind w:left="0" w:leftChars="0" w:right="0" w:rightChars="0" w:firstLine="480" w:firstLineChars="200"/>
        <w:rPr>
          <w:rFonts w:hint="eastAsia" w:ascii="宋体" w:hAnsi="宋体" w:eastAsia="宋体" w:cs="宋体"/>
          <w:bCs/>
          <w:color w:val="auto"/>
          <w:sz w:val="24"/>
          <w:szCs w:val="24"/>
          <w:highlight w:val="none"/>
        </w:rPr>
      </w:pPr>
      <w:r>
        <w:rPr>
          <w:rFonts w:hint="eastAsia" w:ascii="宋体" w:hAnsi="宋体" w:cs="宋体"/>
          <w:color w:val="auto"/>
          <w:sz w:val="24"/>
          <w:highlight w:val="none"/>
          <w:lang w:val="en-US" w:eastAsia="zh-CN"/>
        </w:rPr>
        <w:t>3.2</w:t>
      </w:r>
      <w:r>
        <w:rPr>
          <w:rFonts w:hint="eastAsia" w:ascii="宋体" w:hAnsi="宋体" w:eastAsia="宋体" w:cs="宋体"/>
          <w:color w:val="auto"/>
          <w:sz w:val="24"/>
          <w:highlight w:val="none"/>
        </w:rPr>
        <w:t>在投标文件递交截止时间前投标人在“信用中国”网站(www.creditchina.gov.cn)中未被列入：失信被执行人、重大税收违法失信主体、政府采购严重违法失信行为记录名单；在“中国政府采购网”(www.ccgp.gov.cn)中未被列入：政府采购严重违法失信行为记录名单。</w:t>
      </w:r>
      <w:r>
        <w:rPr>
          <w:rFonts w:hint="eastAsia" w:ascii="宋体" w:hAnsi="宋体" w:eastAsia="宋体" w:cs="宋体"/>
          <w:b/>
          <w:bCs/>
          <w:color w:val="auto"/>
          <w:sz w:val="24"/>
          <w:highlight w:val="none"/>
        </w:rPr>
        <w:t>（由采购人或采购代理机构在评标前进行查询，查询记录为上述网站查询结果的网页截图或网页打印稿）</w:t>
      </w:r>
      <w:r>
        <w:rPr>
          <w:rFonts w:hint="eastAsia" w:ascii="宋体" w:hAnsi="宋体" w:eastAsia="宋体" w:cs="宋体"/>
          <w:color w:val="auto"/>
          <w:sz w:val="24"/>
          <w:highlight w:val="none"/>
        </w:rPr>
        <w:t>。</w:t>
      </w:r>
      <w:bookmarkEnd w:id="23"/>
      <w:bookmarkEnd w:id="24"/>
      <w:bookmarkStart w:id="25" w:name="_Toc14958"/>
      <w:bookmarkStart w:id="26" w:name="_Toc35393792"/>
      <w:bookmarkStart w:id="27" w:name="_Toc35393623"/>
      <w:bookmarkStart w:id="28" w:name="_Toc35393624"/>
      <w:bookmarkStart w:id="29" w:name="_Toc28359005"/>
      <w:bookmarkStart w:id="30" w:name="_Toc35393793"/>
      <w:bookmarkStart w:id="31" w:name="_Toc28359082"/>
      <w:r>
        <w:rPr>
          <w:rFonts w:hint="eastAsia" w:ascii="宋体" w:hAnsi="宋体" w:eastAsia="宋体" w:cs="宋体"/>
          <w:bCs/>
          <w:color w:val="auto"/>
          <w:sz w:val="24"/>
          <w:szCs w:val="24"/>
          <w:highlight w:val="none"/>
        </w:rPr>
        <w:t>三、获取招标文件</w:t>
      </w:r>
      <w:bookmarkEnd w:id="25"/>
      <w:bookmarkEnd w:id="26"/>
      <w:bookmarkEnd w:id="27"/>
    </w:p>
    <w:p w14:paraId="339F81D1">
      <w:pPr>
        <w:keepLines w:val="0"/>
        <w:pageBreakBefore w:val="0"/>
        <w:kinsoku/>
        <w:wordWrap/>
        <w:overflowPunct/>
        <w:topLinePunct w:val="0"/>
        <w:autoSpaceDE/>
        <w:autoSpaceDN/>
        <w:bidi w:val="0"/>
        <w:snapToGrid/>
        <w:spacing w:line="360" w:lineRule="auto"/>
        <w:ind w:left="0" w:leftChars="0" w:right="0" w:righ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1.时间：</w:t>
      </w:r>
      <w:r>
        <w:rPr>
          <w:rFonts w:hint="eastAsia" w:ascii="宋体" w:hAnsi="宋体" w:eastAsia="宋体" w:cs="宋体"/>
          <w:color w:val="auto"/>
          <w:sz w:val="24"/>
          <w:highlight w:val="none"/>
          <w:u w:val="single"/>
          <w:lang w:val="en-US" w:eastAsia="zh-CN"/>
        </w:rPr>
        <w:t>202</w:t>
      </w:r>
      <w:r>
        <w:rPr>
          <w:rFonts w:hint="eastAsia" w:ascii="宋体" w:hAnsi="宋体" w:cs="宋体"/>
          <w:color w:val="auto"/>
          <w:sz w:val="24"/>
          <w:highlight w:val="none"/>
          <w:u w:val="single"/>
          <w:lang w:val="en-US" w:eastAsia="zh-CN"/>
        </w:rPr>
        <w:t>6</w:t>
      </w:r>
      <w:r>
        <w:rPr>
          <w:rFonts w:hint="eastAsia" w:ascii="宋体" w:hAnsi="宋体" w:eastAsia="宋体" w:cs="宋体"/>
          <w:color w:val="auto"/>
          <w:sz w:val="24"/>
          <w:highlight w:val="none"/>
          <w:u w:val="single"/>
          <w:lang w:val="en-US" w:eastAsia="zh-CN"/>
        </w:rPr>
        <w:t>年</w:t>
      </w:r>
      <w:r>
        <w:rPr>
          <w:rFonts w:hint="eastAsia" w:ascii="宋体" w:hAnsi="宋体" w:cs="宋体"/>
          <w:color w:val="auto"/>
          <w:sz w:val="24"/>
          <w:highlight w:val="none"/>
          <w:u w:val="single"/>
          <w:lang w:val="en-US" w:eastAsia="zh-CN"/>
        </w:rPr>
        <w:t>05</w:t>
      </w:r>
      <w:r>
        <w:rPr>
          <w:rFonts w:hint="eastAsia" w:ascii="宋体" w:hAnsi="宋体" w:eastAsia="宋体" w:cs="宋体"/>
          <w:color w:val="auto"/>
          <w:sz w:val="24"/>
          <w:highlight w:val="none"/>
          <w:u w:val="single"/>
          <w:lang w:val="en-US" w:eastAsia="zh-CN"/>
        </w:rPr>
        <w:t>月</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日</w:t>
      </w:r>
      <w:r>
        <w:rPr>
          <w:rFonts w:hint="eastAsia" w:ascii="宋体" w:hAnsi="宋体" w:eastAsia="宋体" w:cs="宋体"/>
          <w:color w:val="auto"/>
          <w:sz w:val="24"/>
          <w:highlight w:val="none"/>
        </w:rPr>
        <w:t>至</w:t>
      </w:r>
      <w:r>
        <w:rPr>
          <w:rFonts w:hint="eastAsia" w:ascii="宋体" w:hAnsi="宋体" w:eastAsia="宋体" w:cs="宋体"/>
          <w:color w:val="auto"/>
          <w:sz w:val="24"/>
          <w:highlight w:val="none"/>
          <w:u w:val="single"/>
          <w:lang w:val="en-US" w:eastAsia="zh-CN"/>
        </w:rPr>
        <w:t>20</w:t>
      </w:r>
      <w:r>
        <w:rPr>
          <w:rFonts w:hint="eastAsia" w:ascii="宋体" w:hAnsi="宋体" w:cs="宋体"/>
          <w:color w:val="auto"/>
          <w:sz w:val="24"/>
          <w:highlight w:val="none"/>
          <w:u w:val="single"/>
          <w:lang w:val="en-US" w:eastAsia="zh-CN"/>
        </w:rPr>
        <w:t>26</w:t>
      </w:r>
      <w:r>
        <w:rPr>
          <w:rFonts w:hint="eastAsia" w:ascii="宋体" w:hAnsi="宋体" w:eastAsia="宋体" w:cs="宋体"/>
          <w:color w:val="auto"/>
          <w:sz w:val="24"/>
          <w:highlight w:val="none"/>
          <w:u w:val="single"/>
          <w:lang w:val="en-US" w:eastAsia="zh-CN"/>
        </w:rPr>
        <w:t>年</w:t>
      </w:r>
      <w:r>
        <w:rPr>
          <w:rFonts w:hint="eastAsia" w:ascii="宋体" w:hAnsi="宋体" w:cs="宋体"/>
          <w:color w:val="auto"/>
          <w:sz w:val="24"/>
          <w:highlight w:val="none"/>
          <w:u w:val="single"/>
          <w:lang w:val="en-US" w:eastAsia="zh-CN"/>
        </w:rPr>
        <w:t>05</w:t>
      </w:r>
      <w:r>
        <w:rPr>
          <w:rFonts w:hint="eastAsia" w:ascii="宋体" w:hAnsi="宋体" w:eastAsia="宋体" w:cs="宋体"/>
          <w:color w:val="auto"/>
          <w:sz w:val="24"/>
          <w:highlight w:val="none"/>
          <w:u w:val="single"/>
          <w:lang w:val="en-US" w:eastAsia="zh-CN"/>
        </w:rPr>
        <w:t>月</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日23时59分</w:t>
      </w:r>
      <w:r>
        <w:rPr>
          <w:rFonts w:hint="eastAsia" w:ascii="宋体" w:hAnsi="宋体" w:eastAsia="宋体" w:cs="宋体"/>
          <w:color w:val="auto"/>
          <w:sz w:val="24"/>
          <w:highlight w:val="none"/>
        </w:rPr>
        <w:t>（北京时间）。</w:t>
      </w:r>
    </w:p>
    <w:p w14:paraId="320CB107">
      <w:pPr>
        <w:keepLines w:val="0"/>
        <w:pageBreakBefore w:val="0"/>
        <w:kinsoku/>
        <w:wordWrap/>
        <w:overflowPunct/>
        <w:topLinePunct w:val="0"/>
        <w:autoSpaceDE/>
        <w:autoSpaceDN/>
        <w:bidi w:val="0"/>
        <w:snapToGrid/>
        <w:spacing w:line="360" w:lineRule="auto"/>
        <w:ind w:left="0" w:leftChars="0" w:right="0" w:righ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2.地址：</w:t>
      </w:r>
      <w:r>
        <w:rPr>
          <w:rFonts w:hint="eastAsia" w:ascii="宋体" w:hAnsi="宋体" w:eastAsia="宋体" w:cs="宋体"/>
          <w:sz w:val="24"/>
          <w:highlight w:val="none"/>
        </w:rPr>
        <w:t>政采云平台线上获取（https://www.zcygov.cn/）</w:t>
      </w:r>
      <w:r>
        <w:rPr>
          <w:rFonts w:hint="eastAsia" w:ascii="宋体" w:hAnsi="宋体" w:eastAsia="宋体" w:cs="宋体"/>
          <w:color w:val="auto"/>
          <w:sz w:val="24"/>
          <w:highlight w:val="none"/>
        </w:rPr>
        <w:t>。</w:t>
      </w:r>
    </w:p>
    <w:p w14:paraId="7D24D0AF">
      <w:pPr>
        <w:pageBreakBefore w:val="0"/>
        <w:kinsoku/>
        <w:overflowPunct/>
        <w:bidi w:val="0"/>
        <w:spacing w:after="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3.方式：</w:t>
      </w:r>
      <w:r>
        <w:rPr>
          <w:rFonts w:hint="eastAsia" w:ascii="宋体" w:hAnsi="宋体" w:eastAsia="宋体" w:cs="宋体"/>
          <w:color w:val="auto"/>
          <w:sz w:val="24"/>
          <w:highlight w:val="none"/>
          <w:lang w:val="en-US" w:eastAsia="zh-CN"/>
        </w:rPr>
        <w:t>①</w:t>
      </w:r>
      <w:r>
        <w:rPr>
          <w:rFonts w:hint="eastAsia" w:ascii="宋体" w:hAnsi="宋体" w:eastAsia="宋体" w:cs="宋体"/>
          <w:color w:val="auto"/>
          <w:sz w:val="24"/>
          <w:highlight w:val="none"/>
        </w:rPr>
        <w:t>凡有意参加投标者，须在政采云平台办理数字证书（CA），并在政采云绑定数字证书（CA）后线上获取采购文件及其它采购资料。CA申领链接：https://middle.zcygov.cn/ca/apply/list?_app_=zcy.sys，CA申领后需登陆政采云平台完成数字证书（CA）绑定才可以使用，数字证书（CA）详见其办理流程。</w:t>
      </w:r>
    </w:p>
    <w:p w14:paraId="24CD4554">
      <w:pPr>
        <w:pageBreakBefore w:val="0"/>
        <w:kinsoku/>
        <w:overflowPunct/>
        <w:bidi w:val="0"/>
        <w:spacing w:after="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②</w:t>
      </w:r>
      <w:r>
        <w:rPr>
          <w:rFonts w:hint="eastAsia" w:ascii="宋体" w:hAnsi="宋体" w:eastAsia="宋体" w:cs="宋体"/>
          <w:color w:val="auto"/>
          <w:sz w:val="24"/>
          <w:highlight w:val="none"/>
        </w:rPr>
        <w:t>按上述要求获取</w:t>
      </w:r>
      <w:r>
        <w:rPr>
          <w:rFonts w:hint="eastAsia" w:ascii="宋体" w:hAnsi="宋体" w:eastAsia="宋体" w:cs="宋体"/>
          <w:color w:val="auto"/>
          <w:sz w:val="24"/>
          <w:highlight w:val="none"/>
          <w:lang w:val="en-US" w:eastAsia="zh-CN"/>
        </w:rPr>
        <w:t>招标</w:t>
      </w:r>
      <w:r>
        <w:rPr>
          <w:rFonts w:hint="eastAsia" w:ascii="宋体" w:hAnsi="宋体" w:eastAsia="宋体" w:cs="宋体"/>
          <w:color w:val="auto"/>
          <w:sz w:val="24"/>
          <w:highlight w:val="none"/>
        </w:rPr>
        <w:t>文件的</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视为合法获取了本项目</w:t>
      </w:r>
      <w:r>
        <w:rPr>
          <w:rFonts w:hint="eastAsia" w:ascii="宋体" w:hAnsi="宋体" w:eastAsia="宋体" w:cs="宋体"/>
          <w:color w:val="auto"/>
          <w:sz w:val="24"/>
          <w:highlight w:val="none"/>
          <w:lang w:val="en-US" w:eastAsia="zh-CN"/>
        </w:rPr>
        <w:t>招标</w:t>
      </w:r>
      <w:r>
        <w:rPr>
          <w:rFonts w:hint="eastAsia" w:ascii="宋体" w:hAnsi="宋体" w:eastAsia="宋体" w:cs="宋体"/>
          <w:color w:val="auto"/>
          <w:sz w:val="24"/>
          <w:highlight w:val="none"/>
        </w:rPr>
        <w:t>文件，具备本项目的投标资格。</w:t>
      </w:r>
    </w:p>
    <w:p w14:paraId="4F0DB19E">
      <w:pPr>
        <w:pageBreakBefore w:val="0"/>
        <w:kinsoku/>
        <w:overflowPunct/>
        <w:bidi w:val="0"/>
        <w:spacing w:after="0"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注：各投标人应在开标前注册成为政采云平台供应商，并完成CA数字证书申领。政采云平台支持多家CA服务商（投标人请根据项目所在省份选择CA），由投标人自行选择。投标人已在政府采购电子交易平台、公共资源交易平台办理的CA可直接使用（2022年1月1日前办理的云南CA需到云南CA办理窗口进行升级），无需重复办理。未完成注册和未办理CA数字证书等原因造成无法投标或投标失败等由投标人自行承担，如有问题可拨打政采云客户服务热线95763咨询（紧急办理可拨：19988166369）。</w:t>
      </w:r>
    </w:p>
    <w:p w14:paraId="0FB8ECB3">
      <w:pPr>
        <w:pStyle w:val="10"/>
        <w:keepLines w:val="0"/>
        <w:pageBreakBefore w:val="0"/>
        <w:kinsoku/>
        <w:wordWrap/>
        <w:overflowPunct/>
        <w:topLinePunct w:val="0"/>
        <w:autoSpaceDE/>
        <w:autoSpaceDN/>
        <w:bidi w:val="0"/>
        <w:snapToGrid/>
        <w:spacing w:line="360" w:lineRule="auto"/>
        <w:ind w:left="0" w:leftChars="0" w:right="0" w:rightChars="0" w:firstLine="48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w:t>
      </w:r>
      <w:r>
        <w:rPr>
          <w:rFonts w:hint="eastAsia" w:ascii="宋体" w:hAnsi="宋体" w:eastAsia="宋体" w:cs="宋体"/>
          <w:b w:val="0"/>
          <w:bCs w:val="0"/>
          <w:color w:val="auto"/>
          <w:spacing w:val="0"/>
          <w:sz w:val="24"/>
          <w:szCs w:val="24"/>
          <w:highlight w:val="none"/>
        </w:rPr>
        <w:t xml:space="preserve"> 本项目</w:t>
      </w:r>
      <w:r>
        <w:rPr>
          <w:rFonts w:hint="eastAsia" w:ascii="宋体" w:hAnsi="宋体" w:eastAsia="宋体" w:cs="宋体"/>
          <w:b w:val="0"/>
          <w:bCs w:val="0"/>
          <w:color w:val="auto"/>
          <w:spacing w:val="0"/>
          <w:sz w:val="24"/>
          <w:szCs w:val="24"/>
          <w:highlight w:val="none"/>
          <w:lang w:val="en-US" w:eastAsia="zh-CN"/>
        </w:rPr>
        <w:t>免费获取</w:t>
      </w:r>
      <w:r>
        <w:rPr>
          <w:rFonts w:hint="eastAsia" w:ascii="宋体" w:hAnsi="宋体" w:eastAsia="宋体" w:cs="宋体"/>
          <w:b w:val="0"/>
          <w:bCs w:val="0"/>
          <w:color w:val="auto"/>
          <w:spacing w:val="0"/>
          <w:sz w:val="24"/>
          <w:szCs w:val="24"/>
          <w:highlight w:val="none"/>
        </w:rPr>
        <w:t>招标文件。</w:t>
      </w:r>
    </w:p>
    <w:bookmarkEnd w:id="28"/>
    <w:bookmarkEnd w:id="29"/>
    <w:bookmarkEnd w:id="30"/>
    <w:bookmarkEnd w:id="31"/>
    <w:p w14:paraId="4A94E175">
      <w:pPr>
        <w:pStyle w:val="3"/>
        <w:keepLines w:val="0"/>
        <w:pageBreakBefore w:val="0"/>
        <w:tabs>
          <w:tab w:val="clear" w:pos="1021"/>
        </w:tabs>
        <w:kinsoku/>
        <w:wordWrap/>
        <w:overflowPunct/>
        <w:topLinePunct w:val="0"/>
        <w:autoSpaceDE/>
        <w:autoSpaceDN/>
        <w:bidi w:val="0"/>
        <w:snapToGrid/>
        <w:spacing w:before="158" w:beforeLines="50" w:after="158" w:afterLines="50" w:line="360" w:lineRule="auto"/>
        <w:ind w:left="0" w:leftChars="0" w:right="0" w:rightChars="0" w:firstLine="0"/>
        <w:rPr>
          <w:rFonts w:hint="eastAsia" w:ascii="宋体" w:hAnsi="宋体" w:eastAsia="宋体" w:cs="宋体"/>
          <w:bCs/>
          <w:color w:val="auto"/>
          <w:sz w:val="24"/>
          <w:szCs w:val="24"/>
          <w:highlight w:val="none"/>
        </w:rPr>
      </w:pPr>
      <w:bookmarkStart w:id="32" w:name="_Toc21442"/>
      <w:bookmarkStart w:id="33" w:name="_Toc27489"/>
      <w:bookmarkStart w:id="34" w:name="_Toc21059"/>
      <w:bookmarkStart w:id="35" w:name="_Toc28044"/>
      <w:r>
        <w:rPr>
          <w:rFonts w:hint="eastAsia" w:ascii="宋体" w:hAnsi="宋体" w:eastAsia="宋体" w:cs="宋体"/>
          <w:bCs/>
          <w:color w:val="auto"/>
          <w:sz w:val="24"/>
          <w:szCs w:val="24"/>
          <w:highlight w:val="none"/>
        </w:rPr>
        <w:t>四、提交投标文件截止时间、开标时间和地点</w:t>
      </w:r>
      <w:bookmarkEnd w:id="32"/>
      <w:bookmarkEnd w:id="33"/>
      <w:bookmarkEnd w:id="34"/>
      <w:bookmarkEnd w:id="35"/>
    </w:p>
    <w:p w14:paraId="25F70E64">
      <w:pPr>
        <w:keepLines w:val="0"/>
        <w:pageBreakBefore w:val="0"/>
        <w:kinsoku/>
        <w:wordWrap/>
        <w:overflowPunct/>
        <w:topLinePunct w:val="0"/>
        <w:autoSpaceDE/>
        <w:autoSpaceDN/>
        <w:bidi w:val="0"/>
        <w:snapToGrid/>
        <w:spacing w:line="360" w:lineRule="auto"/>
        <w:ind w:left="0" w:leftChars="0" w:right="0" w:righ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1.提交投标文件截止时间、开标时间：</w:t>
      </w:r>
      <w:r>
        <w:rPr>
          <w:rFonts w:hint="eastAsia" w:ascii="宋体" w:hAnsi="宋体" w:eastAsia="宋体" w:cs="宋体"/>
          <w:color w:val="auto"/>
          <w:sz w:val="24"/>
          <w:highlight w:val="none"/>
          <w:u w:val="single"/>
          <w:lang w:val="en-US" w:eastAsia="zh-CN"/>
        </w:rPr>
        <w:t>202</w:t>
      </w:r>
      <w:r>
        <w:rPr>
          <w:rFonts w:hint="eastAsia" w:ascii="宋体" w:hAnsi="宋体" w:cs="宋体"/>
          <w:color w:val="auto"/>
          <w:sz w:val="24"/>
          <w:highlight w:val="none"/>
          <w:u w:val="single"/>
          <w:lang w:val="en-US" w:eastAsia="zh-CN"/>
        </w:rPr>
        <w:t>6</w:t>
      </w:r>
      <w:r>
        <w:rPr>
          <w:rFonts w:hint="eastAsia" w:ascii="宋体" w:hAnsi="宋体" w:eastAsia="宋体" w:cs="宋体"/>
          <w:color w:val="auto"/>
          <w:sz w:val="24"/>
          <w:highlight w:val="none"/>
          <w:u w:val="single"/>
          <w:lang w:val="en-US" w:eastAsia="zh-CN"/>
        </w:rPr>
        <w:t>年</w:t>
      </w:r>
      <w:r>
        <w:rPr>
          <w:rFonts w:hint="eastAsia" w:ascii="宋体" w:hAnsi="宋体" w:cs="宋体"/>
          <w:color w:val="auto"/>
          <w:sz w:val="24"/>
          <w:highlight w:val="none"/>
          <w:u w:val="single"/>
          <w:lang w:val="en-US" w:eastAsia="zh-CN"/>
        </w:rPr>
        <w:t>06</w:t>
      </w:r>
      <w:r>
        <w:rPr>
          <w:rFonts w:hint="eastAsia" w:ascii="宋体" w:hAnsi="宋体" w:eastAsia="宋体" w:cs="宋体"/>
          <w:color w:val="auto"/>
          <w:sz w:val="24"/>
          <w:highlight w:val="none"/>
          <w:u w:val="single"/>
          <w:lang w:val="en-US" w:eastAsia="zh-CN"/>
        </w:rPr>
        <w:t>月</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日</w:t>
      </w:r>
      <w:r>
        <w:rPr>
          <w:rFonts w:hint="eastAsia" w:ascii="宋体" w:hAnsi="宋体" w:eastAsia="宋体" w:cs="宋体"/>
          <w:color w:val="auto"/>
          <w:sz w:val="24"/>
          <w:highlight w:val="none"/>
          <w:u w:val="single"/>
        </w:rPr>
        <w:t>09时</w:t>
      </w:r>
      <w:r>
        <w:rPr>
          <w:rFonts w:hint="eastAsia" w:ascii="宋体" w:hAnsi="宋体" w:eastAsia="宋体" w:cs="宋体"/>
          <w:color w:val="auto"/>
          <w:sz w:val="24"/>
          <w:highlight w:val="none"/>
          <w:u w:val="single"/>
          <w:lang w:val="en-US" w:eastAsia="zh-CN"/>
        </w:rPr>
        <w:t>00</w:t>
      </w:r>
      <w:r>
        <w:rPr>
          <w:rFonts w:hint="eastAsia" w:ascii="宋体" w:hAnsi="宋体" w:eastAsia="宋体" w:cs="宋体"/>
          <w:color w:val="auto"/>
          <w:sz w:val="24"/>
          <w:highlight w:val="none"/>
          <w:u w:val="single"/>
        </w:rPr>
        <w:t>分（北京时间）。</w:t>
      </w:r>
    </w:p>
    <w:p w14:paraId="6B894995">
      <w:pPr>
        <w:keepLines w:val="0"/>
        <w:pageBreakBefore w:val="0"/>
        <w:kinsoku/>
        <w:wordWrap/>
        <w:overflowPunct/>
        <w:topLinePunct w:val="0"/>
        <w:autoSpaceDE/>
        <w:autoSpaceDN/>
        <w:bidi w:val="0"/>
        <w:snapToGrid/>
        <w:spacing w:line="360" w:lineRule="auto"/>
        <w:ind w:left="0" w:leftChars="0" w:right="0" w:rightChars="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2.地点：</w:t>
      </w:r>
      <w:r>
        <w:rPr>
          <w:rFonts w:hint="eastAsia" w:ascii="宋体" w:hAnsi="宋体" w:eastAsia="宋体" w:cs="宋体"/>
          <w:color w:val="auto"/>
          <w:sz w:val="24"/>
          <w:highlight w:val="none"/>
          <w:u w:val="single"/>
        </w:rPr>
        <w:t>政采云平台（http：//www.zcygov.cn）</w:t>
      </w:r>
    </w:p>
    <w:p w14:paraId="555D3F6E">
      <w:pPr>
        <w:keepLines w:val="0"/>
        <w:pageBreakBefore w:val="0"/>
        <w:kinsoku/>
        <w:wordWrap/>
        <w:overflowPunct/>
        <w:topLinePunct w:val="0"/>
        <w:autoSpaceDE/>
        <w:autoSpaceDN/>
        <w:bidi w:val="0"/>
        <w:snapToGrid/>
        <w:spacing w:line="360" w:lineRule="auto"/>
        <w:ind w:left="0" w:leftChars="0" w:right="0" w:rightChars="0"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 xml:space="preserve">  开标参与方式：本项目采用远程开标方式进行开标，投标人无需到达开标现场</w:t>
      </w:r>
      <w:r>
        <w:rPr>
          <w:rFonts w:hint="eastAsia" w:ascii="宋体" w:hAnsi="宋体" w:eastAsia="宋体" w:cs="宋体"/>
          <w:color w:val="auto"/>
          <w:kern w:val="0"/>
          <w:sz w:val="24"/>
          <w:highlight w:val="none"/>
        </w:rPr>
        <w:t>。</w:t>
      </w:r>
    </w:p>
    <w:p w14:paraId="53F0FBB5">
      <w:pPr>
        <w:pStyle w:val="3"/>
        <w:keepLines w:val="0"/>
        <w:pageBreakBefore w:val="0"/>
        <w:tabs>
          <w:tab w:val="clear" w:pos="1021"/>
        </w:tabs>
        <w:kinsoku/>
        <w:wordWrap/>
        <w:overflowPunct/>
        <w:topLinePunct w:val="0"/>
        <w:autoSpaceDE/>
        <w:autoSpaceDN/>
        <w:bidi w:val="0"/>
        <w:snapToGrid/>
        <w:spacing w:before="158" w:beforeLines="50" w:after="158" w:afterLines="50" w:line="360" w:lineRule="auto"/>
        <w:ind w:left="0" w:leftChars="0" w:right="0" w:rightChars="0" w:firstLine="0"/>
        <w:rPr>
          <w:rFonts w:hint="eastAsia" w:ascii="宋体" w:hAnsi="宋体" w:eastAsia="宋体" w:cs="宋体"/>
          <w:color w:val="auto"/>
          <w:sz w:val="24"/>
          <w:szCs w:val="24"/>
          <w:highlight w:val="none"/>
        </w:rPr>
      </w:pPr>
      <w:bookmarkStart w:id="36" w:name="_Toc28359007"/>
      <w:bookmarkStart w:id="37" w:name="_Toc35393625"/>
      <w:bookmarkStart w:id="38" w:name="_Toc35393794"/>
      <w:bookmarkStart w:id="39" w:name="_Toc28359084"/>
      <w:bookmarkStart w:id="40" w:name="_Toc20154"/>
      <w:bookmarkStart w:id="41" w:name="_Toc32131"/>
      <w:bookmarkStart w:id="42" w:name="_Toc23447"/>
      <w:bookmarkStart w:id="43" w:name="_Toc30446"/>
      <w:r>
        <w:rPr>
          <w:rFonts w:hint="eastAsia" w:ascii="宋体" w:hAnsi="宋体" w:eastAsia="宋体" w:cs="宋体"/>
          <w:bCs/>
          <w:color w:val="auto"/>
          <w:sz w:val="24"/>
          <w:szCs w:val="24"/>
          <w:highlight w:val="none"/>
        </w:rPr>
        <w:t>五、</w:t>
      </w:r>
      <w:bookmarkEnd w:id="36"/>
      <w:bookmarkEnd w:id="37"/>
      <w:bookmarkEnd w:id="38"/>
      <w:bookmarkEnd w:id="39"/>
      <w:r>
        <w:rPr>
          <w:rFonts w:hint="eastAsia" w:ascii="宋体" w:hAnsi="宋体" w:eastAsia="宋体" w:cs="宋体"/>
          <w:bCs/>
          <w:color w:val="auto"/>
          <w:sz w:val="24"/>
          <w:szCs w:val="24"/>
          <w:highlight w:val="none"/>
        </w:rPr>
        <w:t>公告期限</w:t>
      </w:r>
      <w:bookmarkEnd w:id="40"/>
      <w:bookmarkEnd w:id="41"/>
      <w:bookmarkEnd w:id="42"/>
      <w:bookmarkEnd w:id="43"/>
    </w:p>
    <w:p w14:paraId="1A697A90">
      <w:pPr>
        <w:keepLines w:val="0"/>
        <w:pageBreakBefore w:val="0"/>
        <w:kinsoku/>
        <w:wordWrap/>
        <w:overflowPunct/>
        <w:topLinePunct w:val="0"/>
        <w:autoSpaceDE/>
        <w:autoSpaceDN/>
        <w:bidi w:val="0"/>
        <w:snapToGrid/>
        <w:spacing w:line="360" w:lineRule="auto"/>
        <w:ind w:left="0" w:leftChars="0" w:right="0" w:rightChars="0"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本公告期限自本公告发布之日起</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个工作日。</w:t>
      </w:r>
    </w:p>
    <w:p w14:paraId="23A66714">
      <w:pPr>
        <w:pStyle w:val="3"/>
        <w:keepLines w:val="0"/>
        <w:pageBreakBefore w:val="0"/>
        <w:tabs>
          <w:tab w:val="clear" w:pos="1021"/>
        </w:tabs>
        <w:kinsoku/>
        <w:wordWrap/>
        <w:overflowPunct/>
        <w:topLinePunct w:val="0"/>
        <w:autoSpaceDE/>
        <w:autoSpaceDN/>
        <w:bidi w:val="0"/>
        <w:snapToGrid/>
        <w:spacing w:before="158" w:beforeLines="50" w:after="158" w:afterLines="50" w:line="360" w:lineRule="auto"/>
        <w:ind w:left="0" w:leftChars="0" w:right="0" w:rightChars="0" w:firstLine="0"/>
        <w:rPr>
          <w:rFonts w:hint="eastAsia" w:ascii="宋体" w:hAnsi="宋体" w:eastAsia="宋体" w:cs="宋体"/>
          <w:color w:val="auto"/>
          <w:kern w:val="0"/>
          <w:sz w:val="24"/>
          <w:highlight w:val="none"/>
        </w:rPr>
      </w:pPr>
      <w:bookmarkStart w:id="44" w:name="_Toc3507"/>
      <w:bookmarkStart w:id="45" w:name="_Toc29706"/>
      <w:bookmarkStart w:id="46" w:name="_Toc35393626"/>
      <w:bookmarkStart w:id="47" w:name="_Toc16520"/>
      <w:bookmarkStart w:id="48" w:name="_Toc35393795"/>
      <w:bookmarkStart w:id="49" w:name="_Toc29643"/>
      <w:r>
        <w:rPr>
          <w:rFonts w:hint="eastAsia" w:ascii="宋体" w:hAnsi="宋体" w:eastAsia="宋体" w:cs="宋体"/>
          <w:bCs/>
          <w:color w:val="auto"/>
          <w:sz w:val="24"/>
          <w:szCs w:val="24"/>
          <w:highlight w:val="none"/>
        </w:rPr>
        <w:t>六、其他补充事宜</w:t>
      </w:r>
      <w:bookmarkEnd w:id="44"/>
      <w:bookmarkEnd w:id="45"/>
      <w:bookmarkEnd w:id="46"/>
      <w:bookmarkEnd w:id="47"/>
      <w:bookmarkEnd w:id="48"/>
      <w:bookmarkEnd w:id="49"/>
    </w:p>
    <w:p w14:paraId="18F2419B">
      <w:pPr>
        <w:pageBreakBefore w:val="0"/>
        <w:kinsoku/>
        <w:overflowPunct/>
        <w:bidi w:val="0"/>
        <w:spacing w:line="360" w:lineRule="auto"/>
        <w:ind w:firstLine="480" w:firstLineChars="200"/>
        <w:rPr>
          <w:rFonts w:hint="eastAsia" w:ascii="宋体" w:hAnsi="宋体" w:eastAsia="宋体" w:cs="宋体"/>
          <w:bCs/>
          <w:color w:val="auto"/>
          <w:sz w:val="24"/>
          <w:szCs w:val="24"/>
          <w:highlight w:val="none"/>
          <w:u w:val="single"/>
          <w:shd w:val="clear" w:color="auto" w:fill="FFFFFF" w:themeFill="background1"/>
        </w:rPr>
      </w:pPr>
      <w:bookmarkStart w:id="50" w:name="_Hlk85029579"/>
      <w:r>
        <w:rPr>
          <w:rFonts w:hint="eastAsia" w:ascii="宋体" w:hAnsi="宋体" w:eastAsia="宋体" w:cs="宋体"/>
          <w:color w:val="auto"/>
          <w:sz w:val="24"/>
          <w:szCs w:val="24"/>
          <w:highlight w:val="none"/>
          <w:shd w:val="clear" w:color="auto" w:fill="FFFFFF" w:themeFill="background1"/>
        </w:rPr>
        <w:t>1.开标方式</w:t>
      </w:r>
      <w:bookmarkEnd w:id="50"/>
      <w:r>
        <w:rPr>
          <w:rFonts w:hint="eastAsia" w:ascii="宋体" w:hAnsi="宋体" w:eastAsia="宋体" w:cs="宋体"/>
          <w:color w:val="auto"/>
          <w:sz w:val="24"/>
          <w:szCs w:val="24"/>
          <w:highlight w:val="none"/>
          <w:shd w:val="clear" w:color="auto" w:fill="FFFFFF" w:themeFill="background1"/>
        </w:rPr>
        <w:t>：</w:t>
      </w:r>
      <w:r>
        <w:rPr>
          <w:rFonts w:hint="eastAsia" w:ascii="宋体" w:hAnsi="宋体" w:eastAsia="宋体" w:cs="宋体"/>
          <w:color w:val="auto"/>
          <w:sz w:val="24"/>
          <w:szCs w:val="24"/>
          <w:highlight w:val="none"/>
          <w:u w:val="single"/>
          <w:shd w:val="clear" w:color="auto" w:fill="FFFFFF" w:themeFill="background1"/>
        </w:rPr>
        <w:t>网上</w:t>
      </w:r>
      <w:r>
        <w:rPr>
          <w:rFonts w:hint="eastAsia" w:ascii="宋体" w:hAnsi="宋体" w:eastAsia="宋体" w:cs="宋体"/>
          <w:bCs/>
          <w:color w:val="auto"/>
          <w:sz w:val="24"/>
          <w:szCs w:val="24"/>
          <w:highlight w:val="none"/>
          <w:u w:val="single"/>
          <w:shd w:val="clear" w:color="auto" w:fill="FFFFFF" w:themeFill="background1"/>
        </w:rPr>
        <w:t>开标。</w:t>
      </w:r>
    </w:p>
    <w:p w14:paraId="20CB84F1">
      <w:pPr>
        <w:pageBreakBefore w:val="0"/>
        <w:kinsoku/>
        <w:overflowPunct/>
        <w:bidi w:val="0"/>
        <w:spacing w:line="360" w:lineRule="auto"/>
        <w:ind w:firstLine="480" w:firstLineChars="200"/>
        <w:rPr>
          <w:rFonts w:hint="eastAsia" w:ascii="宋体" w:hAnsi="宋体" w:eastAsia="宋体" w:cs="宋体"/>
          <w:color w:val="auto"/>
          <w:sz w:val="24"/>
          <w:szCs w:val="24"/>
          <w:highlight w:val="none"/>
          <w:shd w:val="clear" w:color="auto" w:fill="FFFFFF" w:themeFill="background1"/>
        </w:rPr>
      </w:pPr>
      <w:r>
        <w:rPr>
          <w:rFonts w:hint="eastAsia" w:ascii="宋体" w:hAnsi="宋体" w:eastAsia="宋体" w:cs="宋体"/>
          <w:color w:val="auto"/>
          <w:sz w:val="24"/>
          <w:szCs w:val="24"/>
          <w:highlight w:val="none"/>
          <w:shd w:val="clear" w:color="auto" w:fill="FFFFFF" w:themeFill="background1"/>
        </w:rPr>
        <w:t>2.投标有效期：</w:t>
      </w:r>
      <w:r>
        <w:rPr>
          <w:rFonts w:hint="eastAsia" w:ascii="宋体" w:hAnsi="宋体" w:eastAsia="宋体" w:cs="宋体"/>
          <w:color w:val="auto"/>
          <w:sz w:val="24"/>
          <w:szCs w:val="24"/>
          <w:highlight w:val="none"/>
          <w:u w:val="single"/>
          <w:shd w:val="clear" w:color="auto" w:fill="FFFFFF" w:themeFill="background1"/>
        </w:rPr>
        <w:t>90日历天。</w:t>
      </w:r>
    </w:p>
    <w:p w14:paraId="3AB7DCC8">
      <w:pPr>
        <w:pageBreakBefore w:val="0"/>
        <w:kinsoku/>
        <w:overflowPunct/>
        <w:bidi w:val="0"/>
        <w:spacing w:line="360" w:lineRule="auto"/>
        <w:ind w:firstLine="480" w:firstLineChars="200"/>
        <w:rPr>
          <w:rFonts w:hint="eastAsia" w:ascii="宋体" w:hAnsi="宋体" w:eastAsia="宋体" w:cs="宋体"/>
          <w:color w:val="auto"/>
          <w:sz w:val="24"/>
          <w:szCs w:val="24"/>
          <w:highlight w:val="none"/>
          <w:shd w:val="clear" w:color="auto" w:fill="FFFFFF" w:themeFill="background1"/>
        </w:rPr>
      </w:pPr>
      <w:r>
        <w:rPr>
          <w:rFonts w:hint="eastAsia" w:ascii="宋体" w:hAnsi="宋体" w:eastAsia="宋体" w:cs="宋体"/>
          <w:color w:val="auto"/>
          <w:sz w:val="24"/>
          <w:szCs w:val="24"/>
          <w:highlight w:val="none"/>
          <w:shd w:val="clear" w:color="auto" w:fill="FFFFFF" w:themeFill="background1"/>
        </w:rPr>
        <w:t>3.是否需要缴纳投标保证金：</w:t>
      </w:r>
      <w:r>
        <w:rPr>
          <w:rFonts w:hint="eastAsia" w:ascii="宋体" w:hAnsi="宋体" w:eastAsia="宋体" w:cs="宋体"/>
          <w:color w:val="auto"/>
          <w:sz w:val="24"/>
          <w:szCs w:val="24"/>
          <w:highlight w:val="none"/>
          <w:u w:val="single"/>
          <w:shd w:val="clear" w:color="auto" w:fill="FFFFFF" w:themeFill="background1"/>
        </w:rPr>
        <w:t>是。</w:t>
      </w:r>
    </w:p>
    <w:p w14:paraId="3A9DA638">
      <w:pPr>
        <w:pageBreakBefore w:val="0"/>
        <w:kinsoku/>
        <w:overflowPunct/>
        <w:bidi w:val="0"/>
        <w:spacing w:line="360" w:lineRule="auto"/>
        <w:ind w:firstLine="480" w:firstLineChars="200"/>
        <w:rPr>
          <w:rFonts w:hint="eastAsia" w:ascii="宋体" w:hAnsi="宋体" w:eastAsia="宋体" w:cs="宋体"/>
          <w:color w:val="auto"/>
          <w:sz w:val="24"/>
          <w:szCs w:val="24"/>
          <w:highlight w:val="none"/>
          <w:u w:val="single"/>
          <w:shd w:val="clear" w:color="auto" w:fill="FFFFFF" w:themeFill="background1"/>
        </w:rPr>
      </w:pPr>
      <w:r>
        <w:rPr>
          <w:rFonts w:hint="eastAsia" w:ascii="宋体" w:hAnsi="宋体" w:eastAsia="宋体" w:cs="宋体"/>
          <w:color w:val="auto"/>
          <w:sz w:val="24"/>
          <w:szCs w:val="24"/>
          <w:highlight w:val="none"/>
          <w:shd w:val="clear" w:color="auto" w:fill="FFFFFF" w:themeFill="background1"/>
        </w:rPr>
        <w:t>4.投标保证金缴纳金额：</w:t>
      </w:r>
      <w:r>
        <w:rPr>
          <w:rFonts w:hint="eastAsia" w:ascii="宋体" w:hAnsi="宋体" w:eastAsia="宋体" w:cs="宋体"/>
          <w:color w:val="auto"/>
          <w:sz w:val="24"/>
          <w:szCs w:val="24"/>
          <w:highlight w:val="none"/>
          <w:u w:val="single"/>
          <w:shd w:val="clear" w:color="auto" w:fill="FFFFFF" w:themeFill="background1"/>
        </w:rPr>
        <w:t>1包：¥</w:t>
      </w:r>
      <w:r>
        <w:rPr>
          <w:rFonts w:hint="eastAsia" w:ascii="宋体" w:hAnsi="宋体" w:eastAsia="宋体" w:cs="宋体"/>
          <w:color w:val="auto"/>
          <w:sz w:val="24"/>
          <w:szCs w:val="24"/>
          <w:highlight w:val="none"/>
          <w:u w:val="single"/>
          <w:shd w:val="clear" w:color="auto" w:fill="FFFFFF" w:themeFill="background1"/>
          <w:lang w:val="en-US" w:eastAsia="zh-CN"/>
        </w:rPr>
        <w:t>39000.00</w:t>
      </w:r>
      <w:r>
        <w:rPr>
          <w:rFonts w:hint="eastAsia" w:ascii="宋体" w:hAnsi="宋体" w:eastAsia="宋体" w:cs="宋体"/>
          <w:color w:val="auto"/>
          <w:sz w:val="24"/>
          <w:szCs w:val="24"/>
          <w:highlight w:val="none"/>
          <w:u w:val="single"/>
          <w:shd w:val="clear" w:color="auto" w:fill="FFFFFF" w:themeFill="background1"/>
        </w:rPr>
        <w:t>元，2包：¥</w:t>
      </w:r>
      <w:r>
        <w:rPr>
          <w:rFonts w:hint="eastAsia" w:ascii="宋体" w:hAnsi="宋体" w:eastAsia="宋体" w:cs="宋体"/>
          <w:color w:val="auto"/>
          <w:sz w:val="24"/>
          <w:szCs w:val="24"/>
          <w:highlight w:val="none"/>
          <w:u w:val="single"/>
          <w:shd w:val="clear" w:color="auto" w:fill="FFFFFF" w:themeFill="background1"/>
          <w:lang w:val="en-US" w:eastAsia="zh-CN"/>
        </w:rPr>
        <w:t>39000.00元</w:t>
      </w:r>
      <w:r>
        <w:rPr>
          <w:rFonts w:hint="eastAsia" w:ascii="宋体" w:hAnsi="宋体" w:eastAsia="宋体" w:cs="宋体"/>
          <w:color w:val="auto"/>
          <w:sz w:val="24"/>
          <w:szCs w:val="24"/>
          <w:highlight w:val="none"/>
          <w:u w:val="single"/>
          <w:shd w:val="clear" w:color="auto" w:fill="FFFFFF" w:themeFill="background1"/>
        </w:rPr>
        <w:t>。</w:t>
      </w:r>
    </w:p>
    <w:p w14:paraId="4CFE89B6">
      <w:pPr>
        <w:pageBreakBefore w:val="0"/>
        <w:kinsoku/>
        <w:overflowPunct/>
        <w:bidi w:val="0"/>
        <w:spacing w:line="360" w:lineRule="auto"/>
        <w:ind w:firstLine="480" w:firstLineChars="200"/>
        <w:rPr>
          <w:rFonts w:hint="eastAsia" w:ascii="宋体" w:hAnsi="宋体" w:eastAsia="宋体" w:cs="宋体"/>
          <w:color w:val="auto"/>
          <w:sz w:val="24"/>
          <w:szCs w:val="24"/>
          <w:highlight w:val="none"/>
          <w:shd w:val="clear" w:color="auto" w:fill="FFFFFF" w:themeFill="background1"/>
        </w:rPr>
      </w:pPr>
      <w:r>
        <w:rPr>
          <w:rFonts w:hint="eastAsia" w:ascii="宋体" w:hAnsi="宋体" w:eastAsia="宋体" w:cs="宋体"/>
          <w:color w:val="auto"/>
          <w:sz w:val="24"/>
          <w:szCs w:val="24"/>
          <w:highlight w:val="none"/>
          <w:shd w:val="clear" w:color="auto" w:fill="FFFFFF" w:themeFill="background1"/>
        </w:rPr>
        <w:t>5.投标保证金缴纳方式：</w:t>
      </w:r>
      <w:r>
        <w:rPr>
          <w:rFonts w:hint="eastAsia" w:ascii="宋体" w:hAnsi="宋体" w:eastAsia="宋体" w:cs="宋体"/>
          <w:color w:val="auto"/>
          <w:sz w:val="24"/>
          <w:szCs w:val="24"/>
          <w:highlight w:val="none"/>
          <w:u w:val="single"/>
          <w:shd w:val="clear" w:color="auto" w:fill="FFFFFF" w:themeFill="background1"/>
        </w:rPr>
        <w:t>支票、汇票、本票、保函、电汇、网银或金融机构、担保机构出具的保函；其他非现金形式：银行转账。</w:t>
      </w:r>
    </w:p>
    <w:p w14:paraId="5BF5DD03">
      <w:pPr>
        <w:pageBreakBefore w:val="0"/>
        <w:kinsoku/>
        <w:overflowPunct/>
        <w:bidi w:val="0"/>
        <w:spacing w:line="360" w:lineRule="auto"/>
        <w:ind w:firstLine="480" w:firstLineChars="200"/>
        <w:rPr>
          <w:rFonts w:hint="eastAsia" w:ascii="宋体" w:hAnsi="宋体" w:eastAsia="宋体" w:cs="宋体"/>
          <w:color w:val="auto"/>
          <w:sz w:val="24"/>
          <w:szCs w:val="24"/>
          <w:highlight w:val="none"/>
          <w:shd w:val="clear" w:color="auto" w:fill="FFFFFF" w:themeFill="background1"/>
        </w:rPr>
      </w:pPr>
      <w:r>
        <w:rPr>
          <w:rFonts w:hint="eastAsia" w:ascii="宋体" w:hAnsi="宋体" w:eastAsia="宋体" w:cs="宋体"/>
          <w:color w:val="auto"/>
          <w:sz w:val="24"/>
          <w:szCs w:val="24"/>
          <w:highlight w:val="none"/>
          <w:shd w:val="clear" w:color="auto" w:fill="FFFFFF" w:themeFill="background1"/>
        </w:rPr>
        <w:t>6.投标保证金缴纳截止时间：</w:t>
      </w:r>
      <w:r>
        <w:rPr>
          <w:rFonts w:hint="eastAsia" w:ascii="宋体" w:hAnsi="宋体" w:eastAsia="宋体" w:cs="宋体"/>
          <w:color w:val="auto"/>
          <w:sz w:val="24"/>
          <w:szCs w:val="24"/>
          <w:highlight w:val="none"/>
          <w:u w:val="single"/>
          <w:shd w:val="clear" w:color="auto" w:fill="FFFFFF" w:themeFill="background1"/>
        </w:rPr>
        <w:t>投标截止时间。</w:t>
      </w:r>
    </w:p>
    <w:p w14:paraId="4EB30012">
      <w:pPr>
        <w:keepLines w:val="0"/>
        <w:pageBreakBefore w:val="0"/>
        <w:kinsoku/>
        <w:wordWrap/>
        <w:overflowPunct/>
        <w:topLinePunct w:val="0"/>
        <w:autoSpaceDE/>
        <w:autoSpaceDN/>
        <w:bidi w:val="0"/>
        <w:snapToGrid/>
        <w:spacing w:line="360" w:lineRule="auto"/>
        <w:ind w:left="0" w:leftChars="0" w:right="0" w:rightChars="0" w:firstLine="480" w:firstLineChars="200"/>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7.其他</w:t>
      </w:r>
    </w:p>
    <w:p w14:paraId="387D9A04">
      <w:pPr>
        <w:keepLines w:val="0"/>
        <w:pageBreakBefore w:val="0"/>
        <w:kinsoku/>
        <w:wordWrap/>
        <w:overflowPunct/>
        <w:topLinePunct w:val="0"/>
        <w:autoSpaceDE/>
        <w:autoSpaceDN/>
        <w:bidi w:val="0"/>
        <w:snapToGrid/>
        <w:spacing w:line="360" w:lineRule="auto"/>
        <w:ind w:left="0" w:leftChars="0" w:right="0" w:rightChars="0" w:firstLine="480" w:firstLineChars="200"/>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7.1</w:t>
      </w:r>
      <w:r>
        <w:rPr>
          <w:rFonts w:hint="eastAsia" w:ascii="宋体" w:hAnsi="宋体" w:eastAsia="宋体" w:cs="宋体"/>
          <w:color w:val="auto"/>
          <w:kern w:val="0"/>
          <w:sz w:val="24"/>
          <w:highlight w:val="none"/>
        </w:rPr>
        <w:t>发布媒介：本项目招标公告同时在云南省政府采购网、政府采购云平台上发布，公告内容和时间以云南省政府采购网发布的信息为准。</w:t>
      </w:r>
    </w:p>
    <w:p w14:paraId="0A640352">
      <w:pPr>
        <w:keepLines w:val="0"/>
        <w:pageBreakBefore w:val="0"/>
        <w:kinsoku/>
        <w:wordWrap/>
        <w:overflowPunct/>
        <w:topLinePunct w:val="0"/>
        <w:autoSpaceDE/>
        <w:autoSpaceDN/>
        <w:bidi w:val="0"/>
        <w:snapToGrid/>
        <w:spacing w:line="360" w:lineRule="auto"/>
        <w:ind w:left="0" w:leftChars="0" w:right="0" w:rightChars="0" w:firstLine="480" w:firstLineChars="200"/>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7.2</w:t>
      </w:r>
      <w:r>
        <w:rPr>
          <w:rFonts w:hint="eastAsia" w:ascii="宋体" w:hAnsi="宋体" w:eastAsia="宋体" w:cs="宋体"/>
          <w:color w:val="auto"/>
          <w:kern w:val="0"/>
          <w:sz w:val="24"/>
          <w:highlight w:val="none"/>
        </w:rPr>
        <w:t>若投标人为非法人机构的，招标文件中的法定代表人同时也指其他组织的负责人。</w:t>
      </w:r>
    </w:p>
    <w:p w14:paraId="112FE6E6">
      <w:pPr>
        <w:pageBreakBefore w:val="0"/>
        <w:kinsoku/>
        <w:overflowPunct/>
        <w:bidi w:val="0"/>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lang w:val="en-US" w:eastAsia="zh-CN"/>
        </w:rPr>
        <w:t>7.3</w:t>
      </w:r>
      <w:r>
        <w:rPr>
          <w:rFonts w:hint="eastAsia" w:ascii="宋体" w:hAnsi="宋体" w:eastAsia="宋体" w:cs="宋体"/>
          <w:color w:val="auto"/>
          <w:sz w:val="24"/>
          <w:highlight w:val="none"/>
          <w:shd w:val="clear" w:color="auto" w:fill="FFFFFF" w:themeFill="background1"/>
        </w:rPr>
        <w:t>本项目实行网上投标，采用电子投标文件；</w:t>
      </w:r>
    </w:p>
    <w:p w14:paraId="37182632">
      <w:pPr>
        <w:pageBreakBefore w:val="0"/>
        <w:kinsoku/>
        <w:overflowPunct/>
        <w:bidi w:val="0"/>
        <w:spacing w:line="360" w:lineRule="auto"/>
        <w:ind w:firstLine="480" w:firstLineChars="200"/>
        <w:rPr>
          <w:rFonts w:hint="eastAsia"/>
        </w:rPr>
      </w:pPr>
      <w:r>
        <w:rPr>
          <w:rFonts w:hint="eastAsia" w:ascii="宋体" w:hAnsi="宋体" w:eastAsia="宋体" w:cs="宋体"/>
          <w:color w:val="auto"/>
          <w:sz w:val="24"/>
          <w:highlight w:val="none"/>
          <w:shd w:val="clear" w:color="auto" w:fill="FFFFFF" w:themeFill="background1"/>
          <w:lang w:val="en-US" w:eastAsia="zh-CN"/>
        </w:rPr>
        <w:t>7.4</w:t>
      </w:r>
      <w:r>
        <w:rPr>
          <w:rFonts w:hint="eastAsia" w:ascii="宋体" w:hAnsi="宋体" w:eastAsia="宋体" w:cs="宋体"/>
          <w:color w:val="auto"/>
          <w:sz w:val="24"/>
          <w:highlight w:val="none"/>
          <w:shd w:val="clear" w:color="auto" w:fill="FFFFFF" w:themeFill="background1"/>
        </w:rPr>
        <w:t>各投标人应在开标前确保成为政府采购云平台投标人，并完成CA数字证书申领。因未注册入库、未办理CA数字证书等原因造成无法投标或投标失败等后果由投标人自行承担。</w:t>
      </w:r>
    </w:p>
    <w:p w14:paraId="4836BC9F">
      <w:pPr>
        <w:keepLines w:val="0"/>
        <w:pageBreakBefore w:val="0"/>
        <w:kinsoku/>
        <w:wordWrap/>
        <w:overflowPunct/>
        <w:topLinePunct w:val="0"/>
        <w:autoSpaceDE/>
        <w:autoSpaceDN/>
        <w:bidi w:val="0"/>
        <w:snapToGrid/>
        <w:spacing w:line="360" w:lineRule="auto"/>
        <w:ind w:left="0" w:leftChars="0" w:right="0" w:rightChars="0" w:firstLine="480" w:firstLineChars="200"/>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7.5</w:t>
      </w:r>
      <w:r>
        <w:rPr>
          <w:rFonts w:hint="eastAsia" w:ascii="宋体" w:hAnsi="宋体" w:eastAsia="宋体" w:cs="宋体"/>
          <w:color w:val="auto"/>
          <w:kern w:val="0"/>
          <w:sz w:val="24"/>
          <w:highlight w:val="none"/>
        </w:rPr>
        <w:t>投标文件上传：</w:t>
      </w:r>
    </w:p>
    <w:p w14:paraId="10EE6682">
      <w:pPr>
        <w:keepLines w:val="0"/>
        <w:pageBreakBefore w:val="0"/>
        <w:kinsoku/>
        <w:wordWrap/>
        <w:overflowPunct/>
        <w:topLinePunct w:val="0"/>
        <w:autoSpaceDE/>
        <w:autoSpaceDN/>
        <w:bidi w:val="0"/>
        <w:snapToGrid/>
        <w:spacing w:line="360" w:lineRule="auto"/>
        <w:ind w:left="0" w:leftChars="0" w:right="0" w:rightChars="0"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投标人应按照本项目</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文件和“政府采购云平台”的要求编制、加密后在投标文件提交截止时间前将投标文件上传至“政府采购云平台”，按《供应商操</w:t>
      </w:r>
    </w:p>
    <w:p w14:paraId="0B813D54">
      <w:pPr>
        <w:keepLines w:val="0"/>
        <w:pageBreakBefore w:val="0"/>
        <w:kinsoku/>
        <w:wordWrap/>
        <w:overflowPunct/>
        <w:topLinePunct w:val="0"/>
        <w:autoSpaceDE/>
        <w:autoSpaceDN/>
        <w:bidi w:val="0"/>
        <w:snapToGrid/>
        <w:spacing w:line="360" w:lineRule="auto"/>
        <w:ind w:right="0" w:rightChars="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作指南》</w:t>
      </w:r>
    </w:p>
    <w:p w14:paraId="5D5786DC">
      <w:pPr>
        <w:keepLines w:val="0"/>
        <w:pageBreakBefore w:val="0"/>
        <w:kinsoku/>
        <w:wordWrap/>
        <w:overflowPunct/>
        <w:topLinePunct w:val="0"/>
        <w:autoSpaceDE/>
        <w:autoSpaceDN/>
        <w:bidi w:val="0"/>
        <w:snapToGrid/>
        <w:spacing w:line="360" w:lineRule="auto"/>
        <w:ind w:right="0" w:rightChars="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https://edu.zcygov.cn/luban/yunnan-dzjy-gys?utm=a0017.b3687.48.18.4b09ec80cbc911edb8a97356c5970511）完成远程投标文件解密等相关操作。投标文件提交截止时间前未完成投标文件上传的，视为撤回投标文件。若投标人未在规定时间完成投标文件解密，则视为无效投标，不再进入评标阶段，解密时长为60分钟；投标人在“政府采购云平台”提交电子版投标文件时，请填写参加远程采购活动经办人联系方式。</w:t>
      </w:r>
    </w:p>
    <w:p w14:paraId="50E1C4D1">
      <w:pPr>
        <w:keepLines w:val="0"/>
        <w:pageBreakBefore w:val="0"/>
        <w:kinsoku/>
        <w:wordWrap/>
        <w:overflowPunct/>
        <w:topLinePunct w:val="0"/>
        <w:autoSpaceDE/>
        <w:autoSpaceDN/>
        <w:bidi w:val="0"/>
        <w:snapToGrid/>
        <w:spacing w:line="360" w:lineRule="auto"/>
        <w:ind w:left="0" w:leftChars="0" w:right="0" w:rightChars="0"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rPr>
        <w:t>注：任何因忽视或误解而导致投标文件未上传或已上传但未按规定的操作流程及时间要求进行解密的，由投标人自行负责。</w:t>
      </w:r>
    </w:p>
    <w:p w14:paraId="699B0FB0">
      <w:pPr>
        <w:pStyle w:val="3"/>
        <w:keepLines w:val="0"/>
        <w:pageBreakBefore w:val="0"/>
        <w:tabs>
          <w:tab w:val="clear" w:pos="1021"/>
        </w:tabs>
        <w:kinsoku/>
        <w:wordWrap/>
        <w:overflowPunct/>
        <w:topLinePunct w:val="0"/>
        <w:autoSpaceDE/>
        <w:autoSpaceDN/>
        <w:bidi w:val="0"/>
        <w:snapToGrid/>
        <w:spacing w:before="158" w:beforeLines="50" w:after="158" w:afterLines="50" w:line="360" w:lineRule="auto"/>
        <w:ind w:left="0" w:leftChars="0" w:right="0" w:rightChars="0" w:firstLine="0"/>
        <w:rPr>
          <w:rFonts w:hint="eastAsia" w:ascii="宋体" w:hAnsi="宋体" w:eastAsia="宋体" w:cs="宋体"/>
          <w:bCs/>
          <w:color w:val="auto"/>
          <w:sz w:val="24"/>
          <w:szCs w:val="24"/>
          <w:highlight w:val="none"/>
        </w:rPr>
      </w:pPr>
      <w:bookmarkStart w:id="51" w:name="_Toc10259"/>
      <w:bookmarkStart w:id="52" w:name="_Toc28958"/>
      <w:bookmarkStart w:id="53" w:name="_Toc2219"/>
      <w:bookmarkStart w:id="54" w:name="_Toc28378"/>
      <w:r>
        <w:rPr>
          <w:rFonts w:hint="eastAsia" w:ascii="宋体" w:hAnsi="宋体" w:eastAsia="宋体" w:cs="宋体"/>
          <w:bCs/>
          <w:color w:val="auto"/>
          <w:sz w:val="24"/>
          <w:szCs w:val="24"/>
          <w:highlight w:val="none"/>
        </w:rPr>
        <w:t>七、对本次招标提出询问，请按以下方式联系。</w:t>
      </w:r>
      <w:bookmarkEnd w:id="4"/>
      <w:bookmarkEnd w:id="5"/>
      <w:bookmarkEnd w:id="6"/>
      <w:bookmarkEnd w:id="7"/>
      <w:bookmarkEnd w:id="51"/>
      <w:bookmarkEnd w:id="52"/>
      <w:bookmarkEnd w:id="53"/>
      <w:bookmarkEnd w:id="54"/>
    </w:p>
    <w:p w14:paraId="6DD8265E">
      <w:pPr>
        <w:keepLines w:val="0"/>
        <w:pageBreakBefore w:val="0"/>
        <w:kinsoku/>
        <w:wordWrap/>
        <w:overflowPunct/>
        <w:topLinePunct w:val="0"/>
        <w:autoSpaceDE/>
        <w:autoSpaceDN/>
        <w:bidi w:val="0"/>
        <w:snapToGrid/>
        <w:spacing w:line="360" w:lineRule="auto"/>
        <w:ind w:left="0" w:leftChars="0" w:right="0" w:rightChars="0"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1.采购人信息</w:t>
      </w:r>
    </w:p>
    <w:p w14:paraId="763E571D">
      <w:pPr>
        <w:keepLines w:val="0"/>
        <w:pageBreakBefore w:val="0"/>
        <w:kinsoku/>
        <w:wordWrap/>
        <w:overflowPunct/>
        <w:topLinePunct w:val="0"/>
        <w:autoSpaceDE/>
        <w:autoSpaceDN/>
        <w:bidi w:val="0"/>
        <w:snapToGrid/>
        <w:spacing w:line="360" w:lineRule="auto"/>
        <w:ind w:left="0" w:leftChars="0" w:right="0" w:rightChars="0"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名    称：玉溪市生态环境局</w:t>
      </w:r>
    </w:p>
    <w:p w14:paraId="0586770A">
      <w:pPr>
        <w:keepLines w:val="0"/>
        <w:pageBreakBefore w:val="0"/>
        <w:kinsoku/>
        <w:wordWrap/>
        <w:overflowPunct/>
        <w:topLinePunct w:val="0"/>
        <w:autoSpaceDE/>
        <w:autoSpaceDN/>
        <w:bidi w:val="0"/>
        <w:snapToGrid/>
        <w:spacing w:line="360" w:lineRule="auto"/>
        <w:ind w:left="0" w:leftChars="0" w:right="0" w:rightChars="0"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地    址：</w:t>
      </w:r>
      <w:bookmarkStart w:id="55" w:name="OLE_LINK6"/>
      <w:r>
        <w:rPr>
          <w:rFonts w:hint="default" w:ascii="宋体" w:hAnsi="宋体" w:eastAsia="宋体" w:cs="宋体"/>
          <w:color w:val="auto"/>
          <w:sz w:val="24"/>
          <w:highlight w:val="none"/>
          <w:lang w:val="en-US" w:eastAsia="zh-CN"/>
        </w:rPr>
        <w:t>玉溪市红塔区太极路中段亚太汽车城慧波大楼8楼</w:t>
      </w:r>
      <w:bookmarkEnd w:id="55"/>
    </w:p>
    <w:p w14:paraId="15F31F9C">
      <w:pPr>
        <w:keepLines w:val="0"/>
        <w:pageBreakBefore w:val="0"/>
        <w:kinsoku/>
        <w:wordWrap/>
        <w:overflowPunct/>
        <w:topLinePunct w:val="0"/>
        <w:autoSpaceDE/>
        <w:autoSpaceDN/>
        <w:bidi w:val="0"/>
        <w:snapToGrid/>
        <w:spacing w:line="360" w:lineRule="auto"/>
        <w:ind w:left="0" w:leftChars="0" w:right="0" w:rightChars="0"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联系方式：</w:t>
      </w:r>
      <w:r>
        <w:rPr>
          <w:rFonts w:hint="default" w:ascii="宋体" w:hAnsi="宋体" w:eastAsia="宋体" w:cs="宋体"/>
          <w:color w:val="auto"/>
          <w:sz w:val="24"/>
          <w:highlight w:val="none"/>
          <w:lang w:val="en-US" w:eastAsia="zh-CN"/>
        </w:rPr>
        <w:t>0877-6571628</w:t>
      </w:r>
    </w:p>
    <w:p w14:paraId="404AF1E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2.采购</w:t>
      </w:r>
      <w:r>
        <w:rPr>
          <w:rFonts w:hint="eastAsia" w:ascii="宋体" w:hAnsi="宋体" w:eastAsia="宋体" w:cs="宋体"/>
          <w:color w:val="auto"/>
          <w:sz w:val="24"/>
          <w:szCs w:val="24"/>
          <w:highlight w:val="none"/>
        </w:rPr>
        <w:t>代理机构信息</w:t>
      </w:r>
    </w:p>
    <w:p w14:paraId="0BAEB68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lang w:eastAsia="zh-CN"/>
        </w:rPr>
        <w:t>云南上资咨询有限公司</w:t>
      </w:r>
    </w:p>
    <w:p w14:paraId="14A2B9B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址：</w:t>
      </w:r>
      <w:r>
        <w:rPr>
          <w:rFonts w:hint="eastAsia" w:ascii="宋体" w:hAnsi="宋体" w:eastAsia="宋体" w:cs="宋体"/>
          <w:color w:val="auto"/>
          <w:sz w:val="24"/>
          <w:szCs w:val="24"/>
          <w:highlight w:val="none"/>
          <w:lang w:eastAsia="zh-CN"/>
        </w:rPr>
        <w:t>玉溪市红塔区李棋街道上郭井16幢3号（玉溪分公司）</w:t>
      </w:r>
    </w:p>
    <w:p w14:paraId="017CBE1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eastAsia="zh-CN"/>
        </w:rPr>
        <w:t>15912390037</w:t>
      </w:r>
    </w:p>
    <w:p w14:paraId="5BC4204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3.项目联系方式</w:t>
      </w:r>
    </w:p>
    <w:p w14:paraId="551EAC3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lang w:val="en-US" w:eastAsia="zh-CN"/>
        </w:rPr>
        <w:t>苗艳</w:t>
      </w:r>
    </w:p>
    <w:p w14:paraId="1DBB76F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电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话：</w:t>
      </w:r>
      <w:r>
        <w:rPr>
          <w:rFonts w:hint="eastAsia" w:ascii="宋体" w:hAnsi="宋体" w:eastAsia="宋体" w:cs="宋体"/>
          <w:color w:val="auto"/>
          <w:sz w:val="24"/>
          <w:szCs w:val="24"/>
          <w:highlight w:val="none"/>
          <w:lang w:eastAsia="zh-CN"/>
        </w:rPr>
        <w:t>15912390037</w:t>
      </w:r>
    </w:p>
    <w:p w14:paraId="6880BBD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      期：202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lang w:val="en-US" w:eastAsia="zh-CN"/>
        </w:rPr>
        <w:t>月日</w:t>
      </w:r>
    </w:p>
    <w:p w14:paraId="56C65A47">
      <w:pPr>
        <w:pageBreakBefore w:val="0"/>
        <w:kinsoku/>
        <w:overflowPunct/>
        <w:bidi w:val="0"/>
        <w:spacing w:line="360" w:lineRule="auto"/>
        <w:rPr>
          <w:rFonts w:hint="eastAsia" w:ascii="宋体" w:hAnsi="宋体" w:eastAsia="宋体" w:cs="宋体"/>
        </w:rPr>
      </w:pPr>
      <w:r>
        <w:rPr>
          <w:rFonts w:hint="eastAsia" w:ascii="宋体" w:hAnsi="宋体" w:eastAsia="宋体" w:cs="宋体"/>
        </w:rPr>
        <w:br w:type="page"/>
      </w:r>
    </w:p>
    <w:p w14:paraId="380E682A">
      <w:pPr>
        <w:pStyle w:val="2"/>
        <w:pageBreakBefore w:val="0"/>
        <w:kinsoku/>
        <w:overflowPunct/>
        <w:bidi w:val="0"/>
        <w:spacing w:line="360" w:lineRule="auto"/>
        <w:jc w:val="center"/>
        <w:rPr>
          <w:rFonts w:hint="eastAsia" w:ascii="宋体" w:hAnsi="宋体" w:eastAsia="宋体" w:cs="宋体"/>
        </w:rPr>
      </w:pPr>
      <w:bookmarkStart w:id="56" w:name="_Toc9699"/>
      <w:bookmarkStart w:id="57" w:name="_Toc32699"/>
      <w:bookmarkStart w:id="58" w:name="_Toc26692"/>
      <w:bookmarkStart w:id="59" w:name="_Toc4836"/>
      <w:bookmarkStart w:id="60" w:name="_Toc3967"/>
      <w:r>
        <w:rPr>
          <w:rFonts w:hint="eastAsia" w:ascii="宋体" w:hAnsi="宋体" w:eastAsia="宋体" w:cs="宋体"/>
        </w:rPr>
        <w:t>第二章 投标人须知</w:t>
      </w:r>
      <w:bookmarkEnd w:id="56"/>
      <w:bookmarkEnd w:id="57"/>
      <w:bookmarkEnd w:id="58"/>
      <w:bookmarkEnd w:id="59"/>
      <w:bookmarkEnd w:id="60"/>
    </w:p>
    <w:p w14:paraId="65D75B21">
      <w:pPr>
        <w:pageBreakBefore w:val="0"/>
        <w:kinsoku/>
        <w:overflowPunct/>
        <w:bidi w:val="0"/>
        <w:spacing w:line="360" w:lineRule="auto"/>
        <w:jc w:val="center"/>
        <w:outlineLvl w:val="1"/>
        <w:rPr>
          <w:rFonts w:hint="eastAsia" w:ascii="宋体" w:hAnsi="宋体" w:eastAsia="宋体" w:cs="宋体"/>
          <w:color w:val="auto"/>
          <w:sz w:val="28"/>
          <w:szCs w:val="28"/>
          <w:highlight w:val="none"/>
        </w:rPr>
      </w:pPr>
      <w:bookmarkStart w:id="61" w:name="_Toc451172696"/>
      <w:bookmarkStart w:id="62" w:name="_Toc28285"/>
      <w:bookmarkStart w:id="63" w:name="_Toc11219"/>
      <w:bookmarkStart w:id="64" w:name="_Toc14202"/>
      <w:bookmarkStart w:id="65" w:name="_Toc22372"/>
      <w:bookmarkStart w:id="66" w:name="_Toc6189"/>
      <w:bookmarkStart w:id="67" w:name="_Toc14357"/>
      <w:bookmarkStart w:id="68" w:name="_Toc3367"/>
      <w:r>
        <w:rPr>
          <w:rFonts w:hint="eastAsia" w:ascii="宋体" w:hAnsi="宋体" w:eastAsia="宋体" w:cs="宋体"/>
          <w:b/>
          <w:bCs/>
          <w:color w:val="auto"/>
          <w:sz w:val="28"/>
          <w:szCs w:val="28"/>
          <w:highlight w:val="none"/>
        </w:rPr>
        <w:t>投标人须知前附表</w:t>
      </w:r>
      <w:bookmarkEnd w:id="61"/>
      <w:bookmarkEnd w:id="62"/>
      <w:bookmarkEnd w:id="63"/>
      <w:bookmarkEnd w:id="64"/>
      <w:bookmarkEnd w:id="65"/>
      <w:bookmarkEnd w:id="66"/>
      <w:bookmarkEnd w:id="67"/>
      <w:bookmarkEnd w:id="68"/>
    </w:p>
    <w:tbl>
      <w:tblPr>
        <w:tblStyle w:val="23"/>
        <w:tblW w:w="10085"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423"/>
        <w:gridCol w:w="1824"/>
        <w:gridCol w:w="586"/>
        <w:gridCol w:w="7252"/>
      </w:tblGrid>
      <w:tr w14:paraId="5922A07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9" w:hRule="atLeast"/>
          <w:jc w:val="center"/>
        </w:trPr>
        <w:tc>
          <w:tcPr>
            <w:tcW w:w="423" w:type="dxa"/>
            <w:tcBorders>
              <w:top w:val="single" w:color="000000" w:sz="0" w:space="0"/>
              <w:left w:val="single" w:color="000000" w:sz="0" w:space="0"/>
              <w:bottom w:val="single" w:color="000000" w:sz="0" w:space="0"/>
              <w:right w:val="single" w:color="000000" w:sz="0" w:space="0"/>
            </w:tcBorders>
            <w:shd w:val="solid" w:color="FFFFFF" w:fill="auto"/>
            <w:noWrap w:val="0"/>
            <w:tcMar>
              <w:top w:w="0" w:type="dxa"/>
              <w:left w:w="0" w:type="dxa"/>
              <w:bottom w:w="0" w:type="dxa"/>
              <w:right w:w="0" w:type="dxa"/>
            </w:tcMar>
            <w:vAlign w:val="center"/>
          </w:tcPr>
          <w:p w14:paraId="7C142057">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序号</w:t>
            </w:r>
          </w:p>
        </w:tc>
        <w:tc>
          <w:tcPr>
            <w:tcW w:w="2410" w:type="dxa"/>
            <w:gridSpan w:val="2"/>
            <w:tcBorders>
              <w:left w:val="single" w:color="000000" w:sz="6" w:space="0"/>
            </w:tcBorders>
            <w:shd w:val="solid" w:color="FFFFFF" w:fill="auto"/>
            <w:noWrap w:val="0"/>
            <w:tcMar>
              <w:top w:w="0" w:type="dxa"/>
              <w:left w:w="0" w:type="dxa"/>
              <w:bottom w:w="0" w:type="dxa"/>
              <w:right w:w="0" w:type="dxa"/>
            </w:tcMar>
            <w:vAlign w:val="center"/>
          </w:tcPr>
          <w:p w14:paraId="5E321933">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条款名称</w:t>
            </w:r>
          </w:p>
        </w:tc>
        <w:tc>
          <w:tcPr>
            <w:tcW w:w="7252" w:type="dxa"/>
            <w:tcBorders>
              <w:left w:val="single" w:color="000000" w:sz="6" w:space="0"/>
            </w:tcBorders>
            <w:shd w:val="solid" w:color="FFFFFF" w:fill="auto"/>
            <w:noWrap w:val="0"/>
            <w:tcMar>
              <w:top w:w="0" w:type="dxa"/>
              <w:left w:w="0" w:type="dxa"/>
              <w:bottom w:w="0" w:type="dxa"/>
              <w:right w:w="0" w:type="dxa"/>
            </w:tcMar>
            <w:vAlign w:val="center"/>
          </w:tcPr>
          <w:p w14:paraId="62868CA3">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说明和要求</w:t>
            </w:r>
          </w:p>
        </w:tc>
      </w:tr>
      <w:tr w14:paraId="246E6B9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423" w:type="dxa"/>
            <w:tcBorders>
              <w:top w:val="single" w:color="000000" w:sz="6" w:space="0"/>
            </w:tcBorders>
            <w:shd w:val="solid" w:color="FFFFFF" w:fill="auto"/>
            <w:noWrap w:val="0"/>
            <w:tcMar>
              <w:top w:w="0" w:type="dxa"/>
              <w:left w:w="0" w:type="dxa"/>
              <w:bottom w:w="0" w:type="dxa"/>
              <w:right w:w="0" w:type="dxa"/>
            </w:tcMar>
            <w:vAlign w:val="center"/>
          </w:tcPr>
          <w:p w14:paraId="096D7465">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w:t>
            </w:r>
          </w:p>
        </w:tc>
        <w:tc>
          <w:tcPr>
            <w:tcW w:w="2410" w:type="dxa"/>
            <w:gridSpan w:val="2"/>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14:paraId="1B5F9024">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采购人</w:t>
            </w:r>
          </w:p>
        </w:tc>
        <w:tc>
          <w:tcPr>
            <w:tcW w:w="7252" w:type="dxa"/>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14:paraId="28E91C43">
            <w:pPr>
              <w:keepNext w:val="0"/>
              <w:keepLines w:val="0"/>
              <w:pageBreakBefore w:val="0"/>
              <w:widowControl w:val="0"/>
              <w:kinsoku/>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名    称：</w:t>
            </w:r>
            <w:r>
              <w:rPr>
                <w:rFonts w:hint="eastAsia" w:ascii="宋体" w:hAnsi="宋体" w:cs="宋体"/>
                <w:color w:val="auto"/>
                <w:sz w:val="24"/>
                <w:highlight w:val="none"/>
                <w:shd w:val="clear" w:color="auto" w:fill="auto"/>
                <w:lang w:val="en-US" w:eastAsia="zh-CN"/>
              </w:rPr>
              <w:t>玉溪市生态环境局</w:t>
            </w:r>
          </w:p>
          <w:p w14:paraId="0CDB890A">
            <w:pPr>
              <w:keepNext w:val="0"/>
              <w:keepLines w:val="0"/>
              <w:pageBreakBefore w:val="0"/>
              <w:widowControl w:val="0"/>
              <w:kinsoku/>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地    址：</w:t>
            </w:r>
            <w:r>
              <w:rPr>
                <w:rFonts w:hint="eastAsia" w:ascii="宋体" w:hAnsi="宋体" w:cs="宋体"/>
                <w:color w:val="auto"/>
                <w:sz w:val="24"/>
                <w:highlight w:val="none"/>
                <w:shd w:val="clear" w:color="auto" w:fill="auto"/>
                <w:lang w:val="en-US" w:eastAsia="zh-CN"/>
              </w:rPr>
              <w:t>玉溪市红塔区太极路中段亚太汽车城慧波大楼8楼</w:t>
            </w:r>
          </w:p>
          <w:p w14:paraId="788AA53C">
            <w:pPr>
              <w:keepNext w:val="0"/>
              <w:keepLines w:val="0"/>
              <w:pageBreakBefore w:val="0"/>
              <w:widowControl w:val="0"/>
              <w:kinsoku/>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lang w:val="en-US" w:eastAsia="zh-CN"/>
              </w:rPr>
              <w:t>联系方式：</w:t>
            </w:r>
            <w:r>
              <w:rPr>
                <w:rFonts w:hint="eastAsia" w:ascii="宋体" w:hAnsi="宋体" w:cs="宋体"/>
                <w:color w:val="auto"/>
                <w:sz w:val="24"/>
                <w:highlight w:val="none"/>
                <w:shd w:val="clear" w:color="auto" w:fill="auto"/>
                <w:lang w:val="en-US" w:eastAsia="zh-CN"/>
              </w:rPr>
              <w:t>0877-6571628</w:t>
            </w:r>
          </w:p>
        </w:tc>
      </w:tr>
      <w:tr w14:paraId="5C9BD9A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423" w:type="dxa"/>
            <w:tcBorders>
              <w:top w:val="single" w:color="000000" w:sz="6" w:space="0"/>
            </w:tcBorders>
            <w:shd w:val="solid" w:color="FFFFFF" w:fill="auto"/>
            <w:noWrap w:val="0"/>
            <w:tcMar>
              <w:top w:w="0" w:type="dxa"/>
              <w:left w:w="0" w:type="dxa"/>
              <w:bottom w:w="0" w:type="dxa"/>
              <w:right w:w="0" w:type="dxa"/>
            </w:tcMar>
            <w:vAlign w:val="center"/>
          </w:tcPr>
          <w:p w14:paraId="211EB196">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w:t>
            </w:r>
          </w:p>
        </w:tc>
        <w:tc>
          <w:tcPr>
            <w:tcW w:w="2410" w:type="dxa"/>
            <w:gridSpan w:val="2"/>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14:paraId="514A4F13">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采购代理机构</w:t>
            </w:r>
          </w:p>
        </w:tc>
        <w:tc>
          <w:tcPr>
            <w:tcW w:w="7252" w:type="dxa"/>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14:paraId="1C52C2BB">
            <w:pPr>
              <w:keepNext w:val="0"/>
              <w:keepLines w:val="0"/>
              <w:pageBreakBefore w:val="0"/>
              <w:widowControl w:val="0"/>
              <w:kinsoku/>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名    称：</w:t>
            </w:r>
            <w:r>
              <w:rPr>
                <w:rFonts w:hint="eastAsia" w:ascii="宋体" w:hAnsi="宋体" w:eastAsia="宋体" w:cs="宋体"/>
                <w:color w:val="auto"/>
                <w:sz w:val="24"/>
                <w:highlight w:val="none"/>
                <w:shd w:val="clear" w:color="auto" w:fill="auto"/>
                <w:lang w:eastAsia="zh-CN"/>
              </w:rPr>
              <w:t>云南上资咨询有限公司</w:t>
            </w:r>
          </w:p>
          <w:p w14:paraId="412810AB">
            <w:pPr>
              <w:keepNext w:val="0"/>
              <w:keepLines w:val="0"/>
              <w:pageBreakBefore w:val="0"/>
              <w:widowControl w:val="0"/>
              <w:kinsoku/>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rPr>
              <w:t>地</w:t>
            </w:r>
            <w:r>
              <w:rPr>
                <w:rFonts w:hint="eastAsia" w:ascii="宋体" w:hAnsi="宋体" w:eastAsia="宋体" w:cs="宋体"/>
                <w:color w:val="auto"/>
                <w:sz w:val="24"/>
                <w:highlight w:val="none"/>
                <w:shd w:val="clear" w:color="auto" w:fill="auto"/>
                <w:lang w:val="en-US" w:eastAsia="zh-CN"/>
              </w:rPr>
              <w:t xml:space="preserve">    </w:t>
            </w:r>
            <w:r>
              <w:rPr>
                <w:rFonts w:hint="eastAsia" w:ascii="宋体" w:hAnsi="宋体" w:eastAsia="宋体" w:cs="宋体"/>
                <w:color w:val="auto"/>
                <w:sz w:val="24"/>
                <w:highlight w:val="none"/>
                <w:shd w:val="clear" w:color="auto" w:fill="auto"/>
              </w:rPr>
              <w:t>址：</w:t>
            </w:r>
            <w:r>
              <w:rPr>
                <w:rFonts w:hint="eastAsia" w:ascii="宋体" w:hAnsi="宋体" w:eastAsia="宋体" w:cs="宋体"/>
                <w:color w:val="auto"/>
                <w:sz w:val="24"/>
                <w:highlight w:val="none"/>
                <w:shd w:val="clear" w:color="auto" w:fill="auto"/>
                <w:lang w:eastAsia="zh-CN"/>
              </w:rPr>
              <w:t>玉溪市红塔区李棋街道上郭井16幢3号（玉溪分公司）</w:t>
            </w:r>
          </w:p>
          <w:p w14:paraId="71F3EC4F">
            <w:pPr>
              <w:keepNext w:val="0"/>
              <w:keepLines w:val="0"/>
              <w:pageBreakBefore w:val="0"/>
              <w:widowControl w:val="0"/>
              <w:kinsoku/>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rPr>
              <w:t>联系方式：</w:t>
            </w:r>
            <w:r>
              <w:rPr>
                <w:rFonts w:hint="eastAsia" w:ascii="宋体" w:hAnsi="宋体" w:eastAsia="宋体" w:cs="宋体"/>
                <w:color w:val="auto"/>
                <w:sz w:val="24"/>
                <w:highlight w:val="none"/>
                <w:shd w:val="clear" w:color="auto" w:fill="auto"/>
                <w:lang w:val="en-US" w:eastAsia="zh-CN"/>
              </w:rPr>
              <w:t xml:space="preserve">苗艳 </w:t>
            </w:r>
            <w:r>
              <w:rPr>
                <w:rFonts w:hint="eastAsia" w:ascii="宋体" w:hAnsi="宋体" w:eastAsia="宋体" w:cs="宋体"/>
                <w:color w:val="auto"/>
                <w:sz w:val="24"/>
                <w:highlight w:val="none"/>
                <w:shd w:val="clear" w:color="auto" w:fill="auto"/>
                <w:lang w:eastAsia="zh-CN"/>
              </w:rPr>
              <w:t>15912390037</w:t>
            </w:r>
          </w:p>
        </w:tc>
      </w:tr>
      <w:tr w14:paraId="24A1D21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423" w:type="dxa"/>
            <w:tcBorders>
              <w:top w:val="single" w:color="000000" w:sz="6" w:space="0"/>
            </w:tcBorders>
            <w:shd w:val="solid" w:color="FFFFFF" w:fill="auto"/>
            <w:noWrap w:val="0"/>
            <w:tcMar>
              <w:top w:w="0" w:type="dxa"/>
              <w:left w:w="0" w:type="dxa"/>
              <w:bottom w:w="0" w:type="dxa"/>
              <w:right w:w="0" w:type="dxa"/>
            </w:tcMar>
            <w:vAlign w:val="center"/>
          </w:tcPr>
          <w:p w14:paraId="186BAA8C">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3</w:t>
            </w:r>
          </w:p>
        </w:tc>
        <w:tc>
          <w:tcPr>
            <w:tcW w:w="2410" w:type="dxa"/>
            <w:gridSpan w:val="2"/>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14:paraId="7CCEA0B8">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项目名称</w:t>
            </w:r>
          </w:p>
        </w:tc>
        <w:tc>
          <w:tcPr>
            <w:tcW w:w="7252" w:type="dxa"/>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14:paraId="6F6459B0">
            <w:pPr>
              <w:keepNext w:val="0"/>
              <w:keepLines w:val="0"/>
              <w:pageBreakBefore w:val="0"/>
              <w:widowControl w:val="0"/>
              <w:kinsoku/>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auto"/>
                <w:sz w:val="24"/>
                <w:highlight w:val="none"/>
                <w:shd w:val="clear" w:color="auto" w:fill="auto"/>
                <w:lang w:val="en-US" w:eastAsia="zh-CN"/>
              </w:rPr>
            </w:pPr>
            <w:r>
              <w:rPr>
                <w:rFonts w:hint="eastAsia" w:ascii="宋体" w:hAnsi="宋体" w:cs="宋体"/>
                <w:color w:val="auto"/>
                <w:sz w:val="24"/>
                <w:highlight w:val="none"/>
                <w:shd w:val="clear" w:color="auto" w:fill="auto"/>
                <w:lang w:eastAsia="zh-CN"/>
              </w:rPr>
              <w:t>珠江流域（玉溪段）生态环境监测能力提升项目</w:t>
            </w:r>
            <w:r>
              <w:rPr>
                <w:rFonts w:hint="eastAsia" w:ascii="宋体" w:hAnsi="宋体" w:eastAsia="宋体" w:cs="宋体"/>
                <w:color w:val="auto"/>
                <w:sz w:val="24"/>
                <w:highlight w:val="none"/>
                <w:shd w:val="clear" w:color="auto" w:fill="auto"/>
              </w:rPr>
              <w:t xml:space="preserve"> </w:t>
            </w:r>
          </w:p>
        </w:tc>
      </w:tr>
      <w:tr w14:paraId="7A157E6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50" w:hRule="atLeast"/>
          <w:jc w:val="center"/>
        </w:trPr>
        <w:tc>
          <w:tcPr>
            <w:tcW w:w="423" w:type="dxa"/>
            <w:tcBorders>
              <w:top w:val="single" w:color="000000" w:sz="6" w:space="0"/>
            </w:tcBorders>
            <w:shd w:val="solid" w:color="FFFFFF" w:fill="auto"/>
            <w:noWrap w:val="0"/>
            <w:tcMar>
              <w:top w:w="0" w:type="dxa"/>
              <w:left w:w="0" w:type="dxa"/>
              <w:bottom w:w="0" w:type="dxa"/>
              <w:right w:w="0" w:type="dxa"/>
            </w:tcMar>
            <w:vAlign w:val="center"/>
          </w:tcPr>
          <w:p w14:paraId="15109FD7">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4</w:t>
            </w:r>
          </w:p>
        </w:tc>
        <w:tc>
          <w:tcPr>
            <w:tcW w:w="2410" w:type="dxa"/>
            <w:gridSpan w:val="2"/>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14:paraId="3ED4039A">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项目编号</w:t>
            </w:r>
          </w:p>
        </w:tc>
        <w:tc>
          <w:tcPr>
            <w:tcW w:w="7252" w:type="dxa"/>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14:paraId="6EE72E47">
            <w:pPr>
              <w:keepNext w:val="0"/>
              <w:keepLines w:val="0"/>
              <w:pageBreakBefore w:val="0"/>
              <w:widowControl w:val="0"/>
              <w:kinsoku/>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rPr>
              <w:t>项目编号：</w:t>
            </w:r>
            <w:r>
              <w:rPr>
                <w:rFonts w:hint="eastAsia" w:ascii="宋体" w:hAnsi="宋体" w:cs="宋体"/>
                <w:color w:val="auto"/>
                <w:sz w:val="24"/>
                <w:highlight w:val="none"/>
                <w:shd w:val="clear" w:color="auto" w:fill="auto"/>
                <w:lang w:val="en-US" w:eastAsia="zh-CN"/>
              </w:rPr>
              <w:t>YNSZ2026-0512</w:t>
            </w:r>
            <w:r>
              <w:rPr>
                <w:rFonts w:hint="eastAsia" w:ascii="宋体" w:hAnsi="宋体" w:cs="宋体"/>
                <w:color w:val="auto"/>
                <w:sz w:val="24"/>
                <w:highlight w:val="none"/>
                <w:lang w:val="en-US" w:eastAsia="zh-CN"/>
              </w:rPr>
              <w:t xml:space="preserve">（采购计划编号：4530400JH202600670） </w:t>
            </w:r>
          </w:p>
        </w:tc>
      </w:tr>
      <w:tr w14:paraId="6317E38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423" w:type="dxa"/>
            <w:tcBorders>
              <w:top w:val="single" w:color="000000" w:sz="6" w:space="0"/>
            </w:tcBorders>
            <w:shd w:val="solid" w:color="FFFFFF" w:fill="auto"/>
            <w:noWrap w:val="0"/>
            <w:tcMar>
              <w:top w:w="0" w:type="dxa"/>
              <w:left w:w="0" w:type="dxa"/>
              <w:bottom w:w="0" w:type="dxa"/>
              <w:right w:w="0" w:type="dxa"/>
            </w:tcMar>
            <w:vAlign w:val="center"/>
          </w:tcPr>
          <w:p w14:paraId="05B281CC">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val="en-US" w:eastAsia="zh-CN"/>
              </w:rPr>
              <w:t>5</w:t>
            </w:r>
          </w:p>
        </w:tc>
        <w:tc>
          <w:tcPr>
            <w:tcW w:w="2410" w:type="dxa"/>
            <w:gridSpan w:val="2"/>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14:paraId="45636902">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采购内容</w:t>
            </w:r>
          </w:p>
        </w:tc>
        <w:tc>
          <w:tcPr>
            <w:tcW w:w="7252" w:type="dxa"/>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14:paraId="201675A8">
            <w:pPr>
              <w:keepNext w:val="0"/>
              <w:keepLines w:val="0"/>
              <w:pageBreakBefore w:val="0"/>
              <w:widowControl w:val="0"/>
              <w:kinsoku/>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详见“第一章 招标公告”。</w:t>
            </w:r>
          </w:p>
        </w:tc>
      </w:tr>
      <w:tr w14:paraId="7E6B0E7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423" w:type="dxa"/>
            <w:tcBorders>
              <w:top w:val="single" w:color="000000" w:sz="6" w:space="0"/>
            </w:tcBorders>
            <w:shd w:val="solid" w:color="FFFFFF" w:fill="auto"/>
            <w:noWrap w:val="0"/>
            <w:tcMar>
              <w:top w:w="0" w:type="dxa"/>
              <w:left w:w="0" w:type="dxa"/>
              <w:bottom w:w="0" w:type="dxa"/>
              <w:right w:w="0" w:type="dxa"/>
            </w:tcMar>
            <w:vAlign w:val="center"/>
          </w:tcPr>
          <w:p w14:paraId="57ECCA57">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val="en-US" w:eastAsia="zh-CN"/>
              </w:rPr>
              <w:t>6</w:t>
            </w:r>
          </w:p>
        </w:tc>
        <w:tc>
          <w:tcPr>
            <w:tcW w:w="2410" w:type="dxa"/>
            <w:gridSpan w:val="2"/>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14:paraId="20CA4E44">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最高限价</w:t>
            </w:r>
          </w:p>
        </w:tc>
        <w:tc>
          <w:tcPr>
            <w:tcW w:w="7252" w:type="dxa"/>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14:paraId="7BEB08D4">
            <w:pPr>
              <w:keepNext w:val="0"/>
              <w:keepLines w:val="0"/>
              <w:pageBreakBefore w:val="0"/>
              <w:widowControl w:val="0"/>
              <w:kinsoku/>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7835900.00元（1包：</w:t>
            </w:r>
            <w:r>
              <w:rPr>
                <w:rFonts w:hint="eastAsia" w:ascii="宋体" w:hAnsi="宋体" w:cs="宋体"/>
                <w:color w:val="auto"/>
                <w:sz w:val="24"/>
                <w:highlight w:val="none"/>
                <w:shd w:val="clear" w:color="auto" w:fill="auto"/>
                <w:lang w:val="en-US" w:eastAsia="zh-CN"/>
              </w:rPr>
              <w:t>3915900.00</w:t>
            </w:r>
            <w:r>
              <w:rPr>
                <w:rFonts w:hint="eastAsia" w:ascii="宋体" w:hAnsi="宋体" w:eastAsia="宋体" w:cs="宋体"/>
                <w:color w:val="auto"/>
                <w:sz w:val="24"/>
                <w:highlight w:val="none"/>
                <w:shd w:val="clear" w:color="auto" w:fill="auto"/>
                <w:lang w:val="en-US" w:eastAsia="zh-CN"/>
              </w:rPr>
              <w:t>元；2包：3920000.00元）</w:t>
            </w:r>
          </w:p>
        </w:tc>
      </w:tr>
      <w:tr w14:paraId="71A9FE9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37" w:hRule="atLeast"/>
          <w:jc w:val="center"/>
        </w:trPr>
        <w:tc>
          <w:tcPr>
            <w:tcW w:w="423" w:type="dxa"/>
            <w:tcBorders>
              <w:top w:val="single" w:color="000000" w:sz="6" w:space="0"/>
            </w:tcBorders>
            <w:shd w:val="solid" w:color="FFFFFF" w:fill="auto"/>
            <w:noWrap w:val="0"/>
            <w:tcMar>
              <w:top w:w="0" w:type="dxa"/>
              <w:left w:w="0" w:type="dxa"/>
              <w:bottom w:w="0" w:type="dxa"/>
              <w:right w:w="0" w:type="dxa"/>
            </w:tcMar>
            <w:vAlign w:val="center"/>
          </w:tcPr>
          <w:p w14:paraId="39DEA266">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val="en-US" w:eastAsia="zh-CN"/>
              </w:rPr>
              <w:t>7</w:t>
            </w:r>
          </w:p>
        </w:tc>
        <w:tc>
          <w:tcPr>
            <w:tcW w:w="2410" w:type="dxa"/>
            <w:gridSpan w:val="2"/>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14:paraId="08C27E64">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资金情况</w:t>
            </w:r>
          </w:p>
        </w:tc>
        <w:tc>
          <w:tcPr>
            <w:tcW w:w="7252" w:type="dxa"/>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14:paraId="45497A23">
            <w:pPr>
              <w:keepNext w:val="0"/>
              <w:keepLines w:val="0"/>
              <w:pageBreakBefore w:val="0"/>
              <w:widowControl w:val="0"/>
              <w:kinsoku/>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已落实</w:t>
            </w:r>
          </w:p>
        </w:tc>
      </w:tr>
      <w:tr w14:paraId="3DB68A5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95" w:hRule="atLeast"/>
          <w:jc w:val="center"/>
        </w:trPr>
        <w:tc>
          <w:tcPr>
            <w:tcW w:w="423" w:type="dxa"/>
            <w:tcBorders>
              <w:top w:val="single" w:color="000000" w:sz="6" w:space="0"/>
            </w:tcBorders>
            <w:shd w:val="solid" w:color="FFFFFF" w:fill="auto"/>
            <w:noWrap w:val="0"/>
            <w:tcMar>
              <w:top w:w="0" w:type="dxa"/>
              <w:left w:w="0" w:type="dxa"/>
              <w:bottom w:w="0" w:type="dxa"/>
              <w:right w:w="0" w:type="dxa"/>
            </w:tcMar>
            <w:vAlign w:val="center"/>
          </w:tcPr>
          <w:p w14:paraId="22476471">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val="en-US" w:eastAsia="zh-CN"/>
              </w:rPr>
              <w:t>8</w:t>
            </w:r>
          </w:p>
        </w:tc>
        <w:tc>
          <w:tcPr>
            <w:tcW w:w="2410" w:type="dxa"/>
            <w:gridSpan w:val="2"/>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14:paraId="4701894E">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采购方式</w:t>
            </w:r>
          </w:p>
        </w:tc>
        <w:tc>
          <w:tcPr>
            <w:tcW w:w="7252" w:type="dxa"/>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14:paraId="23ECEDF2">
            <w:pPr>
              <w:keepNext w:val="0"/>
              <w:keepLines w:val="0"/>
              <w:pageBreakBefore w:val="0"/>
              <w:widowControl w:val="0"/>
              <w:kinsoku/>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公开招标</w:t>
            </w:r>
          </w:p>
        </w:tc>
      </w:tr>
      <w:tr w14:paraId="72B73D0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423" w:type="dxa"/>
            <w:tcBorders>
              <w:top w:val="single" w:color="000000" w:sz="6" w:space="0"/>
            </w:tcBorders>
            <w:shd w:val="solid" w:color="FFFFFF" w:fill="auto"/>
            <w:noWrap w:val="0"/>
            <w:tcMar>
              <w:top w:w="0" w:type="dxa"/>
              <w:left w:w="0" w:type="dxa"/>
              <w:bottom w:w="0" w:type="dxa"/>
              <w:right w:w="0" w:type="dxa"/>
            </w:tcMar>
            <w:vAlign w:val="center"/>
          </w:tcPr>
          <w:p w14:paraId="4619069B">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val="en-US" w:eastAsia="zh-CN"/>
              </w:rPr>
              <w:t>9</w:t>
            </w:r>
          </w:p>
        </w:tc>
        <w:tc>
          <w:tcPr>
            <w:tcW w:w="2410" w:type="dxa"/>
            <w:gridSpan w:val="2"/>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14:paraId="52CE6341">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评标方法</w:t>
            </w:r>
          </w:p>
        </w:tc>
        <w:tc>
          <w:tcPr>
            <w:tcW w:w="7252" w:type="dxa"/>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14:paraId="6B83ECA5">
            <w:pPr>
              <w:keepNext w:val="0"/>
              <w:keepLines w:val="0"/>
              <w:pageBreakBefore w:val="0"/>
              <w:widowControl w:val="0"/>
              <w:kinsoku/>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综合评分法</w:t>
            </w:r>
          </w:p>
        </w:tc>
      </w:tr>
      <w:tr w14:paraId="57033B3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93" w:hRule="atLeast"/>
          <w:jc w:val="center"/>
        </w:trPr>
        <w:tc>
          <w:tcPr>
            <w:tcW w:w="423" w:type="dxa"/>
            <w:tcBorders>
              <w:top w:val="single" w:color="000000" w:sz="6" w:space="0"/>
            </w:tcBorders>
            <w:shd w:val="solid" w:color="FFFFFF" w:fill="auto"/>
            <w:noWrap w:val="0"/>
            <w:tcMar>
              <w:top w:w="0" w:type="dxa"/>
              <w:left w:w="0" w:type="dxa"/>
              <w:bottom w:w="0" w:type="dxa"/>
              <w:right w:w="0" w:type="dxa"/>
            </w:tcMar>
            <w:vAlign w:val="center"/>
          </w:tcPr>
          <w:p w14:paraId="4A60B587">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val="en-US" w:eastAsia="zh-CN"/>
              </w:rPr>
              <w:t>10</w:t>
            </w:r>
          </w:p>
        </w:tc>
        <w:tc>
          <w:tcPr>
            <w:tcW w:w="2410" w:type="dxa"/>
            <w:gridSpan w:val="2"/>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14:paraId="4450EF7C">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交货期</w:t>
            </w:r>
          </w:p>
        </w:tc>
        <w:tc>
          <w:tcPr>
            <w:tcW w:w="7252" w:type="dxa"/>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14:paraId="5B2DAE9C">
            <w:pPr>
              <w:keepNext w:val="0"/>
              <w:keepLines w:val="0"/>
              <w:pageBreakBefore w:val="0"/>
              <w:widowControl w:val="0"/>
              <w:kinsoku/>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auto"/>
                <w:sz w:val="24"/>
                <w:highlight w:val="none"/>
                <w:shd w:val="clear" w:color="auto" w:fill="auto"/>
                <w:lang w:eastAsia="zh-CN"/>
              </w:rPr>
            </w:pPr>
            <w:r>
              <w:rPr>
                <w:rFonts w:hint="eastAsia" w:ascii="宋体" w:hAnsi="宋体" w:cs="宋体"/>
                <w:color w:val="auto"/>
                <w:sz w:val="24"/>
                <w:highlight w:val="none"/>
                <w:shd w:val="clear" w:color="auto" w:fill="auto"/>
                <w:lang w:val="en-US" w:eastAsia="zh-CN"/>
              </w:rPr>
              <w:t>签订合同后45日历天内完成安装、调试、验收合格并交付使用</w:t>
            </w:r>
            <w:r>
              <w:rPr>
                <w:rFonts w:hint="eastAsia" w:ascii="宋体" w:hAnsi="宋体" w:eastAsia="宋体" w:cs="宋体"/>
                <w:color w:val="auto"/>
                <w:sz w:val="24"/>
                <w:highlight w:val="none"/>
                <w:shd w:val="clear" w:color="auto" w:fill="auto"/>
                <w:lang w:val="en-US" w:eastAsia="zh-CN"/>
              </w:rPr>
              <w:t>。</w:t>
            </w:r>
          </w:p>
        </w:tc>
      </w:tr>
      <w:tr w14:paraId="1230548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93" w:hRule="atLeast"/>
          <w:jc w:val="center"/>
        </w:trPr>
        <w:tc>
          <w:tcPr>
            <w:tcW w:w="423" w:type="dxa"/>
            <w:tcBorders>
              <w:top w:val="single" w:color="000000" w:sz="6" w:space="0"/>
            </w:tcBorders>
            <w:shd w:val="solid" w:color="FFFFFF" w:fill="auto"/>
            <w:noWrap w:val="0"/>
            <w:tcMar>
              <w:top w:w="0" w:type="dxa"/>
              <w:left w:w="0" w:type="dxa"/>
              <w:bottom w:w="0" w:type="dxa"/>
              <w:right w:w="0" w:type="dxa"/>
            </w:tcMar>
            <w:vAlign w:val="center"/>
          </w:tcPr>
          <w:p w14:paraId="725F56F2">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val="en-US" w:eastAsia="zh-CN"/>
              </w:rPr>
              <w:t>11</w:t>
            </w:r>
          </w:p>
        </w:tc>
        <w:tc>
          <w:tcPr>
            <w:tcW w:w="2410" w:type="dxa"/>
            <w:gridSpan w:val="2"/>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14:paraId="20195604">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lang w:val="en-US" w:eastAsia="zh-CN"/>
              </w:rPr>
              <w:t>交货地点</w:t>
            </w:r>
          </w:p>
        </w:tc>
        <w:tc>
          <w:tcPr>
            <w:tcW w:w="7252" w:type="dxa"/>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14:paraId="42C81FAB">
            <w:pPr>
              <w:keepNext w:val="0"/>
              <w:keepLines w:val="0"/>
              <w:pageBreakBefore w:val="0"/>
              <w:widowControl w:val="0"/>
              <w:kinsoku/>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采购人指定地点（涉及红塔站、江川站、澄江站、通海站、华宁站、峨山站）</w:t>
            </w:r>
            <w:r>
              <w:rPr>
                <w:rFonts w:hint="eastAsia" w:ascii="宋体" w:hAnsi="宋体" w:eastAsia="宋体" w:cs="宋体"/>
                <w:color w:val="auto"/>
                <w:sz w:val="24"/>
                <w:highlight w:val="none"/>
                <w:shd w:val="clear" w:color="auto" w:fill="auto"/>
                <w:lang w:val="en-US" w:eastAsia="zh-CN"/>
              </w:rPr>
              <w:t>。</w:t>
            </w:r>
          </w:p>
        </w:tc>
      </w:tr>
      <w:tr w14:paraId="1858214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93" w:hRule="atLeast"/>
          <w:jc w:val="center"/>
        </w:trPr>
        <w:tc>
          <w:tcPr>
            <w:tcW w:w="423" w:type="dxa"/>
            <w:tcBorders>
              <w:top w:val="single" w:color="000000" w:sz="6" w:space="0"/>
            </w:tcBorders>
            <w:shd w:val="solid" w:color="FFFFFF" w:fill="auto"/>
            <w:noWrap w:val="0"/>
            <w:tcMar>
              <w:top w:w="0" w:type="dxa"/>
              <w:left w:w="0" w:type="dxa"/>
              <w:bottom w:w="0" w:type="dxa"/>
              <w:right w:w="0" w:type="dxa"/>
            </w:tcMar>
            <w:vAlign w:val="center"/>
          </w:tcPr>
          <w:p w14:paraId="04F48844">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val="en-US" w:eastAsia="zh-CN"/>
              </w:rPr>
              <w:t>12</w:t>
            </w:r>
          </w:p>
        </w:tc>
        <w:tc>
          <w:tcPr>
            <w:tcW w:w="2410" w:type="dxa"/>
            <w:gridSpan w:val="2"/>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14:paraId="73F685F7">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val="en-US" w:eastAsia="zh-CN"/>
              </w:rPr>
              <w:t>质保期</w:t>
            </w:r>
          </w:p>
        </w:tc>
        <w:tc>
          <w:tcPr>
            <w:tcW w:w="7252" w:type="dxa"/>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14:paraId="315FCF4A">
            <w:pPr>
              <w:keepNext w:val="0"/>
              <w:keepLines w:val="0"/>
              <w:pageBreakBefore w:val="0"/>
              <w:widowControl w:val="0"/>
              <w:kinsoku/>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以</w:t>
            </w:r>
            <w:r>
              <w:rPr>
                <w:rFonts w:hint="eastAsia" w:ascii="宋体" w:hAnsi="宋体" w:eastAsia="宋体" w:cs="宋体"/>
                <w:color w:val="auto"/>
                <w:sz w:val="24"/>
                <w:highlight w:val="none"/>
                <w:lang w:val="en-US" w:eastAsia="zh-CN"/>
              </w:rPr>
              <w:t>“第四章 采购需求及技术参数要求”中参数描述要求为准</w:t>
            </w:r>
            <w:r>
              <w:rPr>
                <w:rFonts w:hint="eastAsia" w:ascii="宋体" w:hAnsi="宋体" w:eastAsia="宋体" w:cs="宋体"/>
                <w:color w:val="auto"/>
                <w:sz w:val="24"/>
                <w:highlight w:val="none"/>
                <w:shd w:val="clear" w:color="auto" w:fill="auto"/>
                <w:lang w:val="en-US" w:eastAsia="zh-CN"/>
              </w:rPr>
              <w:t>。</w:t>
            </w:r>
          </w:p>
        </w:tc>
      </w:tr>
      <w:tr w14:paraId="35989B5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61" w:hRule="atLeast"/>
          <w:jc w:val="center"/>
        </w:trPr>
        <w:tc>
          <w:tcPr>
            <w:tcW w:w="423" w:type="dxa"/>
            <w:tcBorders>
              <w:top w:val="single" w:color="000000" w:sz="6" w:space="0"/>
            </w:tcBorders>
            <w:shd w:val="solid" w:color="FFFFFF" w:fill="auto"/>
            <w:noWrap w:val="0"/>
            <w:tcMar>
              <w:top w:w="0" w:type="dxa"/>
              <w:left w:w="0" w:type="dxa"/>
              <w:bottom w:w="0" w:type="dxa"/>
              <w:right w:w="0" w:type="dxa"/>
            </w:tcMar>
            <w:vAlign w:val="center"/>
          </w:tcPr>
          <w:p w14:paraId="444F82AE">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val="en-US" w:eastAsia="zh-CN"/>
              </w:rPr>
              <w:t>13</w:t>
            </w:r>
          </w:p>
        </w:tc>
        <w:tc>
          <w:tcPr>
            <w:tcW w:w="2410" w:type="dxa"/>
            <w:gridSpan w:val="2"/>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14:paraId="78D0EF1B">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eastAsia="zh-CN"/>
              </w:rPr>
              <w:t>质量标准</w:t>
            </w:r>
          </w:p>
        </w:tc>
        <w:tc>
          <w:tcPr>
            <w:tcW w:w="7252" w:type="dxa"/>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14:paraId="15D471DB">
            <w:pPr>
              <w:keepNext w:val="0"/>
              <w:keepLines w:val="0"/>
              <w:pageBreakBefore w:val="0"/>
              <w:widowControl w:val="0"/>
              <w:kinsoku/>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lang w:val="en-US" w:eastAsia="zh-CN"/>
              </w:rPr>
              <w:t>符合国家及地方现行的相关标准及法规政策，满足采购人验收要求</w:t>
            </w:r>
            <w:r>
              <w:rPr>
                <w:rFonts w:hint="eastAsia" w:ascii="宋体" w:hAnsi="宋体" w:eastAsia="宋体" w:cs="宋体"/>
                <w:color w:val="auto"/>
                <w:sz w:val="24"/>
                <w:highlight w:val="none"/>
                <w:shd w:val="clear" w:color="auto" w:fill="auto"/>
              </w:rPr>
              <w:t>。</w:t>
            </w:r>
          </w:p>
        </w:tc>
      </w:tr>
      <w:tr w14:paraId="3166F0B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423" w:type="dxa"/>
            <w:tcBorders>
              <w:top w:val="single" w:color="000000" w:sz="6" w:space="0"/>
            </w:tcBorders>
            <w:shd w:val="solid" w:color="FFFFFF" w:fill="auto"/>
            <w:noWrap w:val="0"/>
            <w:tcMar>
              <w:top w:w="0" w:type="dxa"/>
              <w:left w:w="0" w:type="dxa"/>
              <w:bottom w:w="0" w:type="dxa"/>
              <w:right w:w="0" w:type="dxa"/>
            </w:tcMar>
            <w:vAlign w:val="center"/>
          </w:tcPr>
          <w:p w14:paraId="36DD6C3E">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val="en-US" w:eastAsia="zh-CN"/>
              </w:rPr>
              <w:t>14</w:t>
            </w:r>
          </w:p>
        </w:tc>
        <w:tc>
          <w:tcPr>
            <w:tcW w:w="2410" w:type="dxa"/>
            <w:gridSpan w:val="2"/>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14:paraId="47A1593C">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履约保证金</w:t>
            </w:r>
          </w:p>
        </w:tc>
        <w:tc>
          <w:tcPr>
            <w:tcW w:w="7252" w:type="dxa"/>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14:paraId="311544C7">
            <w:pPr>
              <w:keepNext w:val="0"/>
              <w:keepLines w:val="0"/>
              <w:pageBreakBefore w:val="0"/>
              <w:widowControl w:val="0"/>
              <w:kinsoku/>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sym w:font="Wingdings 2" w:char="0052"/>
            </w:r>
            <w:r>
              <w:rPr>
                <w:rFonts w:hint="eastAsia" w:ascii="宋体" w:hAnsi="宋体" w:eastAsia="宋体" w:cs="宋体"/>
                <w:color w:val="auto"/>
                <w:sz w:val="24"/>
                <w:highlight w:val="none"/>
                <w:lang w:val="en-US" w:eastAsia="zh-CN"/>
              </w:rPr>
              <w:t>要求，履约保证金的形式：</w:t>
            </w:r>
            <w:r>
              <w:rPr>
                <w:rFonts w:hint="eastAsia" w:ascii="宋体" w:hAnsi="宋体" w:eastAsia="宋体" w:cs="宋体"/>
                <w:color w:val="auto"/>
                <w:sz w:val="24"/>
                <w:highlight w:val="none"/>
                <w:u w:val="single"/>
                <w:lang w:val="en-US" w:eastAsia="zh-CN"/>
              </w:rPr>
              <w:t>支票、汇票、本票或者金融机构、担保机构出具的保函等非现金形式提交。</w:t>
            </w:r>
          </w:p>
          <w:p w14:paraId="54C8E1FD">
            <w:pPr>
              <w:keepNext w:val="0"/>
              <w:keepLines w:val="0"/>
              <w:pageBreakBefore w:val="0"/>
              <w:widowControl w:val="0"/>
              <w:kinsoku/>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履约保证金缴纳时间：</w:t>
            </w:r>
            <w:r>
              <w:rPr>
                <w:rFonts w:hint="eastAsia" w:ascii="宋体" w:hAnsi="宋体" w:eastAsia="宋体" w:cs="宋体"/>
                <w:color w:val="auto"/>
                <w:sz w:val="24"/>
                <w:highlight w:val="none"/>
                <w:u w:val="single"/>
                <w:lang w:val="en-US" w:eastAsia="zh-CN"/>
              </w:rPr>
              <w:t>合同签订后5个工作日内。</w:t>
            </w:r>
          </w:p>
          <w:p w14:paraId="72F2F3C0">
            <w:pPr>
              <w:keepNext w:val="0"/>
              <w:keepLines w:val="0"/>
              <w:pageBreakBefore w:val="0"/>
              <w:widowControl w:val="0"/>
              <w:kinsoku/>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履约保证金的金额：</w:t>
            </w:r>
            <w:r>
              <w:rPr>
                <w:rFonts w:hint="eastAsia" w:ascii="宋体" w:hAnsi="宋体" w:eastAsia="宋体" w:cs="宋体"/>
                <w:color w:val="auto"/>
                <w:sz w:val="24"/>
                <w:highlight w:val="none"/>
                <w:u w:val="single"/>
                <w:lang w:val="en-US" w:eastAsia="zh-CN"/>
              </w:rPr>
              <w:t>合同总金额的</w:t>
            </w:r>
            <w:r>
              <w:rPr>
                <w:rFonts w:hint="eastAsia" w:ascii="宋体" w:hAnsi="宋体" w:cs="宋体"/>
                <w:color w:val="auto"/>
                <w:sz w:val="24"/>
                <w:highlight w:val="none"/>
                <w:u w:val="single"/>
                <w:lang w:val="en-US" w:eastAsia="zh-CN"/>
              </w:rPr>
              <w:t>3</w:t>
            </w:r>
            <w:r>
              <w:rPr>
                <w:rFonts w:hint="eastAsia" w:ascii="宋体" w:hAnsi="宋体" w:eastAsia="宋体" w:cs="宋体"/>
                <w:color w:val="auto"/>
                <w:sz w:val="24"/>
                <w:highlight w:val="none"/>
                <w:u w:val="single"/>
                <w:lang w:val="en-US" w:eastAsia="zh-CN"/>
              </w:rPr>
              <w:t>%。</w:t>
            </w:r>
          </w:p>
          <w:p w14:paraId="3696052A">
            <w:pPr>
              <w:keepNext w:val="0"/>
              <w:keepLines w:val="0"/>
              <w:pageBreakBefore w:val="0"/>
              <w:widowControl w:val="0"/>
              <w:kinsoku/>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履约保证金的退还：</w:t>
            </w:r>
            <w:r>
              <w:rPr>
                <w:rFonts w:hint="eastAsia" w:ascii="宋体" w:hAnsi="宋体" w:eastAsia="宋体" w:cs="宋体"/>
                <w:color w:val="auto"/>
                <w:sz w:val="24"/>
                <w:highlight w:val="none"/>
                <w:u w:val="single"/>
                <w:lang w:val="en-US" w:eastAsia="zh-CN"/>
              </w:rPr>
              <w:t>项目验收合格后30天内，无质量问题退还（不计利息）。</w:t>
            </w:r>
          </w:p>
          <w:p w14:paraId="2B65E2BD">
            <w:pPr>
              <w:keepNext w:val="0"/>
              <w:keepLines w:val="0"/>
              <w:pageBreakBefore w:val="0"/>
              <w:widowControl w:val="0"/>
              <w:kinsoku/>
              <w:wordWrap/>
              <w:overflowPunct/>
              <w:topLinePunct w:val="0"/>
              <w:bidi w:val="0"/>
              <w:spacing w:line="360" w:lineRule="auto"/>
              <w:ind w:left="0" w:leftChars="0" w:right="0" w:rightChars="0"/>
              <w:jc w:val="left"/>
              <w:textAlignment w:val="auto"/>
              <w:outlineLvl w:val="9"/>
              <w:rPr>
                <w:rFonts w:hint="default" w:ascii="宋体" w:hAnsi="宋体" w:eastAsia="宋体" w:cs="宋体"/>
                <w:sz w:val="24"/>
                <w:szCs w:val="24"/>
                <w:highlight w:val="none"/>
                <w:lang w:val="en-US" w:eastAsia="zh-CN"/>
              </w:rPr>
            </w:pPr>
            <w:r>
              <w:rPr>
                <w:rFonts w:hint="eastAsia" w:ascii="宋体" w:hAnsi="宋体" w:eastAsia="宋体" w:cs="宋体"/>
                <w:color w:val="auto"/>
                <w:sz w:val="24"/>
                <w:highlight w:val="none"/>
                <w:lang w:val="en-US" w:eastAsia="zh-CN"/>
              </w:rPr>
              <w:t>□不要求。后续关于履约保证金的规定和要求相应失效。</w:t>
            </w:r>
          </w:p>
        </w:tc>
      </w:tr>
      <w:tr w14:paraId="658AAB1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423" w:type="dxa"/>
            <w:tcBorders>
              <w:top w:val="single" w:color="000000" w:sz="6" w:space="0"/>
            </w:tcBorders>
            <w:shd w:val="solid" w:color="FFFFFF" w:fill="auto"/>
            <w:noWrap w:val="0"/>
            <w:tcMar>
              <w:top w:w="0" w:type="dxa"/>
              <w:left w:w="0" w:type="dxa"/>
              <w:bottom w:w="0" w:type="dxa"/>
              <w:right w:w="0" w:type="dxa"/>
            </w:tcMar>
            <w:vAlign w:val="center"/>
          </w:tcPr>
          <w:p w14:paraId="73D29FF2">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15</w:t>
            </w:r>
          </w:p>
        </w:tc>
        <w:tc>
          <w:tcPr>
            <w:tcW w:w="2410" w:type="dxa"/>
            <w:gridSpan w:val="2"/>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14:paraId="6DBE6D47">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包件</w:t>
            </w:r>
            <w:r>
              <w:rPr>
                <w:rFonts w:hint="eastAsia" w:ascii="宋体" w:hAnsi="宋体" w:eastAsia="宋体" w:cs="宋体"/>
                <w:color w:val="auto"/>
                <w:sz w:val="24"/>
                <w:highlight w:val="none"/>
                <w:shd w:val="clear" w:color="auto" w:fill="auto"/>
              </w:rPr>
              <w:t>划分</w:t>
            </w:r>
          </w:p>
        </w:tc>
        <w:tc>
          <w:tcPr>
            <w:tcW w:w="7252" w:type="dxa"/>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14:paraId="78820FB5">
            <w:pPr>
              <w:keepNext w:val="0"/>
              <w:keepLines w:val="0"/>
              <w:pageBreakBefore w:val="0"/>
              <w:widowControl w:val="0"/>
              <w:kinsoku/>
              <w:wordWrap/>
              <w:overflowPunct/>
              <w:topLinePunct w:val="0"/>
              <w:bidi w:val="0"/>
              <w:spacing w:line="360" w:lineRule="auto"/>
              <w:ind w:left="0" w:leftChars="0" w:right="0" w:rightChars="0"/>
              <w:jc w:val="left"/>
              <w:textAlignment w:val="auto"/>
              <w:outlineLvl w:val="9"/>
              <w:rPr>
                <w:rFonts w:hint="default" w:ascii="宋体" w:hAnsi="宋体" w:eastAsia="宋体" w:cs="宋体"/>
                <w:sz w:val="24"/>
                <w:szCs w:val="24"/>
                <w:highlight w:val="none"/>
                <w:lang w:val="en-US" w:eastAsia="zh-CN"/>
              </w:rPr>
            </w:pPr>
            <w:r>
              <w:rPr>
                <w:rFonts w:hint="eastAsia" w:ascii="宋体" w:hAnsi="宋体" w:eastAsia="宋体" w:cs="宋体"/>
                <w:color w:val="auto"/>
                <w:sz w:val="24"/>
                <w:highlight w:val="none"/>
                <w:lang w:val="en-US" w:eastAsia="zh-CN"/>
              </w:rPr>
              <w:t>本项目共分2个包件，投标人可选择一个包或多个包进行响应，若对多个</w:t>
            </w:r>
            <w:r>
              <w:rPr>
                <w:rFonts w:hint="eastAsia" w:ascii="宋体" w:hAnsi="宋体" w:cs="宋体"/>
                <w:color w:val="auto"/>
                <w:sz w:val="24"/>
                <w:highlight w:val="none"/>
                <w:lang w:val="en-US" w:eastAsia="zh-CN"/>
              </w:rPr>
              <w:t>包件</w:t>
            </w:r>
            <w:r>
              <w:rPr>
                <w:rFonts w:hint="eastAsia" w:ascii="宋体" w:hAnsi="宋体" w:eastAsia="宋体" w:cs="宋体"/>
                <w:color w:val="auto"/>
                <w:sz w:val="24"/>
                <w:highlight w:val="none"/>
                <w:lang w:val="en-US" w:eastAsia="zh-CN"/>
              </w:rPr>
              <w:t>进行响应</w:t>
            </w:r>
            <w:r>
              <w:rPr>
                <w:rFonts w:hint="eastAsia" w:ascii="宋体" w:hAnsi="宋体" w:cs="宋体"/>
                <w:color w:val="auto"/>
                <w:sz w:val="24"/>
                <w:highlight w:val="none"/>
                <w:lang w:val="en-US" w:eastAsia="zh-CN"/>
              </w:rPr>
              <w:t>的</w:t>
            </w:r>
            <w:r>
              <w:rPr>
                <w:rFonts w:hint="eastAsia" w:ascii="宋体" w:hAnsi="宋体" w:eastAsia="宋体" w:cs="宋体"/>
                <w:color w:val="auto"/>
                <w:sz w:val="24"/>
                <w:highlight w:val="none"/>
                <w:lang w:val="en-US" w:eastAsia="zh-CN"/>
              </w:rPr>
              <w:t>，投标人应分包制作及递交投标文件；投标人可同时中多个（2个）包件。</w:t>
            </w:r>
          </w:p>
        </w:tc>
      </w:tr>
      <w:tr w14:paraId="3291C23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60" w:hRule="atLeast"/>
          <w:jc w:val="center"/>
        </w:trPr>
        <w:tc>
          <w:tcPr>
            <w:tcW w:w="423" w:type="dxa"/>
            <w:tcBorders>
              <w:top w:val="single" w:color="000000" w:sz="6" w:space="0"/>
            </w:tcBorders>
            <w:shd w:val="solid" w:color="FFFFFF" w:fill="auto"/>
            <w:noWrap w:val="0"/>
            <w:tcMar>
              <w:top w:w="0" w:type="dxa"/>
              <w:left w:w="0" w:type="dxa"/>
              <w:bottom w:w="0" w:type="dxa"/>
              <w:right w:w="0" w:type="dxa"/>
            </w:tcMar>
            <w:vAlign w:val="center"/>
          </w:tcPr>
          <w:p w14:paraId="3BB24B9B">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16</w:t>
            </w:r>
          </w:p>
        </w:tc>
        <w:tc>
          <w:tcPr>
            <w:tcW w:w="2410" w:type="dxa"/>
            <w:gridSpan w:val="2"/>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14:paraId="1FB01657">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投标人资格要求</w:t>
            </w:r>
          </w:p>
        </w:tc>
        <w:tc>
          <w:tcPr>
            <w:tcW w:w="7252" w:type="dxa"/>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14:paraId="6BAD0204">
            <w:pPr>
              <w:keepNext w:val="0"/>
              <w:keepLines w:val="0"/>
              <w:pageBreakBefore w:val="0"/>
              <w:widowControl w:val="0"/>
              <w:kinsoku/>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详见第一章“</w:t>
            </w:r>
            <w:r>
              <w:rPr>
                <w:rFonts w:hint="eastAsia" w:ascii="宋体" w:hAnsi="宋体" w:eastAsia="宋体" w:cs="宋体"/>
                <w:color w:val="auto"/>
                <w:sz w:val="24"/>
                <w:highlight w:val="none"/>
                <w:shd w:val="clear" w:color="auto" w:fill="auto"/>
                <w:lang w:val="en-US" w:eastAsia="zh-CN"/>
              </w:rPr>
              <w:t>招标</w:t>
            </w:r>
            <w:r>
              <w:rPr>
                <w:rFonts w:hint="eastAsia" w:ascii="宋体" w:hAnsi="宋体" w:eastAsia="宋体" w:cs="宋体"/>
                <w:color w:val="auto"/>
                <w:sz w:val="24"/>
                <w:highlight w:val="none"/>
                <w:shd w:val="clear" w:color="auto" w:fill="auto"/>
              </w:rPr>
              <w:t>公告</w:t>
            </w:r>
            <w:r>
              <w:rPr>
                <w:rFonts w:hint="eastAsia" w:ascii="宋体" w:hAnsi="宋体" w:eastAsia="宋体" w:cs="宋体"/>
                <w:color w:val="auto"/>
                <w:sz w:val="24"/>
                <w:highlight w:val="none"/>
                <w:shd w:val="clear" w:color="auto" w:fill="auto"/>
                <w:lang w:val="en-US" w:eastAsia="zh-CN"/>
              </w:rPr>
              <w:t>”中的“二、申请人（投标人）的资格要求”</w:t>
            </w:r>
            <w:r>
              <w:rPr>
                <w:rFonts w:hint="eastAsia" w:ascii="宋体" w:hAnsi="宋体" w:eastAsia="宋体" w:cs="宋体"/>
                <w:color w:val="auto"/>
                <w:sz w:val="24"/>
                <w:highlight w:val="none"/>
                <w:shd w:val="clear" w:color="auto" w:fill="auto"/>
              </w:rPr>
              <w:t>。</w:t>
            </w:r>
          </w:p>
        </w:tc>
      </w:tr>
      <w:tr w14:paraId="0EE4133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423" w:type="dxa"/>
            <w:tcBorders>
              <w:top w:val="single" w:color="000000" w:sz="6" w:space="0"/>
            </w:tcBorders>
            <w:shd w:val="solid" w:color="FFFFFF" w:fill="auto"/>
            <w:noWrap w:val="0"/>
            <w:tcMar>
              <w:top w:w="0" w:type="dxa"/>
              <w:left w:w="0" w:type="dxa"/>
              <w:bottom w:w="0" w:type="dxa"/>
              <w:right w:w="0" w:type="dxa"/>
            </w:tcMar>
            <w:vAlign w:val="center"/>
          </w:tcPr>
          <w:p w14:paraId="323B6A20">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17</w:t>
            </w:r>
          </w:p>
        </w:tc>
        <w:tc>
          <w:tcPr>
            <w:tcW w:w="2410" w:type="dxa"/>
            <w:gridSpan w:val="2"/>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14:paraId="5963A822">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考察现场、标前答疑会</w:t>
            </w:r>
          </w:p>
        </w:tc>
        <w:tc>
          <w:tcPr>
            <w:tcW w:w="7252" w:type="dxa"/>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14:paraId="77623ECF">
            <w:pPr>
              <w:keepNext w:val="0"/>
              <w:keepLines w:val="0"/>
              <w:pageBreakBefore w:val="0"/>
              <w:widowControl w:val="0"/>
              <w:kinsoku/>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不组织</w:t>
            </w:r>
          </w:p>
        </w:tc>
      </w:tr>
      <w:tr w14:paraId="749C800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423" w:type="dxa"/>
            <w:tcBorders>
              <w:top w:val="single" w:color="000000" w:sz="6" w:space="0"/>
            </w:tcBorders>
            <w:shd w:val="solid" w:color="FFFFFF" w:fill="auto"/>
            <w:noWrap w:val="0"/>
            <w:tcMar>
              <w:top w:w="0" w:type="dxa"/>
              <w:left w:w="0" w:type="dxa"/>
              <w:bottom w:w="0" w:type="dxa"/>
              <w:right w:w="0" w:type="dxa"/>
            </w:tcMar>
            <w:vAlign w:val="center"/>
          </w:tcPr>
          <w:p w14:paraId="25CA3C69">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18</w:t>
            </w:r>
          </w:p>
        </w:tc>
        <w:tc>
          <w:tcPr>
            <w:tcW w:w="2410" w:type="dxa"/>
            <w:gridSpan w:val="2"/>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14:paraId="2A33C4BF">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构成招标文件的其他文件</w:t>
            </w:r>
          </w:p>
        </w:tc>
        <w:tc>
          <w:tcPr>
            <w:tcW w:w="7252" w:type="dxa"/>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14:paraId="60BAFA18">
            <w:pPr>
              <w:keepNext w:val="0"/>
              <w:keepLines w:val="0"/>
              <w:pageBreakBefore w:val="0"/>
              <w:widowControl w:val="0"/>
              <w:kinsoku/>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招标文件的澄清、修改书及有关补充通知为招标文件的有效组成部分。</w:t>
            </w:r>
          </w:p>
        </w:tc>
      </w:tr>
      <w:tr w14:paraId="0F54146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423" w:type="dxa"/>
            <w:tcBorders>
              <w:top w:val="single" w:color="000000" w:sz="6" w:space="0"/>
            </w:tcBorders>
            <w:shd w:val="solid" w:color="FFFFFF" w:fill="auto"/>
            <w:noWrap w:val="0"/>
            <w:tcMar>
              <w:top w:w="0" w:type="dxa"/>
              <w:left w:w="0" w:type="dxa"/>
              <w:bottom w:w="0" w:type="dxa"/>
              <w:right w:w="0" w:type="dxa"/>
            </w:tcMar>
            <w:vAlign w:val="center"/>
          </w:tcPr>
          <w:p w14:paraId="08C7BADE">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19</w:t>
            </w:r>
          </w:p>
        </w:tc>
        <w:tc>
          <w:tcPr>
            <w:tcW w:w="2410" w:type="dxa"/>
            <w:gridSpan w:val="2"/>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14:paraId="1668F30D">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投标有效期</w:t>
            </w:r>
          </w:p>
        </w:tc>
        <w:tc>
          <w:tcPr>
            <w:tcW w:w="7252" w:type="dxa"/>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14:paraId="184E02B3">
            <w:pPr>
              <w:keepNext w:val="0"/>
              <w:keepLines w:val="0"/>
              <w:pageBreakBefore w:val="0"/>
              <w:widowControl w:val="0"/>
              <w:kinsoku/>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90日历天，从投标截止之日算起。</w:t>
            </w:r>
          </w:p>
        </w:tc>
      </w:tr>
      <w:tr w14:paraId="2E69E26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27" w:hRule="atLeast"/>
          <w:jc w:val="center"/>
        </w:trPr>
        <w:tc>
          <w:tcPr>
            <w:tcW w:w="423" w:type="dxa"/>
            <w:tcBorders>
              <w:top w:val="single" w:color="000000" w:sz="6" w:space="0"/>
            </w:tcBorders>
            <w:shd w:val="solid" w:color="FFFFFF" w:fill="auto"/>
            <w:noWrap w:val="0"/>
            <w:tcMar>
              <w:top w:w="0" w:type="dxa"/>
              <w:left w:w="0" w:type="dxa"/>
              <w:bottom w:w="0" w:type="dxa"/>
              <w:right w:w="0" w:type="dxa"/>
            </w:tcMar>
            <w:vAlign w:val="center"/>
          </w:tcPr>
          <w:p w14:paraId="4ECBB04F">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20</w:t>
            </w:r>
          </w:p>
        </w:tc>
        <w:tc>
          <w:tcPr>
            <w:tcW w:w="2410" w:type="dxa"/>
            <w:gridSpan w:val="2"/>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14:paraId="7F0E0547">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b w:val="0"/>
                <w:bCs w:val="0"/>
                <w:color w:val="auto"/>
                <w:sz w:val="24"/>
                <w:highlight w:val="none"/>
                <w:shd w:val="clear" w:color="auto" w:fill="auto"/>
              </w:rPr>
            </w:pPr>
            <w:r>
              <w:rPr>
                <w:rFonts w:hint="eastAsia" w:ascii="宋体" w:hAnsi="宋体" w:eastAsia="宋体" w:cs="宋体"/>
                <w:b w:val="0"/>
                <w:bCs w:val="0"/>
                <w:color w:val="auto"/>
                <w:sz w:val="24"/>
                <w:highlight w:val="yellow"/>
                <w:shd w:val="clear" w:color="auto" w:fill="auto"/>
              </w:rPr>
              <w:t>投标保证金</w:t>
            </w:r>
          </w:p>
        </w:tc>
        <w:tc>
          <w:tcPr>
            <w:tcW w:w="7252" w:type="dxa"/>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14:paraId="2AF7F052">
            <w:pPr>
              <w:keepNext w:val="0"/>
              <w:keepLines w:val="0"/>
              <w:pageBreakBefore w:val="0"/>
              <w:widowControl w:val="0"/>
              <w:numPr>
                <w:ilvl w:val="0"/>
                <w:numId w:val="0"/>
              </w:numPr>
              <w:kinsoku/>
              <w:wordWrap/>
              <w:overflowPunct/>
              <w:topLinePunct w:val="0"/>
              <w:bidi w:val="0"/>
              <w:spacing w:line="360" w:lineRule="auto"/>
              <w:ind w:left="0" w:leftChars="0" w:right="0" w:rightChars="0"/>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kern w:val="2"/>
                <w:sz w:val="24"/>
                <w:szCs w:val="24"/>
                <w:highlight w:val="none"/>
                <w:lang w:val="en-US" w:eastAsia="zh-CN" w:bidi="ar-SA"/>
              </w:rPr>
              <w:t>一、</w:t>
            </w:r>
            <w:r>
              <w:rPr>
                <w:rFonts w:hint="eastAsia" w:ascii="宋体" w:hAnsi="宋体" w:eastAsia="宋体" w:cs="宋体"/>
                <w:b w:val="0"/>
                <w:bCs w:val="0"/>
                <w:color w:val="auto"/>
                <w:sz w:val="24"/>
                <w:highlight w:val="none"/>
                <w:shd w:val="clear" w:color="auto" w:fill="auto"/>
              </w:rPr>
              <w:t>投标保证金金额：</w:t>
            </w:r>
          </w:p>
          <w:p w14:paraId="58FF4941">
            <w:pPr>
              <w:keepNext w:val="0"/>
              <w:keepLines w:val="0"/>
              <w:pageBreakBefore w:val="0"/>
              <w:widowControl w:val="0"/>
              <w:numPr>
                <w:ilvl w:val="0"/>
                <w:numId w:val="0"/>
              </w:numPr>
              <w:kinsoku/>
              <w:wordWrap/>
              <w:overflowPunct/>
              <w:topLinePunct w:val="0"/>
              <w:bidi w:val="0"/>
              <w:spacing w:line="360" w:lineRule="auto"/>
              <w:ind w:right="0" w:rightChars="0"/>
              <w:textAlignment w:val="auto"/>
              <w:outlineLvl w:val="9"/>
              <w:rPr>
                <w:rFonts w:hint="eastAsia" w:ascii="宋体" w:hAnsi="宋体" w:eastAsia="宋体" w:cs="宋体"/>
                <w:b/>
                <w:bCs/>
                <w:color w:val="auto"/>
                <w:sz w:val="24"/>
                <w:highlight w:val="none"/>
                <w:shd w:val="clear" w:color="auto" w:fill="auto"/>
                <w:lang w:val="en-US" w:eastAsia="zh-CN"/>
              </w:rPr>
            </w:pPr>
            <w:r>
              <w:rPr>
                <w:rFonts w:hint="eastAsia" w:ascii="宋体" w:hAnsi="宋体" w:cs="宋体"/>
                <w:b/>
                <w:bCs/>
                <w:color w:val="auto"/>
                <w:sz w:val="24"/>
                <w:highlight w:val="none"/>
                <w:shd w:val="clear" w:color="auto" w:fill="auto"/>
                <w:lang w:val="en-US" w:eastAsia="zh-CN"/>
              </w:rPr>
              <w:t>1包：39000.00</w:t>
            </w:r>
            <w:r>
              <w:rPr>
                <w:rFonts w:hint="eastAsia" w:ascii="宋体" w:hAnsi="宋体" w:eastAsia="宋体" w:cs="宋体"/>
                <w:b/>
                <w:bCs/>
                <w:color w:val="auto"/>
                <w:sz w:val="24"/>
                <w:highlight w:val="none"/>
                <w:shd w:val="clear" w:color="auto" w:fill="auto"/>
                <w:lang w:val="en-US" w:eastAsia="zh-CN"/>
              </w:rPr>
              <w:t>元</w:t>
            </w:r>
            <w:r>
              <w:rPr>
                <w:rFonts w:hint="eastAsia" w:ascii="宋体" w:hAnsi="宋体" w:cs="宋体"/>
                <w:b/>
                <w:bCs/>
                <w:color w:val="auto"/>
                <w:sz w:val="24"/>
                <w:highlight w:val="none"/>
                <w:shd w:val="clear" w:color="auto" w:fill="auto"/>
                <w:lang w:val="en-US" w:eastAsia="zh-CN"/>
              </w:rPr>
              <w:t>（大写：叁万玖仟元整）</w:t>
            </w:r>
          </w:p>
          <w:p w14:paraId="049F6F76">
            <w:pPr>
              <w:keepNext w:val="0"/>
              <w:keepLines w:val="0"/>
              <w:pageBreakBefore w:val="0"/>
              <w:widowControl w:val="0"/>
              <w:numPr>
                <w:ilvl w:val="0"/>
                <w:numId w:val="0"/>
              </w:numPr>
              <w:kinsoku/>
              <w:wordWrap/>
              <w:overflowPunct/>
              <w:topLinePunct w:val="0"/>
              <w:bidi w:val="0"/>
              <w:spacing w:line="360" w:lineRule="auto"/>
              <w:ind w:right="0" w:rightChars="0"/>
              <w:textAlignment w:val="auto"/>
              <w:outlineLvl w:val="9"/>
              <w:rPr>
                <w:rFonts w:hint="default" w:ascii="宋体" w:hAnsi="宋体" w:cs="宋体"/>
                <w:b/>
                <w:bCs/>
                <w:color w:val="auto"/>
                <w:sz w:val="24"/>
                <w:highlight w:val="none"/>
                <w:shd w:val="clear" w:color="auto" w:fill="auto"/>
                <w:lang w:val="en-US" w:eastAsia="zh-CN"/>
              </w:rPr>
            </w:pPr>
            <w:r>
              <w:rPr>
                <w:rFonts w:hint="eastAsia" w:ascii="宋体" w:hAnsi="宋体" w:cs="宋体"/>
                <w:b/>
                <w:bCs/>
                <w:color w:val="auto"/>
                <w:sz w:val="24"/>
                <w:highlight w:val="none"/>
                <w:shd w:val="clear" w:color="auto" w:fill="auto"/>
                <w:lang w:val="en-US" w:eastAsia="zh-CN"/>
              </w:rPr>
              <w:t>2包：39000.00元（大写：叁万玖仟元整）</w:t>
            </w:r>
          </w:p>
          <w:p w14:paraId="2883262A">
            <w:pPr>
              <w:keepNext w:val="0"/>
              <w:keepLines w:val="0"/>
              <w:pageBreakBefore w:val="0"/>
              <w:widowControl w:val="0"/>
              <w:numPr>
                <w:ilvl w:val="0"/>
                <w:numId w:val="0"/>
              </w:numPr>
              <w:kinsoku/>
              <w:wordWrap/>
              <w:overflowPunct/>
              <w:topLinePunct w:val="0"/>
              <w:bidi w:val="0"/>
              <w:spacing w:line="360" w:lineRule="auto"/>
              <w:ind w:left="0" w:leftChars="0" w:right="0" w:rightChars="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highlight w:val="none"/>
              </w:rPr>
              <w:t>（必须一次性</w:t>
            </w:r>
            <w:r>
              <w:rPr>
                <w:rFonts w:hint="eastAsia" w:ascii="宋体" w:hAnsi="宋体" w:eastAsia="宋体" w:cs="宋体"/>
                <w:b/>
                <w:bCs/>
                <w:color w:val="auto"/>
                <w:sz w:val="24"/>
                <w:highlight w:val="none"/>
                <w:lang w:val="en-US" w:eastAsia="zh-CN"/>
              </w:rPr>
              <w:t>提交</w:t>
            </w:r>
            <w:r>
              <w:rPr>
                <w:rFonts w:hint="eastAsia" w:ascii="宋体" w:hAnsi="宋体" w:eastAsia="宋体" w:cs="宋体"/>
                <w:b/>
                <w:bCs/>
                <w:color w:val="auto"/>
                <w:sz w:val="24"/>
                <w:highlight w:val="none"/>
              </w:rPr>
              <w:t>，不可多</w:t>
            </w:r>
            <w:r>
              <w:rPr>
                <w:rFonts w:hint="eastAsia" w:ascii="宋体" w:hAnsi="宋体" w:eastAsia="宋体" w:cs="宋体"/>
                <w:b/>
                <w:bCs/>
                <w:color w:val="auto"/>
                <w:sz w:val="24"/>
                <w:highlight w:val="none"/>
                <w:lang w:val="en-US" w:eastAsia="zh-CN"/>
              </w:rPr>
              <w:t>交</w:t>
            </w:r>
            <w:r>
              <w:rPr>
                <w:rFonts w:hint="eastAsia" w:ascii="宋体" w:hAnsi="宋体" w:eastAsia="宋体" w:cs="宋体"/>
                <w:b/>
                <w:bCs/>
                <w:color w:val="auto"/>
                <w:sz w:val="24"/>
                <w:highlight w:val="none"/>
              </w:rPr>
              <w:t>、少</w:t>
            </w:r>
            <w:r>
              <w:rPr>
                <w:rFonts w:hint="eastAsia" w:ascii="宋体" w:hAnsi="宋体" w:eastAsia="宋体" w:cs="宋体"/>
                <w:b/>
                <w:bCs/>
                <w:color w:val="auto"/>
                <w:sz w:val="24"/>
                <w:highlight w:val="none"/>
                <w:lang w:val="en-US" w:eastAsia="zh-CN"/>
              </w:rPr>
              <w:t>交</w:t>
            </w:r>
            <w:r>
              <w:rPr>
                <w:rFonts w:hint="eastAsia" w:ascii="宋体" w:hAnsi="宋体" w:eastAsia="宋体" w:cs="宋体"/>
                <w:b/>
                <w:bCs/>
                <w:color w:val="auto"/>
                <w:sz w:val="24"/>
                <w:highlight w:val="none"/>
              </w:rPr>
              <w:t>、多笔</w:t>
            </w:r>
            <w:r>
              <w:rPr>
                <w:rFonts w:hint="eastAsia" w:ascii="宋体" w:hAnsi="宋体" w:eastAsia="宋体" w:cs="宋体"/>
                <w:b/>
                <w:bCs/>
                <w:color w:val="auto"/>
                <w:sz w:val="24"/>
                <w:highlight w:val="none"/>
                <w:lang w:val="en-US" w:eastAsia="zh-CN"/>
              </w:rPr>
              <w:t>提交</w:t>
            </w:r>
            <w:r>
              <w:rPr>
                <w:rFonts w:hint="eastAsia" w:ascii="宋体" w:hAnsi="宋体" w:eastAsia="宋体" w:cs="宋体"/>
                <w:b/>
                <w:bCs/>
                <w:color w:val="auto"/>
                <w:sz w:val="24"/>
                <w:highlight w:val="none"/>
              </w:rPr>
              <w:t>）</w:t>
            </w:r>
          </w:p>
          <w:p w14:paraId="3C7A7B6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rPr>
              <w:t>保证金的提交形式：</w:t>
            </w:r>
            <w:r>
              <w:rPr>
                <w:rFonts w:hint="eastAsia" w:ascii="宋体" w:hAnsi="宋体" w:eastAsia="宋体" w:cs="宋体"/>
                <w:b w:val="0"/>
                <w:bCs w:val="0"/>
                <w:color w:val="auto"/>
                <w:sz w:val="24"/>
                <w:szCs w:val="24"/>
                <w:highlight w:val="none"/>
                <w:lang w:eastAsia="zh-CN"/>
              </w:rPr>
              <w:t>电汇、网银、支票、汇票、本票、银行转账、银行保函、保证保险等非现金形式</w:t>
            </w:r>
            <w:r>
              <w:rPr>
                <w:rFonts w:hint="eastAsia" w:ascii="宋体" w:hAnsi="宋体" w:eastAsia="宋体" w:cs="宋体"/>
                <w:b w:val="0"/>
                <w:bCs w:val="0"/>
                <w:color w:val="auto"/>
                <w:sz w:val="24"/>
                <w:szCs w:val="24"/>
                <w:highlight w:val="none"/>
                <w:lang w:val="en-US" w:eastAsia="zh-CN"/>
              </w:rPr>
              <w:t>提交</w:t>
            </w:r>
            <w:r>
              <w:rPr>
                <w:rFonts w:hint="eastAsia" w:ascii="宋体" w:hAnsi="宋体" w:eastAsia="宋体" w:cs="宋体"/>
                <w:b w:val="0"/>
                <w:bCs w:val="0"/>
                <w:color w:val="auto"/>
                <w:sz w:val="24"/>
                <w:szCs w:val="24"/>
                <w:highlight w:val="none"/>
              </w:rPr>
              <w:t>。</w:t>
            </w:r>
          </w:p>
          <w:p w14:paraId="6EDF879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Fonts w:hint="eastAsia" w:ascii="宋体" w:hAnsi="宋体" w:eastAsia="宋体" w:cs="宋体"/>
                <w:b w:val="0"/>
                <w:bCs w:val="0"/>
                <w:color w:val="auto"/>
                <w:sz w:val="24"/>
                <w:szCs w:val="24"/>
                <w:highlight w:val="none"/>
              </w:rPr>
            </w:pPr>
            <w:r>
              <w:rPr>
                <w:rStyle w:val="27"/>
                <w:rFonts w:hint="eastAsia" w:ascii="宋体" w:hAnsi="宋体" w:eastAsia="宋体" w:cs="宋体"/>
                <w:b w:val="0"/>
                <w:bCs w:val="0"/>
                <w:color w:val="auto"/>
                <w:sz w:val="24"/>
                <w:szCs w:val="24"/>
                <w:highlight w:val="none"/>
              </w:rPr>
              <w:t>（1）保证金转账方式：按以下账户从</w:t>
            </w:r>
            <w:r>
              <w:rPr>
                <w:rFonts w:hint="eastAsia" w:ascii="宋体" w:hAnsi="宋体" w:eastAsia="宋体" w:cs="宋体"/>
                <w:b w:val="0"/>
                <w:bCs w:val="0"/>
                <w:color w:val="auto"/>
                <w:sz w:val="24"/>
                <w:szCs w:val="24"/>
                <w:highlight w:val="none"/>
              </w:rPr>
              <w:t>供应商</w:t>
            </w:r>
            <w:r>
              <w:rPr>
                <w:rStyle w:val="27"/>
                <w:rFonts w:hint="eastAsia" w:ascii="宋体" w:hAnsi="宋体" w:eastAsia="宋体" w:cs="宋体"/>
                <w:b w:val="0"/>
                <w:bCs w:val="0"/>
                <w:color w:val="auto"/>
                <w:sz w:val="24"/>
                <w:szCs w:val="24"/>
                <w:highlight w:val="none"/>
              </w:rPr>
              <w:t>的基本账号转账或电汇缴纳，转账（或电汇）时请备注项目名称</w:t>
            </w:r>
            <w:r>
              <w:rPr>
                <w:rStyle w:val="27"/>
                <w:rFonts w:hint="eastAsia" w:ascii="宋体" w:hAnsi="宋体" w:eastAsia="宋体" w:cs="宋体"/>
                <w:b w:val="0"/>
                <w:bCs w:val="0"/>
                <w:color w:val="auto"/>
                <w:sz w:val="24"/>
                <w:szCs w:val="24"/>
                <w:highlight w:val="none"/>
                <w:lang w:val="en-US"/>
              </w:rPr>
              <w:t>及包号</w:t>
            </w:r>
            <w:r>
              <w:rPr>
                <w:rStyle w:val="27"/>
                <w:rFonts w:hint="eastAsia" w:ascii="宋体" w:hAnsi="宋体" w:eastAsia="宋体" w:cs="宋体"/>
                <w:b w:val="0"/>
                <w:bCs w:val="0"/>
                <w:color w:val="auto"/>
                <w:sz w:val="24"/>
                <w:szCs w:val="24"/>
                <w:highlight w:val="none"/>
              </w:rPr>
              <w:t>或项目编号</w:t>
            </w:r>
            <w:r>
              <w:rPr>
                <w:rStyle w:val="27"/>
                <w:rFonts w:hint="eastAsia" w:ascii="宋体" w:hAnsi="宋体" w:eastAsia="宋体" w:cs="宋体"/>
                <w:b w:val="0"/>
                <w:bCs w:val="0"/>
                <w:color w:val="auto"/>
                <w:sz w:val="24"/>
                <w:szCs w:val="24"/>
                <w:highlight w:val="none"/>
                <w:lang w:val="en-US"/>
              </w:rPr>
              <w:t>及包号</w:t>
            </w:r>
            <w:r>
              <w:rPr>
                <w:rStyle w:val="27"/>
                <w:rFonts w:hint="eastAsia" w:ascii="宋体" w:hAnsi="宋体" w:eastAsia="宋体" w:cs="宋体"/>
                <w:b w:val="0"/>
                <w:bCs w:val="0"/>
                <w:color w:val="auto"/>
                <w:sz w:val="24"/>
                <w:szCs w:val="24"/>
                <w:highlight w:val="none"/>
              </w:rPr>
              <w:t>，以方便查收保证金是否到账。</w:t>
            </w:r>
          </w:p>
          <w:p w14:paraId="6C050AE5">
            <w:pPr>
              <w:pageBreakBefore w:val="0"/>
              <w:kinsoku/>
              <w:overflowPunct/>
              <w:bidi w:val="0"/>
              <w:spacing w:line="360" w:lineRule="auto"/>
              <w:rPr>
                <w:rFonts w:hint="default" w:ascii="宋体" w:hAnsi="宋体" w:eastAsia="宋体" w:cs="宋体"/>
                <w:b/>
                <w:bCs/>
                <w:sz w:val="24"/>
                <w:szCs w:val="24"/>
                <w:highlight w:val="yellow"/>
                <w:lang w:val="en-US" w:eastAsia="zh-CN"/>
              </w:rPr>
            </w:pPr>
            <w:r>
              <w:rPr>
                <w:rFonts w:hint="eastAsia" w:ascii="宋体" w:hAnsi="宋体" w:eastAsia="宋体" w:cs="宋体"/>
                <w:b/>
                <w:bCs/>
                <w:sz w:val="24"/>
                <w:szCs w:val="24"/>
                <w:highlight w:val="yellow"/>
              </w:rPr>
              <w:t>开户名称：</w:t>
            </w:r>
            <w:r>
              <w:rPr>
                <w:rFonts w:hint="eastAsia" w:ascii="宋体" w:hAnsi="宋体" w:cs="宋体"/>
                <w:b/>
                <w:bCs/>
                <w:sz w:val="24"/>
                <w:szCs w:val="24"/>
                <w:highlight w:val="yellow"/>
                <w:lang w:val="en-US" w:eastAsia="zh-CN"/>
              </w:rPr>
              <w:t>玉溪市公共资源交易中心</w:t>
            </w:r>
          </w:p>
          <w:p w14:paraId="3AC787D4">
            <w:pPr>
              <w:pageBreakBefore w:val="0"/>
              <w:kinsoku/>
              <w:overflowPunct/>
              <w:bidi w:val="0"/>
              <w:spacing w:line="360" w:lineRule="auto"/>
              <w:rPr>
                <w:rFonts w:hint="eastAsia" w:ascii="宋体" w:hAnsi="宋体" w:eastAsia="宋体" w:cs="宋体"/>
                <w:b/>
                <w:bCs/>
                <w:sz w:val="24"/>
                <w:szCs w:val="24"/>
                <w:highlight w:val="yellow"/>
                <w:lang w:val="en-US" w:eastAsia="zh-CN"/>
              </w:rPr>
            </w:pPr>
            <w:r>
              <w:rPr>
                <w:rFonts w:hint="eastAsia" w:ascii="宋体" w:hAnsi="宋体" w:eastAsia="宋体" w:cs="宋体"/>
                <w:b/>
                <w:bCs/>
                <w:sz w:val="24"/>
                <w:szCs w:val="24"/>
                <w:highlight w:val="yellow"/>
              </w:rPr>
              <w:t>开户银行：</w:t>
            </w:r>
          </w:p>
          <w:p w14:paraId="1000AD28">
            <w:pPr>
              <w:pageBreakBefore w:val="0"/>
              <w:kinsoku/>
              <w:overflowPunct/>
              <w:bidi w:val="0"/>
              <w:spacing w:line="360" w:lineRule="auto"/>
              <w:rPr>
                <w:rFonts w:hint="eastAsia" w:ascii="宋体" w:hAnsi="宋体" w:eastAsia="宋体" w:cs="宋体"/>
                <w:b/>
                <w:bCs/>
                <w:sz w:val="24"/>
                <w:szCs w:val="24"/>
                <w:highlight w:val="yellow"/>
                <w:lang w:val="en-US" w:eastAsia="zh-CN"/>
              </w:rPr>
            </w:pPr>
            <w:r>
              <w:rPr>
                <w:rFonts w:hint="eastAsia" w:ascii="宋体" w:hAnsi="宋体" w:eastAsia="宋体" w:cs="宋体"/>
                <w:b/>
                <w:bCs/>
                <w:sz w:val="24"/>
                <w:szCs w:val="24"/>
                <w:highlight w:val="yellow"/>
              </w:rPr>
              <w:t>账    号：</w:t>
            </w:r>
          </w:p>
          <w:p w14:paraId="3E8F296E">
            <w:pPr>
              <w:pageBreakBefore w:val="0"/>
              <w:kinsoku/>
              <w:overflowPunct/>
              <w:bidi w:val="0"/>
              <w:spacing w:line="360" w:lineRule="auto"/>
              <w:rPr>
                <w:rFonts w:hint="eastAsia" w:ascii="宋体" w:hAnsi="宋体" w:eastAsia="宋体" w:cs="宋体"/>
                <w:b/>
                <w:bCs/>
                <w:sz w:val="24"/>
                <w:szCs w:val="24"/>
                <w:highlight w:val="yellow"/>
                <w:lang w:val="en-US" w:eastAsia="zh-CN"/>
              </w:rPr>
            </w:pPr>
            <w:r>
              <w:rPr>
                <w:rFonts w:hint="eastAsia" w:ascii="宋体" w:hAnsi="宋体" w:eastAsia="宋体" w:cs="宋体"/>
                <w:b/>
                <w:bCs/>
                <w:sz w:val="24"/>
                <w:szCs w:val="24"/>
                <w:highlight w:val="yellow"/>
              </w:rPr>
              <w:t>联系电话：</w:t>
            </w:r>
          </w:p>
          <w:p w14:paraId="7ADC8829">
            <w:pPr>
              <w:pStyle w:val="5"/>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rightChars="0"/>
              <w:textAlignment w:val="auto"/>
              <w:outlineLvl w:val="9"/>
              <w:rPr>
                <w:rFonts w:hint="eastAsia" w:ascii="宋体" w:hAnsi="宋体" w:eastAsia="宋体" w:cs="宋体"/>
                <w:b w:val="0"/>
                <w:bCs w:val="0"/>
                <w:color w:val="auto"/>
                <w:sz w:val="24"/>
                <w:szCs w:val="24"/>
                <w:highlight w:val="none"/>
              </w:rPr>
            </w:pPr>
          </w:p>
          <w:p w14:paraId="1BE05DAC">
            <w:pPr>
              <w:pageBreakBefore w:val="0"/>
              <w:kinsoku/>
              <w:overflowPunct/>
              <w:autoSpaceDE w:val="0"/>
              <w:autoSpaceDN w:val="0"/>
              <w:bidi w:val="0"/>
              <w:adjustRightInd w:val="0"/>
              <w:snapToGrid w:val="0"/>
              <w:spacing w:afterLines="50"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注意事项：</w:t>
            </w:r>
          </w:p>
          <w:p w14:paraId="56492C98">
            <w:pPr>
              <w:pageBreakBefore w:val="0"/>
              <w:kinsoku/>
              <w:overflowPunct/>
              <w:autoSpaceDE w:val="0"/>
              <w:autoSpaceDN w:val="0"/>
              <w:bidi w:val="0"/>
              <w:adjustRightInd w:val="0"/>
              <w:snapToGrid w:val="0"/>
              <w:spacing w:afterLines="50"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投标人</w:t>
            </w:r>
            <w:r>
              <w:rPr>
                <w:rFonts w:hint="eastAsia" w:ascii="宋体" w:hAnsi="宋体" w:eastAsia="宋体" w:cs="宋体"/>
                <w:color w:val="000000" w:themeColor="text1"/>
                <w:kern w:val="0"/>
                <w:sz w:val="24"/>
                <w:szCs w:val="24"/>
                <w:highlight w:val="none"/>
                <w14:textFill>
                  <w14:solidFill>
                    <w14:schemeClr w14:val="tx1"/>
                  </w14:solidFill>
                </w14:textFill>
              </w:rPr>
              <w:t>按照</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kern w:val="0"/>
                <w:sz w:val="24"/>
                <w:szCs w:val="24"/>
                <w:highlight w:val="none"/>
                <w14:textFill>
                  <w14:solidFill>
                    <w14:schemeClr w14:val="tx1"/>
                  </w14:solidFill>
                </w14:textFill>
              </w:rPr>
              <w:t>规定的</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投标保证金</w:t>
            </w:r>
            <w:r>
              <w:rPr>
                <w:rFonts w:hint="eastAsia" w:ascii="宋体" w:hAnsi="宋体" w:eastAsia="宋体" w:cs="宋体"/>
                <w:color w:val="000000" w:themeColor="text1"/>
                <w:kern w:val="0"/>
                <w:sz w:val="24"/>
                <w:szCs w:val="24"/>
                <w:highlight w:val="none"/>
                <w14:textFill>
                  <w14:solidFill>
                    <w14:schemeClr w14:val="tx1"/>
                  </w14:solidFill>
                </w14:textFill>
              </w:rPr>
              <w:t>数额，自行转账到采购人指定账户，请注意以下事项：</w:t>
            </w:r>
          </w:p>
          <w:p w14:paraId="0D35B5E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Style w:val="27"/>
                <w:rFonts w:hint="eastAsia" w:ascii="宋体" w:hAnsi="宋体" w:eastAsia="宋体" w:cs="宋体"/>
                <w:b w:val="0"/>
                <w:bCs w:val="0"/>
                <w:color w:val="auto"/>
                <w:sz w:val="24"/>
                <w:szCs w:val="24"/>
                <w:highlight w:val="none"/>
              </w:rPr>
            </w:pPr>
            <w:r>
              <w:rPr>
                <w:rStyle w:val="27"/>
                <w:rFonts w:hint="eastAsia" w:ascii="宋体" w:hAnsi="宋体" w:eastAsia="宋体" w:cs="宋体"/>
                <w:b w:val="0"/>
                <w:bCs w:val="0"/>
                <w:color w:val="auto"/>
                <w:sz w:val="24"/>
                <w:szCs w:val="24"/>
                <w:highlight w:val="none"/>
              </w:rPr>
              <w:t>1.</w:t>
            </w:r>
            <w:r>
              <w:rPr>
                <w:rStyle w:val="27"/>
                <w:rFonts w:hint="eastAsia" w:ascii="宋体" w:hAnsi="宋体" w:eastAsia="宋体" w:cs="宋体"/>
                <w:b w:val="0"/>
                <w:bCs w:val="0"/>
                <w:color w:val="auto"/>
                <w:sz w:val="24"/>
                <w:szCs w:val="24"/>
                <w:highlight w:val="none"/>
                <w:lang w:eastAsia="zh-CN"/>
              </w:rPr>
              <w:t>投标保证金</w:t>
            </w:r>
            <w:r>
              <w:rPr>
                <w:rStyle w:val="27"/>
                <w:rFonts w:hint="eastAsia" w:ascii="宋体" w:hAnsi="宋体" w:eastAsia="宋体" w:cs="宋体"/>
                <w:b w:val="0"/>
                <w:bCs w:val="0"/>
                <w:color w:val="auto"/>
                <w:sz w:val="24"/>
                <w:szCs w:val="24"/>
                <w:highlight w:val="none"/>
              </w:rPr>
              <w:t>必须从</w:t>
            </w:r>
            <w:r>
              <w:rPr>
                <w:rStyle w:val="27"/>
                <w:rFonts w:hint="eastAsia" w:ascii="宋体" w:hAnsi="宋体" w:eastAsia="宋体" w:cs="宋体"/>
                <w:b w:val="0"/>
                <w:bCs w:val="0"/>
                <w:color w:val="auto"/>
                <w:sz w:val="24"/>
                <w:szCs w:val="24"/>
                <w:highlight w:val="none"/>
                <w:lang w:eastAsia="zh-CN"/>
              </w:rPr>
              <w:t>投标人</w:t>
            </w:r>
            <w:r>
              <w:rPr>
                <w:rStyle w:val="27"/>
                <w:rFonts w:hint="eastAsia" w:ascii="宋体" w:hAnsi="宋体" w:eastAsia="宋体" w:cs="宋体"/>
                <w:b w:val="0"/>
                <w:bCs w:val="0"/>
                <w:color w:val="auto"/>
                <w:sz w:val="24"/>
                <w:szCs w:val="24"/>
                <w:highlight w:val="none"/>
              </w:rPr>
              <w:t>基本账户转出；</w:t>
            </w:r>
          </w:p>
          <w:p w14:paraId="087D469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Style w:val="27"/>
                <w:rFonts w:hint="eastAsia" w:ascii="宋体" w:hAnsi="宋体" w:eastAsia="宋体" w:cs="宋体"/>
                <w:b w:val="0"/>
                <w:bCs w:val="0"/>
                <w:color w:val="auto"/>
                <w:sz w:val="24"/>
                <w:szCs w:val="24"/>
                <w:highlight w:val="none"/>
              </w:rPr>
            </w:pPr>
            <w:r>
              <w:rPr>
                <w:rStyle w:val="27"/>
                <w:rFonts w:hint="eastAsia" w:ascii="宋体" w:hAnsi="宋体" w:eastAsia="宋体" w:cs="宋体"/>
                <w:b w:val="0"/>
                <w:bCs w:val="0"/>
                <w:color w:val="auto"/>
                <w:sz w:val="24"/>
                <w:szCs w:val="24"/>
                <w:highlight w:val="none"/>
                <w:lang w:val="en-US" w:eastAsia="zh-CN"/>
              </w:rPr>
              <w:t>2</w:t>
            </w:r>
            <w:r>
              <w:rPr>
                <w:rStyle w:val="27"/>
                <w:rFonts w:hint="eastAsia" w:ascii="宋体" w:hAnsi="宋体" w:eastAsia="宋体" w:cs="宋体"/>
                <w:b w:val="0"/>
                <w:bCs w:val="0"/>
                <w:color w:val="auto"/>
                <w:sz w:val="24"/>
                <w:szCs w:val="24"/>
                <w:highlight w:val="none"/>
              </w:rPr>
              <w:t>.保证金截止时间为</w:t>
            </w:r>
            <w:r>
              <w:rPr>
                <w:rStyle w:val="27"/>
                <w:rFonts w:hint="eastAsia" w:ascii="宋体" w:hAnsi="宋体" w:eastAsia="宋体" w:cs="宋体"/>
                <w:b w:val="0"/>
                <w:bCs w:val="0"/>
                <w:color w:val="auto"/>
                <w:sz w:val="24"/>
                <w:szCs w:val="24"/>
                <w:highlight w:val="none"/>
                <w:lang w:val="en-US" w:eastAsia="zh-CN"/>
              </w:rPr>
              <w:t>投标</w:t>
            </w:r>
            <w:r>
              <w:rPr>
                <w:rStyle w:val="27"/>
                <w:rFonts w:hint="eastAsia" w:ascii="宋体" w:hAnsi="宋体" w:eastAsia="宋体" w:cs="宋体"/>
                <w:b w:val="0"/>
                <w:bCs w:val="0"/>
                <w:color w:val="auto"/>
                <w:sz w:val="24"/>
                <w:szCs w:val="24"/>
                <w:highlight w:val="none"/>
              </w:rPr>
              <w:t>截止时间，到账时间以保证金账户实际到账时间为准，未按时到账的保证金无效；</w:t>
            </w:r>
          </w:p>
          <w:p w14:paraId="25047AD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Style w:val="27"/>
                <w:rFonts w:hint="eastAsia" w:ascii="宋体" w:hAnsi="宋体" w:eastAsia="宋体" w:cs="宋体"/>
                <w:b w:val="0"/>
                <w:bCs w:val="0"/>
                <w:color w:val="auto"/>
                <w:sz w:val="24"/>
                <w:szCs w:val="24"/>
                <w:highlight w:val="none"/>
              </w:rPr>
            </w:pPr>
            <w:r>
              <w:rPr>
                <w:rStyle w:val="27"/>
                <w:rFonts w:hint="eastAsia" w:ascii="宋体" w:hAnsi="宋体" w:eastAsia="宋体" w:cs="宋体"/>
                <w:b w:val="0"/>
                <w:bCs w:val="0"/>
                <w:color w:val="auto"/>
                <w:sz w:val="24"/>
                <w:szCs w:val="24"/>
                <w:highlight w:val="none"/>
                <w:lang w:val="en-US" w:eastAsia="zh-CN"/>
              </w:rPr>
              <w:t>3.</w:t>
            </w:r>
            <w:r>
              <w:rPr>
                <w:rStyle w:val="27"/>
                <w:rFonts w:hint="eastAsia" w:ascii="宋体" w:hAnsi="宋体" w:eastAsia="宋体" w:cs="宋体"/>
                <w:b w:val="0"/>
                <w:bCs w:val="0"/>
                <w:color w:val="auto"/>
                <w:sz w:val="24"/>
                <w:szCs w:val="24"/>
                <w:highlight w:val="none"/>
              </w:rPr>
              <w:t>请</w:t>
            </w:r>
            <w:r>
              <w:rPr>
                <w:rStyle w:val="27"/>
                <w:rFonts w:hint="eastAsia" w:ascii="宋体" w:hAnsi="宋体" w:eastAsia="宋体" w:cs="宋体"/>
                <w:b w:val="0"/>
                <w:bCs w:val="0"/>
                <w:color w:val="auto"/>
                <w:sz w:val="24"/>
                <w:szCs w:val="24"/>
                <w:highlight w:val="none"/>
                <w:lang w:eastAsia="zh-CN"/>
              </w:rPr>
              <w:t>投标人</w:t>
            </w:r>
            <w:r>
              <w:rPr>
                <w:rStyle w:val="27"/>
                <w:rFonts w:hint="eastAsia" w:ascii="宋体" w:hAnsi="宋体" w:eastAsia="宋体" w:cs="宋体"/>
                <w:b w:val="0"/>
                <w:bCs w:val="0"/>
                <w:color w:val="auto"/>
                <w:sz w:val="24"/>
                <w:szCs w:val="24"/>
                <w:highlight w:val="none"/>
              </w:rPr>
              <w:t>在汇款时务必注明采购项目编号，否则，因款项用途不明导致</w:t>
            </w:r>
            <w:r>
              <w:rPr>
                <w:rStyle w:val="27"/>
                <w:rFonts w:hint="eastAsia" w:ascii="宋体" w:hAnsi="宋体" w:eastAsia="宋体" w:cs="宋体"/>
                <w:b w:val="0"/>
                <w:bCs w:val="0"/>
                <w:color w:val="auto"/>
                <w:sz w:val="24"/>
                <w:szCs w:val="24"/>
                <w:highlight w:val="none"/>
                <w:lang w:eastAsia="zh-CN"/>
              </w:rPr>
              <w:t>投标</w:t>
            </w:r>
            <w:r>
              <w:rPr>
                <w:rStyle w:val="27"/>
                <w:rFonts w:hint="eastAsia" w:ascii="宋体" w:hAnsi="宋体" w:eastAsia="宋体" w:cs="宋体"/>
                <w:b w:val="0"/>
                <w:bCs w:val="0"/>
                <w:color w:val="auto"/>
                <w:sz w:val="24"/>
                <w:szCs w:val="24"/>
                <w:highlight w:val="none"/>
              </w:rPr>
              <w:t>无效等后果由</w:t>
            </w:r>
            <w:r>
              <w:rPr>
                <w:rStyle w:val="27"/>
                <w:rFonts w:hint="eastAsia" w:ascii="宋体" w:hAnsi="宋体" w:eastAsia="宋体" w:cs="宋体"/>
                <w:b w:val="0"/>
                <w:bCs w:val="0"/>
                <w:color w:val="auto"/>
                <w:sz w:val="24"/>
                <w:szCs w:val="24"/>
                <w:highlight w:val="none"/>
                <w:lang w:eastAsia="zh-CN"/>
              </w:rPr>
              <w:t>投标人</w:t>
            </w:r>
            <w:r>
              <w:rPr>
                <w:rStyle w:val="27"/>
                <w:rFonts w:hint="eastAsia" w:ascii="宋体" w:hAnsi="宋体" w:eastAsia="宋体" w:cs="宋体"/>
                <w:b w:val="0"/>
                <w:bCs w:val="0"/>
                <w:color w:val="auto"/>
                <w:sz w:val="24"/>
                <w:szCs w:val="24"/>
                <w:highlight w:val="none"/>
              </w:rPr>
              <w:t>自行承担；</w:t>
            </w:r>
          </w:p>
          <w:p w14:paraId="435FBC7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Style w:val="27"/>
                <w:rFonts w:hint="eastAsia" w:ascii="宋体" w:hAnsi="宋体" w:eastAsia="宋体" w:cs="宋体"/>
                <w:b w:val="0"/>
                <w:bCs w:val="0"/>
                <w:color w:val="auto"/>
                <w:sz w:val="24"/>
                <w:szCs w:val="24"/>
                <w:highlight w:val="none"/>
              </w:rPr>
            </w:pPr>
            <w:r>
              <w:rPr>
                <w:rStyle w:val="27"/>
                <w:rFonts w:hint="eastAsia" w:ascii="宋体" w:hAnsi="宋体" w:eastAsia="宋体" w:cs="宋体"/>
                <w:b w:val="0"/>
                <w:bCs w:val="0"/>
                <w:color w:val="auto"/>
                <w:sz w:val="24"/>
                <w:szCs w:val="24"/>
                <w:highlight w:val="none"/>
                <w:lang w:val="en-US" w:eastAsia="zh-CN"/>
              </w:rPr>
              <w:t>4.</w:t>
            </w:r>
            <w:r>
              <w:rPr>
                <w:rStyle w:val="27"/>
                <w:rFonts w:hint="eastAsia" w:ascii="宋体" w:hAnsi="宋体" w:eastAsia="宋体" w:cs="宋体"/>
                <w:b w:val="0"/>
                <w:bCs w:val="0"/>
                <w:color w:val="auto"/>
                <w:sz w:val="24"/>
                <w:szCs w:val="24"/>
                <w:highlight w:val="none"/>
                <w:lang w:eastAsia="zh-CN"/>
              </w:rPr>
              <w:t>投标保证金</w:t>
            </w:r>
            <w:r>
              <w:rPr>
                <w:rStyle w:val="27"/>
                <w:rFonts w:hint="eastAsia" w:ascii="宋体" w:hAnsi="宋体" w:eastAsia="宋体" w:cs="宋体"/>
                <w:b w:val="0"/>
                <w:bCs w:val="0"/>
                <w:color w:val="auto"/>
                <w:sz w:val="24"/>
                <w:szCs w:val="24"/>
                <w:highlight w:val="none"/>
              </w:rPr>
              <w:t>有效期与</w:t>
            </w:r>
            <w:r>
              <w:rPr>
                <w:rStyle w:val="27"/>
                <w:rFonts w:hint="eastAsia" w:ascii="宋体" w:hAnsi="宋体" w:eastAsia="宋体" w:cs="宋体"/>
                <w:b w:val="0"/>
                <w:bCs w:val="0"/>
                <w:color w:val="auto"/>
                <w:sz w:val="24"/>
                <w:szCs w:val="24"/>
                <w:highlight w:val="none"/>
                <w:lang w:val="en-US" w:eastAsia="zh-CN"/>
              </w:rPr>
              <w:t>投标</w:t>
            </w:r>
            <w:r>
              <w:rPr>
                <w:rStyle w:val="27"/>
                <w:rFonts w:hint="eastAsia" w:ascii="宋体" w:hAnsi="宋体" w:eastAsia="宋体" w:cs="宋体"/>
                <w:b w:val="0"/>
                <w:bCs w:val="0"/>
                <w:color w:val="auto"/>
                <w:sz w:val="24"/>
                <w:szCs w:val="24"/>
                <w:highlight w:val="none"/>
              </w:rPr>
              <w:t>有效期一致。</w:t>
            </w:r>
          </w:p>
          <w:p w14:paraId="4684B86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Style w:val="27"/>
                <w:rFonts w:hint="eastAsia" w:ascii="宋体" w:hAnsi="宋体" w:eastAsia="宋体" w:cs="宋体"/>
                <w:b w:val="0"/>
                <w:bCs w:val="0"/>
                <w:color w:val="auto"/>
                <w:sz w:val="24"/>
                <w:szCs w:val="24"/>
                <w:highlight w:val="none"/>
              </w:rPr>
            </w:pPr>
            <w:r>
              <w:rPr>
                <w:rStyle w:val="27"/>
                <w:rFonts w:hint="eastAsia" w:ascii="宋体" w:hAnsi="宋体" w:eastAsia="宋体" w:cs="宋体"/>
                <w:b w:val="0"/>
                <w:bCs w:val="0"/>
                <w:color w:val="auto"/>
                <w:sz w:val="24"/>
                <w:szCs w:val="24"/>
                <w:highlight w:val="none"/>
                <w:lang w:val="en-US" w:eastAsia="zh-CN"/>
              </w:rPr>
              <w:t>5.</w:t>
            </w:r>
            <w:r>
              <w:rPr>
                <w:rStyle w:val="27"/>
                <w:rFonts w:hint="eastAsia" w:ascii="宋体" w:hAnsi="宋体" w:eastAsia="宋体" w:cs="宋体"/>
                <w:b w:val="0"/>
                <w:bCs w:val="0"/>
                <w:color w:val="auto"/>
                <w:sz w:val="24"/>
                <w:szCs w:val="24"/>
                <w:highlight w:val="none"/>
              </w:rPr>
              <w:t>采购项目（标段）有投诉等特殊情况时，在特殊情况处理期间，暂缓退还所有</w:t>
            </w:r>
            <w:r>
              <w:rPr>
                <w:rStyle w:val="27"/>
                <w:rFonts w:hint="eastAsia" w:ascii="宋体" w:hAnsi="宋体" w:eastAsia="宋体" w:cs="宋体"/>
                <w:b w:val="0"/>
                <w:bCs w:val="0"/>
                <w:color w:val="auto"/>
                <w:sz w:val="24"/>
                <w:szCs w:val="24"/>
                <w:highlight w:val="none"/>
                <w:lang w:eastAsia="zh-CN"/>
              </w:rPr>
              <w:t>投标人</w:t>
            </w:r>
            <w:r>
              <w:rPr>
                <w:rStyle w:val="27"/>
                <w:rFonts w:hint="eastAsia" w:ascii="宋体" w:hAnsi="宋体" w:eastAsia="宋体" w:cs="宋体"/>
                <w:b w:val="0"/>
                <w:bCs w:val="0"/>
                <w:color w:val="auto"/>
                <w:sz w:val="24"/>
                <w:szCs w:val="24"/>
                <w:highlight w:val="none"/>
              </w:rPr>
              <w:t>的</w:t>
            </w:r>
            <w:r>
              <w:rPr>
                <w:rStyle w:val="27"/>
                <w:rFonts w:hint="eastAsia" w:ascii="宋体" w:hAnsi="宋体" w:eastAsia="宋体" w:cs="宋体"/>
                <w:b w:val="0"/>
                <w:bCs w:val="0"/>
                <w:color w:val="auto"/>
                <w:sz w:val="24"/>
                <w:szCs w:val="24"/>
                <w:highlight w:val="none"/>
                <w:lang w:eastAsia="zh-CN"/>
              </w:rPr>
              <w:t>投标保证金</w:t>
            </w:r>
            <w:r>
              <w:rPr>
                <w:rStyle w:val="27"/>
                <w:rFonts w:hint="eastAsia" w:ascii="宋体" w:hAnsi="宋体" w:eastAsia="宋体" w:cs="宋体"/>
                <w:b w:val="0"/>
                <w:bCs w:val="0"/>
                <w:color w:val="auto"/>
                <w:sz w:val="24"/>
                <w:szCs w:val="24"/>
                <w:highlight w:val="none"/>
              </w:rPr>
              <w:t>。</w:t>
            </w:r>
          </w:p>
          <w:p w14:paraId="4622EAC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Style w:val="27"/>
                <w:rFonts w:hint="eastAsia" w:ascii="宋体" w:hAnsi="宋体" w:eastAsia="宋体" w:cs="宋体"/>
                <w:b w:val="0"/>
                <w:bCs w:val="0"/>
                <w:color w:val="auto"/>
                <w:sz w:val="24"/>
                <w:szCs w:val="24"/>
                <w:highlight w:val="none"/>
              </w:rPr>
            </w:pPr>
            <w:r>
              <w:rPr>
                <w:rStyle w:val="27"/>
                <w:rFonts w:hint="eastAsia" w:ascii="宋体" w:hAnsi="宋体" w:eastAsia="宋体" w:cs="宋体"/>
                <w:b w:val="0"/>
                <w:bCs w:val="0"/>
                <w:color w:val="auto"/>
                <w:sz w:val="24"/>
                <w:szCs w:val="24"/>
                <w:highlight w:val="none"/>
                <w:lang w:val="en-US" w:eastAsia="zh-CN"/>
              </w:rPr>
              <w:t>6.</w:t>
            </w:r>
            <w:r>
              <w:rPr>
                <w:rStyle w:val="27"/>
                <w:rFonts w:hint="eastAsia" w:ascii="宋体" w:hAnsi="宋体" w:eastAsia="宋体" w:cs="宋体"/>
                <w:b w:val="0"/>
                <w:bCs w:val="0"/>
                <w:color w:val="auto"/>
                <w:sz w:val="24"/>
                <w:szCs w:val="24"/>
                <w:highlight w:val="none"/>
                <w:lang w:eastAsia="zh-CN"/>
              </w:rPr>
              <w:t>投标保证金</w:t>
            </w:r>
            <w:r>
              <w:rPr>
                <w:rStyle w:val="27"/>
                <w:rFonts w:hint="eastAsia" w:ascii="宋体" w:hAnsi="宋体" w:eastAsia="宋体" w:cs="宋体"/>
                <w:b w:val="0"/>
                <w:bCs w:val="0"/>
                <w:color w:val="auto"/>
                <w:sz w:val="24"/>
                <w:szCs w:val="24"/>
                <w:highlight w:val="none"/>
              </w:rPr>
              <w:t>不予退还的情形：</w:t>
            </w:r>
          </w:p>
          <w:p w14:paraId="747028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（1）投标人在提交投标文件截止时间后撤回投标文件的；</w:t>
            </w:r>
          </w:p>
          <w:p w14:paraId="088A5C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（2）投标人在投标文件中提供虚假材料的；</w:t>
            </w:r>
          </w:p>
          <w:p w14:paraId="197DA4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（3）除因不可抗力或招标文件认可的情形以外，中标投标人不与采购人签订合同的；</w:t>
            </w:r>
          </w:p>
          <w:p w14:paraId="6F9FCF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（4）投标人与采购人、其他投标人或者采购代理机构恶意串通的；</w:t>
            </w:r>
          </w:p>
          <w:p w14:paraId="72B283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Style w:val="27"/>
                <w:rFonts w:hint="eastAsia" w:ascii="宋体" w:hAnsi="宋体" w:eastAsia="宋体" w:cs="宋体"/>
                <w:b w:val="0"/>
                <w:bCs w:val="0"/>
                <w:color w:val="auto"/>
                <w:sz w:val="24"/>
                <w:szCs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5）法律法规规定的其他情形。</w:t>
            </w:r>
          </w:p>
          <w:p w14:paraId="30FF799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Fonts w:hint="eastAsia" w:ascii="宋体" w:hAnsi="宋体" w:eastAsia="宋体" w:cs="宋体"/>
                <w:b w:val="0"/>
                <w:bCs w:val="0"/>
                <w:color w:val="auto"/>
                <w:sz w:val="24"/>
                <w:highlight w:val="none"/>
                <w:shd w:val="clear" w:color="auto" w:fill="auto"/>
              </w:rPr>
            </w:pPr>
            <w:r>
              <w:rPr>
                <w:rStyle w:val="27"/>
                <w:rFonts w:hint="eastAsia" w:ascii="宋体" w:hAnsi="宋体" w:eastAsia="宋体" w:cs="宋体"/>
                <w:b w:val="0"/>
                <w:bCs w:val="0"/>
                <w:color w:val="auto"/>
                <w:sz w:val="24"/>
                <w:szCs w:val="24"/>
                <w:highlight w:val="none"/>
              </w:rPr>
              <w:t>8.采用保证保险方式：</w:t>
            </w:r>
            <w:r>
              <w:rPr>
                <w:rStyle w:val="27"/>
                <w:rFonts w:hint="eastAsia" w:ascii="宋体" w:hAnsi="宋体" w:eastAsia="宋体" w:cs="宋体"/>
                <w:b w:val="0"/>
                <w:bCs w:val="0"/>
                <w:color w:val="auto"/>
                <w:sz w:val="24"/>
                <w:szCs w:val="24"/>
                <w:highlight w:val="none"/>
                <w:lang w:eastAsia="zh-CN"/>
              </w:rPr>
              <w:t>投标人</w:t>
            </w:r>
            <w:r>
              <w:rPr>
                <w:rStyle w:val="27"/>
                <w:rFonts w:hint="eastAsia" w:ascii="宋体" w:hAnsi="宋体" w:eastAsia="宋体" w:cs="宋体"/>
                <w:b w:val="0"/>
                <w:bCs w:val="0"/>
                <w:color w:val="auto"/>
                <w:sz w:val="24"/>
                <w:szCs w:val="24"/>
                <w:highlight w:val="none"/>
              </w:rPr>
              <w:t>可</w:t>
            </w:r>
            <w:r>
              <w:rPr>
                <w:rStyle w:val="27"/>
                <w:rFonts w:hint="eastAsia" w:ascii="宋体" w:hAnsi="宋体" w:eastAsia="宋体" w:cs="宋体"/>
                <w:b w:val="0"/>
                <w:bCs w:val="0"/>
                <w:color w:val="auto"/>
                <w:sz w:val="24"/>
                <w:szCs w:val="24"/>
                <w:highlight w:val="none"/>
                <w:lang w:val="en-US" w:eastAsia="zh-CN"/>
              </w:rPr>
              <w:t>将保证保险扫描件上传至投标文件中</w:t>
            </w:r>
            <w:r>
              <w:rPr>
                <w:rStyle w:val="27"/>
                <w:rFonts w:hint="eastAsia" w:ascii="宋体" w:hAnsi="宋体" w:eastAsia="宋体" w:cs="宋体"/>
                <w:b w:val="0"/>
                <w:bCs w:val="0"/>
                <w:color w:val="auto"/>
                <w:sz w:val="24"/>
                <w:szCs w:val="24"/>
                <w:highlight w:val="none"/>
              </w:rPr>
              <w:t>。</w:t>
            </w:r>
          </w:p>
        </w:tc>
      </w:tr>
      <w:tr w14:paraId="7668C1D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423" w:type="dxa"/>
            <w:tcBorders>
              <w:top w:val="single" w:color="000000" w:sz="6" w:space="0"/>
            </w:tcBorders>
            <w:shd w:val="solid" w:color="FFFFFF" w:fill="auto"/>
            <w:noWrap w:val="0"/>
            <w:tcMar>
              <w:top w:w="0" w:type="dxa"/>
              <w:left w:w="0" w:type="dxa"/>
              <w:bottom w:w="0" w:type="dxa"/>
              <w:right w:w="0" w:type="dxa"/>
            </w:tcMar>
            <w:vAlign w:val="center"/>
          </w:tcPr>
          <w:p w14:paraId="35207012">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21</w:t>
            </w:r>
          </w:p>
        </w:tc>
        <w:tc>
          <w:tcPr>
            <w:tcW w:w="2410" w:type="dxa"/>
            <w:gridSpan w:val="2"/>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14:paraId="310E702D">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备选投标方案和报价</w:t>
            </w:r>
          </w:p>
        </w:tc>
        <w:tc>
          <w:tcPr>
            <w:tcW w:w="7252" w:type="dxa"/>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14:paraId="12777B02">
            <w:pPr>
              <w:keepNext w:val="0"/>
              <w:keepLines w:val="0"/>
              <w:pageBreakBefore w:val="0"/>
              <w:widowControl w:val="0"/>
              <w:kinsoku/>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不接受备选投标方案和多个报价。</w:t>
            </w:r>
          </w:p>
        </w:tc>
      </w:tr>
      <w:tr w14:paraId="4E38715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08" w:hRule="atLeast"/>
          <w:jc w:val="center"/>
        </w:trPr>
        <w:tc>
          <w:tcPr>
            <w:tcW w:w="423" w:type="dxa"/>
            <w:tcBorders>
              <w:top w:val="single" w:color="000000" w:sz="6" w:space="0"/>
            </w:tcBorders>
            <w:shd w:val="solid" w:color="FFFFFF" w:fill="auto"/>
            <w:noWrap w:val="0"/>
            <w:tcMar>
              <w:top w:w="0" w:type="dxa"/>
              <w:left w:w="0" w:type="dxa"/>
              <w:bottom w:w="0" w:type="dxa"/>
              <w:right w:w="0" w:type="dxa"/>
            </w:tcMar>
            <w:vAlign w:val="center"/>
          </w:tcPr>
          <w:p w14:paraId="6C165D6C">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22</w:t>
            </w:r>
          </w:p>
        </w:tc>
        <w:tc>
          <w:tcPr>
            <w:tcW w:w="2410" w:type="dxa"/>
            <w:gridSpan w:val="2"/>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14:paraId="34A1DB96">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投标文件的签署</w:t>
            </w:r>
          </w:p>
        </w:tc>
        <w:tc>
          <w:tcPr>
            <w:tcW w:w="7252" w:type="dxa"/>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14:paraId="0391642C">
            <w:pPr>
              <w:keepNext w:val="0"/>
              <w:keepLines w:val="0"/>
              <w:pageBreakBefore w:val="0"/>
              <w:widowControl w:val="0"/>
              <w:kinsoku/>
              <w:wordWrap/>
              <w:overflowPunct/>
              <w:topLinePunct w:val="0"/>
              <w:bidi w:val="0"/>
              <w:spacing w:line="360" w:lineRule="auto"/>
              <w:ind w:left="0" w:leftChars="0" w:right="0" w:rightChars="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电子投标文件按照招标文件格式，采用单位数字证书电子签章、个人数字证书电子签章或电子签名：投标文件需要企业电子签章、法定代表人</w:t>
            </w:r>
            <w:r>
              <w:rPr>
                <w:rFonts w:hint="eastAsia" w:ascii="宋体" w:hAnsi="宋体" w:eastAsia="宋体" w:cs="宋体"/>
                <w:color w:val="auto"/>
                <w:sz w:val="24"/>
                <w:highlight w:val="none"/>
                <w:shd w:val="clear" w:color="auto" w:fill="FFFFFF"/>
              </w:rPr>
              <w:t>或其委托代理人</w:t>
            </w:r>
            <w:r>
              <w:rPr>
                <w:rFonts w:hint="eastAsia" w:ascii="宋体" w:hAnsi="宋体" w:eastAsia="宋体" w:cs="宋体"/>
                <w:color w:val="auto"/>
                <w:sz w:val="24"/>
                <w:highlight w:val="none"/>
              </w:rPr>
              <w:t>电子签章或电子签名。</w:t>
            </w:r>
          </w:p>
          <w:p w14:paraId="41D709C8">
            <w:pPr>
              <w:keepNext w:val="0"/>
              <w:keepLines w:val="0"/>
              <w:pageBreakBefore w:val="0"/>
              <w:widowControl w:val="0"/>
              <w:kinsoku/>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rPr>
              <w:t>注：在需要单位电子签章、法定代表人</w:t>
            </w:r>
            <w:r>
              <w:rPr>
                <w:rFonts w:hint="eastAsia" w:ascii="宋体" w:hAnsi="宋体" w:eastAsia="宋体" w:cs="宋体"/>
                <w:color w:val="auto"/>
                <w:sz w:val="24"/>
                <w:highlight w:val="none"/>
                <w:shd w:val="clear" w:color="auto" w:fill="FFFFFF"/>
              </w:rPr>
              <w:t>或其委托代理人</w:t>
            </w:r>
            <w:r>
              <w:rPr>
                <w:rFonts w:hint="eastAsia" w:ascii="宋体" w:hAnsi="宋体" w:eastAsia="宋体" w:cs="宋体"/>
                <w:color w:val="auto"/>
                <w:sz w:val="24"/>
                <w:highlight w:val="none"/>
              </w:rPr>
              <w:t>电子签章或电子签名的地方进行电子签章或电子签名</w:t>
            </w:r>
            <w:r>
              <w:rPr>
                <w:rFonts w:hint="eastAsia" w:ascii="宋体" w:hAnsi="宋体" w:eastAsia="宋体" w:cs="宋体"/>
                <w:color w:val="auto"/>
                <w:sz w:val="24"/>
                <w:highlight w:val="none"/>
                <w:shd w:val="clear" w:color="auto" w:fill="auto"/>
              </w:rPr>
              <w:t>。</w:t>
            </w:r>
          </w:p>
        </w:tc>
      </w:tr>
      <w:tr w14:paraId="28ACB99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423" w:type="dxa"/>
            <w:tcBorders>
              <w:top w:val="single" w:color="000000" w:sz="6" w:space="0"/>
            </w:tcBorders>
            <w:shd w:val="solid" w:color="FFFFFF" w:fill="auto"/>
            <w:noWrap w:val="0"/>
            <w:tcMar>
              <w:top w:w="0" w:type="dxa"/>
              <w:left w:w="0" w:type="dxa"/>
              <w:bottom w:w="0" w:type="dxa"/>
              <w:right w:w="0" w:type="dxa"/>
            </w:tcMar>
            <w:vAlign w:val="center"/>
          </w:tcPr>
          <w:p w14:paraId="1270E47F">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23</w:t>
            </w:r>
          </w:p>
        </w:tc>
        <w:tc>
          <w:tcPr>
            <w:tcW w:w="2410" w:type="dxa"/>
            <w:gridSpan w:val="2"/>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14:paraId="157D915D">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提交投标文件截止时间、开标时间和地点</w:t>
            </w:r>
          </w:p>
        </w:tc>
        <w:tc>
          <w:tcPr>
            <w:tcW w:w="7252" w:type="dxa"/>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14:paraId="4F58D2EA">
            <w:pPr>
              <w:keepNext w:val="0"/>
              <w:keepLines w:val="0"/>
              <w:pageBreakBefore w:val="0"/>
              <w:widowControl w:val="0"/>
              <w:kinsoku/>
              <w:wordWrap/>
              <w:overflowPunct/>
              <w:topLinePunct w:val="0"/>
              <w:bidi w:val="0"/>
              <w:spacing w:line="360" w:lineRule="auto"/>
              <w:ind w:left="0" w:leftChars="0" w:right="0" w:rightChars="0"/>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1.提交投标文件截止时间、</w:t>
            </w:r>
            <w:r>
              <w:rPr>
                <w:rFonts w:hint="eastAsia" w:ascii="宋体" w:hAnsi="宋体" w:eastAsia="宋体" w:cs="宋体"/>
                <w:color w:val="auto"/>
                <w:sz w:val="24"/>
                <w:highlight w:val="yellow"/>
                <w:shd w:val="clear" w:color="auto" w:fill="auto"/>
              </w:rPr>
              <w:t>开标时间：</w:t>
            </w:r>
            <w:r>
              <w:rPr>
                <w:rFonts w:hint="eastAsia" w:ascii="宋体" w:hAnsi="宋体" w:eastAsia="宋体" w:cs="宋体"/>
                <w:color w:val="auto"/>
                <w:sz w:val="24"/>
                <w:highlight w:val="yellow"/>
                <w:u w:val="single"/>
                <w:shd w:val="clear" w:color="auto" w:fill="auto"/>
                <w:lang w:eastAsia="zh-CN"/>
              </w:rPr>
              <w:t>202</w:t>
            </w:r>
            <w:r>
              <w:rPr>
                <w:rFonts w:hint="eastAsia" w:ascii="宋体" w:hAnsi="宋体" w:cs="宋体"/>
                <w:color w:val="auto"/>
                <w:sz w:val="24"/>
                <w:highlight w:val="yellow"/>
                <w:u w:val="single"/>
                <w:shd w:val="clear" w:color="auto" w:fill="auto"/>
                <w:lang w:val="en-US" w:eastAsia="zh-CN"/>
              </w:rPr>
              <w:t>6</w:t>
            </w:r>
            <w:r>
              <w:rPr>
                <w:rFonts w:hint="eastAsia" w:ascii="宋体" w:hAnsi="宋体" w:eastAsia="宋体" w:cs="宋体"/>
                <w:color w:val="auto"/>
                <w:sz w:val="24"/>
                <w:highlight w:val="yellow"/>
                <w:u w:val="single"/>
                <w:shd w:val="clear" w:color="auto" w:fill="auto"/>
                <w:lang w:eastAsia="zh-CN"/>
              </w:rPr>
              <w:t>年</w:t>
            </w:r>
            <w:r>
              <w:rPr>
                <w:rFonts w:hint="eastAsia" w:ascii="宋体" w:hAnsi="宋体" w:cs="宋体"/>
                <w:color w:val="auto"/>
                <w:sz w:val="24"/>
                <w:highlight w:val="yellow"/>
                <w:u w:val="single"/>
                <w:shd w:val="clear" w:color="auto" w:fill="auto"/>
                <w:lang w:val="en-US" w:eastAsia="zh-CN"/>
              </w:rPr>
              <w:t>06</w:t>
            </w:r>
            <w:r>
              <w:rPr>
                <w:rFonts w:hint="eastAsia" w:ascii="宋体" w:hAnsi="宋体" w:eastAsia="宋体" w:cs="宋体"/>
                <w:color w:val="auto"/>
                <w:sz w:val="24"/>
                <w:highlight w:val="yellow"/>
                <w:u w:val="single"/>
                <w:shd w:val="clear" w:color="auto" w:fill="auto"/>
                <w:lang w:eastAsia="zh-CN"/>
              </w:rPr>
              <w:t>月</w:t>
            </w:r>
            <w:r>
              <w:rPr>
                <w:rFonts w:hint="eastAsia" w:ascii="宋体" w:hAnsi="宋体" w:cs="宋体"/>
                <w:color w:val="auto"/>
                <w:sz w:val="24"/>
                <w:highlight w:val="yellow"/>
                <w:u w:val="single"/>
                <w:shd w:val="clear" w:color="auto" w:fill="auto"/>
                <w:lang w:val="en-US" w:eastAsia="zh-CN"/>
              </w:rPr>
              <w:t xml:space="preserve"> </w:t>
            </w:r>
            <w:r>
              <w:rPr>
                <w:rFonts w:hint="eastAsia" w:ascii="宋体" w:hAnsi="宋体" w:eastAsia="宋体" w:cs="宋体"/>
                <w:color w:val="auto"/>
                <w:sz w:val="24"/>
                <w:highlight w:val="yellow"/>
                <w:u w:val="single"/>
                <w:shd w:val="clear" w:color="auto" w:fill="auto"/>
                <w:lang w:eastAsia="zh-CN"/>
              </w:rPr>
              <w:t>日</w:t>
            </w:r>
            <w:r>
              <w:rPr>
                <w:rFonts w:hint="eastAsia" w:ascii="宋体" w:hAnsi="宋体" w:eastAsia="宋体" w:cs="宋体"/>
                <w:color w:val="auto"/>
                <w:sz w:val="24"/>
                <w:highlight w:val="yellow"/>
                <w:u w:val="single"/>
                <w:shd w:val="clear" w:color="auto" w:fill="auto"/>
              </w:rPr>
              <w:t>09时00分</w:t>
            </w:r>
            <w:r>
              <w:rPr>
                <w:rFonts w:hint="eastAsia" w:ascii="宋体" w:hAnsi="宋体" w:eastAsia="宋体" w:cs="宋体"/>
                <w:color w:val="auto"/>
                <w:sz w:val="24"/>
                <w:highlight w:val="none"/>
                <w:u w:val="single"/>
                <w:shd w:val="clear" w:color="auto" w:fill="auto"/>
              </w:rPr>
              <w:t>（北京时间）。</w:t>
            </w:r>
          </w:p>
          <w:p w14:paraId="4C5ABC1D">
            <w:pPr>
              <w:keepNext w:val="0"/>
              <w:keepLines w:val="0"/>
              <w:pageBreakBefore w:val="0"/>
              <w:widowControl w:val="0"/>
              <w:kinsoku/>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2.地点：</w:t>
            </w:r>
            <w:r>
              <w:rPr>
                <w:rFonts w:hint="eastAsia" w:ascii="宋体" w:hAnsi="宋体" w:eastAsia="宋体" w:cs="宋体"/>
                <w:color w:val="auto"/>
                <w:sz w:val="24"/>
                <w:highlight w:val="none"/>
                <w:u w:val="single"/>
              </w:rPr>
              <w:t>政采云平台（http：//www.zcygov.cn）</w:t>
            </w:r>
            <w:r>
              <w:rPr>
                <w:rFonts w:hint="eastAsia" w:ascii="宋体" w:hAnsi="宋体" w:eastAsia="宋体" w:cs="宋体"/>
                <w:color w:val="auto"/>
                <w:sz w:val="24"/>
                <w:highlight w:val="none"/>
                <w:u w:val="single"/>
                <w:shd w:val="clear" w:color="auto" w:fill="auto"/>
              </w:rPr>
              <w:t>。</w:t>
            </w:r>
          </w:p>
          <w:p w14:paraId="221E619A">
            <w:pPr>
              <w:keepNext w:val="0"/>
              <w:keepLines w:val="0"/>
              <w:pageBreakBefore w:val="0"/>
              <w:widowControl w:val="0"/>
              <w:kinsoku/>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开标参与方式：</w:t>
            </w:r>
            <w:r>
              <w:rPr>
                <w:rFonts w:hint="eastAsia" w:ascii="宋体" w:hAnsi="宋体" w:eastAsia="宋体" w:cs="宋体"/>
                <w:b/>
                <w:bCs/>
                <w:color w:val="auto"/>
                <w:sz w:val="24"/>
                <w:highlight w:val="none"/>
                <w:shd w:val="clear" w:color="auto" w:fill="auto"/>
              </w:rPr>
              <w:t>本项目采用远程开标方式进行开标，投标人无需到达开标现场</w:t>
            </w:r>
            <w:r>
              <w:rPr>
                <w:rFonts w:hint="eastAsia" w:ascii="宋体" w:hAnsi="宋体" w:eastAsia="宋体" w:cs="宋体"/>
                <w:color w:val="auto"/>
                <w:sz w:val="24"/>
                <w:highlight w:val="none"/>
                <w:shd w:val="clear" w:color="auto" w:fill="auto"/>
              </w:rPr>
              <w:t>。</w:t>
            </w:r>
          </w:p>
        </w:tc>
      </w:tr>
      <w:tr w14:paraId="0049BA5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423" w:type="dxa"/>
            <w:vMerge w:val="restart"/>
            <w:tcBorders>
              <w:top w:val="single" w:color="000000" w:sz="6" w:space="0"/>
            </w:tcBorders>
            <w:shd w:val="solid" w:color="FFFFFF" w:fill="auto"/>
            <w:noWrap w:val="0"/>
            <w:tcMar>
              <w:top w:w="0" w:type="dxa"/>
              <w:left w:w="0" w:type="dxa"/>
              <w:bottom w:w="0" w:type="dxa"/>
              <w:right w:w="0" w:type="dxa"/>
            </w:tcMar>
            <w:vAlign w:val="center"/>
          </w:tcPr>
          <w:p w14:paraId="1A0FF64F">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val="en-US" w:eastAsia="zh-CN"/>
              </w:rPr>
              <w:t>24</w:t>
            </w:r>
          </w:p>
        </w:tc>
        <w:tc>
          <w:tcPr>
            <w:tcW w:w="2410" w:type="dxa"/>
            <w:gridSpan w:val="2"/>
            <w:vMerge w:val="restart"/>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14:paraId="3657A413">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现场开标现场解密方式</w:t>
            </w:r>
            <w:r>
              <w:rPr>
                <w:rFonts w:hint="eastAsia" w:ascii="宋体" w:hAnsi="宋体" w:eastAsia="宋体" w:cs="宋体"/>
                <w:color w:val="auto"/>
                <w:sz w:val="24"/>
                <w:highlight w:val="none"/>
                <w:shd w:val="clear" w:color="auto" w:fill="auto"/>
                <w:lang w:eastAsia="zh-CN"/>
              </w:rPr>
              <w:t>、网上递交电子投标文件</w:t>
            </w:r>
          </w:p>
        </w:tc>
        <w:tc>
          <w:tcPr>
            <w:tcW w:w="7252" w:type="dxa"/>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14:paraId="4402BDDC">
            <w:pPr>
              <w:keepNext w:val="0"/>
              <w:keepLines w:val="0"/>
              <w:pageBreakBefore w:val="0"/>
              <w:widowControl w:val="0"/>
              <w:kinsoku/>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lang w:eastAsia="zh-CN"/>
              </w:rPr>
              <w:t>（</w:t>
            </w:r>
            <w:r>
              <w:rPr>
                <w:rFonts w:hint="eastAsia" w:ascii="宋体" w:hAnsi="宋体" w:eastAsia="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eastAsia="zh-CN"/>
              </w:rPr>
              <w:t>）</w:t>
            </w:r>
            <w:r>
              <w:rPr>
                <w:rFonts w:hint="eastAsia" w:ascii="宋体" w:hAnsi="宋体" w:eastAsia="宋体" w:cs="宋体"/>
                <w:color w:val="auto"/>
                <w:sz w:val="24"/>
                <w:highlight w:val="none"/>
                <w:shd w:val="clear" w:color="auto" w:fill="auto"/>
              </w:rPr>
              <w:t>投标人</w:t>
            </w:r>
            <w:r>
              <w:rPr>
                <w:rFonts w:hint="eastAsia" w:ascii="宋体" w:hAnsi="宋体" w:eastAsia="宋体" w:cs="宋体"/>
                <w:b/>
                <w:bCs/>
                <w:color w:val="auto"/>
                <w:sz w:val="24"/>
                <w:highlight w:val="none"/>
                <w:shd w:val="clear" w:color="auto" w:fill="auto"/>
              </w:rPr>
              <w:t>无须</w:t>
            </w:r>
            <w:r>
              <w:rPr>
                <w:rFonts w:hint="eastAsia" w:ascii="宋体" w:hAnsi="宋体" w:eastAsia="宋体" w:cs="宋体"/>
                <w:color w:val="auto"/>
                <w:sz w:val="24"/>
                <w:highlight w:val="none"/>
                <w:shd w:val="clear" w:color="auto" w:fill="auto"/>
              </w:rPr>
              <w:t>到现场开标现场解密</w:t>
            </w:r>
            <w:r>
              <w:rPr>
                <w:rFonts w:hint="eastAsia" w:ascii="宋体" w:hAnsi="宋体" w:cs="宋体"/>
                <w:color w:val="auto"/>
                <w:sz w:val="24"/>
                <w:highlight w:val="none"/>
                <w:shd w:val="clear" w:color="auto" w:fill="auto"/>
                <w:lang w:eastAsia="zh-CN"/>
              </w:rPr>
              <w:t>；</w:t>
            </w:r>
            <w:r>
              <w:rPr>
                <w:rFonts w:hint="eastAsia" w:ascii="宋体" w:hAnsi="宋体" w:eastAsia="宋体" w:cs="宋体"/>
                <w:color w:val="auto"/>
                <w:sz w:val="24"/>
                <w:highlight w:val="none"/>
                <w:shd w:val="clear" w:color="auto" w:fill="auto"/>
              </w:rPr>
              <w:t>到规定解密截止时间后已解密的投标人不足三家的，按规定重新招标。</w:t>
            </w:r>
          </w:p>
        </w:tc>
      </w:tr>
      <w:tr w14:paraId="660F5E5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423" w:type="dxa"/>
            <w:vMerge w:val="continue"/>
            <w:shd w:val="solid" w:color="FFFFFF" w:fill="auto"/>
            <w:noWrap w:val="0"/>
            <w:tcMar>
              <w:top w:w="0" w:type="dxa"/>
              <w:left w:w="0" w:type="dxa"/>
              <w:bottom w:w="0" w:type="dxa"/>
              <w:right w:w="0" w:type="dxa"/>
            </w:tcMar>
            <w:vAlign w:val="center"/>
          </w:tcPr>
          <w:p w14:paraId="08052317">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lang w:val="en-US" w:eastAsia="zh-CN"/>
              </w:rPr>
            </w:pPr>
          </w:p>
        </w:tc>
        <w:tc>
          <w:tcPr>
            <w:tcW w:w="2410" w:type="dxa"/>
            <w:gridSpan w:val="2"/>
            <w:vMerge w:val="continue"/>
            <w:tcBorders>
              <w:left w:val="single" w:color="000000" w:sz="6" w:space="0"/>
            </w:tcBorders>
            <w:shd w:val="solid" w:color="FFFFFF" w:fill="auto"/>
            <w:noWrap w:val="0"/>
            <w:tcMar>
              <w:top w:w="0" w:type="dxa"/>
              <w:left w:w="0" w:type="dxa"/>
              <w:bottom w:w="0" w:type="dxa"/>
              <w:right w:w="0" w:type="dxa"/>
            </w:tcMar>
            <w:vAlign w:val="center"/>
          </w:tcPr>
          <w:p w14:paraId="2486ED6F">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rPr>
            </w:pPr>
          </w:p>
        </w:tc>
        <w:tc>
          <w:tcPr>
            <w:tcW w:w="7252" w:type="dxa"/>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14:paraId="23BD1284">
            <w:pPr>
              <w:keepNext w:val="0"/>
              <w:keepLines w:val="0"/>
              <w:pageBreakBefore w:val="0"/>
              <w:widowControl w:val="0"/>
              <w:kinsoku/>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lang w:eastAsia="zh-CN"/>
              </w:rPr>
              <w:t>（</w:t>
            </w:r>
            <w:r>
              <w:rPr>
                <w:rFonts w:hint="eastAsia" w:ascii="宋体" w:hAnsi="宋体" w:eastAsia="宋体" w:cs="宋体"/>
                <w:color w:val="auto"/>
                <w:sz w:val="24"/>
                <w:highlight w:val="none"/>
                <w:shd w:val="clear" w:color="auto" w:fill="auto"/>
                <w:lang w:val="en-US" w:eastAsia="zh-CN"/>
              </w:rPr>
              <w:t>2</w:t>
            </w:r>
            <w:r>
              <w:rPr>
                <w:rFonts w:hint="eastAsia" w:ascii="宋体" w:hAnsi="宋体" w:eastAsia="宋体" w:cs="宋体"/>
                <w:color w:val="auto"/>
                <w:sz w:val="24"/>
                <w:highlight w:val="none"/>
                <w:shd w:val="clear" w:color="auto" w:fill="auto"/>
                <w:lang w:eastAsia="zh-CN"/>
              </w:rPr>
              <w:t>）</w:t>
            </w:r>
            <w:r>
              <w:rPr>
                <w:rFonts w:hint="eastAsia" w:ascii="宋体" w:hAnsi="宋体" w:eastAsia="宋体" w:cs="宋体"/>
                <w:color w:val="auto"/>
                <w:sz w:val="24"/>
                <w:highlight w:val="none"/>
                <w:shd w:val="clear" w:color="auto" w:fill="auto"/>
              </w:rPr>
              <w:t>投标文件递交网址为：政采云平台（http：//www.zcygov.cn），投标人须在投标截止时间前完成所有电子投标文件的上传，网上确认电子签章或电子签名。投标截止时间前未完成投标文件传输的，视为撤回投标文件。在递交投标文件截止前，投标人可以修改或撤回已在网上递交的投标文件，无须书面形式通知采购人。</w:t>
            </w:r>
          </w:p>
        </w:tc>
      </w:tr>
      <w:tr w14:paraId="61404B6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423" w:type="dxa"/>
            <w:tcBorders>
              <w:top w:val="single" w:color="000000" w:sz="6" w:space="0"/>
            </w:tcBorders>
            <w:shd w:val="solid" w:color="FFFFFF" w:fill="auto"/>
            <w:noWrap w:val="0"/>
            <w:tcMar>
              <w:top w:w="0" w:type="dxa"/>
              <w:left w:w="0" w:type="dxa"/>
              <w:bottom w:w="0" w:type="dxa"/>
              <w:right w:w="0" w:type="dxa"/>
            </w:tcMar>
            <w:vAlign w:val="center"/>
          </w:tcPr>
          <w:p w14:paraId="5865D04B">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val="en-US" w:eastAsia="zh-CN"/>
              </w:rPr>
              <w:t>25</w:t>
            </w:r>
          </w:p>
        </w:tc>
        <w:tc>
          <w:tcPr>
            <w:tcW w:w="2410" w:type="dxa"/>
            <w:gridSpan w:val="2"/>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14:paraId="34FC9CF2">
            <w:pPr>
              <w:pStyle w:val="12"/>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网上智能开标远程解密</w:t>
            </w:r>
          </w:p>
        </w:tc>
        <w:tc>
          <w:tcPr>
            <w:tcW w:w="7252" w:type="dxa"/>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14:paraId="3459857D">
            <w:pPr>
              <w:keepNext w:val="0"/>
              <w:keepLines w:val="0"/>
              <w:pageBreakBefore w:val="0"/>
              <w:widowControl w:val="0"/>
              <w:kinsoku/>
              <w:wordWrap/>
              <w:overflowPunct/>
              <w:topLinePunct w:val="0"/>
              <w:bidi w:val="0"/>
              <w:adjustRightInd/>
              <w:spacing w:line="360" w:lineRule="auto"/>
              <w:ind w:left="0" w:leftChars="0" w:right="0" w:rightChars="0"/>
              <w:jc w:val="left"/>
              <w:textAlignment w:val="auto"/>
              <w:rPr>
                <w:rFonts w:hint="eastAsia" w:ascii="宋体" w:hAnsi="宋体" w:eastAsia="宋体" w:cs="宋体"/>
                <w:bCs/>
                <w:color w:val="000000"/>
                <w:sz w:val="24"/>
                <w:highlight w:val="none"/>
              </w:rPr>
            </w:pPr>
            <w:r>
              <w:rPr>
                <w:rFonts w:hint="eastAsia" w:ascii="宋体" w:hAnsi="宋体" w:eastAsia="宋体" w:cs="宋体"/>
                <w:color w:val="auto"/>
                <w:sz w:val="24"/>
                <w:highlight w:val="none"/>
                <w:shd w:val="clear" w:color="auto" w:fill="auto"/>
              </w:rPr>
              <w:t xml:space="preserve">   </w:t>
            </w:r>
            <w:r>
              <w:rPr>
                <w:rFonts w:hint="eastAsia" w:ascii="宋体" w:hAnsi="宋体" w:eastAsia="宋体" w:cs="宋体"/>
                <w:bCs/>
                <w:color w:val="000000"/>
                <w:sz w:val="24"/>
                <w:highlight w:val="none"/>
              </w:rPr>
              <w:t>本项目采用网上智能开标系统网上远程解密。</w:t>
            </w:r>
          </w:p>
          <w:p w14:paraId="59546529">
            <w:pPr>
              <w:keepNext w:val="0"/>
              <w:keepLines w:val="0"/>
              <w:pageBreakBefore w:val="0"/>
              <w:widowControl w:val="0"/>
              <w:kinsoku/>
              <w:wordWrap/>
              <w:overflowPunct/>
              <w:topLinePunct w:val="0"/>
              <w:bidi w:val="0"/>
              <w:adjustRightInd/>
              <w:spacing w:line="360" w:lineRule="auto"/>
              <w:ind w:left="0" w:leftChars="0" w:right="0" w:rightChars="0"/>
              <w:jc w:val="left"/>
              <w:textAlignment w:val="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（1）采购代理机构依托电子交易平台发起开始解密指令，</w:t>
            </w:r>
            <w:r>
              <w:rPr>
                <w:rFonts w:hint="eastAsia" w:ascii="宋体" w:hAnsi="宋体" w:eastAsia="宋体" w:cs="宋体"/>
                <w:bCs/>
                <w:color w:val="000000"/>
                <w:sz w:val="24"/>
                <w:highlight w:val="none"/>
                <w:lang w:val="en-US" w:eastAsia="zh-CN"/>
              </w:rPr>
              <w:t>投标人</w:t>
            </w:r>
            <w:r>
              <w:rPr>
                <w:rFonts w:hint="eastAsia" w:ascii="宋体" w:hAnsi="宋体" w:eastAsia="宋体" w:cs="宋体"/>
                <w:bCs/>
                <w:color w:val="000000"/>
                <w:sz w:val="24"/>
                <w:highlight w:val="none"/>
              </w:rPr>
              <w:t>须使用加密时所用的CA锁按平台提示和</w:t>
            </w:r>
            <w:r>
              <w:rPr>
                <w:rFonts w:hint="eastAsia" w:ascii="宋体" w:hAnsi="宋体" w:eastAsia="宋体" w:cs="宋体"/>
                <w:bCs/>
                <w:color w:val="000000"/>
                <w:sz w:val="24"/>
                <w:highlight w:val="none"/>
                <w:lang w:eastAsia="zh-CN"/>
              </w:rPr>
              <w:t>投标文件</w:t>
            </w:r>
            <w:r>
              <w:rPr>
                <w:rFonts w:hint="eastAsia" w:ascii="宋体" w:hAnsi="宋体" w:eastAsia="宋体" w:cs="宋体"/>
                <w:bCs/>
                <w:color w:val="000000"/>
                <w:sz w:val="24"/>
                <w:highlight w:val="none"/>
              </w:rPr>
              <w:t>的规定登录到“政采云”平台电子开标大厅签到，并在发起解密指令之时起</w:t>
            </w:r>
            <w:r>
              <w:rPr>
                <w:rFonts w:hint="eastAsia" w:ascii="宋体" w:hAnsi="宋体" w:eastAsia="宋体" w:cs="宋体"/>
                <w:bCs/>
                <w:color w:val="000000"/>
                <w:sz w:val="24"/>
                <w:highlight w:val="none"/>
                <w:lang w:val="en-US" w:eastAsia="zh-CN"/>
              </w:rPr>
              <w:t>6</w:t>
            </w:r>
            <w:r>
              <w:rPr>
                <w:rFonts w:hint="eastAsia" w:ascii="宋体" w:hAnsi="宋体" w:eastAsia="宋体" w:cs="宋体"/>
                <w:bCs/>
                <w:color w:val="000000"/>
                <w:sz w:val="24"/>
                <w:highlight w:val="none"/>
              </w:rPr>
              <w:t>0分钟内完成对电子</w:t>
            </w:r>
            <w:r>
              <w:rPr>
                <w:rFonts w:hint="eastAsia" w:ascii="宋体" w:hAnsi="宋体" w:eastAsia="宋体" w:cs="宋体"/>
                <w:bCs/>
                <w:color w:val="000000"/>
                <w:sz w:val="24"/>
                <w:highlight w:val="none"/>
                <w:lang w:eastAsia="zh-CN"/>
              </w:rPr>
              <w:t>投标文件</w:t>
            </w:r>
            <w:r>
              <w:rPr>
                <w:rFonts w:hint="eastAsia" w:ascii="宋体" w:hAnsi="宋体" w:eastAsia="宋体" w:cs="宋体"/>
                <w:bCs/>
                <w:color w:val="000000"/>
                <w:sz w:val="24"/>
                <w:highlight w:val="none"/>
              </w:rPr>
              <w:t>在线解密。</w:t>
            </w:r>
          </w:p>
          <w:p w14:paraId="34DB733C">
            <w:pPr>
              <w:keepNext w:val="0"/>
              <w:keepLines w:val="0"/>
              <w:pageBreakBefore w:val="0"/>
              <w:widowControl w:val="0"/>
              <w:kinsoku/>
              <w:wordWrap/>
              <w:overflowPunct/>
              <w:topLinePunct w:val="0"/>
              <w:bidi w:val="0"/>
              <w:adjustRightInd/>
              <w:spacing w:line="360" w:lineRule="auto"/>
              <w:ind w:left="0" w:leftChars="0" w:right="0" w:rightChars="0"/>
              <w:jc w:val="left"/>
              <w:textAlignment w:val="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（2）发起解密指令之时起5分钟内</w:t>
            </w:r>
            <w:r>
              <w:rPr>
                <w:rFonts w:hint="eastAsia" w:ascii="宋体" w:hAnsi="宋体" w:eastAsia="宋体" w:cs="宋体"/>
                <w:bCs/>
                <w:color w:val="000000"/>
                <w:sz w:val="24"/>
                <w:highlight w:val="none"/>
                <w:lang w:val="en-US" w:eastAsia="zh-CN"/>
              </w:rPr>
              <w:t>投标人</w:t>
            </w:r>
            <w:r>
              <w:rPr>
                <w:rFonts w:hint="eastAsia" w:ascii="宋体" w:hAnsi="宋体" w:eastAsia="宋体" w:cs="宋体"/>
                <w:bCs/>
                <w:color w:val="000000"/>
                <w:sz w:val="24"/>
                <w:highlight w:val="none"/>
              </w:rPr>
              <w:t>还未进行解密的，代理机构可通知</w:t>
            </w:r>
            <w:r>
              <w:rPr>
                <w:rFonts w:hint="eastAsia" w:ascii="宋体" w:hAnsi="宋体" w:eastAsia="宋体" w:cs="宋体"/>
                <w:bCs/>
                <w:color w:val="000000"/>
                <w:sz w:val="24"/>
                <w:highlight w:val="none"/>
                <w:lang w:val="en-US" w:eastAsia="zh-CN"/>
              </w:rPr>
              <w:t>投标人</w:t>
            </w:r>
            <w:r>
              <w:rPr>
                <w:rFonts w:hint="eastAsia" w:ascii="宋体" w:hAnsi="宋体" w:eastAsia="宋体" w:cs="宋体"/>
                <w:bCs/>
                <w:color w:val="000000"/>
                <w:sz w:val="24"/>
                <w:highlight w:val="none"/>
              </w:rPr>
              <w:t>，</w:t>
            </w:r>
            <w:r>
              <w:rPr>
                <w:rFonts w:hint="eastAsia" w:ascii="宋体" w:hAnsi="宋体" w:eastAsia="宋体" w:cs="宋体"/>
                <w:bCs/>
                <w:color w:val="000000"/>
                <w:sz w:val="24"/>
                <w:highlight w:val="none"/>
                <w:lang w:val="en-US" w:eastAsia="zh-CN"/>
              </w:rPr>
              <w:t>投标人</w:t>
            </w:r>
            <w:r>
              <w:rPr>
                <w:rFonts w:hint="eastAsia" w:ascii="宋体" w:hAnsi="宋体" w:eastAsia="宋体" w:cs="宋体"/>
                <w:bCs/>
                <w:color w:val="000000"/>
                <w:sz w:val="24"/>
                <w:highlight w:val="none"/>
              </w:rPr>
              <w:t>未预留联系方式或预留联系方式无效导致代理机构无法联系到</w:t>
            </w:r>
            <w:r>
              <w:rPr>
                <w:rFonts w:hint="eastAsia" w:ascii="宋体" w:hAnsi="宋体" w:eastAsia="宋体" w:cs="宋体"/>
                <w:bCs/>
                <w:color w:val="000000"/>
                <w:sz w:val="24"/>
                <w:highlight w:val="none"/>
                <w:lang w:val="en-US" w:eastAsia="zh-CN"/>
              </w:rPr>
              <w:t>投标人</w:t>
            </w:r>
            <w:r>
              <w:rPr>
                <w:rFonts w:hint="eastAsia" w:ascii="宋体" w:hAnsi="宋体" w:eastAsia="宋体" w:cs="宋体"/>
                <w:bCs/>
                <w:color w:val="000000"/>
                <w:sz w:val="24"/>
                <w:highlight w:val="none"/>
              </w:rPr>
              <w:t>进行解密的，视为撤回</w:t>
            </w:r>
            <w:r>
              <w:rPr>
                <w:rFonts w:hint="eastAsia" w:ascii="宋体" w:hAnsi="宋体" w:eastAsia="宋体" w:cs="宋体"/>
                <w:bCs/>
                <w:color w:val="000000"/>
                <w:sz w:val="24"/>
                <w:highlight w:val="none"/>
                <w:lang w:eastAsia="zh-CN"/>
              </w:rPr>
              <w:t>投标文件</w:t>
            </w:r>
            <w:r>
              <w:rPr>
                <w:rFonts w:hint="eastAsia" w:ascii="宋体" w:hAnsi="宋体" w:eastAsia="宋体" w:cs="宋体"/>
                <w:bCs/>
                <w:color w:val="000000"/>
                <w:sz w:val="24"/>
                <w:highlight w:val="none"/>
              </w:rPr>
              <w:t>。</w:t>
            </w:r>
          </w:p>
          <w:p w14:paraId="33440328">
            <w:pPr>
              <w:keepNext w:val="0"/>
              <w:keepLines w:val="0"/>
              <w:pageBreakBefore w:val="0"/>
              <w:widowControl w:val="0"/>
              <w:kinsoku/>
              <w:wordWrap/>
              <w:overflowPunct/>
              <w:topLinePunct w:val="0"/>
              <w:bidi w:val="0"/>
              <w:adjustRightInd/>
              <w:spacing w:line="360" w:lineRule="auto"/>
              <w:ind w:left="0" w:leftChars="0" w:right="0" w:rightChars="0"/>
              <w:jc w:val="left"/>
              <w:textAlignment w:val="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（3）</w:t>
            </w:r>
            <w:r>
              <w:rPr>
                <w:rFonts w:hint="eastAsia" w:ascii="宋体" w:hAnsi="宋体" w:eastAsia="宋体" w:cs="宋体"/>
                <w:bCs/>
                <w:color w:val="000000"/>
                <w:sz w:val="24"/>
                <w:highlight w:val="none"/>
                <w:lang w:val="en-US" w:eastAsia="zh-CN"/>
              </w:rPr>
              <w:t>投标人</w:t>
            </w:r>
            <w:r>
              <w:rPr>
                <w:rFonts w:hint="eastAsia" w:ascii="宋体" w:hAnsi="宋体" w:eastAsia="宋体" w:cs="宋体"/>
                <w:bCs/>
                <w:color w:val="000000"/>
                <w:sz w:val="24"/>
                <w:highlight w:val="none"/>
              </w:rPr>
              <w:t>若对本项目在线开标过程有异议</w:t>
            </w:r>
            <w:r>
              <w:rPr>
                <w:rFonts w:hint="eastAsia" w:ascii="宋体" w:hAnsi="宋体" w:eastAsia="宋体" w:cs="宋体"/>
                <w:bCs/>
                <w:color w:val="000000"/>
                <w:sz w:val="24"/>
                <w:highlight w:val="none"/>
                <w:lang w:eastAsia="zh-CN"/>
              </w:rPr>
              <w:t>的</w:t>
            </w:r>
            <w:r>
              <w:rPr>
                <w:rFonts w:hint="eastAsia" w:ascii="宋体" w:hAnsi="宋体" w:eastAsia="宋体" w:cs="宋体"/>
                <w:bCs/>
                <w:color w:val="000000"/>
                <w:sz w:val="24"/>
                <w:highlight w:val="none"/>
              </w:rPr>
              <w:t>应在开标结束指令下达前提出</w:t>
            </w:r>
            <w:r>
              <w:rPr>
                <w:rFonts w:hint="eastAsia" w:ascii="宋体" w:hAnsi="宋体" w:eastAsia="宋体" w:cs="宋体"/>
                <w:bCs/>
                <w:color w:val="000000"/>
                <w:sz w:val="24"/>
                <w:highlight w:val="none"/>
                <w:lang w:eastAsia="zh-CN"/>
              </w:rPr>
              <w:t>，</w:t>
            </w:r>
            <w:r>
              <w:rPr>
                <w:rFonts w:hint="eastAsia" w:ascii="宋体" w:hAnsi="宋体" w:eastAsia="宋体" w:cs="宋体"/>
                <w:bCs/>
                <w:color w:val="000000"/>
                <w:sz w:val="24"/>
                <w:highlight w:val="none"/>
              </w:rPr>
              <w:t>否则视为</w:t>
            </w:r>
            <w:r>
              <w:rPr>
                <w:rFonts w:hint="eastAsia" w:ascii="宋体" w:hAnsi="宋体" w:eastAsia="宋体" w:cs="宋体"/>
                <w:bCs/>
                <w:color w:val="000000"/>
                <w:sz w:val="24"/>
                <w:highlight w:val="none"/>
                <w:lang w:val="en-US" w:eastAsia="zh-CN"/>
              </w:rPr>
              <w:t>投标人</w:t>
            </w:r>
            <w:r>
              <w:rPr>
                <w:rFonts w:hint="eastAsia" w:ascii="宋体" w:hAnsi="宋体" w:eastAsia="宋体" w:cs="宋体"/>
                <w:bCs/>
                <w:color w:val="000000"/>
                <w:sz w:val="24"/>
                <w:highlight w:val="none"/>
              </w:rPr>
              <w:t>对本项目开标过程无任何异议。</w:t>
            </w:r>
          </w:p>
          <w:p w14:paraId="45DBE1E6">
            <w:pPr>
              <w:keepNext w:val="0"/>
              <w:keepLines w:val="0"/>
              <w:pageBreakBefore w:val="0"/>
              <w:widowControl w:val="0"/>
              <w:kinsoku/>
              <w:wordWrap/>
              <w:overflowPunct/>
              <w:topLinePunct w:val="0"/>
              <w:bidi w:val="0"/>
              <w:adjustRightInd/>
              <w:spacing w:line="360" w:lineRule="auto"/>
              <w:ind w:left="0" w:leftChars="0" w:right="0" w:rightChars="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bCs/>
                <w:color w:val="000000"/>
                <w:sz w:val="24"/>
                <w:highlight w:val="none"/>
              </w:rPr>
              <w:t>（4）因开标系统、开标现场网络、设备及其他特殊原因，导致不能正常解密</w:t>
            </w:r>
            <w:r>
              <w:rPr>
                <w:rFonts w:hint="eastAsia" w:ascii="宋体" w:hAnsi="宋体" w:eastAsia="宋体" w:cs="宋体"/>
                <w:bCs/>
                <w:color w:val="000000"/>
                <w:sz w:val="24"/>
                <w:highlight w:val="none"/>
                <w:lang w:eastAsia="zh-CN"/>
              </w:rPr>
              <w:t>投标文件</w:t>
            </w:r>
            <w:r>
              <w:rPr>
                <w:rFonts w:hint="eastAsia" w:ascii="宋体" w:hAnsi="宋体" w:eastAsia="宋体" w:cs="宋体"/>
                <w:bCs/>
                <w:color w:val="000000"/>
                <w:sz w:val="24"/>
                <w:highlight w:val="none"/>
              </w:rPr>
              <w:t>的，经核实和上报相关部门同意后，可再次下达网上解密指令来延长解密时间。</w:t>
            </w:r>
          </w:p>
        </w:tc>
      </w:tr>
      <w:tr w14:paraId="11C0BA0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423" w:type="dxa"/>
            <w:tcBorders>
              <w:top w:val="single" w:color="000000" w:sz="6" w:space="0"/>
            </w:tcBorders>
            <w:shd w:val="solid" w:color="FFFFFF" w:fill="auto"/>
            <w:noWrap w:val="0"/>
            <w:tcMar>
              <w:top w:w="0" w:type="dxa"/>
              <w:left w:w="0" w:type="dxa"/>
              <w:bottom w:w="0" w:type="dxa"/>
              <w:right w:w="0" w:type="dxa"/>
            </w:tcMar>
            <w:vAlign w:val="center"/>
          </w:tcPr>
          <w:p w14:paraId="233E7570">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val="en-US" w:eastAsia="zh-CN"/>
              </w:rPr>
              <w:t>26</w:t>
            </w:r>
          </w:p>
        </w:tc>
        <w:tc>
          <w:tcPr>
            <w:tcW w:w="2410" w:type="dxa"/>
            <w:gridSpan w:val="2"/>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14:paraId="20B2273D">
            <w:pPr>
              <w:pStyle w:val="12"/>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评标委员会的</w:t>
            </w:r>
          </w:p>
          <w:p w14:paraId="3269BC14">
            <w:pPr>
              <w:pStyle w:val="12"/>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组建</w:t>
            </w:r>
          </w:p>
        </w:tc>
        <w:tc>
          <w:tcPr>
            <w:tcW w:w="7252" w:type="dxa"/>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14:paraId="31F9BA2A">
            <w:pPr>
              <w:keepNext w:val="0"/>
              <w:keepLines w:val="0"/>
              <w:pageBreakBefore w:val="0"/>
              <w:widowControl w:val="0"/>
              <w:kinsoku/>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评标委员会构成：由采购人代表和评审专家组成，成员人数为</w:t>
            </w:r>
            <w:r>
              <w:rPr>
                <w:rFonts w:hint="eastAsia" w:ascii="宋体" w:hAnsi="宋体" w:eastAsia="宋体" w:cs="宋体"/>
                <w:color w:val="auto"/>
                <w:sz w:val="24"/>
                <w:highlight w:val="none"/>
                <w:shd w:val="clear" w:color="auto" w:fill="auto"/>
                <w:lang w:val="en-US" w:eastAsia="zh-CN"/>
              </w:rPr>
              <w:t>5</w:t>
            </w:r>
            <w:r>
              <w:rPr>
                <w:rFonts w:hint="eastAsia" w:ascii="宋体" w:hAnsi="宋体" w:eastAsia="宋体" w:cs="宋体"/>
                <w:color w:val="auto"/>
                <w:sz w:val="24"/>
                <w:highlight w:val="none"/>
                <w:shd w:val="clear" w:color="auto" w:fill="auto"/>
              </w:rPr>
              <w:t>人及以上单数，其中评审专家不得少于成员总数的三分之二。</w:t>
            </w:r>
          </w:p>
          <w:p w14:paraId="4A54449A">
            <w:pPr>
              <w:keepNext w:val="0"/>
              <w:keepLines w:val="0"/>
              <w:pageBreakBefore w:val="0"/>
              <w:widowControl w:val="0"/>
              <w:kinsoku/>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评标专家确定方式：在政府采购评审专家库中随机抽取。</w:t>
            </w:r>
          </w:p>
        </w:tc>
      </w:tr>
      <w:tr w14:paraId="13D8810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53" w:hRule="atLeast"/>
          <w:jc w:val="center"/>
        </w:trPr>
        <w:tc>
          <w:tcPr>
            <w:tcW w:w="423" w:type="dxa"/>
            <w:tcBorders>
              <w:top w:val="single" w:color="000000" w:sz="6" w:space="0"/>
            </w:tcBorders>
            <w:shd w:val="solid" w:color="FFFFFF" w:fill="auto"/>
            <w:noWrap w:val="0"/>
            <w:tcMar>
              <w:top w:w="0" w:type="dxa"/>
              <w:left w:w="0" w:type="dxa"/>
              <w:bottom w:w="0" w:type="dxa"/>
              <w:right w:w="0" w:type="dxa"/>
            </w:tcMar>
            <w:vAlign w:val="center"/>
          </w:tcPr>
          <w:p w14:paraId="20F7B6DD">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val="en-US" w:eastAsia="zh-CN"/>
              </w:rPr>
              <w:t>27</w:t>
            </w:r>
          </w:p>
        </w:tc>
        <w:tc>
          <w:tcPr>
            <w:tcW w:w="2410" w:type="dxa"/>
            <w:gridSpan w:val="2"/>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14:paraId="48B16B65">
            <w:pPr>
              <w:keepNext w:val="0"/>
              <w:keepLines w:val="0"/>
              <w:pageBreakBefore w:val="0"/>
              <w:widowControl w:val="0"/>
              <w:kinsoku/>
              <w:wordWrap/>
              <w:overflowPunct/>
              <w:topLinePunct w:val="0"/>
              <w:autoSpaceDE w:val="0"/>
              <w:autoSpaceDN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是否授权评标委员会确定中标人</w:t>
            </w:r>
          </w:p>
        </w:tc>
        <w:tc>
          <w:tcPr>
            <w:tcW w:w="7252" w:type="dxa"/>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14:paraId="73ED14A8">
            <w:pPr>
              <w:keepNext w:val="0"/>
              <w:keepLines w:val="0"/>
              <w:pageBreakBefore w:val="0"/>
              <w:widowControl w:val="0"/>
              <w:kinsoku/>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是</w:t>
            </w:r>
          </w:p>
          <w:p w14:paraId="02E5D130">
            <w:pPr>
              <w:keepNext w:val="0"/>
              <w:keepLines w:val="0"/>
              <w:pageBreakBefore w:val="0"/>
              <w:widowControl w:val="0"/>
              <w:kinsoku/>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否，推荐中标候选人。</w:t>
            </w:r>
          </w:p>
        </w:tc>
      </w:tr>
      <w:tr w14:paraId="7081F5F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423" w:type="dxa"/>
            <w:tcBorders>
              <w:top w:val="single" w:color="000000" w:sz="6" w:space="0"/>
            </w:tcBorders>
            <w:shd w:val="solid" w:color="FFFFFF" w:fill="auto"/>
            <w:noWrap w:val="0"/>
            <w:tcMar>
              <w:top w:w="0" w:type="dxa"/>
              <w:left w:w="0" w:type="dxa"/>
              <w:bottom w:w="0" w:type="dxa"/>
              <w:right w:w="0" w:type="dxa"/>
            </w:tcMar>
            <w:vAlign w:val="center"/>
          </w:tcPr>
          <w:p w14:paraId="6EDDF60B">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val="en-US" w:eastAsia="zh-CN"/>
              </w:rPr>
              <w:t>28</w:t>
            </w:r>
          </w:p>
        </w:tc>
        <w:tc>
          <w:tcPr>
            <w:tcW w:w="2410" w:type="dxa"/>
            <w:gridSpan w:val="2"/>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14:paraId="3AD723D9">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eastAsia="zh-CN"/>
              </w:rPr>
              <w:t>中标服务费</w:t>
            </w:r>
          </w:p>
        </w:tc>
        <w:tc>
          <w:tcPr>
            <w:tcW w:w="7252" w:type="dxa"/>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14:paraId="11C8D282">
            <w:pPr>
              <w:keepNext w:val="0"/>
              <w:keepLines w:val="0"/>
              <w:pageBreakBefore w:val="0"/>
              <w:widowControl w:val="0"/>
              <w:kinsoku/>
              <w:wordWrap/>
              <w:overflowPunct/>
              <w:topLinePunct w:val="0"/>
              <w:bidi w:val="0"/>
              <w:spacing w:line="360" w:lineRule="auto"/>
              <w:ind w:left="0" w:leftChars="0" w:right="0" w:rightChars="0"/>
              <w:textAlignment w:val="auto"/>
              <w:outlineLvl w:val="9"/>
              <w:rPr>
                <w:rFonts w:hint="eastAsia" w:ascii="宋体" w:hAnsi="宋体" w:eastAsia="宋体" w:cs="宋体"/>
                <w:b w:val="0"/>
                <w:bCs w:val="0"/>
                <w:color w:val="auto"/>
                <w:sz w:val="24"/>
                <w:szCs w:val="24"/>
                <w:highlight w:val="yellow"/>
                <w:lang w:val="en-US" w:eastAsia="zh-CN"/>
              </w:rPr>
            </w:pPr>
            <w:r>
              <w:rPr>
                <w:rFonts w:hint="eastAsia" w:ascii="宋体" w:hAnsi="宋体" w:eastAsia="宋体" w:cs="宋体"/>
                <w:b w:val="0"/>
                <w:bCs w:val="0"/>
                <w:color w:val="auto"/>
                <w:sz w:val="24"/>
                <w:szCs w:val="24"/>
                <w:highlight w:val="none"/>
                <w:lang w:val="en-US" w:eastAsia="zh-CN"/>
              </w:rPr>
              <w:t>（1）金额：</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28607.00</w:t>
            </w:r>
            <w:r>
              <w:rPr>
                <w:rFonts w:hint="eastAsia" w:ascii="宋体" w:hAnsi="宋体" w:eastAsia="宋体" w:cs="宋体"/>
                <w:b/>
                <w:bCs/>
                <w:color w:val="auto"/>
                <w:sz w:val="24"/>
                <w:szCs w:val="24"/>
                <w:highlight w:val="none"/>
                <w:lang w:val="en-US" w:eastAsia="zh-CN"/>
              </w:rPr>
              <w:t>元（</w:t>
            </w:r>
            <w:r>
              <w:rPr>
                <w:rFonts w:hint="eastAsia" w:ascii="宋体" w:hAnsi="宋体" w:cs="宋体"/>
                <w:b/>
                <w:bCs/>
                <w:color w:val="auto"/>
                <w:sz w:val="24"/>
                <w:szCs w:val="24"/>
                <w:highlight w:val="none"/>
                <w:lang w:val="en-US" w:eastAsia="zh-CN"/>
              </w:rPr>
              <w:t>其中：1包：14300.00元；2包：14307.00元</w:t>
            </w:r>
            <w:r>
              <w:rPr>
                <w:rFonts w:hint="eastAsia" w:ascii="宋体" w:hAnsi="宋体" w:eastAsia="宋体" w:cs="宋体"/>
                <w:b/>
                <w:bCs/>
                <w:color w:val="auto"/>
                <w:sz w:val="24"/>
                <w:szCs w:val="24"/>
                <w:highlight w:val="none"/>
                <w:lang w:val="en-US" w:eastAsia="zh-CN"/>
              </w:rPr>
              <w:t>）</w:t>
            </w:r>
          </w:p>
          <w:p w14:paraId="60D956FD">
            <w:pPr>
              <w:keepNext w:val="0"/>
              <w:keepLines w:val="0"/>
              <w:pageBreakBefore w:val="0"/>
              <w:widowControl w:val="0"/>
              <w:kinsoku/>
              <w:wordWrap/>
              <w:overflowPunct/>
              <w:topLinePunct w:val="0"/>
              <w:bidi w:val="0"/>
              <w:spacing w:line="360" w:lineRule="auto"/>
              <w:ind w:left="0" w:leftChars="0" w:right="0" w:rightChars="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（2）缴纳方式：可用现金、</w:t>
            </w:r>
            <w:r>
              <w:rPr>
                <w:rFonts w:hint="eastAsia" w:ascii="宋体" w:hAnsi="宋体" w:cs="宋体"/>
                <w:b w:val="0"/>
                <w:bCs w:val="0"/>
                <w:color w:val="auto"/>
                <w:sz w:val="24"/>
                <w:szCs w:val="24"/>
                <w:highlight w:val="none"/>
                <w:lang w:val="en-US" w:eastAsia="zh-CN"/>
              </w:rPr>
              <w:t>微信、</w:t>
            </w:r>
            <w:r>
              <w:rPr>
                <w:rFonts w:hint="eastAsia" w:ascii="宋体" w:hAnsi="宋体" w:eastAsia="宋体" w:cs="宋体"/>
                <w:b w:val="0"/>
                <w:bCs w:val="0"/>
                <w:color w:val="auto"/>
                <w:sz w:val="24"/>
                <w:szCs w:val="24"/>
                <w:highlight w:val="none"/>
                <w:lang w:val="en-US" w:eastAsia="zh-CN"/>
              </w:rPr>
              <w:t>银行转账或电汇的付款方式。</w:t>
            </w:r>
          </w:p>
          <w:p w14:paraId="1F24F35D">
            <w:pPr>
              <w:keepNext w:val="0"/>
              <w:keepLines w:val="0"/>
              <w:pageBreakBefore w:val="0"/>
              <w:widowControl w:val="0"/>
              <w:kinsoku/>
              <w:wordWrap/>
              <w:overflowPunct/>
              <w:topLinePunct w:val="0"/>
              <w:bidi w:val="0"/>
              <w:spacing w:line="360" w:lineRule="auto"/>
              <w:ind w:left="0" w:leftChars="0" w:right="0" w:rightChars="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缴纳账户信息：</w:t>
            </w:r>
          </w:p>
          <w:p w14:paraId="492FCB23">
            <w:pPr>
              <w:pageBreakBefore w:val="0"/>
              <w:kinsoku/>
              <w:overflowPunct/>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账户名称：</w:t>
            </w:r>
            <w:r>
              <w:rPr>
                <w:rFonts w:hint="eastAsia" w:ascii="宋体" w:hAnsi="宋体" w:eastAsia="宋体" w:cs="宋体"/>
                <w:b/>
                <w:bCs/>
                <w:sz w:val="24"/>
                <w:szCs w:val="24"/>
                <w:lang w:eastAsia="zh-CN"/>
              </w:rPr>
              <w:t>云南上资咨询有限公司</w:t>
            </w:r>
            <w:r>
              <w:rPr>
                <w:rFonts w:hint="eastAsia" w:ascii="宋体" w:hAnsi="宋体" w:eastAsia="宋体" w:cs="宋体"/>
                <w:b/>
                <w:bCs/>
                <w:sz w:val="24"/>
                <w:szCs w:val="24"/>
              </w:rPr>
              <w:t>玉溪分公司</w:t>
            </w:r>
          </w:p>
          <w:p w14:paraId="42FB9286">
            <w:pPr>
              <w:pageBreakBefore w:val="0"/>
              <w:kinsoku/>
              <w:overflowPunct/>
              <w:bidi w:val="0"/>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rPr>
              <w:t>开户行：</w:t>
            </w:r>
            <w:r>
              <w:rPr>
                <w:rFonts w:hint="eastAsia" w:ascii="宋体" w:hAnsi="宋体" w:eastAsia="宋体" w:cs="宋体"/>
                <w:b/>
                <w:bCs/>
                <w:sz w:val="24"/>
                <w:szCs w:val="24"/>
                <w:lang w:val="en-US" w:eastAsia="zh-CN"/>
              </w:rPr>
              <w:t>中国建设银行股份有限公司玉溪大营街支行</w:t>
            </w:r>
          </w:p>
          <w:p w14:paraId="7013F10E">
            <w:pPr>
              <w:pageBreakBefore w:val="0"/>
              <w:kinsoku/>
              <w:overflowPunct/>
              <w:bidi w:val="0"/>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rPr>
              <w:t>账号：</w:t>
            </w:r>
            <w:r>
              <w:rPr>
                <w:rFonts w:hint="eastAsia" w:ascii="宋体" w:hAnsi="宋体" w:eastAsia="宋体" w:cs="宋体"/>
                <w:b/>
                <w:bCs/>
                <w:sz w:val="24"/>
                <w:szCs w:val="24"/>
                <w:lang w:val="en-US" w:eastAsia="zh-CN"/>
              </w:rPr>
              <w:t>53050165614900000525</w:t>
            </w:r>
          </w:p>
          <w:p w14:paraId="15DB0748">
            <w:pPr>
              <w:keepNext w:val="0"/>
              <w:keepLines w:val="0"/>
              <w:pageBreakBefore w:val="0"/>
              <w:widowControl w:val="0"/>
              <w:kinsoku/>
              <w:wordWrap/>
              <w:overflowPunct/>
              <w:topLinePunct w:val="0"/>
              <w:bidi w:val="0"/>
              <w:spacing w:line="360" w:lineRule="auto"/>
              <w:ind w:left="0" w:leftChars="0" w:right="0" w:rightChars="0"/>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b w:val="0"/>
                <w:bCs w:val="0"/>
                <w:color w:val="auto"/>
                <w:sz w:val="24"/>
                <w:szCs w:val="24"/>
                <w:highlight w:val="none"/>
                <w:lang w:val="en-US" w:eastAsia="zh-CN"/>
              </w:rPr>
              <w:t>（3）中标人在领取《中标通知书》前应向采购代理机构缴纳中标服务费。如采用电汇或银行转账，须同时递交中标服务费缴费凭证复印件</w:t>
            </w:r>
            <w:r>
              <w:rPr>
                <w:rFonts w:hint="eastAsia" w:ascii="宋体" w:hAnsi="宋体" w:eastAsia="宋体" w:cs="宋体"/>
                <w:b w:val="0"/>
                <w:bCs w:val="0"/>
                <w:color w:val="auto"/>
                <w:sz w:val="24"/>
                <w:highlight w:val="none"/>
                <w:shd w:val="clear" w:color="auto" w:fill="auto"/>
              </w:rPr>
              <w:t>。</w:t>
            </w:r>
          </w:p>
        </w:tc>
      </w:tr>
      <w:tr w14:paraId="28D2364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423" w:type="dxa"/>
            <w:tcBorders>
              <w:top w:val="single" w:color="000000" w:sz="6" w:space="0"/>
              <w:bottom w:val="single" w:color="000000" w:sz="6" w:space="0"/>
            </w:tcBorders>
            <w:shd w:val="solid" w:color="FFFFFF" w:fill="auto"/>
            <w:noWrap w:val="0"/>
            <w:tcMar>
              <w:top w:w="0" w:type="dxa"/>
              <w:left w:w="0" w:type="dxa"/>
              <w:bottom w:w="0" w:type="dxa"/>
              <w:right w:w="0" w:type="dxa"/>
            </w:tcMar>
            <w:vAlign w:val="center"/>
          </w:tcPr>
          <w:p w14:paraId="23D50D4B">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val="en-US" w:eastAsia="zh-CN"/>
              </w:rPr>
              <w:t>29</w:t>
            </w:r>
          </w:p>
        </w:tc>
        <w:tc>
          <w:tcPr>
            <w:tcW w:w="9662" w:type="dxa"/>
            <w:gridSpan w:val="3"/>
            <w:tcBorders>
              <w:top w:val="single" w:color="000000" w:sz="6" w:space="0"/>
              <w:left w:val="single" w:color="000000" w:sz="6" w:space="0"/>
              <w:bottom w:val="single" w:color="000000" w:sz="6" w:space="0"/>
            </w:tcBorders>
            <w:shd w:val="solid" w:color="FFFFFF" w:fill="auto"/>
            <w:noWrap w:val="0"/>
            <w:tcMar>
              <w:top w:w="0" w:type="dxa"/>
              <w:left w:w="0" w:type="dxa"/>
              <w:bottom w:w="0" w:type="dxa"/>
              <w:right w:w="0" w:type="dxa"/>
            </w:tcMar>
            <w:vAlign w:val="center"/>
          </w:tcPr>
          <w:p w14:paraId="3262BF05">
            <w:pPr>
              <w:keepNext w:val="0"/>
              <w:keepLines w:val="0"/>
              <w:pageBreakBefore w:val="0"/>
              <w:widowControl w:val="0"/>
              <w:kinsoku/>
              <w:wordWrap/>
              <w:overflowPunct/>
              <w:topLinePunct w:val="0"/>
              <w:bidi w:val="0"/>
              <w:spacing w:line="360" w:lineRule="auto"/>
              <w:ind w:left="0" w:leftChars="0" w:right="0" w:rightChars="0"/>
              <w:textAlignment w:val="auto"/>
              <w:outlineLvl w:val="9"/>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落实的政府采购政策：</w:t>
            </w:r>
          </w:p>
          <w:p w14:paraId="792CE429">
            <w:pPr>
              <w:keepNext w:val="0"/>
              <w:keepLines w:val="0"/>
              <w:pageBreakBefore w:val="0"/>
              <w:widowControl w:val="0"/>
              <w:kinsoku/>
              <w:wordWrap/>
              <w:overflowPunct/>
              <w:topLinePunct w:val="0"/>
              <w:bidi w:val="0"/>
              <w:spacing w:line="360" w:lineRule="auto"/>
              <w:ind w:left="0" w:leftChars="0" w:right="0" w:rightChars="0"/>
              <w:textAlignment w:val="auto"/>
              <w:outlineLvl w:val="9"/>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一、按政府采购政策规定扶持小微企业、监狱企业和残疾人福利性单位。</w:t>
            </w:r>
          </w:p>
          <w:p w14:paraId="4BD0EFC4">
            <w:pPr>
              <w:keepNext w:val="0"/>
              <w:keepLines w:val="0"/>
              <w:pageBreakBefore w:val="0"/>
              <w:widowControl w:val="0"/>
              <w:kinsoku/>
              <w:wordWrap/>
              <w:overflowPunct/>
              <w:topLinePunct w:val="0"/>
              <w:bidi w:val="0"/>
              <w:spacing w:line="360" w:lineRule="auto"/>
              <w:ind w:left="0" w:leftChars="0" w:right="0" w:rightChars="0" w:firstLine="236" w:firstLineChars="98"/>
              <w:textAlignment w:val="auto"/>
              <w:outlineLvl w:val="9"/>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（1）小微企业价格扣除</w:t>
            </w:r>
          </w:p>
          <w:p w14:paraId="39CAD683">
            <w:pPr>
              <w:keepNext w:val="0"/>
              <w:keepLines w:val="0"/>
              <w:pageBreakBefore w:val="0"/>
              <w:widowControl w:val="0"/>
              <w:kinsoku/>
              <w:wordWrap/>
              <w:overflowPunct/>
              <w:topLinePunct w:val="0"/>
              <w:bidi w:val="0"/>
              <w:spacing w:line="360" w:lineRule="auto"/>
              <w:ind w:left="0" w:leftChars="0" w:right="0" w:rightChars="0" w:firstLine="360" w:firstLineChars="150"/>
              <w:textAlignment w:val="auto"/>
              <w:outlineLvl w:val="9"/>
              <w:rPr>
                <w:rFonts w:hint="eastAsia" w:ascii="宋体" w:hAnsi="宋体" w:eastAsia="宋体" w:cs="宋体"/>
                <w:b/>
                <w:bCs/>
                <w:color w:val="auto"/>
                <w:sz w:val="24"/>
                <w:highlight w:val="none"/>
                <w:shd w:val="clear" w:color="auto" w:fill="auto"/>
              </w:rPr>
            </w:pPr>
            <w:r>
              <w:rPr>
                <w:rFonts w:hint="eastAsia" w:ascii="宋体" w:hAnsi="宋体" w:eastAsia="宋体" w:cs="宋体"/>
                <w:color w:val="auto"/>
                <w:sz w:val="24"/>
                <w:highlight w:val="none"/>
                <w:shd w:val="clear" w:color="auto" w:fill="auto"/>
              </w:rPr>
              <w:t>A.为促进中小企业发展，根据《政府采购促进中小企业发展管理办法》（财库〔2020〕46号）和《关于进一步加大政府采购支持中小企业力度的通知》（财库〔2022〕19号）的规定，</w:t>
            </w:r>
            <w:r>
              <w:rPr>
                <w:rFonts w:hint="eastAsia" w:ascii="宋体" w:hAnsi="宋体" w:eastAsia="宋体" w:cs="宋体"/>
                <w:b/>
                <w:bCs/>
                <w:color w:val="auto"/>
                <w:sz w:val="24"/>
                <w:highlight w:val="none"/>
                <w:shd w:val="clear" w:color="auto" w:fill="auto"/>
              </w:rPr>
              <w:t>本次招标将对符合要求小型和微型企业产品的价格给予10%的扣除，用扣除后的价格参与评审。</w:t>
            </w:r>
          </w:p>
          <w:p w14:paraId="2C00EB69">
            <w:pPr>
              <w:keepNext w:val="0"/>
              <w:keepLines w:val="0"/>
              <w:pageBreakBefore w:val="0"/>
              <w:widowControl w:val="0"/>
              <w:kinsoku/>
              <w:wordWrap/>
              <w:overflowPunct/>
              <w:topLinePunct w:val="0"/>
              <w:bidi w:val="0"/>
              <w:spacing w:line="360" w:lineRule="auto"/>
              <w:ind w:left="0" w:leftChars="0" w:right="0" w:rightChars="0" w:firstLine="360" w:firstLineChars="150"/>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B.招标文件所称小微企业（含小型、微型企业，下同）应当同时符合以下条件，方可在评审中给予10%的扣除：</w:t>
            </w:r>
          </w:p>
          <w:p w14:paraId="44F7EF80">
            <w:pPr>
              <w:keepNext w:val="0"/>
              <w:keepLines w:val="0"/>
              <w:pageBreakBefore w:val="0"/>
              <w:widowControl w:val="0"/>
              <w:kinsoku/>
              <w:wordWrap/>
              <w:overflowPunct/>
              <w:topLinePunct w:val="0"/>
              <w:bidi w:val="0"/>
              <w:spacing w:line="360" w:lineRule="auto"/>
              <w:ind w:left="0" w:leftChars="0" w:right="0" w:rightChars="0" w:firstLine="360" w:firstLineChars="150"/>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①符合小微企业划分标准；</w:t>
            </w:r>
          </w:p>
          <w:p w14:paraId="6404CB9C">
            <w:pPr>
              <w:keepNext w:val="0"/>
              <w:keepLines w:val="0"/>
              <w:pageBreakBefore w:val="0"/>
              <w:widowControl w:val="0"/>
              <w:kinsoku/>
              <w:wordWrap/>
              <w:overflowPunct/>
              <w:topLinePunct w:val="0"/>
              <w:bidi w:val="0"/>
              <w:spacing w:line="360" w:lineRule="auto"/>
              <w:ind w:left="0" w:leftChars="0" w:right="0" w:rightChars="0" w:firstLine="360" w:firstLineChars="150"/>
              <w:textAlignment w:val="auto"/>
              <w:outlineLvl w:val="9"/>
              <w:rPr>
                <w:rFonts w:hint="eastAsia" w:ascii="宋体" w:hAnsi="宋体" w:eastAsia="宋体" w:cs="宋体"/>
                <w:b/>
                <w:bCs/>
                <w:color w:val="auto"/>
                <w:sz w:val="24"/>
                <w:highlight w:val="none"/>
                <w:shd w:val="clear" w:color="auto" w:fill="auto"/>
              </w:rPr>
            </w:pPr>
            <w:r>
              <w:rPr>
                <w:rFonts w:hint="eastAsia" w:ascii="宋体" w:hAnsi="宋体" w:eastAsia="宋体" w:cs="宋体"/>
                <w:color w:val="auto"/>
                <w:sz w:val="24"/>
                <w:highlight w:val="none"/>
                <w:shd w:val="clear" w:color="auto" w:fill="auto"/>
              </w:rPr>
              <w:t>②货物由小微企业制造，即货物由小微企业生产且使用该小微企业商号或者注册商标；</w:t>
            </w:r>
          </w:p>
          <w:p w14:paraId="2C9840F4">
            <w:pPr>
              <w:keepNext w:val="0"/>
              <w:keepLines w:val="0"/>
              <w:pageBreakBefore w:val="0"/>
              <w:widowControl w:val="0"/>
              <w:kinsoku/>
              <w:wordWrap/>
              <w:overflowPunct/>
              <w:topLinePunct w:val="0"/>
              <w:bidi w:val="0"/>
              <w:spacing w:line="360" w:lineRule="auto"/>
              <w:ind w:left="0" w:leftChars="0" w:right="0" w:rightChars="0" w:firstLine="360" w:firstLineChars="150"/>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③提供中小企业声明函（声明函格式附后）；</w:t>
            </w:r>
          </w:p>
          <w:p w14:paraId="60CC44EE">
            <w:pPr>
              <w:keepNext w:val="0"/>
              <w:keepLines w:val="0"/>
              <w:pageBreakBefore w:val="0"/>
              <w:widowControl w:val="0"/>
              <w:kinsoku/>
              <w:wordWrap/>
              <w:overflowPunct/>
              <w:topLinePunct w:val="0"/>
              <w:bidi w:val="0"/>
              <w:spacing w:line="360" w:lineRule="auto"/>
              <w:ind w:left="0" w:leftChars="0" w:right="0" w:rightChars="0" w:firstLine="360" w:firstLineChars="150"/>
              <w:jc w:val="left"/>
              <w:textAlignment w:val="auto"/>
              <w:outlineLvl w:val="9"/>
              <w:rPr>
                <w:rFonts w:hint="eastAsia" w:ascii="宋体" w:hAnsi="宋体" w:eastAsia="宋体" w:cs="宋体"/>
                <w:b/>
                <w:bCs/>
                <w:color w:val="auto"/>
                <w:sz w:val="24"/>
                <w:highlight w:val="none"/>
                <w:shd w:val="clear" w:color="auto" w:fill="auto"/>
              </w:rPr>
            </w:pPr>
            <w:r>
              <w:rPr>
                <w:rFonts w:hint="eastAsia" w:ascii="宋体" w:hAnsi="宋体" w:eastAsia="宋体" w:cs="宋体"/>
                <w:color w:val="auto"/>
                <w:sz w:val="24"/>
                <w:highlight w:val="none"/>
                <w:shd w:val="clear" w:color="auto" w:fill="auto"/>
              </w:rPr>
              <w:t>④投标人在货物采购项目中，投标人为中小企业，但所提供的货物为大型企业制造的，即货物由大型企业生产且使用大型企业商号或者注册商标的。不享受《办法》规定的中小企业扶持政策。投标人提供的货物既有中型企业制造，也有小微企业制造的，不享受《办法》规定的小微企业扶持政策。</w:t>
            </w:r>
          </w:p>
          <w:p w14:paraId="340F18F8">
            <w:pPr>
              <w:keepNext w:val="0"/>
              <w:keepLines w:val="0"/>
              <w:pageBreakBefore w:val="0"/>
              <w:widowControl w:val="0"/>
              <w:kinsoku/>
              <w:wordWrap/>
              <w:overflowPunct/>
              <w:topLinePunct w:val="0"/>
              <w:bidi w:val="0"/>
              <w:spacing w:line="360" w:lineRule="auto"/>
              <w:ind w:left="0" w:leftChars="0" w:right="0" w:rightChars="0" w:firstLine="480"/>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C.根据</w:t>
            </w:r>
            <w:r>
              <w:rPr>
                <w:rFonts w:hint="eastAsia" w:ascii="宋体" w:hAnsi="宋体" w:eastAsia="宋体" w:cs="宋体"/>
                <w:color w:val="auto"/>
                <w:sz w:val="24"/>
                <w:highlight w:val="none"/>
                <w:shd w:val="clear" w:color="auto" w:fill="auto"/>
              </w:rPr>
              <w:fldChar w:fldCharType="begin"/>
            </w:r>
            <w:r>
              <w:rPr>
                <w:rFonts w:hint="eastAsia" w:ascii="宋体" w:hAnsi="宋体" w:eastAsia="宋体" w:cs="宋体"/>
                <w:color w:val="auto"/>
                <w:sz w:val="24"/>
                <w:highlight w:val="none"/>
                <w:shd w:val="clear" w:color="auto" w:fill="auto"/>
              </w:rPr>
              <w:instrText xml:space="preserve">HYPERLINK "../Documents/WeChat Files/wenjingxu520/FileStorage/Administrator/Documents/WeChat Files/fm46501730/FileStorage/Documents/WeChat Files/wxid_6rde7bcxmmt022/FileStorage/File/法律文件/政采/中小企业划分标准--工信部联企业%5b2011%5d300号.doc"</w:instrText>
            </w:r>
            <w:r>
              <w:rPr>
                <w:rFonts w:hint="eastAsia" w:ascii="宋体" w:hAnsi="宋体" w:eastAsia="宋体" w:cs="宋体"/>
                <w:color w:val="auto"/>
                <w:sz w:val="24"/>
                <w:highlight w:val="none"/>
                <w:shd w:val="clear" w:color="auto" w:fill="auto"/>
              </w:rPr>
              <w:fldChar w:fldCharType="separate"/>
            </w:r>
            <w:r>
              <w:rPr>
                <w:rStyle w:val="26"/>
                <w:rFonts w:hint="eastAsia" w:ascii="宋体" w:hAnsi="宋体" w:eastAsia="宋体" w:cs="宋体"/>
                <w:color w:val="auto"/>
                <w:highlight w:val="none"/>
                <w:shd w:val="clear" w:color="auto" w:fill="auto"/>
              </w:rPr>
              <w:t>《工业和信息化部、国家统计局、国家发展和改革委员会、财政部关于印发中小企业划分标准规定的通知》（工信部联企业[2011]300号）</w:t>
            </w:r>
            <w:r>
              <w:rPr>
                <w:rFonts w:hint="eastAsia" w:ascii="宋体" w:hAnsi="宋体" w:eastAsia="宋体" w:cs="宋体"/>
                <w:color w:val="auto"/>
                <w:sz w:val="24"/>
                <w:highlight w:val="none"/>
                <w:shd w:val="clear" w:color="auto" w:fill="auto"/>
              </w:rPr>
              <w:fldChar w:fldCharType="end"/>
            </w:r>
            <w:r>
              <w:rPr>
                <w:rFonts w:hint="eastAsia" w:ascii="宋体" w:hAnsi="宋体" w:eastAsia="宋体" w:cs="宋体"/>
                <w:color w:val="auto"/>
                <w:sz w:val="24"/>
                <w:highlight w:val="none"/>
                <w:shd w:val="clear" w:color="auto" w:fill="auto"/>
              </w:rPr>
              <w:t>规定的标准划分，本项目具体划分标准如下：</w:t>
            </w:r>
          </w:p>
          <w:p w14:paraId="0CA08B98">
            <w:pPr>
              <w:keepNext w:val="0"/>
              <w:keepLines w:val="0"/>
              <w:pageBreakBefore w:val="0"/>
              <w:widowControl w:val="0"/>
              <w:kinsoku/>
              <w:wordWrap/>
              <w:overflowPunct/>
              <w:topLinePunct w:val="0"/>
              <w:bidi w:val="0"/>
              <w:spacing w:line="360" w:lineRule="auto"/>
              <w:ind w:left="0" w:leftChars="0" w:right="0" w:rightChars="0" w:firstLine="480"/>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①本项目</w:t>
            </w:r>
            <w:r>
              <w:rPr>
                <w:rFonts w:hint="eastAsia" w:ascii="宋体" w:hAnsi="宋体" w:eastAsia="宋体" w:cs="宋体"/>
                <w:bCs/>
                <w:color w:val="auto"/>
                <w:sz w:val="24"/>
                <w:highlight w:val="none"/>
                <w:shd w:val="clear" w:color="auto" w:fill="auto"/>
              </w:rPr>
              <w:t>适用于</w:t>
            </w:r>
            <w:r>
              <w:rPr>
                <w:rFonts w:hint="eastAsia" w:ascii="宋体" w:hAnsi="宋体" w:eastAsia="宋体" w:cs="宋体"/>
                <w:b/>
                <w:bCs/>
                <w:color w:val="auto"/>
                <w:sz w:val="24"/>
                <w:highlight w:val="none"/>
                <w:u w:val="single"/>
                <w:shd w:val="clear" w:color="auto" w:fill="auto"/>
              </w:rPr>
              <w:t>工业中的（制造业）</w:t>
            </w:r>
            <w:r>
              <w:rPr>
                <w:rFonts w:hint="eastAsia" w:ascii="宋体" w:hAnsi="宋体" w:eastAsia="宋体" w:cs="宋体"/>
                <w:bCs/>
                <w:color w:val="auto"/>
                <w:sz w:val="24"/>
                <w:highlight w:val="none"/>
                <w:shd w:val="clear" w:color="auto" w:fill="auto"/>
              </w:rPr>
              <w:t>划分标准</w:t>
            </w:r>
            <w:r>
              <w:rPr>
                <w:rFonts w:hint="eastAsia" w:ascii="宋体" w:hAnsi="宋体" w:eastAsia="宋体" w:cs="宋体"/>
                <w:color w:val="auto"/>
                <w:sz w:val="24"/>
                <w:highlight w:val="none"/>
                <w:shd w:val="clear" w:color="auto" w:fill="auto"/>
              </w:rPr>
              <w:t>：</w:t>
            </w:r>
            <w:r>
              <w:rPr>
                <w:rFonts w:hint="eastAsia" w:ascii="宋体" w:hAnsi="宋体" w:eastAsia="宋体" w:cs="宋体"/>
                <w:b/>
                <w:bCs/>
                <w:color w:val="auto"/>
                <w:sz w:val="24"/>
                <w:highlight w:val="none"/>
                <w:shd w:val="clear" w:color="auto" w:fill="auto"/>
              </w:rPr>
              <w:t>“</w:t>
            </w:r>
            <w:r>
              <w:rPr>
                <w:rFonts w:hint="eastAsia" w:ascii="宋体" w:hAnsi="宋体" w:eastAsia="宋体" w:cs="宋体"/>
                <w:b/>
                <w:bCs/>
                <w:color w:val="auto"/>
                <w:sz w:val="24"/>
                <w:highlight w:val="none"/>
                <w:u w:val="single"/>
                <w:shd w:val="clear" w:color="auto" w:fill="auto"/>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宋体"/>
                <w:b/>
                <w:bCs/>
                <w:color w:val="auto"/>
                <w:sz w:val="24"/>
                <w:highlight w:val="none"/>
                <w:shd w:val="clear" w:color="auto" w:fill="auto"/>
              </w:rPr>
              <w:t>”。</w:t>
            </w:r>
          </w:p>
          <w:p w14:paraId="4196C6E1">
            <w:pPr>
              <w:keepNext w:val="0"/>
              <w:keepLines w:val="0"/>
              <w:pageBreakBefore w:val="0"/>
              <w:widowControl w:val="0"/>
              <w:kinsoku/>
              <w:wordWrap/>
              <w:overflowPunct/>
              <w:topLinePunct w:val="0"/>
              <w:bidi w:val="0"/>
              <w:spacing w:line="360" w:lineRule="auto"/>
              <w:ind w:left="0" w:leftChars="0" w:right="0" w:rightChars="0"/>
              <w:textAlignment w:val="auto"/>
              <w:outlineLvl w:val="9"/>
              <w:rPr>
                <w:rFonts w:hint="eastAsia" w:ascii="宋体" w:hAnsi="宋体" w:eastAsia="宋体" w:cs="宋体"/>
                <w:color w:val="auto"/>
                <w:sz w:val="24"/>
                <w:highlight w:val="none"/>
                <w:shd w:val="clear" w:color="auto" w:fill="auto"/>
              </w:rPr>
            </w:pPr>
          </w:p>
          <w:p w14:paraId="327D1912">
            <w:pPr>
              <w:keepNext w:val="0"/>
              <w:keepLines w:val="0"/>
              <w:pageBreakBefore w:val="0"/>
              <w:widowControl w:val="0"/>
              <w:kinsoku/>
              <w:wordWrap/>
              <w:overflowPunct/>
              <w:topLinePunct w:val="0"/>
              <w:bidi w:val="0"/>
              <w:spacing w:line="360" w:lineRule="auto"/>
              <w:ind w:left="0" w:leftChars="0" w:right="0" w:rightChars="0"/>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格式：</w:t>
            </w:r>
          </w:p>
          <w:p w14:paraId="7A0F5D0D">
            <w:pPr>
              <w:keepNext w:val="0"/>
              <w:keepLines w:val="0"/>
              <w:pageBreakBefore w:val="0"/>
              <w:widowControl w:val="0"/>
              <w:tabs>
                <w:tab w:val="left" w:pos="426"/>
              </w:tabs>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b/>
                <w:color w:val="auto"/>
                <w:sz w:val="22"/>
                <w:szCs w:val="22"/>
                <w:highlight w:val="none"/>
                <w:shd w:val="clear" w:color="auto" w:fill="auto"/>
              </w:rPr>
            </w:pPr>
            <w:r>
              <w:rPr>
                <w:rFonts w:hint="eastAsia" w:ascii="宋体" w:hAnsi="宋体" w:eastAsia="宋体" w:cs="宋体"/>
                <w:b/>
                <w:color w:val="auto"/>
                <w:sz w:val="28"/>
                <w:szCs w:val="28"/>
                <w:highlight w:val="none"/>
                <w:shd w:val="clear" w:color="auto" w:fill="auto"/>
              </w:rPr>
              <w:t>中小企业声明函</w:t>
            </w:r>
            <w:r>
              <w:rPr>
                <w:rFonts w:hint="eastAsia" w:ascii="宋体" w:hAnsi="宋体" w:eastAsia="宋体" w:cs="宋体"/>
                <w:b/>
                <w:color w:val="auto"/>
                <w:sz w:val="28"/>
                <w:szCs w:val="28"/>
                <w:highlight w:val="none"/>
                <w:shd w:val="clear" w:color="auto" w:fill="auto"/>
                <w:lang w:eastAsia="zh-CN"/>
              </w:rPr>
              <w:t>（</w:t>
            </w:r>
            <w:r>
              <w:rPr>
                <w:rFonts w:hint="eastAsia" w:ascii="宋体" w:hAnsi="宋体" w:eastAsia="宋体" w:cs="宋体"/>
                <w:b/>
                <w:color w:val="auto"/>
                <w:sz w:val="28"/>
                <w:szCs w:val="28"/>
                <w:highlight w:val="none"/>
                <w:shd w:val="clear" w:color="auto" w:fill="auto"/>
                <w:lang w:val="en-US" w:eastAsia="zh-CN"/>
              </w:rPr>
              <w:t>货物</w:t>
            </w:r>
            <w:r>
              <w:rPr>
                <w:rFonts w:hint="eastAsia" w:ascii="宋体" w:hAnsi="宋体" w:eastAsia="宋体" w:cs="宋体"/>
                <w:b/>
                <w:color w:val="auto"/>
                <w:sz w:val="28"/>
                <w:szCs w:val="28"/>
                <w:highlight w:val="none"/>
                <w:shd w:val="clear" w:color="auto" w:fill="auto"/>
                <w:lang w:eastAsia="zh-CN"/>
              </w:rPr>
              <w:t>）</w:t>
            </w:r>
          </w:p>
          <w:p w14:paraId="1DFA5777">
            <w:pPr>
              <w:keepNext w:val="0"/>
              <w:keepLines w:val="0"/>
              <w:pageBreakBefore w:val="0"/>
              <w:widowControl w:val="0"/>
              <w:tabs>
                <w:tab w:val="left" w:pos="426"/>
              </w:tabs>
              <w:kinsoku/>
              <w:wordWrap/>
              <w:overflowPunct/>
              <w:topLinePunct w:val="0"/>
              <w:bidi w:val="0"/>
              <w:spacing w:line="360" w:lineRule="auto"/>
              <w:ind w:left="0" w:leftChars="0" w:right="0" w:rightChars="0" w:firstLine="480" w:firstLineChars="200"/>
              <w:textAlignment w:val="auto"/>
              <w:outlineLvl w:val="9"/>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本公司郑重声明，根据《政府采购促进中小企业发展管理办法》（财库﹝2020﹞46 号）的规定，本公司参加</w:t>
            </w:r>
            <w:r>
              <w:rPr>
                <w:rFonts w:hint="eastAsia" w:ascii="宋体" w:hAnsi="宋体" w:eastAsia="宋体" w:cs="宋体"/>
                <w:bCs/>
                <w:color w:val="auto"/>
                <w:sz w:val="24"/>
                <w:highlight w:val="none"/>
                <w:u w:val="single"/>
                <w:shd w:val="clear" w:color="auto" w:fill="auto"/>
              </w:rPr>
              <w:t>（采购人名称）</w:t>
            </w:r>
            <w:r>
              <w:rPr>
                <w:rFonts w:hint="eastAsia" w:ascii="宋体" w:hAnsi="宋体" w:eastAsia="宋体" w:cs="宋体"/>
                <w:bCs/>
                <w:color w:val="auto"/>
                <w:sz w:val="24"/>
                <w:highlight w:val="none"/>
                <w:shd w:val="clear" w:color="auto" w:fill="auto"/>
              </w:rPr>
              <w:t>的</w:t>
            </w:r>
            <w:r>
              <w:rPr>
                <w:rFonts w:hint="eastAsia" w:ascii="宋体" w:hAnsi="宋体" w:eastAsia="宋体" w:cs="宋体"/>
                <w:bCs/>
                <w:color w:val="auto"/>
                <w:sz w:val="24"/>
                <w:highlight w:val="none"/>
                <w:u w:val="single"/>
                <w:shd w:val="clear" w:color="auto" w:fill="auto"/>
              </w:rPr>
              <w:t>（项目名称）</w:t>
            </w:r>
            <w:r>
              <w:rPr>
                <w:rFonts w:hint="eastAsia" w:ascii="宋体" w:hAnsi="宋体" w:eastAsia="宋体" w:cs="宋体"/>
                <w:bCs/>
                <w:color w:val="auto"/>
                <w:sz w:val="24"/>
                <w:highlight w:val="none"/>
                <w:shd w:val="clear" w:color="auto" w:fill="auto"/>
              </w:rPr>
              <w:t>采购活动，提供的货物全部由符合政策要求的中小企业制造。相关企业具体情况如下：</w:t>
            </w:r>
          </w:p>
          <w:p w14:paraId="7B6F65D5">
            <w:pPr>
              <w:keepNext w:val="0"/>
              <w:keepLines w:val="0"/>
              <w:pageBreakBefore w:val="0"/>
              <w:widowControl w:val="0"/>
              <w:tabs>
                <w:tab w:val="left" w:pos="426"/>
              </w:tabs>
              <w:kinsoku/>
              <w:wordWrap/>
              <w:overflowPunct/>
              <w:topLinePunct w:val="0"/>
              <w:bidi w:val="0"/>
              <w:spacing w:line="360" w:lineRule="auto"/>
              <w:ind w:left="0" w:leftChars="0" w:right="0" w:rightChars="0" w:firstLine="480" w:firstLineChars="200"/>
              <w:textAlignment w:val="auto"/>
              <w:outlineLvl w:val="9"/>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1.</w:t>
            </w:r>
            <w:r>
              <w:rPr>
                <w:rFonts w:hint="eastAsia" w:ascii="宋体" w:hAnsi="宋体" w:eastAsia="宋体" w:cs="宋体"/>
                <w:bCs/>
                <w:color w:val="auto"/>
                <w:sz w:val="24"/>
                <w:highlight w:val="none"/>
                <w:u w:val="single"/>
                <w:shd w:val="clear" w:color="auto" w:fill="auto"/>
              </w:rPr>
              <w:t>（标的名称）</w:t>
            </w:r>
            <w:r>
              <w:rPr>
                <w:rFonts w:hint="eastAsia" w:ascii="宋体" w:hAnsi="宋体" w:eastAsia="宋体" w:cs="宋体"/>
                <w:bCs/>
                <w:color w:val="auto"/>
                <w:sz w:val="24"/>
                <w:highlight w:val="none"/>
                <w:shd w:val="clear" w:color="auto" w:fill="auto"/>
              </w:rPr>
              <w:t>，属于</w:t>
            </w:r>
            <w:r>
              <w:rPr>
                <w:rFonts w:hint="eastAsia" w:ascii="宋体" w:hAnsi="宋体" w:eastAsia="宋体" w:cs="宋体"/>
                <w:bCs/>
                <w:color w:val="auto"/>
                <w:sz w:val="24"/>
                <w:highlight w:val="none"/>
                <w:u w:val="single"/>
                <w:shd w:val="clear" w:color="auto" w:fill="auto"/>
              </w:rPr>
              <w:t>（招标文件中明确的所属行业）</w:t>
            </w:r>
            <w:r>
              <w:rPr>
                <w:rFonts w:hint="eastAsia" w:ascii="宋体" w:hAnsi="宋体" w:eastAsia="宋体" w:cs="宋体"/>
                <w:bCs/>
                <w:color w:val="auto"/>
                <w:sz w:val="24"/>
                <w:highlight w:val="none"/>
                <w:shd w:val="clear" w:color="auto" w:fill="auto"/>
              </w:rPr>
              <w:t>行业；制造商为</w:t>
            </w:r>
            <w:r>
              <w:rPr>
                <w:rFonts w:hint="eastAsia" w:ascii="宋体" w:hAnsi="宋体" w:eastAsia="宋体" w:cs="宋体"/>
                <w:bCs/>
                <w:color w:val="auto"/>
                <w:sz w:val="24"/>
                <w:highlight w:val="none"/>
                <w:u w:val="single"/>
                <w:shd w:val="clear" w:color="auto" w:fill="auto"/>
              </w:rPr>
              <w:t>（企业名称）</w:t>
            </w:r>
            <w:r>
              <w:rPr>
                <w:rFonts w:hint="eastAsia" w:ascii="宋体" w:hAnsi="宋体" w:eastAsia="宋体" w:cs="宋体"/>
                <w:bCs/>
                <w:color w:val="auto"/>
                <w:sz w:val="24"/>
                <w:highlight w:val="none"/>
                <w:shd w:val="clear" w:color="auto" w:fill="auto"/>
              </w:rPr>
              <w:t>，从业人员</w:t>
            </w:r>
            <w:r>
              <w:rPr>
                <w:rFonts w:hint="eastAsia" w:ascii="宋体" w:hAnsi="宋体" w:eastAsia="宋体" w:cs="宋体"/>
                <w:bCs/>
                <w:color w:val="auto"/>
                <w:sz w:val="24"/>
                <w:highlight w:val="none"/>
                <w:u w:val="single"/>
                <w:shd w:val="clear" w:color="auto" w:fill="auto"/>
              </w:rPr>
              <w:t xml:space="preserve">    </w:t>
            </w:r>
            <w:r>
              <w:rPr>
                <w:rFonts w:hint="eastAsia" w:ascii="宋体" w:hAnsi="宋体" w:eastAsia="宋体" w:cs="宋体"/>
                <w:bCs/>
                <w:color w:val="auto"/>
                <w:sz w:val="24"/>
                <w:highlight w:val="none"/>
                <w:shd w:val="clear" w:color="auto" w:fill="auto"/>
              </w:rPr>
              <w:t>人，营业收入为</w:t>
            </w:r>
            <w:r>
              <w:rPr>
                <w:rFonts w:hint="eastAsia" w:ascii="宋体" w:hAnsi="宋体" w:eastAsia="宋体" w:cs="宋体"/>
                <w:bCs/>
                <w:color w:val="auto"/>
                <w:sz w:val="24"/>
                <w:highlight w:val="none"/>
                <w:u w:val="single"/>
                <w:shd w:val="clear" w:color="auto" w:fill="auto"/>
              </w:rPr>
              <w:t xml:space="preserve">     </w:t>
            </w:r>
            <w:r>
              <w:rPr>
                <w:rFonts w:hint="eastAsia" w:ascii="宋体" w:hAnsi="宋体" w:eastAsia="宋体" w:cs="宋体"/>
                <w:bCs/>
                <w:color w:val="auto"/>
                <w:sz w:val="24"/>
                <w:highlight w:val="none"/>
                <w:shd w:val="clear" w:color="auto" w:fill="auto"/>
              </w:rPr>
              <w:t>万元，资产总额为</w:t>
            </w:r>
            <w:r>
              <w:rPr>
                <w:rFonts w:hint="eastAsia" w:ascii="宋体" w:hAnsi="宋体" w:eastAsia="宋体" w:cs="宋体"/>
                <w:bCs/>
                <w:color w:val="auto"/>
                <w:sz w:val="24"/>
                <w:highlight w:val="none"/>
                <w:u w:val="single"/>
                <w:shd w:val="clear" w:color="auto" w:fill="auto"/>
              </w:rPr>
              <w:t xml:space="preserve">      </w:t>
            </w:r>
            <w:r>
              <w:rPr>
                <w:rFonts w:hint="eastAsia" w:ascii="宋体" w:hAnsi="宋体" w:eastAsia="宋体" w:cs="宋体"/>
                <w:bCs/>
                <w:color w:val="auto"/>
                <w:sz w:val="24"/>
                <w:highlight w:val="none"/>
                <w:shd w:val="clear" w:color="auto" w:fill="auto"/>
              </w:rPr>
              <w:t>万元，属于</w:t>
            </w:r>
            <w:r>
              <w:rPr>
                <w:rFonts w:hint="eastAsia" w:ascii="宋体" w:hAnsi="宋体" w:eastAsia="宋体" w:cs="宋体"/>
                <w:bCs/>
                <w:color w:val="auto"/>
                <w:sz w:val="24"/>
                <w:highlight w:val="none"/>
                <w:u w:val="single"/>
                <w:shd w:val="clear" w:color="auto" w:fill="auto"/>
              </w:rPr>
              <w:t>（中型企业</w:t>
            </w:r>
            <w:r>
              <w:rPr>
                <w:rFonts w:hint="eastAsia" w:ascii="宋体" w:hAnsi="宋体" w:eastAsia="宋体" w:cs="宋体"/>
                <w:bCs/>
                <w:color w:val="auto"/>
                <w:sz w:val="24"/>
                <w:highlight w:val="none"/>
                <w:u w:val="single"/>
                <w:shd w:val="clear" w:color="auto" w:fill="auto"/>
                <w:lang w:val="en-US" w:eastAsia="zh-CN"/>
              </w:rPr>
              <w:t>/</w:t>
            </w:r>
            <w:r>
              <w:rPr>
                <w:rFonts w:hint="eastAsia" w:ascii="宋体" w:hAnsi="宋体" w:eastAsia="宋体" w:cs="宋体"/>
                <w:bCs/>
                <w:color w:val="auto"/>
                <w:sz w:val="24"/>
                <w:highlight w:val="none"/>
                <w:u w:val="single"/>
                <w:shd w:val="clear" w:color="auto" w:fill="auto"/>
              </w:rPr>
              <w:t>小型企业</w:t>
            </w:r>
            <w:r>
              <w:rPr>
                <w:rFonts w:hint="eastAsia" w:ascii="宋体" w:hAnsi="宋体" w:eastAsia="宋体" w:cs="宋体"/>
                <w:bCs/>
                <w:color w:val="auto"/>
                <w:sz w:val="24"/>
                <w:highlight w:val="none"/>
                <w:u w:val="single"/>
                <w:shd w:val="clear" w:color="auto" w:fill="auto"/>
                <w:lang w:val="en-US" w:eastAsia="zh-CN"/>
              </w:rPr>
              <w:t>/</w:t>
            </w:r>
            <w:r>
              <w:rPr>
                <w:rFonts w:hint="eastAsia" w:ascii="宋体" w:hAnsi="宋体" w:eastAsia="宋体" w:cs="宋体"/>
                <w:bCs/>
                <w:color w:val="auto"/>
                <w:sz w:val="24"/>
                <w:highlight w:val="none"/>
                <w:u w:val="single"/>
                <w:shd w:val="clear" w:color="auto" w:fill="auto"/>
              </w:rPr>
              <w:t>微型企业）</w:t>
            </w:r>
            <w:r>
              <w:rPr>
                <w:rFonts w:hint="eastAsia" w:ascii="宋体" w:hAnsi="宋体" w:eastAsia="宋体" w:cs="宋体"/>
                <w:bCs/>
                <w:color w:val="auto"/>
                <w:sz w:val="24"/>
                <w:highlight w:val="none"/>
                <w:shd w:val="clear" w:color="auto" w:fill="auto"/>
              </w:rPr>
              <w:t>；</w:t>
            </w:r>
          </w:p>
          <w:p w14:paraId="0AB01152">
            <w:pPr>
              <w:keepNext w:val="0"/>
              <w:keepLines w:val="0"/>
              <w:pageBreakBefore w:val="0"/>
              <w:widowControl w:val="0"/>
              <w:tabs>
                <w:tab w:val="left" w:pos="426"/>
              </w:tabs>
              <w:kinsoku/>
              <w:wordWrap/>
              <w:overflowPunct/>
              <w:topLinePunct w:val="0"/>
              <w:bidi w:val="0"/>
              <w:spacing w:line="360" w:lineRule="auto"/>
              <w:ind w:left="0" w:leftChars="0" w:right="0" w:rightChars="0" w:firstLine="480" w:firstLineChars="200"/>
              <w:textAlignment w:val="auto"/>
              <w:outlineLvl w:val="9"/>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2.</w:t>
            </w:r>
            <w:r>
              <w:rPr>
                <w:rFonts w:hint="eastAsia" w:ascii="宋体" w:hAnsi="宋体" w:eastAsia="宋体" w:cs="宋体"/>
                <w:bCs/>
                <w:color w:val="auto"/>
                <w:sz w:val="24"/>
                <w:highlight w:val="none"/>
                <w:u w:val="single"/>
                <w:shd w:val="clear" w:color="auto" w:fill="auto"/>
              </w:rPr>
              <w:t>（标的名称）</w:t>
            </w:r>
            <w:r>
              <w:rPr>
                <w:rFonts w:hint="eastAsia" w:ascii="宋体" w:hAnsi="宋体" w:eastAsia="宋体" w:cs="宋体"/>
                <w:bCs/>
                <w:color w:val="auto"/>
                <w:sz w:val="24"/>
                <w:highlight w:val="none"/>
                <w:shd w:val="clear" w:color="auto" w:fill="auto"/>
              </w:rPr>
              <w:t>，属于</w:t>
            </w:r>
            <w:r>
              <w:rPr>
                <w:rFonts w:hint="eastAsia" w:ascii="宋体" w:hAnsi="宋体" w:eastAsia="宋体" w:cs="宋体"/>
                <w:bCs/>
                <w:color w:val="auto"/>
                <w:sz w:val="24"/>
                <w:highlight w:val="none"/>
                <w:u w:val="single"/>
                <w:shd w:val="clear" w:color="auto" w:fill="auto"/>
              </w:rPr>
              <w:t>（招标文件中明确的所属行业）</w:t>
            </w:r>
            <w:r>
              <w:rPr>
                <w:rFonts w:hint="eastAsia" w:ascii="宋体" w:hAnsi="宋体" w:eastAsia="宋体" w:cs="宋体"/>
                <w:bCs/>
                <w:color w:val="auto"/>
                <w:sz w:val="24"/>
                <w:highlight w:val="none"/>
                <w:shd w:val="clear" w:color="auto" w:fill="auto"/>
              </w:rPr>
              <w:t>行业；制造商为</w:t>
            </w:r>
            <w:r>
              <w:rPr>
                <w:rFonts w:hint="eastAsia" w:ascii="宋体" w:hAnsi="宋体" w:eastAsia="宋体" w:cs="宋体"/>
                <w:bCs/>
                <w:color w:val="auto"/>
                <w:sz w:val="24"/>
                <w:highlight w:val="none"/>
                <w:u w:val="single"/>
                <w:shd w:val="clear" w:color="auto" w:fill="auto"/>
              </w:rPr>
              <w:t>（企业名称）</w:t>
            </w:r>
            <w:r>
              <w:rPr>
                <w:rFonts w:hint="eastAsia" w:ascii="宋体" w:hAnsi="宋体" w:eastAsia="宋体" w:cs="宋体"/>
                <w:bCs/>
                <w:color w:val="auto"/>
                <w:sz w:val="24"/>
                <w:highlight w:val="none"/>
                <w:shd w:val="clear" w:color="auto" w:fill="auto"/>
              </w:rPr>
              <w:t>，从业人员</w:t>
            </w:r>
            <w:r>
              <w:rPr>
                <w:rFonts w:hint="eastAsia" w:ascii="宋体" w:hAnsi="宋体" w:eastAsia="宋体" w:cs="宋体"/>
                <w:bCs/>
                <w:color w:val="auto"/>
                <w:sz w:val="24"/>
                <w:highlight w:val="none"/>
                <w:u w:val="single"/>
                <w:shd w:val="clear" w:color="auto" w:fill="auto"/>
              </w:rPr>
              <w:t xml:space="preserve">    </w:t>
            </w:r>
            <w:r>
              <w:rPr>
                <w:rFonts w:hint="eastAsia" w:ascii="宋体" w:hAnsi="宋体" w:eastAsia="宋体" w:cs="宋体"/>
                <w:bCs/>
                <w:color w:val="auto"/>
                <w:sz w:val="24"/>
                <w:highlight w:val="none"/>
                <w:shd w:val="clear" w:color="auto" w:fill="auto"/>
              </w:rPr>
              <w:t xml:space="preserve"> 人，营业收入为</w:t>
            </w:r>
            <w:r>
              <w:rPr>
                <w:rFonts w:hint="eastAsia" w:ascii="宋体" w:hAnsi="宋体" w:eastAsia="宋体" w:cs="宋体"/>
                <w:bCs/>
                <w:color w:val="auto"/>
                <w:sz w:val="24"/>
                <w:highlight w:val="none"/>
                <w:u w:val="single"/>
                <w:shd w:val="clear" w:color="auto" w:fill="auto"/>
              </w:rPr>
              <w:t xml:space="preserve">    </w:t>
            </w:r>
            <w:r>
              <w:rPr>
                <w:rFonts w:hint="eastAsia" w:ascii="宋体" w:hAnsi="宋体" w:eastAsia="宋体" w:cs="宋体"/>
                <w:bCs/>
                <w:color w:val="auto"/>
                <w:sz w:val="24"/>
                <w:highlight w:val="none"/>
                <w:shd w:val="clear" w:color="auto" w:fill="auto"/>
              </w:rPr>
              <w:t>万元，资产总额为</w:t>
            </w:r>
            <w:r>
              <w:rPr>
                <w:rFonts w:hint="eastAsia" w:ascii="宋体" w:hAnsi="宋体" w:eastAsia="宋体" w:cs="宋体"/>
                <w:bCs/>
                <w:color w:val="auto"/>
                <w:sz w:val="24"/>
                <w:highlight w:val="none"/>
                <w:u w:val="single"/>
                <w:shd w:val="clear" w:color="auto" w:fill="auto"/>
              </w:rPr>
              <w:t xml:space="preserve">     </w:t>
            </w:r>
            <w:r>
              <w:rPr>
                <w:rFonts w:hint="eastAsia" w:ascii="宋体" w:hAnsi="宋体" w:eastAsia="宋体" w:cs="宋体"/>
                <w:bCs/>
                <w:color w:val="auto"/>
                <w:sz w:val="24"/>
                <w:highlight w:val="none"/>
                <w:shd w:val="clear" w:color="auto" w:fill="auto"/>
              </w:rPr>
              <w:t>万元，属于</w:t>
            </w:r>
            <w:r>
              <w:rPr>
                <w:rFonts w:hint="eastAsia" w:ascii="宋体" w:hAnsi="宋体" w:eastAsia="宋体" w:cs="宋体"/>
                <w:bCs/>
                <w:color w:val="auto"/>
                <w:sz w:val="24"/>
                <w:highlight w:val="none"/>
                <w:u w:val="single"/>
                <w:shd w:val="clear" w:color="auto" w:fill="auto"/>
              </w:rPr>
              <w:t>（中型企业</w:t>
            </w:r>
            <w:r>
              <w:rPr>
                <w:rFonts w:hint="eastAsia" w:ascii="宋体" w:hAnsi="宋体" w:eastAsia="宋体" w:cs="宋体"/>
                <w:bCs/>
                <w:color w:val="auto"/>
                <w:sz w:val="24"/>
                <w:highlight w:val="none"/>
                <w:u w:val="single"/>
                <w:shd w:val="clear" w:color="auto" w:fill="auto"/>
                <w:lang w:val="en-US" w:eastAsia="zh-CN"/>
              </w:rPr>
              <w:t>/</w:t>
            </w:r>
            <w:r>
              <w:rPr>
                <w:rFonts w:hint="eastAsia" w:ascii="宋体" w:hAnsi="宋体" w:eastAsia="宋体" w:cs="宋体"/>
                <w:bCs/>
                <w:color w:val="auto"/>
                <w:sz w:val="24"/>
                <w:highlight w:val="none"/>
                <w:u w:val="single"/>
                <w:shd w:val="clear" w:color="auto" w:fill="auto"/>
              </w:rPr>
              <w:t>小型企业</w:t>
            </w:r>
            <w:r>
              <w:rPr>
                <w:rFonts w:hint="eastAsia" w:ascii="宋体" w:hAnsi="宋体" w:eastAsia="宋体" w:cs="宋体"/>
                <w:bCs/>
                <w:color w:val="auto"/>
                <w:sz w:val="24"/>
                <w:highlight w:val="none"/>
                <w:u w:val="single"/>
                <w:shd w:val="clear" w:color="auto" w:fill="auto"/>
                <w:lang w:val="en-US" w:eastAsia="zh-CN"/>
              </w:rPr>
              <w:t>/</w:t>
            </w:r>
            <w:r>
              <w:rPr>
                <w:rFonts w:hint="eastAsia" w:ascii="宋体" w:hAnsi="宋体" w:eastAsia="宋体" w:cs="宋体"/>
                <w:bCs/>
                <w:color w:val="auto"/>
                <w:sz w:val="24"/>
                <w:highlight w:val="none"/>
                <w:u w:val="single"/>
                <w:shd w:val="clear" w:color="auto" w:fill="auto"/>
              </w:rPr>
              <w:t>微型企业）</w:t>
            </w:r>
            <w:r>
              <w:rPr>
                <w:rFonts w:hint="eastAsia" w:ascii="宋体" w:hAnsi="宋体" w:eastAsia="宋体" w:cs="宋体"/>
                <w:bCs/>
                <w:color w:val="auto"/>
                <w:sz w:val="24"/>
                <w:highlight w:val="none"/>
                <w:shd w:val="clear" w:color="auto" w:fill="auto"/>
              </w:rPr>
              <w:t xml:space="preserve">； </w:t>
            </w:r>
          </w:p>
          <w:p w14:paraId="1DE5DFD9">
            <w:pPr>
              <w:keepNext w:val="0"/>
              <w:keepLines w:val="0"/>
              <w:pageBreakBefore w:val="0"/>
              <w:widowControl w:val="0"/>
              <w:tabs>
                <w:tab w:val="left" w:pos="426"/>
              </w:tabs>
              <w:kinsoku/>
              <w:wordWrap/>
              <w:overflowPunct/>
              <w:topLinePunct w:val="0"/>
              <w:bidi w:val="0"/>
              <w:spacing w:line="360" w:lineRule="auto"/>
              <w:ind w:left="0" w:leftChars="0" w:right="0" w:rightChars="0" w:firstLine="480" w:firstLineChars="200"/>
              <w:textAlignment w:val="auto"/>
              <w:outlineLvl w:val="9"/>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w:t>
            </w:r>
          </w:p>
          <w:p w14:paraId="3EC34F1F">
            <w:pPr>
              <w:keepNext w:val="0"/>
              <w:keepLines w:val="0"/>
              <w:pageBreakBefore w:val="0"/>
              <w:widowControl w:val="0"/>
              <w:tabs>
                <w:tab w:val="left" w:pos="426"/>
              </w:tabs>
              <w:kinsoku/>
              <w:wordWrap/>
              <w:overflowPunct/>
              <w:topLinePunct w:val="0"/>
              <w:bidi w:val="0"/>
              <w:spacing w:line="360" w:lineRule="auto"/>
              <w:ind w:left="0" w:leftChars="0" w:right="0" w:rightChars="0" w:firstLine="480" w:firstLineChars="200"/>
              <w:textAlignment w:val="auto"/>
              <w:outlineLvl w:val="9"/>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 xml:space="preserve">以上企业，不属于大企业的分支构，不存在控股股东为大企业的情形，也不存在与大企业的负责人为同一人的情形。 </w:t>
            </w:r>
          </w:p>
          <w:p w14:paraId="54F0D566">
            <w:pPr>
              <w:keepNext w:val="0"/>
              <w:keepLines w:val="0"/>
              <w:pageBreakBefore w:val="0"/>
              <w:widowControl w:val="0"/>
              <w:tabs>
                <w:tab w:val="left" w:pos="426"/>
              </w:tabs>
              <w:kinsoku/>
              <w:wordWrap/>
              <w:overflowPunct/>
              <w:topLinePunct w:val="0"/>
              <w:bidi w:val="0"/>
              <w:spacing w:line="360" w:lineRule="auto"/>
              <w:ind w:left="0" w:leftChars="0" w:right="0" w:rightChars="0" w:firstLine="480" w:firstLineChars="200"/>
              <w:textAlignment w:val="auto"/>
              <w:outlineLvl w:val="9"/>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本企业对上述声明内容的真实性负责。如有虚假，将依法承担相应责任。</w:t>
            </w:r>
          </w:p>
          <w:p w14:paraId="0410C8BC">
            <w:pPr>
              <w:keepNext w:val="0"/>
              <w:keepLines w:val="0"/>
              <w:pageBreakBefore w:val="0"/>
              <w:widowControl w:val="0"/>
              <w:tabs>
                <w:tab w:val="left" w:pos="426"/>
              </w:tabs>
              <w:kinsoku/>
              <w:wordWrap/>
              <w:overflowPunct/>
              <w:topLinePunct w:val="0"/>
              <w:bidi w:val="0"/>
              <w:spacing w:line="360" w:lineRule="auto"/>
              <w:ind w:left="0" w:leftChars="0" w:right="0" w:rightChars="0" w:firstLine="5520" w:firstLineChars="2300"/>
              <w:textAlignment w:val="auto"/>
              <w:outlineLvl w:val="9"/>
              <w:rPr>
                <w:rFonts w:hint="eastAsia" w:ascii="宋体" w:hAnsi="宋体" w:eastAsia="宋体" w:cs="宋体"/>
                <w:bCs/>
                <w:color w:val="auto"/>
                <w:sz w:val="24"/>
                <w:highlight w:val="none"/>
                <w:shd w:val="clear" w:color="auto" w:fill="auto"/>
              </w:rPr>
            </w:pPr>
          </w:p>
          <w:p w14:paraId="428A9ACA">
            <w:pPr>
              <w:keepNext w:val="0"/>
              <w:keepLines w:val="0"/>
              <w:pageBreakBefore w:val="0"/>
              <w:widowControl w:val="0"/>
              <w:tabs>
                <w:tab w:val="left" w:pos="426"/>
              </w:tabs>
              <w:kinsoku/>
              <w:wordWrap/>
              <w:overflowPunct/>
              <w:topLinePunct w:val="0"/>
              <w:bidi w:val="0"/>
              <w:spacing w:line="360" w:lineRule="auto"/>
              <w:ind w:left="0" w:leftChars="0" w:right="0" w:rightChars="0" w:firstLine="5520" w:firstLineChars="2300"/>
              <w:textAlignment w:val="auto"/>
              <w:outlineLvl w:val="9"/>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 xml:space="preserve">企业名称（盖章）： </w:t>
            </w:r>
          </w:p>
          <w:p w14:paraId="5DDF1C39">
            <w:pPr>
              <w:keepNext w:val="0"/>
              <w:keepLines w:val="0"/>
              <w:pageBreakBefore w:val="0"/>
              <w:widowControl w:val="0"/>
              <w:tabs>
                <w:tab w:val="left" w:pos="426"/>
              </w:tabs>
              <w:kinsoku/>
              <w:wordWrap/>
              <w:overflowPunct/>
              <w:topLinePunct w:val="0"/>
              <w:bidi w:val="0"/>
              <w:spacing w:line="360" w:lineRule="auto"/>
              <w:ind w:left="0" w:leftChars="0" w:right="0" w:rightChars="0" w:firstLine="5520" w:firstLineChars="2300"/>
              <w:textAlignment w:val="auto"/>
              <w:outlineLvl w:val="9"/>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日 期：</w:t>
            </w:r>
          </w:p>
          <w:p w14:paraId="20AAB168">
            <w:pPr>
              <w:pStyle w:val="5"/>
              <w:keepNext w:val="0"/>
              <w:keepLines w:val="0"/>
              <w:pageBreakBefore w:val="0"/>
              <w:widowControl w:val="0"/>
              <w:kinsoku/>
              <w:wordWrap/>
              <w:overflowPunct/>
              <w:topLinePunct w:val="0"/>
              <w:bidi w:val="0"/>
              <w:spacing w:after="0" w:line="360" w:lineRule="auto"/>
              <w:ind w:left="0" w:leftChars="0" w:right="0" w:rightChars="0"/>
              <w:textAlignment w:val="auto"/>
              <w:outlineLvl w:val="9"/>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注：①从业人员、营业收入、资产总额填报上一年度数据，无上一年度数据的新成立企业可不填报。</w:t>
            </w:r>
          </w:p>
          <w:p w14:paraId="3ADF8D46">
            <w:pPr>
              <w:pStyle w:val="5"/>
              <w:keepNext w:val="0"/>
              <w:keepLines w:val="0"/>
              <w:pageBreakBefore w:val="0"/>
              <w:widowControl w:val="0"/>
              <w:kinsoku/>
              <w:wordWrap/>
              <w:overflowPunct/>
              <w:topLinePunct w:val="0"/>
              <w:bidi w:val="0"/>
              <w:spacing w:after="0" w:line="360" w:lineRule="auto"/>
              <w:ind w:left="0" w:leftChars="0" w:right="0" w:rightChars="0"/>
              <w:textAlignment w:val="auto"/>
              <w:outlineLvl w:val="9"/>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②上述“企业名称（盖章）”指投标人。</w:t>
            </w:r>
          </w:p>
          <w:p w14:paraId="53AE0B44">
            <w:pPr>
              <w:pStyle w:val="5"/>
              <w:keepNext w:val="0"/>
              <w:keepLines w:val="0"/>
              <w:pageBreakBefore w:val="0"/>
              <w:widowControl w:val="0"/>
              <w:kinsoku/>
              <w:wordWrap/>
              <w:overflowPunct/>
              <w:topLinePunct w:val="0"/>
              <w:bidi w:val="0"/>
              <w:spacing w:after="0" w:line="360" w:lineRule="auto"/>
              <w:ind w:left="0" w:leftChars="0" w:right="0" w:rightChars="0"/>
              <w:textAlignment w:val="auto"/>
              <w:outlineLvl w:val="9"/>
              <w:rPr>
                <w:rFonts w:hint="eastAsia" w:ascii="宋体" w:hAnsi="宋体" w:eastAsia="宋体" w:cs="宋体"/>
                <w:color w:val="auto"/>
                <w:sz w:val="24"/>
                <w:highlight w:val="none"/>
                <w:shd w:val="clear" w:color="auto" w:fill="auto"/>
                <w:lang w:val="en-US" w:eastAsia="zh-CN"/>
              </w:rPr>
            </w:pPr>
          </w:p>
          <w:p w14:paraId="694A2393">
            <w:pPr>
              <w:keepNext w:val="0"/>
              <w:keepLines w:val="0"/>
              <w:pageBreakBefore w:val="0"/>
              <w:widowControl w:val="0"/>
              <w:kinsoku/>
              <w:wordWrap/>
              <w:overflowPunct/>
              <w:topLinePunct w:val="0"/>
              <w:bidi w:val="0"/>
              <w:spacing w:line="360" w:lineRule="auto"/>
              <w:ind w:right="0" w:rightChars="0" w:firstLine="482" w:firstLineChars="200"/>
              <w:textAlignment w:val="auto"/>
              <w:outlineLvl w:val="9"/>
              <w:rPr>
                <w:rFonts w:hint="eastAsia" w:ascii="宋体" w:hAnsi="宋体" w:eastAsia="宋体" w:cs="宋体"/>
                <w:color w:val="auto"/>
                <w:sz w:val="24"/>
                <w:highlight w:val="none"/>
                <w:u w:val="single"/>
                <w:shd w:val="clear" w:color="auto" w:fill="auto"/>
              </w:rPr>
            </w:pPr>
            <w:r>
              <w:rPr>
                <w:rFonts w:hint="eastAsia" w:ascii="宋体" w:hAnsi="宋体" w:eastAsia="宋体" w:cs="宋体"/>
                <w:b/>
                <w:color w:val="auto"/>
                <w:kern w:val="0"/>
                <w:sz w:val="24"/>
                <w:highlight w:val="none"/>
                <w:shd w:val="clear" w:color="auto" w:fill="auto"/>
                <w:lang w:bidi="en-US"/>
              </w:rPr>
              <w:t>（2）</w:t>
            </w:r>
            <w:r>
              <w:rPr>
                <w:rFonts w:hint="eastAsia" w:ascii="宋体" w:hAnsi="宋体" w:eastAsia="宋体" w:cs="宋体"/>
                <w:b/>
                <w:color w:val="auto"/>
                <w:sz w:val="24"/>
                <w:highlight w:val="none"/>
                <w:shd w:val="clear" w:color="auto" w:fill="auto"/>
              </w:rPr>
              <w:t>根据财政部、司法部关于政府采购支持监狱企业发展有关问题的通知（财库[2014]68号），监狱企业视同小型、微型企业，享受小型、微型企业评审中价格扣除的政府采购政策；</w:t>
            </w:r>
          </w:p>
          <w:p w14:paraId="5904B2E5">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b/>
                <w:color w:val="auto"/>
                <w:spacing w:val="6"/>
                <w:sz w:val="24"/>
                <w:highlight w:val="none"/>
                <w:shd w:val="clear" w:color="auto" w:fill="auto"/>
              </w:rPr>
            </w:pPr>
            <w:r>
              <w:rPr>
                <w:rFonts w:hint="eastAsia" w:ascii="宋体" w:hAnsi="宋体" w:eastAsia="宋体" w:cs="宋体"/>
                <w:b/>
                <w:color w:val="auto"/>
                <w:spacing w:val="6"/>
                <w:sz w:val="24"/>
                <w:highlight w:val="none"/>
                <w:shd w:val="clear" w:color="auto" w:fill="auto"/>
              </w:rPr>
              <w:t>监狱企业证明文件</w:t>
            </w:r>
          </w:p>
          <w:p w14:paraId="0BAB404F">
            <w:pPr>
              <w:keepNext w:val="0"/>
              <w:keepLines w:val="0"/>
              <w:pageBreakBefore w:val="0"/>
              <w:widowControl w:val="0"/>
              <w:kinsoku/>
              <w:wordWrap/>
              <w:overflowPunct/>
              <w:topLinePunct w:val="0"/>
              <w:bidi w:val="0"/>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8347DC8">
            <w:pPr>
              <w:keepNext w:val="0"/>
              <w:keepLines w:val="0"/>
              <w:pageBreakBefore w:val="0"/>
              <w:widowControl w:val="0"/>
              <w:kinsoku/>
              <w:wordWrap/>
              <w:overflowPunct/>
              <w:topLinePunct w:val="0"/>
              <w:bidi w:val="0"/>
              <w:spacing w:line="360" w:lineRule="auto"/>
              <w:ind w:left="0" w:leftChars="0" w:right="0" w:rightChars="0" w:firstLine="360" w:firstLineChars="150"/>
              <w:jc w:val="left"/>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u w:val="single"/>
                <w:shd w:val="clear" w:color="auto" w:fill="auto"/>
              </w:rPr>
              <w:t>监狱企业参加政府采购活动时，应当提供由省级以上监狱管理局、戒毒管理局（含新疆生产建设兵团）出具的属于监狱企业的证明文件。</w:t>
            </w:r>
          </w:p>
          <w:p w14:paraId="5CE007B0">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pacing w:val="6"/>
                <w:sz w:val="24"/>
                <w:highlight w:val="none"/>
                <w:shd w:val="clear" w:color="auto" w:fill="auto"/>
              </w:rPr>
              <w:t>（注：不属于的无需提供）</w:t>
            </w:r>
          </w:p>
          <w:p w14:paraId="57ADDB54">
            <w:pPr>
              <w:keepNext w:val="0"/>
              <w:keepLines w:val="0"/>
              <w:pageBreakBefore w:val="0"/>
              <w:widowControl w:val="0"/>
              <w:kinsoku/>
              <w:wordWrap/>
              <w:overflowPunct/>
              <w:topLinePunct w:val="0"/>
              <w:bidi w:val="0"/>
              <w:spacing w:line="360" w:lineRule="auto"/>
              <w:ind w:left="0" w:leftChars="0" w:right="0" w:rightChars="0" w:firstLine="472" w:firstLineChars="196"/>
              <w:textAlignment w:val="auto"/>
              <w:outlineLvl w:val="9"/>
              <w:rPr>
                <w:rFonts w:hint="eastAsia" w:ascii="宋体" w:hAnsi="宋体" w:eastAsia="宋体" w:cs="宋体"/>
                <w:b/>
                <w:color w:val="auto"/>
                <w:kern w:val="0"/>
                <w:sz w:val="24"/>
                <w:highlight w:val="none"/>
                <w:shd w:val="clear" w:color="auto" w:fill="auto"/>
                <w:lang w:bidi="en-US"/>
              </w:rPr>
            </w:pPr>
          </w:p>
          <w:p w14:paraId="6AE3E40F">
            <w:pPr>
              <w:keepNext w:val="0"/>
              <w:keepLines w:val="0"/>
              <w:pageBreakBefore w:val="0"/>
              <w:widowControl w:val="0"/>
              <w:kinsoku/>
              <w:wordWrap/>
              <w:overflowPunct/>
              <w:topLinePunct w:val="0"/>
              <w:bidi w:val="0"/>
              <w:spacing w:line="360" w:lineRule="auto"/>
              <w:ind w:left="0" w:leftChars="0" w:right="0" w:rightChars="0" w:firstLine="472" w:firstLineChars="196"/>
              <w:textAlignment w:val="auto"/>
              <w:outlineLvl w:val="9"/>
              <w:rPr>
                <w:rFonts w:hint="eastAsia" w:ascii="宋体" w:hAnsi="宋体" w:eastAsia="宋体" w:cs="宋体"/>
                <w:b/>
                <w:bCs/>
                <w:color w:val="auto"/>
                <w:sz w:val="24"/>
                <w:highlight w:val="none"/>
                <w:shd w:val="clear" w:color="auto" w:fill="auto"/>
              </w:rPr>
            </w:pPr>
            <w:r>
              <w:rPr>
                <w:rFonts w:hint="eastAsia" w:ascii="宋体" w:hAnsi="宋体" w:eastAsia="宋体" w:cs="宋体"/>
                <w:b/>
                <w:color w:val="auto"/>
                <w:kern w:val="0"/>
                <w:sz w:val="24"/>
                <w:highlight w:val="none"/>
                <w:shd w:val="clear" w:color="auto" w:fill="auto"/>
                <w:lang w:bidi="en-US"/>
              </w:rPr>
              <w:t>（3）</w:t>
            </w:r>
            <w:r>
              <w:rPr>
                <w:rFonts w:hint="eastAsia" w:ascii="宋体" w:hAnsi="宋体" w:eastAsia="宋体" w:cs="宋体"/>
                <w:b/>
                <w:bCs/>
                <w:color w:val="auto"/>
                <w:sz w:val="24"/>
                <w:highlight w:val="none"/>
                <w:shd w:val="clear" w:color="auto" w:fill="auto"/>
              </w:rPr>
              <w:t>根据《三部门联合发布关于促进残疾人就业政府采购政策的通知》（财库〔2017〕141号）残疾人福利性单位视同小型、微型企业，享受预留份额、评审中价格扣除等促进中小企业发展的政府采购政策。</w:t>
            </w:r>
          </w:p>
          <w:p w14:paraId="409A6F9A">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b/>
                <w:color w:val="auto"/>
                <w:spacing w:val="6"/>
                <w:sz w:val="24"/>
                <w:highlight w:val="none"/>
                <w:shd w:val="clear" w:color="auto" w:fill="auto"/>
              </w:rPr>
            </w:pPr>
            <w:r>
              <w:rPr>
                <w:rFonts w:hint="eastAsia" w:ascii="宋体" w:hAnsi="宋体" w:eastAsia="宋体" w:cs="宋体"/>
                <w:b/>
                <w:color w:val="auto"/>
                <w:spacing w:val="6"/>
                <w:sz w:val="24"/>
                <w:highlight w:val="none"/>
                <w:shd w:val="clear" w:color="auto" w:fill="auto"/>
              </w:rPr>
              <w:t>残疾人福利性单位声明函</w:t>
            </w:r>
          </w:p>
          <w:p w14:paraId="00D7BCB0">
            <w:pPr>
              <w:keepNext w:val="0"/>
              <w:keepLines w:val="0"/>
              <w:pageBreakBefore w:val="0"/>
              <w:widowControl w:val="0"/>
              <w:kinsoku/>
              <w:wordWrap/>
              <w:overflowPunct/>
              <w:topLinePunct w:val="0"/>
              <w:bidi w:val="0"/>
              <w:spacing w:line="360" w:lineRule="auto"/>
              <w:ind w:left="0" w:leftChars="0" w:right="0" w:rightChars="0" w:firstLine="470" w:firstLineChars="196"/>
              <w:textAlignment w:val="auto"/>
              <w:outlineLvl w:val="9"/>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本单位郑重声明，根据《财政部民政部中国残疾人联合会关于促进残疾人就业政府采购政策的通知》（财库〔2017〕141号）的规定，本单位为符合条件的残疾人福利性单位，且本单位参加</w:t>
            </w:r>
            <w:r>
              <w:rPr>
                <w:rFonts w:hint="eastAsia" w:ascii="宋体" w:hAnsi="宋体" w:eastAsia="宋体" w:cs="宋体"/>
                <w:bCs/>
                <w:color w:val="auto"/>
                <w:sz w:val="24"/>
                <w:highlight w:val="none"/>
                <w:u w:val="single"/>
                <w:shd w:val="clear" w:color="auto" w:fill="auto"/>
              </w:rPr>
              <w:t xml:space="preserve">   （采购人名称）</w:t>
            </w:r>
            <w:r>
              <w:rPr>
                <w:rFonts w:hint="eastAsia" w:ascii="宋体" w:hAnsi="宋体" w:eastAsia="宋体" w:cs="宋体"/>
                <w:bCs/>
                <w:color w:val="auto"/>
                <w:sz w:val="24"/>
                <w:highlight w:val="none"/>
                <w:shd w:val="clear" w:color="auto" w:fill="auto"/>
              </w:rPr>
              <w:t>单位的</w:t>
            </w:r>
            <w:r>
              <w:rPr>
                <w:rFonts w:hint="eastAsia" w:ascii="宋体" w:hAnsi="宋体" w:eastAsia="宋体" w:cs="宋体"/>
                <w:bCs/>
                <w:color w:val="auto"/>
                <w:sz w:val="24"/>
                <w:highlight w:val="none"/>
                <w:u w:val="single"/>
                <w:shd w:val="clear" w:color="auto" w:fill="auto"/>
              </w:rPr>
              <w:t xml:space="preserve">     （项目名称）</w:t>
            </w:r>
            <w:r>
              <w:rPr>
                <w:rFonts w:hint="eastAsia" w:ascii="宋体" w:hAnsi="宋体" w:eastAsia="宋体" w:cs="宋体"/>
                <w:bCs/>
                <w:color w:val="auto"/>
                <w:sz w:val="24"/>
                <w:highlight w:val="none"/>
                <w:shd w:val="clear" w:color="auto" w:fill="auto"/>
              </w:rPr>
              <w:t>项目采购活动提供本单位制造的货物（由本单位承担工程/提供服务），或者提供其他残疾人福利性单位制造的货物（不包括使用非残疾人福利性单位注册商标的货物）。</w:t>
            </w:r>
          </w:p>
          <w:p w14:paraId="2423F49C">
            <w:pPr>
              <w:keepNext w:val="0"/>
              <w:keepLines w:val="0"/>
              <w:pageBreakBefore w:val="0"/>
              <w:widowControl w:val="0"/>
              <w:kinsoku/>
              <w:wordWrap/>
              <w:overflowPunct/>
              <w:topLinePunct w:val="0"/>
              <w:bidi w:val="0"/>
              <w:spacing w:line="360" w:lineRule="auto"/>
              <w:ind w:left="0" w:leftChars="0" w:right="0" w:rightChars="0" w:firstLine="470" w:firstLineChars="196"/>
              <w:textAlignment w:val="auto"/>
              <w:outlineLvl w:val="9"/>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本单位对上述声明的真实性负责。如有虚假，将依法承担相应责任。</w:t>
            </w:r>
          </w:p>
          <w:p w14:paraId="31ACF207">
            <w:pPr>
              <w:keepNext w:val="0"/>
              <w:keepLines w:val="0"/>
              <w:pageBreakBefore w:val="0"/>
              <w:widowControl w:val="0"/>
              <w:kinsoku/>
              <w:wordWrap/>
              <w:overflowPunct/>
              <w:topLinePunct w:val="0"/>
              <w:bidi w:val="0"/>
              <w:spacing w:line="360" w:lineRule="auto"/>
              <w:ind w:left="0" w:leftChars="0" w:right="0" w:rightChars="0" w:firstLine="480" w:firstLineChars="200"/>
              <w:textAlignment w:val="auto"/>
              <w:outlineLvl w:val="9"/>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 xml:space="preserve">单位名称（盖章）： </w:t>
            </w:r>
          </w:p>
          <w:p w14:paraId="64A7AAFD">
            <w:pPr>
              <w:keepNext w:val="0"/>
              <w:keepLines w:val="0"/>
              <w:pageBreakBefore w:val="0"/>
              <w:widowControl w:val="0"/>
              <w:kinsoku/>
              <w:wordWrap/>
              <w:overflowPunct/>
              <w:topLinePunct w:val="0"/>
              <w:bidi w:val="0"/>
              <w:spacing w:line="360" w:lineRule="auto"/>
              <w:ind w:left="0" w:leftChars="0" w:right="0" w:rightChars="0" w:firstLine="480" w:firstLineChars="200"/>
              <w:textAlignment w:val="auto"/>
              <w:outlineLvl w:val="9"/>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日  期：</w:t>
            </w:r>
          </w:p>
          <w:p w14:paraId="22241F08">
            <w:pPr>
              <w:pStyle w:val="5"/>
              <w:keepNext w:val="0"/>
              <w:keepLines w:val="0"/>
              <w:pageBreakBefore w:val="0"/>
              <w:widowControl w:val="0"/>
              <w:kinsoku/>
              <w:wordWrap/>
              <w:overflowPunct/>
              <w:topLinePunct w:val="0"/>
              <w:bidi w:val="0"/>
              <w:spacing w:after="0" w:line="360" w:lineRule="auto"/>
              <w:ind w:left="0" w:leftChars="0" w:right="0" w:rightChars="0"/>
              <w:textAlignment w:val="auto"/>
              <w:outlineLvl w:val="9"/>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 xml:space="preserve"> </w:t>
            </w:r>
            <w:r>
              <w:rPr>
                <w:rFonts w:hint="eastAsia" w:ascii="宋体" w:hAnsi="宋体" w:cs="宋体"/>
                <w:b/>
                <w:bCs/>
                <w:color w:val="auto"/>
                <w:sz w:val="24"/>
                <w:highlight w:val="none"/>
                <w:shd w:val="clear" w:color="auto" w:fill="auto"/>
                <w:lang w:val="en-US" w:eastAsia="zh-CN"/>
              </w:rPr>
              <w:t xml:space="preserve">  </w:t>
            </w:r>
            <w:r>
              <w:rPr>
                <w:rFonts w:hint="eastAsia" w:ascii="宋体" w:hAnsi="宋体" w:eastAsia="宋体" w:cs="宋体"/>
                <w:b/>
                <w:bCs/>
                <w:color w:val="auto"/>
                <w:sz w:val="24"/>
                <w:highlight w:val="none"/>
                <w:shd w:val="clear" w:color="auto" w:fill="auto"/>
              </w:rPr>
              <w:t>注：</w:t>
            </w:r>
            <w:r>
              <w:rPr>
                <w:rFonts w:hint="eastAsia" w:ascii="宋体" w:hAnsi="宋体" w:eastAsia="宋体" w:cs="宋体"/>
                <w:b/>
                <w:bCs/>
                <w:color w:val="auto"/>
                <w:sz w:val="24"/>
                <w:highlight w:val="none"/>
                <w:shd w:val="clear" w:color="auto" w:fill="auto"/>
              </w:rPr>
              <w:fldChar w:fldCharType="begin"/>
            </w:r>
            <w:r>
              <w:rPr>
                <w:rFonts w:hint="eastAsia" w:ascii="宋体" w:hAnsi="宋体" w:eastAsia="宋体" w:cs="宋体"/>
                <w:b/>
                <w:bCs/>
                <w:color w:val="auto"/>
                <w:sz w:val="24"/>
                <w:highlight w:val="none"/>
                <w:shd w:val="clear" w:color="auto" w:fill="auto"/>
              </w:rPr>
              <w:instrText xml:space="preserve"> = 1 \* GB3 </w:instrText>
            </w:r>
            <w:r>
              <w:rPr>
                <w:rFonts w:hint="eastAsia" w:ascii="宋体" w:hAnsi="宋体" w:eastAsia="宋体" w:cs="宋体"/>
                <w:b/>
                <w:bCs/>
                <w:color w:val="auto"/>
                <w:sz w:val="24"/>
                <w:highlight w:val="none"/>
                <w:shd w:val="clear" w:color="auto" w:fill="auto"/>
              </w:rPr>
              <w:fldChar w:fldCharType="separate"/>
            </w:r>
            <w:r>
              <w:rPr>
                <w:rFonts w:hint="eastAsia" w:ascii="宋体" w:hAnsi="宋体" w:eastAsia="宋体" w:cs="宋体"/>
                <w:b/>
                <w:bCs/>
                <w:color w:val="auto"/>
                <w:sz w:val="24"/>
                <w:highlight w:val="none"/>
                <w:shd w:val="clear" w:color="auto" w:fill="auto"/>
              </w:rPr>
              <w:t>①</w:t>
            </w:r>
            <w:r>
              <w:rPr>
                <w:rFonts w:hint="eastAsia" w:ascii="宋体" w:hAnsi="宋体" w:eastAsia="宋体" w:cs="宋体"/>
                <w:b/>
                <w:bCs/>
                <w:color w:val="auto"/>
                <w:sz w:val="24"/>
                <w:highlight w:val="none"/>
                <w:shd w:val="clear" w:color="auto" w:fill="auto"/>
              </w:rPr>
              <w:fldChar w:fldCharType="end"/>
            </w:r>
            <w:r>
              <w:rPr>
                <w:rFonts w:hint="eastAsia" w:ascii="宋体" w:hAnsi="宋体" w:eastAsia="宋体" w:cs="宋体"/>
                <w:b/>
                <w:bCs/>
                <w:color w:val="auto"/>
                <w:sz w:val="24"/>
                <w:highlight w:val="none"/>
                <w:shd w:val="clear" w:color="auto" w:fill="auto"/>
              </w:rPr>
              <w:t>小型、微型企业、监狱企业、残疾人福利性单位，不重复享受评审中价格扣除的政府采购政策。</w:t>
            </w:r>
            <w:r>
              <w:rPr>
                <w:rFonts w:hint="eastAsia" w:ascii="宋体" w:hAnsi="宋体" w:eastAsia="宋体" w:cs="宋体"/>
                <w:b/>
                <w:bCs/>
                <w:color w:val="auto"/>
                <w:sz w:val="24"/>
                <w:highlight w:val="none"/>
                <w:shd w:val="clear" w:color="auto" w:fill="auto"/>
              </w:rPr>
              <w:fldChar w:fldCharType="begin"/>
            </w:r>
            <w:r>
              <w:rPr>
                <w:rFonts w:hint="eastAsia" w:ascii="宋体" w:hAnsi="宋体" w:eastAsia="宋体" w:cs="宋体"/>
                <w:b/>
                <w:bCs/>
                <w:color w:val="auto"/>
                <w:sz w:val="24"/>
                <w:highlight w:val="none"/>
                <w:shd w:val="clear" w:color="auto" w:fill="auto"/>
              </w:rPr>
              <w:instrText xml:space="preserve"> = 2 \* GB3 </w:instrText>
            </w:r>
            <w:r>
              <w:rPr>
                <w:rFonts w:hint="eastAsia" w:ascii="宋体" w:hAnsi="宋体" w:eastAsia="宋体" w:cs="宋体"/>
                <w:b/>
                <w:bCs/>
                <w:color w:val="auto"/>
                <w:sz w:val="24"/>
                <w:highlight w:val="none"/>
                <w:shd w:val="clear" w:color="auto" w:fill="auto"/>
              </w:rPr>
              <w:fldChar w:fldCharType="separate"/>
            </w:r>
            <w:r>
              <w:rPr>
                <w:rFonts w:hint="eastAsia" w:ascii="宋体" w:hAnsi="宋体" w:eastAsia="宋体" w:cs="宋体"/>
                <w:b/>
                <w:bCs/>
                <w:color w:val="auto"/>
                <w:sz w:val="24"/>
                <w:highlight w:val="none"/>
                <w:shd w:val="clear" w:color="auto" w:fill="auto"/>
              </w:rPr>
              <w:t>②</w:t>
            </w:r>
            <w:r>
              <w:rPr>
                <w:rFonts w:hint="eastAsia" w:ascii="宋体" w:hAnsi="宋体" w:eastAsia="宋体" w:cs="宋体"/>
                <w:b/>
                <w:bCs/>
                <w:color w:val="auto"/>
                <w:sz w:val="24"/>
                <w:highlight w:val="none"/>
                <w:shd w:val="clear" w:color="auto" w:fill="auto"/>
              </w:rPr>
              <w:fldChar w:fldCharType="end"/>
            </w:r>
            <w:r>
              <w:rPr>
                <w:rFonts w:hint="eastAsia" w:ascii="宋体" w:hAnsi="宋体" w:eastAsia="宋体" w:cs="宋体"/>
                <w:b/>
                <w:bCs/>
                <w:color w:val="auto"/>
                <w:sz w:val="24"/>
                <w:highlight w:val="none"/>
                <w:shd w:val="clear" w:color="auto" w:fill="auto"/>
              </w:rPr>
              <w:t>中标单位为小微型企业或监狱企业或残疾人福利性单位的，其声明函将随中标结果同时公告，接受社会监督。投标人提供的声明函内容不实的，属于提供虚假材料谋取中标、成交，依照《中华人民 共和国政府采购法》等国家有关规定追究相应责任。</w:t>
            </w:r>
          </w:p>
          <w:p w14:paraId="76C527D1">
            <w:pPr>
              <w:pStyle w:val="5"/>
              <w:keepNext w:val="0"/>
              <w:keepLines w:val="0"/>
              <w:pageBreakBefore w:val="0"/>
              <w:widowControl w:val="0"/>
              <w:kinsoku/>
              <w:wordWrap/>
              <w:overflowPunct/>
              <w:topLinePunct w:val="0"/>
              <w:bidi w:val="0"/>
              <w:spacing w:after="0" w:line="360" w:lineRule="auto"/>
              <w:ind w:left="0" w:leftChars="0" w:right="0" w:rightChars="0"/>
              <w:textAlignment w:val="auto"/>
              <w:outlineLvl w:val="9"/>
              <w:rPr>
                <w:rFonts w:hint="eastAsia" w:ascii="宋体" w:hAnsi="宋体" w:eastAsia="宋体" w:cs="宋体"/>
                <w:b/>
                <w:bCs/>
                <w:color w:val="auto"/>
                <w:sz w:val="24"/>
                <w:highlight w:val="none"/>
                <w:shd w:val="clear" w:color="auto" w:fill="auto"/>
              </w:rPr>
            </w:pPr>
          </w:p>
          <w:p w14:paraId="5783F6D3">
            <w:pPr>
              <w:pStyle w:val="5"/>
              <w:keepNext w:val="0"/>
              <w:keepLines w:val="0"/>
              <w:pageBreakBefore w:val="0"/>
              <w:widowControl w:val="0"/>
              <w:kinsoku/>
              <w:wordWrap/>
              <w:overflowPunct/>
              <w:topLinePunct w:val="0"/>
              <w:bidi w:val="0"/>
              <w:spacing w:after="0" w:line="360" w:lineRule="auto"/>
              <w:ind w:left="0" w:leftChars="0" w:right="0" w:rightChars="0"/>
              <w:textAlignment w:val="auto"/>
              <w:outlineLvl w:val="9"/>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二、</w:t>
            </w:r>
            <w:r>
              <w:rPr>
                <w:rFonts w:hint="eastAsia" w:ascii="宋体" w:hAnsi="宋体" w:eastAsia="宋体" w:cs="Times New Roman"/>
                <w:b/>
                <w:color w:val="000000" w:themeColor="text1"/>
                <w:sz w:val="24"/>
                <w:szCs w:val="24"/>
                <w:highlight w:val="none"/>
                <w14:textFill>
                  <w14:solidFill>
                    <w14:schemeClr w14:val="tx1"/>
                  </w14:solidFill>
                </w14:textFill>
              </w:rPr>
              <w:t>节能、环境标志产品扶持政策</w:t>
            </w:r>
          </w:p>
          <w:p w14:paraId="164909BF">
            <w:pPr>
              <w:pStyle w:val="5"/>
              <w:keepNext w:val="0"/>
              <w:keepLines w:val="0"/>
              <w:pageBreakBefore w:val="0"/>
              <w:widowControl w:val="0"/>
              <w:kinsoku/>
              <w:wordWrap/>
              <w:overflowPunct/>
              <w:topLinePunct w:val="0"/>
              <w:bidi w:val="0"/>
              <w:spacing w:after="0" w:line="360" w:lineRule="auto"/>
              <w:ind w:left="0" w:leftChars="0" w:right="0" w:rightChars="0" w:firstLine="482" w:firstLineChars="200"/>
              <w:textAlignment w:val="auto"/>
              <w:outlineLvl w:val="9"/>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在技术、服务等指标同等条件下，优先采购节能清单所列的节能产品、环境标志产品。</w:t>
            </w:r>
          </w:p>
          <w:p w14:paraId="2CED5ED7">
            <w:pPr>
              <w:pageBreakBefore w:val="0"/>
              <w:tabs>
                <w:tab w:val="left" w:pos="105"/>
                <w:tab w:val="left" w:pos="945"/>
                <w:tab w:val="left" w:pos="3360"/>
              </w:tabs>
              <w:kinsoku/>
              <w:overflowPunct/>
              <w:bidi w:val="0"/>
              <w:snapToGrid w:val="0"/>
              <w:spacing w:line="360" w:lineRule="auto"/>
              <w:ind w:firstLine="42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auto"/>
                <w:sz w:val="24"/>
                <w:highlight w:val="none"/>
                <w:shd w:val="clear" w:color="auto" w:fill="auto"/>
              </w:rPr>
              <w:t xml:space="preserve"> </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1节能产品是指列入财政部和国家发改委公布的《节能产品政府采购品目清单》中的货物。政府强制采购节能产品是指《节能产品政府采购品目清单》中以“★”标注类别的产品。</w:t>
            </w:r>
          </w:p>
          <w:p w14:paraId="678209CB">
            <w:pPr>
              <w:pageBreakBefore w:val="0"/>
              <w:tabs>
                <w:tab w:val="left" w:pos="105"/>
                <w:tab w:val="left" w:pos="945"/>
                <w:tab w:val="left" w:pos="3360"/>
              </w:tabs>
              <w:kinsoku/>
              <w:overflowPunct/>
              <w:bidi w:val="0"/>
              <w:snapToGrid w:val="0"/>
              <w:spacing w:line="360" w:lineRule="auto"/>
              <w:ind w:firstLine="42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.2环境标志产品是指列入财政部、生态环境部公布的《环境标志产品政府采购品目清单》中的货物。</w:t>
            </w:r>
          </w:p>
          <w:p w14:paraId="60D6D80E">
            <w:pPr>
              <w:pageBreakBefore w:val="0"/>
              <w:tabs>
                <w:tab w:val="left" w:pos="105"/>
                <w:tab w:val="left" w:pos="945"/>
                <w:tab w:val="left" w:pos="3360"/>
              </w:tabs>
              <w:kinsoku/>
              <w:overflowPunct/>
              <w:bidi w:val="0"/>
              <w:snapToGrid w:val="0"/>
              <w:spacing w:line="360" w:lineRule="auto"/>
              <w:ind w:firstLine="42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.3本项目采购清单中若有政府强制采购节能产品，只接受强制节能产品投标，投标人必须选报，否则按不实质性响应招标文件要求处理。</w:t>
            </w:r>
          </w:p>
          <w:p w14:paraId="18A9DAB5">
            <w:pPr>
              <w:pageBreakBefore w:val="0"/>
              <w:tabs>
                <w:tab w:val="left" w:pos="105"/>
                <w:tab w:val="left" w:pos="945"/>
                <w:tab w:val="left" w:pos="3360"/>
              </w:tabs>
              <w:kinsoku/>
              <w:overflowPunct/>
              <w:bidi w:val="0"/>
              <w:snapToGrid w:val="0"/>
              <w:spacing w:line="360" w:lineRule="auto"/>
              <w:ind w:firstLine="42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.4投标人应在投标文件中提供所投标产品国家确定的认证机构出具的、处于有效期之内的节能产品、环境标志产品认证证书，否则不予认可。</w:t>
            </w:r>
          </w:p>
          <w:p w14:paraId="21CB30C0">
            <w:pPr>
              <w:pageBreakBefore w:val="0"/>
              <w:tabs>
                <w:tab w:val="left" w:pos="105"/>
                <w:tab w:val="left" w:pos="945"/>
                <w:tab w:val="left" w:pos="3360"/>
              </w:tabs>
              <w:kinsoku/>
              <w:overflowPunct/>
              <w:bidi w:val="0"/>
              <w:snapToGrid w:val="0"/>
              <w:spacing w:line="360" w:lineRule="auto"/>
              <w:ind w:firstLine="42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 xml:space="preserve">.5《节能产品政府采购品目清单》及《环境标志产品政府采购品目清单》可通过中国政府采购网（http://www.ccgp.gov.cn/ ）查阅、下载。 </w:t>
            </w:r>
          </w:p>
          <w:p w14:paraId="2812E3E5">
            <w:pPr>
              <w:pageBreakBefore w:val="0"/>
              <w:tabs>
                <w:tab w:val="left" w:pos="105"/>
                <w:tab w:val="left" w:pos="945"/>
                <w:tab w:val="left" w:pos="3360"/>
              </w:tabs>
              <w:kinsoku/>
              <w:overflowPunct/>
              <w:bidi w:val="0"/>
              <w:snapToGrid w:val="0"/>
              <w:spacing w:line="360" w:lineRule="auto"/>
              <w:ind w:firstLine="420"/>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2</w:t>
            </w:r>
            <w:r>
              <w:rPr>
                <w:rFonts w:hint="eastAsia" w:ascii="宋体" w:hAnsi="宋体" w:cs="宋体"/>
                <w:b/>
                <w:bCs/>
                <w:color w:val="000000" w:themeColor="text1"/>
                <w:sz w:val="24"/>
                <w:szCs w:val="24"/>
                <w:highlight w:val="none"/>
                <w14:textFill>
                  <w14:solidFill>
                    <w14:schemeClr w14:val="tx1"/>
                  </w14:solidFill>
                </w14:textFill>
              </w:rPr>
              <w:t>.6参与实施政府采购节能产品认证机构名录：</w:t>
            </w:r>
          </w:p>
          <w:tbl>
            <w:tblPr>
              <w:tblStyle w:val="23"/>
              <w:tblW w:w="8998" w:type="dxa"/>
              <w:jc w:val="center"/>
              <w:shd w:val="clear" w:color="auto" w:fill="FFFFFF"/>
              <w:tblLayout w:type="fixed"/>
              <w:tblCellMar>
                <w:top w:w="30" w:type="dxa"/>
                <w:left w:w="30" w:type="dxa"/>
                <w:bottom w:w="30" w:type="dxa"/>
                <w:right w:w="30" w:type="dxa"/>
              </w:tblCellMar>
            </w:tblPr>
            <w:tblGrid>
              <w:gridCol w:w="586"/>
              <w:gridCol w:w="1065"/>
              <w:gridCol w:w="1316"/>
              <w:gridCol w:w="1117"/>
              <w:gridCol w:w="1732"/>
              <w:gridCol w:w="3182"/>
            </w:tblGrid>
            <w:tr w14:paraId="69969C1E">
              <w:tblPrEx>
                <w:shd w:val="clear" w:color="auto" w:fill="FFFFFF"/>
                <w:tblCellMar>
                  <w:top w:w="30" w:type="dxa"/>
                  <w:left w:w="30" w:type="dxa"/>
                  <w:bottom w:w="30" w:type="dxa"/>
                  <w:right w:w="30" w:type="dxa"/>
                </w:tblCellMar>
              </w:tblPrEx>
              <w:trPr>
                <w:trHeight w:val="346" w:hRule="atLeast"/>
                <w:jc w:val="center"/>
              </w:trPr>
              <w:tc>
                <w:tcPr>
                  <w:tcW w:w="586"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F45B276">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2381" w:type="dxa"/>
                  <w:gridSpan w:val="2"/>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CB2D94A">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一级目录</w:t>
                  </w:r>
                </w:p>
              </w:tc>
              <w:tc>
                <w:tcPr>
                  <w:tcW w:w="2849" w:type="dxa"/>
                  <w:gridSpan w:val="2"/>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8039ABB">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二级目录</w:t>
                  </w:r>
                </w:p>
              </w:tc>
              <w:tc>
                <w:tcPr>
                  <w:tcW w:w="3182" w:type="dxa"/>
                  <w:vMerge w:val="restart"/>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9BF6FC6">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认证机构名录</w:t>
                  </w:r>
                </w:p>
              </w:tc>
            </w:tr>
            <w:tr w14:paraId="3C6B2323">
              <w:tblPrEx>
                <w:tblCellMar>
                  <w:top w:w="30" w:type="dxa"/>
                  <w:left w:w="30" w:type="dxa"/>
                  <w:bottom w:w="30" w:type="dxa"/>
                  <w:right w:w="30" w:type="dxa"/>
                </w:tblCellMar>
              </w:tblPrEx>
              <w:trPr>
                <w:trHeight w:val="346" w:hRule="atLeast"/>
                <w:jc w:val="center"/>
              </w:trPr>
              <w:tc>
                <w:tcPr>
                  <w:tcW w:w="586" w:type="dxa"/>
                  <w:vMerge w:val="continue"/>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0BD076F0">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106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EDD37A4">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产品代码</w:t>
                  </w:r>
                </w:p>
              </w:tc>
              <w:tc>
                <w:tcPr>
                  <w:tcW w:w="131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EB36110">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产品名称</w:t>
                  </w:r>
                </w:p>
              </w:tc>
              <w:tc>
                <w:tcPr>
                  <w:tcW w:w="111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431688D">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产品代码</w:t>
                  </w:r>
                </w:p>
              </w:tc>
              <w:tc>
                <w:tcPr>
                  <w:tcW w:w="173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3061074">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产品名称</w:t>
                  </w:r>
                </w:p>
              </w:tc>
              <w:tc>
                <w:tcPr>
                  <w:tcW w:w="3182" w:type="dxa"/>
                  <w:vMerge w:val="continue"/>
                  <w:tcBorders>
                    <w:top w:val="single" w:color="auto" w:sz="8"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14:paraId="4FAD09F1">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r>
            <w:tr w14:paraId="5B4CA5A8">
              <w:tblPrEx>
                <w:shd w:val="clear" w:color="auto" w:fill="FFFFFF"/>
                <w:tblCellMar>
                  <w:top w:w="30" w:type="dxa"/>
                  <w:left w:w="30" w:type="dxa"/>
                  <w:bottom w:w="30" w:type="dxa"/>
                  <w:right w:w="30" w:type="dxa"/>
                </w:tblCellMar>
              </w:tblPrEx>
              <w:trPr>
                <w:trHeight w:val="346" w:hRule="atLeast"/>
                <w:jc w:val="center"/>
              </w:trPr>
              <w:tc>
                <w:tcPr>
                  <w:tcW w:w="586" w:type="dxa"/>
                  <w:vMerge w:val="restar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4B07CE5">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065" w:type="dxa"/>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7CCCDEE">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A020101</w:t>
                  </w:r>
                </w:p>
              </w:tc>
              <w:tc>
                <w:tcPr>
                  <w:tcW w:w="1316" w:type="dxa"/>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3944038">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计算机设备</w:t>
                  </w:r>
                </w:p>
              </w:tc>
              <w:tc>
                <w:tcPr>
                  <w:tcW w:w="111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7F6BD9E">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A02010104</w:t>
                  </w:r>
                </w:p>
              </w:tc>
              <w:tc>
                <w:tcPr>
                  <w:tcW w:w="173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3E62F11">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台式计算机</w:t>
                  </w:r>
                </w:p>
              </w:tc>
              <w:tc>
                <w:tcPr>
                  <w:tcW w:w="3182" w:type="dxa"/>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CCF5024">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中国质量认证中心</w:t>
                  </w:r>
                </w:p>
                <w:p w14:paraId="593070A6">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北京赛西认证有限责任公司</w:t>
                  </w:r>
                </w:p>
                <w:p w14:paraId="52F650A1">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中国网络安全审查技术与认证中心</w:t>
                  </w:r>
                </w:p>
                <w:p w14:paraId="79138D59">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广州赛宝认证中心服务有限公司</w:t>
                  </w:r>
                </w:p>
              </w:tc>
            </w:tr>
            <w:tr w14:paraId="5E0EB415">
              <w:tblPrEx>
                <w:tblCellMar>
                  <w:top w:w="30" w:type="dxa"/>
                  <w:left w:w="30" w:type="dxa"/>
                  <w:bottom w:w="30" w:type="dxa"/>
                  <w:right w:w="30" w:type="dxa"/>
                </w:tblCellMar>
              </w:tblPrEx>
              <w:trPr>
                <w:trHeight w:val="346" w:hRule="atLeast"/>
                <w:jc w:val="center"/>
              </w:trPr>
              <w:tc>
                <w:tcPr>
                  <w:tcW w:w="586" w:type="dxa"/>
                  <w:vMerge w:val="continue"/>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3350BBD1">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1065"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14:paraId="1A552600">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1316"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14:paraId="241409E6">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111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3349AEF">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A02010105</w:t>
                  </w:r>
                </w:p>
              </w:tc>
              <w:tc>
                <w:tcPr>
                  <w:tcW w:w="173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580F6B6">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便携式计算机</w:t>
                  </w:r>
                </w:p>
              </w:tc>
              <w:tc>
                <w:tcPr>
                  <w:tcW w:w="3182"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14:paraId="681AA640">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r>
            <w:tr w14:paraId="43A34083">
              <w:tblPrEx>
                <w:shd w:val="clear" w:color="auto" w:fill="FFFFFF"/>
                <w:tblCellMar>
                  <w:top w:w="30" w:type="dxa"/>
                  <w:left w:w="30" w:type="dxa"/>
                  <w:bottom w:w="30" w:type="dxa"/>
                  <w:right w:w="30" w:type="dxa"/>
                </w:tblCellMar>
              </w:tblPrEx>
              <w:trPr>
                <w:trHeight w:val="622" w:hRule="atLeast"/>
                <w:jc w:val="center"/>
              </w:trPr>
              <w:tc>
                <w:tcPr>
                  <w:tcW w:w="586" w:type="dxa"/>
                  <w:vMerge w:val="continue"/>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76B9E96B">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1065"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14:paraId="07675CEC">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1316"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14:paraId="68B3C1D7">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111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5D21A57">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A02010107</w:t>
                  </w:r>
                </w:p>
              </w:tc>
              <w:tc>
                <w:tcPr>
                  <w:tcW w:w="173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FC44812">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平板式微型计算机</w:t>
                  </w:r>
                </w:p>
              </w:tc>
              <w:tc>
                <w:tcPr>
                  <w:tcW w:w="3182"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14:paraId="7138B51A">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r>
            <w:tr w14:paraId="45E963A4">
              <w:tblPrEx>
                <w:shd w:val="clear" w:color="auto" w:fill="FFFFFF"/>
                <w:tblCellMar>
                  <w:top w:w="30" w:type="dxa"/>
                  <w:left w:w="30" w:type="dxa"/>
                  <w:bottom w:w="30" w:type="dxa"/>
                  <w:right w:w="30" w:type="dxa"/>
                </w:tblCellMar>
              </w:tblPrEx>
              <w:trPr>
                <w:trHeight w:val="346" w:hRule="atLeast"/>
                <w:jc w:val="center"/>
              </w:trPr>
              <w:tc>
                <w:tcPr>
                  <w:tcW w:w="586" w:type="dxa"/>
                  <w:vMerge w:val="restar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E396FA1">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065" w:type="dxa"/>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D36220D">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A020106</w:t>
                  </w:r>
                </w:p>
              </w:tc>
              <w:tc>
                <w:tcPr>
                  <w:tcW w:w="1316" w:type="dxa"/>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7089E2E">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输入输出设备</w:t>
                  </w:r>
                </w:p>
              </w:tc>
              <w:tc>
                <w:tcPr>
                  <w:tcW w:w="111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2E2B322">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A02010601</w:t>
                  </w:r>
                </w:p>
              </w:tc>
              <w:tc>
                <w:tcPr>
                  <w:tcW w:w="173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C6B2FC1">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打印设备</w:t>
                  </w:r>
                </w:p>
              </w:tc>
              <w:tc>
                <w:tcPr>
                  <w:tcW w:w="3182"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14:paraId="3A80D006">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r>
            <w:tr w14:paraId="66C90CF6">
              <w:tblPrEx>
                <w:tblCellMar>
                  <w:top w:w="30" w:type="dxa"/>
                  <w:left w:w="30" w:type="dxa"/>
                  <w:bottom w:w="30" w:type="dxa"/>
                  <w:right w:w="30" w:type="dxa"/>
                </w:tblCellMar>
              </w:tblPrEx>
              <w:trPr>
                <w:trHeight w:val="346" w:hRule="atLeast"/>
                <w:jc w:val="center"/>
              </w:trPr>
              <w:tc>
                <w:tcPr>
                  <w:tcW w:w="586" w:type="dxa"/>
                  <w:vMerge w:val="continue"/>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2C310AC3">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1065"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14:paraId="7800B26D">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1316"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14:paraId="56C9E4D1">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111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41770E4">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A02010604</w:t>
                  </w:r>
                </w:p>
              </w:tc>
              <w:tc>
                <w:tcPr>
                  <w:tcW w:w="173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949DBB6">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显示设备</w:t>
                  </w:r>
                </w:p>
              </w:tc>
              <w:tc>
                <w:tcPr>
                  <w:tcW w:w="3182"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14:paraId="4F254DE8">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r>
            <w:tr w14:paraId="278EA07C">
              <w:tblPrEx>
                <w:tblCellMar>
                  <w:top w:w="30" w:type="dxa"/>
                  <w:left w:w="30" w:type="dxa"/>
                  <w:bottom w:w="30" w:type="dxa"/>
                  <w:right w:w="30" w:type="dxa"/>
                </w:tblCellMar>
              </w:tblPrEx>
              <w:trPr>
                <w:trHeight w:val="622" w:hRule="atLeast"/>
                <w:jc w:val="center"/>
              </w:trPr>
              <w:tc>
                <w:tcPr>
                  <w:tcW w:w="586" w:type="dxa"/>
                  <w:vMerge w:val="continue"/>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4FD7AC1B">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1065"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14:paraId="050D5670">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1316"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14:paraId="60BAD567">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111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439F065">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A02010609</w:t>
                  </w:r>
                </w:p>
              </w:tc>
              <w:tc>
                <w:tcPr>
                  <w:tcW w:w="173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A01D1ED">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图形图像输入设备</w:t>
                  </w:r>
                </w:p>
              </w:tc>
              <w:tc>
                <w:tcPr>
                  <w:tcW w:w="3182"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14:paraId="11E2E47D">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r>
            <w:tr w14:paraId="6F0136C8">
              <w:tblPrEx>
                <w:tblCellMar>
                  <w:top w:w="30" w:type="dxa"/>
                  <w:left w:w="30" w:type="dxa"/>
                  <w:bottom w:w="30" w:type="dxa"/>
                  <w:right w:w="30" w:type="dxa"/>
                </w:tblCellMar>
              </w:tblPrEx>
              <w:trPr>
                <w:trHeight w:val="346" w:hRule="atLeast"/>
                <w:jc w:val="center"/>
              </w:trPr>
              <w:tc>
                <w:tcPr>
                  <w:tcW w:w="586"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0929645">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06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D7FB2FA">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A020202</w:t>
                  </w:r>
                </w:p>
              </w:tc>
              <w:tc>
                <w:tcPr>
                  <w:tcW w:w="131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DB62AA3">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投影仪</w:t>
                  </w:r>
                </w:p>
              </w:tc>
              <w:tc>
                <w:tcPr>
                  <w:tcW w:w="111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9ED7F4D">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p>
              </w:tc>
              <w:tc>
                <w:tcPr>
                  <w:tcW w:w="173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7EF542F">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p>
              </w:tc>
              <w:tc>
                <w:tcPr>
                  <w:tcW w:w="3182"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14:paraId="5B2C656C">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r>
            <w:tr w14:paraId="671013E6">
              <w:tblPrEx>
                <w:shd w:val="clear" w:color="auto" w:fill="FFFFFF"/>
                <w:tblCellMar>
                  <w:top w:w="30" w:type="dxa"/>
                  <w:left w:w="30" w:type="dxa"/>
                  <w:bottom w:w="30" w:type="dxa"/>
                  <w:right w:w="30" w:type="dxa"/>
                </w:tblCellMar>
              </w:tblPrEx>
              <w:trPr>
                <w:trHeight w:val="624" w:hRule="atLeast"/>
                <w:jc w:val="center"/>
              </w:trPr>
              <w:tc>
                <w:tcPr>
                  <w:tcW w:w="586"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9921813">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06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3504805">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A020204</w:t>
                  </w:r>
                </w:p>
              </w:tc>
              <w:tc>
                <w:tcPr>
                  <w:tcW w:w="131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6A7FFAE">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多功能一体机</w:t>
                  </w:r>
                </w:p>
              </w:tc>
              <w:tc>
                <w:tcPr>
                  <w:tcW w:w="111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39149F9">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p>
              </w:tc>
              <w:tc>
                <w:tcPr>
                  <w:tcW w:w="173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137A789">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p>
              </w:tc>
              <w:tc>
                <w:tcPr>
                  <w:tcW w:w="3182"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14:paraId="6A3CF730">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r>
            <w:tr w14:paraId="07F389CC">
              <w:tblPrEx>
                <w:tblCellMar>
                  <w:top w:w="30" w:type="dxa"/>
                  <w:left w:w="30" w:type="dxa"/>
                  <w:bottom w:w="30" w:type="dxa"/>
                  <w:right w:w="30" w:type="dxa"/>
                </w:tblCellMar>
              </w:tblPrEx>
              <w:trPr>
                <w:trHeight w:val="923" w:hRule="atLeast"/>
                <w:jc w:val="center"/>
              </w:trPr>
              <w:tc>
                <w:tcPr>
                  <w:tcW w:w="586"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33C1561">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06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80BBDCE">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A020519</w:t>
                  </w:r>
                </w:p>
              </w:tc>
              <w:tc>
                <w:tcPr>
                  <w:tcW w:w="131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F960732">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泵</w:t>
                  </w:r>
                </w:p>
              </w:tc>
              <w:tc>
                <w:tcPr>
                  <w:tcW w:w="111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CFBE571">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A02051901</w:t>
                  </w:r>
                </w:p>
              </w:tc>
              <w:tc>
                <w:tcPr>
                  <w:tcW w:w="173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5F948CA">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离心泵</w:t>
                  </w:r>
                </w:p>
              </w:tc>
              <w:tc>
                <w:tcPr>
                  <w:tcW w:w="318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79EA748">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中国质量认证中心</w:t>
                  </w:r>
                </w:p>
                <w:p w14:paraId="1FA1C7C1">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电能（北京）认证中心有限公司</w:t>
                  </w:r>
                </w:p>
                <w:p w14:paraId="25B904D7">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方圆标志认证集团有限公司</w:t>
                  </w:r>
                </w:p>
              </w:tc>
            </w:tr>
            <w:tr w14:paraId="64FFA5EC">
              <w:tblPrEx>
                <w:shd w:val="clear" w:color="auto" w:fill="FFFFFF"/>
                <w:tblCellMar>
                  <w:top w:w="30" w:type="dxa"/>
                  <w:left w:w="30" w:type="dxa"/>
                  <w:bottom w:w="30" w:type="dxa"/>
                  <w:right w:w="30" w:type="dxa"/>
                </w:tblCellMar>
              </w:tblPrEx>
              <w:trPr>
                <w:trHeight w:val="346" w:hRule="atLeast"/>
                <w:jc w:val="center"/>
              </w:trPr>
              <w:tc>
                <w:tcPr>
                  <w:tcW w:w="586" w:type="dxa"/>
                  <w:vMerge w:val="restar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86C19F9">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065" w:type="dxa"/>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E285B10">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A020523</w:t>
                  </w:r>
                </w:p>
              </w:tc>
              <w:tc>
                <w:tcPr>
                  <w:tcW w:w="1316" w:type="dxa"/>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B80503C">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制冷空调设备</w:t>
                  </w:r>
                </w:p>
              </w:tc>
              <w:tc>
                <w:tcPr>
                  <w:tcW w:w="111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96724CE">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A02052301</w:t>
                  </w:r>
                </w:p>
              </w:tc>
              <w:tc>
                <w:tcPr>
                  <w:tcW w:w="173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2C3F277">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制冷压缩机</w:t>
                  </w:r>
                </w:p>
              </w:tc>
              <w:tc>
                <w:tcPr>
                  <w:tcW w:w="3182" w:type="dxa"/>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5261FBD">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中国质量认证中心</w:t>
                  </w:r>
                </w:p>
                <w:p w14:paraId="56329BDB">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威凯认证检测有限公司</w:t>
                  </w:r>
                </w:p>
                <w:p w14:paraId="56A32E00">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合肥通用机械产品认证有限公司</w:t>
                  </w:r>
                </w:p>
                <w:p w14:paraId="0ECB344E">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北京中冷通质量认证中心有限公司</w:t>
                  </w:r>
                </w:p>
              </w:tc>
            </w:tr>
            <w:tr w14:paraId="5AC1D277">
              <w:tblPrEx>
                <w:shd w:val="clear" w:color="auto" w:fill="FFFFFF"/>
                <w:tblCellMar>
                  <w:top w:w="30" w:type="dxa"/>
                  <w:left w:w="30" w:type="dxa"/>
                  <w:bottom w:w="30" w:type="dxa"/>
                  <w:right w:w="30" w:type="dxa"/>
                </w:tblCellMar>
              </w:tblPrEx>
              <w:trPr>
                <w:trHeight w:val="346" w:hRule="atLeast"/>
                <w:jc w:val="center"/>
              </w:trPr>
              <w:tc>
                <w:tcPr>
                  <w:tcW w:w="586" w:type="dxa"/>
                  <w:vMerge w:val="continue"/>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30CC8164">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1065"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14:paraId="075634EC">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1316"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14:paraId="5DFEB790">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111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4DBE934">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A02052305</w:t>
                  </w:r>
                </w:p>
              </w:tc>
              <w:tc>
                <w:tcPr>
                  <w:tcW w:w="173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40C3271">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空调机组</w:t>
                  </w:r>
                </w:p>
              </w:tc>
              <w:tc>
                <w:tcPr>
                  <w:tcW w:w="3182"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14:paraId="5272F99A">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r>
            <w:tr w14:paraId="01D33A31">
              <w:tblPrEx>
                <w:tblCellMar>
                  <w:top w:w="30" w:type="dxa"/>
                  <w:left w:w="30" w:type="dxa"/>
                  <w:bottom w:w="30" w:type="dxa"/>
                  <w:right w:w="30" w:type="dxa"/>
                </w:tblCellMar>
              </w:tblPrEx>
              <w:trPr>
                <w:trHeight w:val="633" w:hRule="atLeast"/>
                <w:jc w:val="center"/>
              </w:trPr>
              <w:tc>
                <w:tcPr>
                  <w:tcW w:w="586" w:type="dxa"/>
                  <w:vMerge w:val="continue"/>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6DE0D17D">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1065"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14:paraId="0B96A706">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1316"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14:paraId="3036A336">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111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53836BE">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A02052309</w:t>
                  </w:r>
                </w:p>
              </w:tc>
              <w:tc>
                <w:tcPr>
                  <w:tcW w:w="173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E360C55">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专用制冷、空调设备</w:t>
                  </w:r>
                </w:p>
              </w:tc>
              <w:tc>
                <w:tcPr>
                  <w:tcW w:w="3182"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14:paraId="7B734083">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r>
            <w:tr w14:paraId="37AEE735">
              <w:tblPrEx>
                <w:tblCellMar>
                  <w:top w:w="30" w:type="dxa"/>
                  <w:left w:w="30" w:type="dxa"/>
                  <w:bottom w:w="30" w:type="dxa"/>
                  <w:right w:w="30" w:type="dxa"/>
                </w:tblCellMar>
              </w:tblPrEx>
              <w:trPr>
                <w:trHeight w:val="622" w:hRule="atLeast"/>
                <w:jc w:val="center"/>
              </w:trPr>
              <w:tc>
                <w:tcPr>
                  <w:tcW w:w="586" w:type="dxa"/>
                  <w:vMerge w:val="continue"/>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7C3BA8D2">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1065"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14:paraId="67F6F0DB">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1316"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14:paraId="6EE3B5D6">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111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F554B77">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A02052399</w:t>
                  </w:r>
                </w:p>
              </w:tc>
              <w:tc>
                <w:tcPr>
                  <w:tcW w:w="173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4BA1C83">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其他制冷空调设备</w:t>
                  </w:r>
                </w:p>
              </w:tc>
              <w:tc>
                <w:tcPr>
                  <w:tcW w:w="3182"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14:paraId="3B5FD80F">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r>
            <w:tr w14:paraId="2E222731">
              <w:tblPrEx>
                <w:shd w:val="clear" w:color="auto" w:fill="FFFFFF"/>
                <w:tblCellMar>
                  <w:top w:w="30" w:type="dxa"/>
                  <w:left w:w="30" w:type="dxa"/>
                  <w:bottom w:w="30" w:type="dxa"/>
                  <w:right w:w="30" w:type="dxa"/>
                </w:tblCellMar>
              </w:tblPrEx>
              <w:trPr>
                <w:trHeight w:val="1224" w:hRule="atLeast"/>
                <w:jc w:val="center"/>
              </w:trPr>
              <w:tc>
                <w:tcPr>
                  <w:tcW w:w="586"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B7B93A2">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06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6DF0BE9">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A020601</w:t>
                  </w:r>
                </w:p>
              </w:tc>
              <w:tc>
                <w:tcPr>
                  <w:tcW w:w="131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131F6B4">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电机</w:t>
                  </w:r>
                </w:p>
              </w:tc>
              <w:tc>
                <w:tcPr>
                  <w:tcW w:w="111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1C96AFD">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p>
              </w:tc>
              <w:tc>
                <w:tcPr>
                  <w:tcW w:w="173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A1AD2DC">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p>
              </w:tc>
              <w:tc>
                <w:tcPr>
                  <w:tcW w:w="318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515090E">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中国质量认证中心</w:t>
                  </w:r>
                </w:p>
                <w:p w14:paraId="6036FCF5">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威凯认证检测有限公司</w:t>
                  </w:r>
                </w:p>
                <w:p w14:paraId="56C90FA9">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电能（北京）认证中心有限公司</w:t>
                  </w:r>
                </w:p>
                <w:p w14:paraId="5034A129">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中国船级社质量认证公司</w:t>
                  </w:r>
                </w:p>
              </w:tc>
            </w:tr>
            <w:tr w14:paraId="0CB2B80F">
              <w:tblPrEx>
                <w:tblCellMar>
                  <w:top w:w="30" w:type="dxa"/>
                  <w:left w:w="30" w:type="dxa"/>
                  <w:bottom w:w="30" w:type="dxa"/>
                  <w:right w:w="30" w:type="dxa"/>
                </w:tblCellMar>
              </w:tblPrEx>
              <w:trPr>
                <w:trHeight w:val="923" w:hRule="atLeast"/>
                <w:jc w:val="center"/>
              </w:trPr>
              <w:tc>
                <w:tcPr>
                  <w:tcW w:w="586"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81B1A46">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06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B8BE8E5">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A020602</w:t>
                  </w:r>
                </w:p>
              </w:tc>
              <w:tc>
                <w:tcPr>
                  <w:tcW w:w="131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1987FA3">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变压器</w:t>
                  </w:r>
                </w:p>
              </w:tc>
              <w:tc>
                <w:tcPr>
                  <w:tcW w:w="111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E20BD71">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p>
              </w:tc>
              <w:tc>
                <w:tcPr>
                  <w:tcW w:w="173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05A8880">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p>
              </w:tc>
              <w:tc>
                <w:tcPr>
                  <w:tcW w:w="318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EEC4621">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中国质量认证中心</w:t>
                  </w:r>
                </w:p>
                <w:p w14:paraId="5554D831">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电能（北京）认证中心有限公司</w:t>
                  </w:r>
                </w:p>
                <w:p w14:paraId="3BC77B20">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方圆标志认证集团有限公司</w:t>
                  </w:r>
                </w:p>
              </w:tc>
            </w:tr>
            <w:tr w14:paraId="7811A40C">
              <w:tblPrEx>
                <w:shd w:val="clear" w:color="auto" w:fill="FFFFFF"/>
                <w:tblCellMar>
                  <w:top w:w="30" w:type="dxa"/>
                  <w:left w:w="30" w:type="dxa"/>
                  <w:bottom w:w="30" w:type="dxa"/>
                  <w:right w:w="30" w:type="dxa"/>
                </w:tblCellMar>
              </w:tblPrEx>
              <w:trPr>
                <w:trHeight w:val="923" w:hRule="atLeast"/>
                <w:jc w:val="center"/>
              </w:trPr>
              <w:tc>
                <w:tcPr>
                  <w:tcW w:w="586"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83B73A2">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06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52493A5">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A020609</w:t>
                  </w:r>
                </w:p>
              </w:tc>
              <w:tc>
                <w:tcPr>
                  <w:tcW w:w="131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59C4FA1">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镇流器</w:t>
                  </w:r>
                </w:p>
              </w:tc>
              <w:tc>
                <w:tcPr>
                  <w:tcW w:w="111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6514141">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p>
              </w:tc>
              <w:tc>
                <w:tcPr>
                  <w:tcW w:w="173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42FE370">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p>
              </w:tc>
              <w:tc>
                <w:tcPr>
                  <w:tcW w:w="318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CA726D0">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中国质量认证中心</w:t>
                  </w:r>
                </w:p>
                <w:p w14:paraId="1A0D1A7D">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深圳市计量质量检测研究院</w:t>
                  </w:r>
                </w:p>
                <w:p w14:paraId="0225E690">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中标合信（北京）认证有限公司</w:t>
                  </w:r>
                </w:p>
              </w:tc>
            </w:tr>
            <w:tr w14:paraId="7246F896">
              <w:tblPrEx>
                <w:tblCellMar>
                  <w:top w:w="30" w:type="dxa"/>
                  <w:left w:w="30" w:type="dxa"/>
                  <w:bottom w:w="30" w:type="dxa"/>
                  <w:right w:w="30" w:type="dxa"/>
                </w:tblCellMar>
              </w:tblPrEx>
              <w:trPr>
                <w:trHeight w:val="1209" w:hRule="atLeast"/>
                <w:jc w:val="center"/>
              </w:trPr>
              <w:tc>
                <w:tcPr>
                  <w:tcW w:w="586" w:type="dxa"/>
                  <w:vMerge w:val="restar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2983666">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065" w:type="dxa"/>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CB7F56E">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A020618</w:t>
                  </w:r>
                </w:p>
              </w:tc>
              <w:tc>
                <w:tcPr>
                  <w:tcW w:w="1316" w:type="dxa"/>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C65D572">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生活用电器</w:t>
                  </w:r>
                </w:p>
              </w:tc>
              <w:tc>
                <w:tcPr>
                  <w:tcW w:w="111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73547E7">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A0206180101</w:t>
                  </w:r>
                </w:p>
              </w:tc>
              <w:tc>
                <w:tcPr>
                  <w:tcW w:w="173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DDE9D04">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电冰箱</w:t>
                  </w:r>
                </w:p>
              </w:tc>
              <w:tc>
                <w:tcPr>
                  <w:tcW w:w="318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74DD09B">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中国质量认证中心</w:t>
                  </w:r>
                </w:p>
                <w:p w14:paraId="63B5CD8C">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威凯认证检测有限公司</w:t>
                  </w:r>
                </w:p>
                <w:p w14:paraId="462D0414">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中家院（北京）检测认证有限公司</w:t>
                  </w:r>
                </w:p>
              </w:tc>
            </w:tr>
            <w:tr w14:paraId="416682D7">
              <w:tblPrEx>
                <w:shd w:val="clear" w:color="auto" w:fill="FFFFFF"/>
                <w:tblCellMar>
                  <w:top w:w="30" w:type="dxa"/>
                  <w:left w:w="30" w:type="dxa"/>
                  <w:bottom w:w="30" w:type="dxa"/>
                  <w:right w:w="30" w:type="dxa"/>
                </w:tblCellMar>
              </w:tblPrEx>
              <w:trPr>
                <w:trHeight w:val="1793" w:hRule="atLeast"/>
                <w:jc w:val="center"/>
              </w:trPr>
              <w:tc>
                <w:tcPr>
                  <w:tcW w:w="586" w:type="dxa"/>
                  <w:vMerge w:val="continue"/>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2027264E">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1065"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14:paraId="78A75E75">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1316"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14:paraId="624A4307">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111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FE4AFD4">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A0206180203</w:t>
                  </w:r>
                </w:p>
              </w:tc>
              <w:tc>
                <w:tcPr>
                  <w:tcW w:w="173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8BF3CA3">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空调机</w:t>
                  </w:r>
                </w:p>
              </w:tc>
              <w:tc>
                <w:tcPr>
                  <w:tcW w:w="318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488D489">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中国质量认证中心</w:t>
                  </w:r>
                </w:p>
                <w:p w14:paraId="1705A67D">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威凯认证检测有限公司</w:t>
                  </w:r>
                </w:p>
                <w:p w14:paraId="7CCEA59A">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中家院（北京）检测认证有限公司</w:t>
                  </w:r>
                </w:p>
                <w:p w14:paraId="37DE01CA">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合肥通用机械产品认证有限公司</w:t>
                  </w:r>
                </w:p>
              </w:tc>
            </w:tr>
            <w:tr w14:paraId="2A7AE8A7">
              <w:tblPrEx>
                <w:shd w:val="clear" w:color="auto" w:fill="FFFFFF"/>
                <w:tblCellMar>
                  <w:top w:w="30" w:type="dxa"/>
                  <w:left w:w="30" w:type="dxa"/>
                  <w:bottom w:w="30" w:type="dxa"/>
                  <w:right w:w="30" w:type="dxa"/>
                </w:tblCellMar>
              </w:tblPrEx>
              <w:trPr>
                <w:trHeight w:val="1209" w:hRule="atLeast"/>
                <w:jc w:val="center"/>
              </w:trPr>
              <w:tc>
                <w:tcPr>
                  <w:tcW w:w="586" w:type="dxa"/>
                  <w:vMerge w:val="continue"/>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090412DF">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1065"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14:paraId="337A98B7">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1316"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14:paraId="789CE86B">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111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FC35F19">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A0206180301</w:t>
                  </w:r>
                </w:p>
              </w:tc>
              <w:tc>
                <w:tcPr>
                  <w:tcW w:w="173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1767258">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洗衣机</w:t>
                  </w:r>
                </w:p>
              </w:tc>
              <w:tc>
                <w:tcPr>
                  <w:tcW w:w="318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77E6EF7">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中国质量认证中心</w:t>
                  </w:r>
                </w:p>
                <w:p w14:paraId="5D996B78">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威凯认证检测有限公司</w:t>
                  </w:r>
                </w:p>
                <w:p w14:paraId="0564B9D2">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中家院（北京）检测认证有限公司</w:t>
                  </w:r>
                </w:p>
              </w:tc>
            </w:tr>
            <w:tr w14:paraId="34BE1BA4">
              <w:tblPrEx>
                <w:tblCellMar>
                  <w:top w:w="30" w:type="dxa"/>
                  <w:left w:w="30" w:type="dxa"/>
                  <w:bottom w:w="30" w:type="dxa"/>
                  <w:right w:w="30" w:type="dxa"/>
                </w:tblCellMar>
              </w:tblPrEx>
              <w:trPr>
                <w:trHeight w:val="1525" w:hRule="atLeast"/>
                <w:jc w:val="center"/>
              </w:trPr>
              <w:tc>
                <w:tcPr>
                  <w:tcW w:w="586" w:type="dxa"/>
                  <w:vMerge w:val="continue"/>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564BD098">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1065"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14:paraId="69198F98">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1316"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14:paraId="56EBD5BE">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111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E3A15C4">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A02061808</w:t>
                  </w:r>
                </w:p>
              </w:tc>
              <w:tc>
                <w:tcPr>
                  <w:tcW w:w="173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70DE68D">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热水器</w:t>
                  </w:r>
                </w:p>
              </w:tc>
              <w:tc>
                <w:tcPr>
                  <w:tcW w:w="318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23A5225">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中国质量认证中心</w:t>
                  </w:r>
                </w:p>
                <w:p w14:paraId="501A9349">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威凯认证检测有限公司</w:t>
                  </w:r>
                </w:p>
                <w:p w14:paraId="6E8FF5B5">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中家院（北京）检测认证有限公司</w:t>
                  </w:r>
                </w:p>
                <w:p w14:paraId="369403AE">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合肥通用机械产品认证有限公司(范围仅限于“热泵热水器”)</w:t>
                  </w:r>
                </w:p>
              </w:tc>
            </w:tr>
            <w:tr w14:paraId="77A94834">
              <w:tblPrEx>
                <w:tblCellMar>
                  <w:top w:w="30" w:type="dxa"/>
                  <w:left w:w="30" w:type="dxa"/>
                  <w:bottom w:w="30" w:type="dxa"/>
                  <w:right w:w="30" w:type="dxa"/>
                </w:tblCellMar>
              </w:tblPrEx>
              <w:trPr>
                <w:trHeight w:val="923" w:hRule="atLeast"/>
                <w:jc w:val="center"/>
              </w:trPr>
              <w:tc>
                <w:tcPr>
                  <w:tcW w:w="586"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509E081">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06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453B2F0">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A020619</w:t>
                  </w:r>
                </w:p>
              </w:tc>
              <w:tc>
                <w:tcPr>
                  <w:tcW w:w="131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EA86261">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照明设备</w:t>
                  </w:r>
                </w:p>
              </w:tc>
              <w:tc>
                <w:tcPr>
                  <w:tcW w:w="111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B2FECB7">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p>
              </w:tc>
              <w:tc>
                <w:tcPr>
                  <w:tcW w:w="173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1780202">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p>
              </w:tc>
              <w:tc>
                <w:tcPr>
                  <w:tcW w:w="318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9416115">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中国质量认证中心</w:t>
                  </w:r>
                </w:p>
                <w:p w14:paraId="03EC5FD7">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深圳市计量质量检测研究院</w:t>
                  </w:r>
                </w:p>
                <w:p w14:paraId="07432D3E">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中标合信（北京）认证有限公司</w:t>
                  </w:r>
                </w:p>
              </w:tc>
            </w:tr>
            <w:tr w14:paraId="345845FF">
              <w:tblPrEx>
                <w:tblCellMar>
                  <w:top w:w="30" w:type="dxa"/>
                  <w:left w:w="30" w:type="dxa"/>
                  <w:bottom w:w="30" w:type="dxa"/>
                  <w:right w:w="30" w:type="dxa"/>
                </w:tblCellMar>
              </w:tblPrEx>
              <w:trPr>
                <w:trHeight w:val="633" w:hRule="atLeast"/>
                <w:jc w:val="center"/>
              </w:trPr>
              <w:tc>
                <w:tcPr>
                  <w:tcW w:w="586"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C8F0488">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06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E97FFAF">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A020910</w:t>
                  </w:r>
                </w:p>
              </w:tc>
              <w:tc>
                <w:tcPr>
                  <w:tcW w:w="131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C59A649">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电视设备</w:t>
                  </w:r>
                </w:p>
              </w:tc>
              <w:tc>
                <w:tcPr>
                  <w:tcW w:w="111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5532C4A">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A02091001</w:t>
                  </w:r>
                </w:p>
              </w:tc>
              <w:tc>
                <w:tcPr>
                  <w:tcW w:w="173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0394693">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普通电视设备（电视机）</w:t>
                  </w:r>
                </w:p>
              </w:tc>
              <w:tc>
                <w:tcPr>
                  <w:tcW w:w="3182" w:type="dxa"/>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7694C97">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中国质量认证中心</w:t>
                  </w:r>
                </w:p>
                <w:p w14:paraId="133FD0AD">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北京泰瑞特认证有限责任公司</w:t>
                  </w:r>
                </w:p>
                <w:p w14:paraId="20F64958">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广州赛宝认证中心服务有限公司</w:t>
                  </w:r>
                </w:p>
              </w:tc>
            </w:tr>
            <w:tr w14:paraId="096C2E26">
              <w:tblPrEx>
                <w:tblCellMar>
                  <w:top w:w="30" w:type="dxa"/>
                  <w:left w:w="30" w:type="dxa"/>
                  <w:bottom w:w="30" w:type="dxa"/>
                  <w:right w:w="30" w:type="dxa"/>
                </w:tblCellMar>
              </w:tblPrEx>
              <w:trPr>
                <w:trHeight w:val="597" w:hRule="atLeast"/>
                <w:jc w:val="center"/>
              </w:trPr>
              <w:tc>
                <w:tcPr>
                  <w:tcW w:w="586"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3C8D31B">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06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00803F7">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A020911</w:t>
                  </w:r>
                </w:p>
              </w:tc>
              <w:tc>
                <w:tcPr>
                  <w:tcW w:w="131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B48B2D0">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视频设备</w:t>
                  </w:r>
                </w:p>
              </w:tc>
              <w:tc>
                <w:tcPr>
                  <w:tcW w:w="111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F3CBDD3">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A02091107</w:t>
                  </w:r>
                </w:p>
              </w:tc>
              <w:tc>
                <w:tcPr>
                  <w:tcW w:w="173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133A32D">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视频监控设备</w:t>
                  </w:r>
                </w:p>
              </w:tc>
              <w:tc>
                <w:tcPr>
                  <w:tcW w:w="3182"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14:paraId="7BCE3F2A">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r>
            <w:tr w14:paraId="53A26982">
              <w:tblPrEx>
                <w:shd w:val="clear" w:color="auto" w:fill="FFFFFF"/>
                <w:tblCellMar>
                  <w:top w:w="30" w:type="dxa"/>
                  <w:left w:w="30" w:type="dxa"/>
                  <w:bottom w:w="30" w:type="dxa"/>
                  <w:right w:w="30" w:type="dxa"/>
                </w:tblCellMar>
              </w:tblPrEx>
              <w:trPr>
                <w:trHeight w:val="1224" w:hRule="atLeast"/>
                <w:jc w:val="center"/>
              </w:trPr>
              <w:tc>
                <w:tcPr>
                  <w:tcW w:w="586"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EA0C4EF">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06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F375E39">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A031210</w:t>
                  </w:r>
                </w:p>
              </w:tc>
              <w:tc>
                <w:tcPr>
                  <w:tcW w:w="131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5ADEAFA">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饮食炊事机械</w:t>
                  </w:r>
                </w:p>
              </w:tc>
              <w:tc>
                <w:tcPr>
                  <w:tcW w:w="111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3841A63">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p>
              </w:tc>
              <w:tc>
                <w:tcPr>
                  <w:tcW w:w="173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4392F70">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p>
              </w:tc>
              <w:tc>
                <w:tcPr>
                  <w:tcW w:w="318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186EFE7">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中国质量认证中心</w:t>
                  </w:r>
                </w:p>
                <w:p w14:paraId="30B2DA7E">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北京鉴衡认证中心</w:t>
                  </w:r>
                </w:p>
                <w:p w14:paraId="6996CEAC">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中国市政工程华北设计研究总院有限公司</w:t>
                  </w:r>
                </w:p>
              </w:tc>
            </w:tr>
            <w:tr w14:paraId="6307E170">
              <w:tblPrEx>
                <w:tblCellMar>
                  <w:top w:w="30" w:type="dxa"/>
                  <w:left w:w="30" w:type="dxa"/>
                  <w:bottom w:w="30" w:type="dxa"/>
                  <w:right w:w="30" w:type="dxa"/>
                </w:tblCellMar>
              </w:tblPrEx>
              <w:trPr>
                <w:trHeight w:val="346" w:hRule="atLeast"/>
                <w:jc w:val="center"/>
              </w:trPr>
              <w:tc>
                <w:tcPr>
                  <w:tcW w:w="586"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2A12BB8">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06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4985401">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A060805</w:t>
                  </w:r>
                </w:p>
              </w:tc>
              <w:tc>
                <w:tcPr>
                  <w:tcW w:w="131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8D4B2D7">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便器</w:t>
                  </w:r>
                </w:p>
              </w:tc>
              <w:tc>
                <w:tcPr>
                  <w:tcW w:w="111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FA19D83">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p>
              </w:tc>
              <w:tc>
                <w:tcPr>
                  <w:tcW w:w="173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09CD7A3">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p>
              </w:tc>
              <w:tc>
                <w:tcPr>
                  <w:tcW w:w="3182" w:type="dxa"/>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1A817EC">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中国质量认证中心</w:t>
                  </w:r>
                </w:p>
                <w:p w14:paraId="1ABD8C47">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北京新华节水产品认证有限公司</w:t>
                  </w:r>
                </w:p>
                <w:p w14:paraId="02D50DD0">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方圆标志认证集团有限公司</w:t>
                  </w:r>
                </w:p>
              </w:tc>
            </w:tr>
            <w:tr w14:paraId="1B3AB3C7">
              <w:tblPrEx>
                <w:tblCellMar>
                  <w:top w:w="30" w:type="dxa"/>
                  <w:left w:w="30" w:type="dxa"/>
                  <w:bottom w:w="30" w:type="dxa"/>
                  <w:right w:w="30" w:type="dxa"/>
                </w:tblCellMar>
              </w:tblPrEx>
              <w:trPr>
                <w:trHeight w:val="346" w:hRule="atLeast"/>
                <w:jc w:val="center"/>
              </w:trPr>
              <w:tc>
                <w:tcPr>
                  <w:tcW w:w="586"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977AA9E">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06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939DE73">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A060806</w:t>
                  </w:r>
                </w:p>
              </w:tc>
              <w:tc>
                <w:tcPr>
                  <w:tcW w:w="131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6A740CE">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水嘴</w:t>
                  </w:r>
                </w:p>
              </w:tc>
              <w:tc>
                <w:tcPr>
                  <w:tcW w:w="111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130316A">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p>
              </w:tc>
              <w:tc>
                <w:tcPr>
                  <w:tcW w:w="173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0749904">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p>
              </w:tc>
              <w:tc>
                <w:tcPr>
                  <w:tcW w:w="3182"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14:paraId="31364219">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r>
            <w:tr w14:paraId="24CA90D8">
              <w:tblPrEx>
                <w:shd w:val="clear" w:color="auto" w:fill="FFFFFF"/>
                <w:tblCellMar>
                  <w:top w:w="30" w:type="dxa"/>
                  <w:left w:w="30" w:type="dxa"/>
                  <w:bottom w:w="30" w:type="dxa"/>
                  <w:right w:w="30" w:type="dxa"/>
                </w:tblCellMar>
              </w:tblPrEx>
              <w:trPr>
                <w:trHeight w:val="346" w:hRule="atLeast"/>
                <w:jc w:val="center"/>
              </w:trPr>
              <w:tc>
                <w:tcPr>
                  <w:tcW w:w="586"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10FF908">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106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C1AE241">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A060807</w:t>
                  </w:r>
                </w:p>
              </w:tc>
              <w:tc>
                <w:tcPr>
                  <w:tcW w:w="131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5D6385E">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便器冲洗阀</w:t>
                  </w:r>
                </w:p>
              </w:tc>
              <w:tc>
                <w:tcPr>
                  <w:tcW w:w="111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E3D2920">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p>
              </w:tc>
              <w:tc>
                <w:tcPr>
                  <w:tcW w:w="173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654DFCB">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p>
              </w:tc>
              <w:tc>
                <w:tcPr>
                  <w:tcW w:w="3182"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14:paraId="3056EFD2">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r>
            <w:tr w14:paraId="3E8677C1">
              <w:tblPrEx>
                <w:shd w:val="clear" w:color="auto" w:fill="FFFFFF"/>
                <w:tblCellMar>
                  <w:top w:w="30" w:type="dxa"/>
                  <w:left w:w="30" w:type="dxa"/>
                  <w:bottom w:w="30" w:type="dxa"/>
                  <w:right w:w="30" w:type="dxa"/>
                </w:tblCellMar>
              </w:tblPrEx>
              <w:trPr>
                <w:trHeight w:val="401" w:hRule="atLeast"/>
                <w:jc w:val="center"/>
              </w:trPr>
              <w:tc>
                <w:tcPr>
                  <w:tcW w:w="586"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1B719C5">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w:t>
                  </w:r>
                </w:p>
              </w:tc>
              <w:tc>
                <w:tcPr>
                  <w:tcW w:w="106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62C5DE9">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A060810</w:t>
                  </w:r>
                </w:p>
              </w:tc>
              <w:tc>
                <w:tcPr>
                  <w:tcW w:w="131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DB16382">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淋浴器</w:t>
                  </w:r>
                </w:p>
              </w:tc>
              <w:tc>
                <w:tcPr>
                  <w:tcW w:w="111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6CAA4C4">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p>
              </w:tc>
              <w:tc>
                <w:tcPr>
                  <w:tcW w:w="173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94368D5">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p>
              </w:tc>
              <w:tc>
                <w:tcPr>
                  <w:tcW w:w="3182"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14:paraId="38EBF950">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r>
          </w:tbl>
          <w:p w14:paraId="7BDE48FF">
            <w:pPr>
              <w:pageBreakBefore w:val="0"/>
              <w:tabs>
                <w:tab w:val="left" w:pos="105"/>
                <w:tab w:val="left" w:pos="945"/>
                <w:tab w:val="left" w:pos="3360"/>
              </w:tabs>
              <w:kinsoku/>
              <w:overflowPunct/>
              <w:bidi w:val="0"/>
              <w:snapToGrid w:val="0"/>
              <w:spacing w:line="360" w:lineRule="auto"/>
              <w:ind w:firstLine="420"/>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2</w:t>
            </w:r>
            <w:r>
              <w:rPr>
                <w:rFonts w:hint="eastAsia" w:ascii="宋体" w:hAnsi="宋体" w:cs="宋体"/>
                <w:b/>
                <w:bCs/>
                <w:color w:val="000000" w:themeColor="text1"/>
                <w:sz w:val="24"/>
                <w:szCs w:val="24"/>
                <w:highlight w:val="none"/>
                <w14:textFill>
                  <w14:solidFill>
                    <w14:schemeClr w14:val="tx1"/>
                  </w14:solidFill>
                </w14:textFill>
              </w:rPr>
              <w:t>.7参与实施政府采购环境标志产品认证机构名录 </w:t>
            </w:r>
          </w:p>
          <w:tbl>
            <w:tblPr>
              <w:tblStyle w:val="23"/>
              <w:tblW w:w="8858" w:type="dxa"/>
              <w:jc w:val="center"/>
              <w:shd w:val="clear" w:color="auto" w:fill="FFFFFF"/>
              <w:tblLayout w:type="fixed"/>
              <w:tblCellMar>
                <w:top w:w="30" w:type="dxa"/>
                <w:left w:w="30" w:type="dxa"/>
                <w:bottom w:w="30" w:type="dxa"/>
                <w:right w:w="30" w:type="dxa"/>
              </w:tblCellMar>
            </w:tblPr>
            <w:tblGrid>
              <w:gridCol w:w="644"/>
              <w:gridCol w:w="2114"/>
              <w:gridCol w:w="6100"/>
            </w:tblGrid>
            <w:tr w14:paraId="40C81CAD">
              <w:tblPrEx>
                <w:tblCellMar>
                  <w:top w:w="30" w:type="dxa"/>
                  <w:left w:w="30" w:type="dxa"/>
                  <w:bottom w:w="30" w:type="dxa"/>
                  <w:right w:w="30" w:type="dxa"/>
                </w:tblCellMar>
              </w:tblPrEx>
              <w:trPr>
                <w:trHeight w:val="459" w:hRule="atLeast"/>
                <w:jc w:val="center"/>
              </w:trPr>
              <w:tc>
                <w:tcPr>
                  <w:tcW w:w="64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bottom"/>
                </w:tcPr>
                <w:p w14:paraId="49490943">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2114"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bottom"/>
                </w:tcPr>
                <w:p w14:paraId="04D81CDD">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目录</w:t>
                  </w:r>
                </w:p>
              </w:tc>
              <w:tc>
                <w:tcPr>
                  <w:tcW w:w="6100"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bottom"/>
                </w:tcPr>
                <w:p w14:paraId="51BF6105">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认证机构名录</w:t>
                  </w:r>
                </w:p>
              </w:tc>
            </w:tr>
            <w:tr w14:paraId="338FEDC9">
              <w:tblPrEx>
                <w:shd w:val="clear" w:color="auto" w:fill="FFFFFF"/>
                <w:tblCellMar>
                  <w:top w:w="30" w:type="dxa"/>
                  <w:left w:w="30" w:type="dxa"/>
                  <w:bottom w:w="30" w:type="dxa"/>
                  <w:right w:w="30" w:type="dxa"/>
                </w:tblCellMar>
              </w:tblPrEx>
              <w:trPr>
                <w:trHeight w:val="1304" w:hRule="atLeast"/>
                <w:jc w:val="center"/>
              </w:trPr>
              <w:tc>
                <w:tcPr>
                  <w:tcW w:w="644"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626535A">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2114"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DACA274">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环境标志产品</w:t>
                  </w:r>
                </w:p>
              </w:tc>
              <w:tc>
                <w:tcPr>
                  <w:tcW w:w="610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ABA6CB3">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中环联合（北京）认证中心有限公司</w:t>
                  </w:r>
                </w:p>
                <w:p w14:paraId="2A289335">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中标合信（北京）认证有限公司</w:t>
                  </w:r>
                </w:p>
                <w:p w14:paraId="31C9667D">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中环协（北京）认证中心</w:t>
                  </w:r>
                </w:p>
                <w:p w14:paraId="3CA837DE">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天津华诚认证有限公司</w:t>
                  </w:r>
                </w:p>
              </w:tc>
            </w:tr>
          </w:tbl>
          <w:p w14:paraId="09432A39">
            <w:pPr>
              <w:keepNext w:val="0"/>
              <w:keepLines w:val="0"/>
              <w:pageBreakBefore w:val="0"/>
              <w:widowControl w:val="0"/>
              <w:numPr>
                <w:ilvl w:val="0"/>
                <w:numId w:val="0"/>
              </w:numPr>
              <w:kinsoku/>
              <w:wordWrap/>
              <w:overflowPunct/>
              <w:topLinePunct w:val="0"/>
              <w:autoSpaceDE w:val="0"/>
              <w:autoSpaceDN w:val="0"/>
              <w:bidi w:val="0"/>
              <w:spacing w:line="360" w:lineRule="auto"/>
              <w:ind w:left="0" w:leftChars="0" w:right="0" w:rightChars="0" w:firstLine="0" w:firstLineChars="0"/>
              <w:jc w:val="lef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sz w:val="24"/>
                <w:szCs w:val="24"/>
                <w:highlight w:val="none"/>
                <w:lang w:val="en-US" w:eastAsia="zh-CN"/>
              </w:rPr>
              <w:t>关于对本国产品的支持政策</w:t>
            </w:r>
          </w:p>
          <w:p w14:paraId="77BC9BBB">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3.1根据《国务院办公厅关于在政府采购中实施本国产品标准及相关政策的通知》（国办发〔2025〕34号）的规定，对在本国产品标准的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2D5A1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3.2政府采购活动中既有本国产品又有非本国产品参与竞争的，依法对本国产品给予价格评审优惠，对本国产品的报价给予20%的价格扣除，用扣除后的价格参与评审。</w:t>
            </w:r>
          </w:p>
          <w:p w14:paraId="105EFB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3.3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1C4E8E77">
            <w:pPr>
              <w:pStyle w:val="19"/>
              <w:pageBreakBefore w:val="0"/>
              <w:numPr>
                <w:ilvl w:val="0"/>
                <w:numId w:val="0"/>
              </w:numPr>
              <w:kinsoku/>
              <w:overflowPunct/>
              <w:bidi w:val="0"/>
              <w:spacing w:line="360" w:lineRule="auto"/>
              <w:ind w:leftChars="0"/>
              <w:rPr>
                <w:rFonts w:hint="eastAsia"/>
                <w:highlight w:val="none"/>
                <w:lang w:val="en-US" w:eastAsia="zh-CN"/>
              </w:rPr>
            </w:pPr>
          </w:p>
        </w:tc>
      </w:tr>
      <w:tr w14:paraId="51B90BF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423" w:type="dxa"/>
            <w:tcBorders>
              <w:top w:val="single" w:color="000000" w:sz="6" w:space="0"/>
              <w:bottom w:val="single" w:color="000000" w:sz="6" w:space="0"/>
            </w:tcBorders>
            <w:shd w:val="solid" w:color="FFFFFF" w:fill="auto"/>
            <w:noWrap w:val="0"/>
            <w:tcMar>
              <w:top w:w="0" w:type="dxa"/>
              <w:left w:w="0" w:type="dxa"/>
              <w:bottom w:w="0" w:type="dxa"/>
              <w:right w:w="0" w:type="dxa"/>
            </w:tcMar>
            <w:vAlign w:val="center"/>
          </w:tcPr>
          <w:p w14:paraId="18550808">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default" w:ascii="宋体" w:hAnsi="宋体" w:eastAsia="宋体" w:cs="宋体"/>
                <w:color w:val="auto"/>
                <w:sz w:val="24"/>
                <w:highlight w:val="none"/>
                <w:shd w:val="clear" w:color="auto" w:fill="auto"/>
                <w:lang w:val="en-US" w:eastAsia="zh-CN"/>
              </w:rPr>
            </w:pPr>
            <w:r>
              <w:rPr>
                <w:rFonts w:hint="eastAsia" w:ascii="宋体" w:hAnsi="宋体" w:cs="宋体"/>
                <w:color w:val="auto"/>
                <w:sz w:val="24"/>
                <w:highlight w:val="none"/>
                <w:shd w:val="clear" w:color="auto" w:fill="auto"/>
                <w:lang w:val="en-US" w:eastAsia="zh-CN"/>
              </w:rPr>
              <w:t>30</w:t>
            </w:r>
          </w:p>
        </w:tc>
        <w:tc>
          <w:tcPr>
            <w:tcW w:w="1824" w:type="dxa"/>
            <w:tcBorders>
              <w:top w:val="single" w:color="000000" w:sz="6" w:space="0"/>
              <w:left w:val="single" w:color="000000" w:sz="6" w:space="0"/>
              <w:bottom w:val="single" w:color="000000" w:sz="6" w:space="0"/>
            </w:tcBorders>
            <w:shd w:val="solid" w:color="FFFFFF" w:fill="auto"/>
            <w:noWrap w:val="0"/>
            <w:tcMar>
              <w:top w:w="0" w:type="dxa"/>
              <w:left w:w="0" w:type="dxa"/>
              <w:bottom w:w="0" w:type="dxa"/>
              <w:right w:w="0" w:type="dxa"/>
            </w:tcMar>
            <w:vAlign w:val="center"/>
          </w:tcPr>
          <w:p w14:paraId="71A30251">
            <w:pPr>
              <w:keepNext w:val="0"/>
              <w:keepLines w:val="0"/>
              <w:pageBreakBefore w:val="0"/>
              <w:widowControl w:val="0"/>
              <w:kinsoku/>
              <w:wordWrap/>
              <w:overflowPunct/>
              <w:topLinePunct w:val="0"/>
              <w:autoSpaceDE w:val="0"/>
              <w:autoSpaceDN w:val="0"/>
              <w:bidi w:val="0"/>
              <w:spacing w:line="360" w:lineRule="auto"/>
              <w:ind w:left="0" w:leftChars="0" w:right="0" w:rightChars="0"/>
              <w:jc w:val="center"/>
              <w:textAlignment w:val="auto"/>
              <w:outlineLvl w:val="9"/>
              <w:rPr>
                <w:rFonts w:hint="eastAsia" w:ascii="宋体" w:hAnsi="宋体" w:eastAsia="宋体" w:cs="宋体"/>
                <w:b/>
                <w:bCs/>
                <w:color w:val="auto"/>
                <w:sz w:val="24"/>
                <w:highlight w:val="none"/>
                <w:shd w:val="clear" w:color="auto" w:fill="auto"/>
                <w:lang w:val="en-US" w:eastAsia="zh-CN"/>
              </w:rPr>
            </w:pPr>
            <w:r>
              <w:rPr>
                <w:rFonts w:hint="eastAsia" w:ascii="宋体" w:hAnsi="宋体" w:eastAsia="宋体" w:cs="宋体"/>
                <w:b/>
                <w:bCs/>
                <w:color w:val="auto"/>
                <w:sz w:val="24"/>
                <w:highlight w:val="none"/>
                <w:shd w:val="clear" w:color="auto" w:fill="auto"/>
                <w:lang w:val="en-US" w:eastAsia="zh-CN"/>
              </w:rPr>
              <w:t>付款方式</w:t>
            </w:r>
          </w:p>
        </w:tc>
        <w:tc>
          <w:tcPr>
            <w:tcW w:w="7838" w:type="dxa"/>
            <w:gridSpan w:val="2"/>
            <w:tcBorders>
              <w:top w:val="single" w:color="000000" w:sz="6" w:space="0"/>
              <w:left w:val="single" w:color="000000" w:sz="6" w:space="0"/>
              <w:bottom w:val="single" w:color="000000" w:sz="6" w:space="0"/>
            </w:tcBorders>
            <w:shd w:val="solid" w:color="FFFFFF" w:fill="auto"/>
            <w:noWrap w:val="0"/>
            <w:tcMar>
              <w:top w:w="0" w:type="dxa"/>
              <w:left w:w="0" w:type="dxa"/>
              <w:bottom w:w="0" w:type="dxa"/>
              <w:right w:w="0" w:type="dxa"/>
            </w:tcMar>
            <w:vAlign w:val="center"/>
          </w:tcPr>
          <w:p w14:paraId="63D17985">
            <w:pPr>
              <w:keepNext w:val="0"/>
              <w:keepLines w:val="0"/>
              <w:pageBreakBefore w:val="0"/>
              <w:widowControl w:val="0"/>
              <w:kinsoku/>
              <w:wordWrap/>
              <w:overflowPunct/>
              <w:topLinePunct w:val="0"/>
              <w:autoSpaceDE w:val="0"/>
              <w:autoSpaceDN w:val="0"/>
              <w:bidi w:val="0"/>
              <w:spacing w:line="360" w:lineRule="auto"/>
              <w:ind w:left="0" w:leftChars="0" w:right="0" w:rightChars="0"/>
              <w:jc w:val="left"/>
              <w:textAlignment w:val="auto"/>
              <w:outlineLvl w:val="9"/>
              <w:rPr>
                <w:rFonts w:hint="eastAsia" w:ascii="宋体" w:hAnsi="宋体" w:eastAsia="宋体" w:cs="宋体"/>
                <w:b/>
                <w:bCs/>
                <w:color w:val="auto"/>
                <w:sz w:val="24"/>
                <w:highlight w:val="none"/>
                <w:shd w:val="clear" w:color="auto" w:fill="auto"/>
                <w:lang w:val="en-US" w:eastAsia="zh-CN"/>
              </w:rPr>
            </w:pPr>
            <w:r>
              <w:rPr>
                <w:rFonts w:hint="eastAsia" w:ascii="宋体" w:hAnsi="宋体" w:eastAsia="宋体" w:cs="宋体"/>
                <w:b/>
                <w:color w:val="auto"/>
                <w:kern w:val="0"/>
                <w:sz w:val="24"/>
                <w:highlight w:val="none"/>
                <w:lang w:eastAsia="zh-CN"/>
              </w:rPr>
              <w:t>合同签订后甲方自收到发票后10个工作日内</w:t>
            </w:r>
            <w:r>
              <w:rPr>
                <w:rFonts w:hint="eastAsia" w:ascii="宋体" w:hAnsi="宋体" w:eastAsia="宋体" w:cs="宋体"/>
                <w:b/>
                <w:color w:val="auto"/>
                <w:kern w:val="0"/>
                <w:sz w:val="24"/>
                <w:highlight w:val="none"/>
              </w:rPr>
              <w:t>，甲方向乙方支付合同价款的</w:t>
            </w:r>
            <w:r>
              <w:rPr>
                <w:rFonts w:hint="eastAsia" w:ascii="宋体" w:hAnsi="宋体" w:eastAsia="宋体" w:cs="宋体"/>
                <w:b/>
                <w:color w:val="auto"/>
                <w:kern w:val="0"/>
                <w:sz w:val="24"/>
                <w:highlight w:val="none"/>
                <w:u w:val="single"/>
                <w:lang w:val="en-US" w:eastAsia="zh-CN"/>
              </w:rPr>
              <w:t>30</w:t>
            </w:r>
            <w:r>
              <w:rPr>
                <w:rFonts w:hint="eastAsia" w:ascii="宋体" w:hAnsi="宋体" w:eastAsia="宋体" w:cs="宋体"/>
                <w:b/>
                <w:color w:val="auto"/>
                <w:kern w:val="0"/>
                <w:sz w:val="24"/>
                <w:highlight w:val="none"/>
                <w:u w:val="single"/>
              </w:rPr>
              <w:t>％</w:t>
            </w:r>
            <w:r>
              <w:rPr>
                <w:rFonts w:hint="eastAsia" w:ascii="宋体" w:hAnsi="宋体" w:eastAsia="宋体" w:cs="宋体"/>
                <w:b/>
                <w:color w:val="auto"/>
                <w:kern w:val="0"/>
                <w:sz w:val="24"/>
                <w:highlight w:val="none"/>
              </w:rPr>
              <w:t>；项目验收合格，收到发票后10个工作日内甲方向乙方支付合同价款的</w:t>
            </w:r>
            <w:r>
              <w:rPr>
                <w:rFonts w:hint="eastAsia" w:ascii="宋体" w:hAnsi="宋体" w:eastAsia="宋体" w:cs="宋体"/>
                <w:b/>
                <w:color w:val="auto"/>
                <w:kern w:val="0"/>
                <w:sz w:val="24"/>
                <w:highlight w:val="none"/>
                <w:u w:val="single"/>
                <w:lang w:val="en-US" w:eastAsia="zh-CN"/>
              </w:rPr>
              <w:t>70</w:t>
            </w:r>
            <w:r>
              <w:rPr>
                <w:rFonts w:hint="eastAsia" w:ascii="宋体" w:hAnsi="宋体" w:eastAsia="宋体" w:cs="宋体"/>
                <w:b/>
                <w:color w:val="auto"/>
                <w:kern w:val="0"/>
                <w:sz w:val="24"/>
                <w:highlight w:val="none"/>
                <w:u w:val="single"/>
              </w:rPr>
              <w:t>％</w:t>
            </w:r>
            <w:r>
              <w:rPr>
                <w:rFonts w:hint="eastAsia" w:ascii="宋体" w:hAnsi="宋体" w:eastAsia="宋体" w:cs="宋体"/>
                <w:b/>
                <w:color w:val="auto"/>
                <w:kern w:val="0"/>
                <w:sz w:val="24"/>
                <w:highlight w:val="none"/>
              </w:rPr>
              <w:t>。甲方付款以乙方已经开具符合甲方要求的合法等额增值税发票/普通发票为前提，若乙方没有提供同等金额的发票，甲方有权拒绝付款，造成的延迟付款不视为违约。</w:t>
            </w:r>
          </w:p>
        </w:tc>
      </w:tr>
    </w:tbl>
    <w:p w14:paraId="51734583">
      <w:pPr>
        <w:pStyle w:val="7"/>
        <w:pageBreakBefore w:val="0"/>
        <w:kinsoku/>
        <w:overflowPunct/>
        <w:bidi w:val="0"/>
        <w:spacing w:line="360" w:lineRule="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一、总  则</w:t>
      </w:r>
    </w:p>
    <w:p w14:paraId="2F82FD7F">
      <w:pPr>
        <w:pageBreakBefore w:val="0"/>
        <w:kinsoku/>
        <w:overflowPunct/>
        <w:bidi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采购方式</w:t>
      </w:r>
    </w:p>
    <w:p w14:paraId="4D679EC7">
      <w:pPr>
        <w:pageBreakBefore w:val="0"/>
        <w:kinsoku/>
        <w:overflowPunct/>
        <w:bidi w:val="0"/>
        <w:spacing w:line="360" w:lineRule="auto"/>
        <w:ind w:firstLine="4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本项目按《中华人民共和国政府采购法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中华人民共和国政府采购法实施条例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政府采购货物和服务招标投标管理办法》等规定执行，以公开招标采购方式进行采购。</w:t>
      </w:r>
    </w:p>
    <w:p w14:paraId="76F30689">
      <w:pPr>
        <w:pageBreakBefore w:val="0"/>
        <w:kinsoku/>
        <w:overflowPunct/>
        <w:bidi w:val="0"/>
        <w:spacing w:line="360" w:lineRule="auto"/>
        <w:ind w:firstLine="4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公开招标，是指采购人依法以招标公告的方式邀请非特定的投标人参加投标的采购方式。</w:t>
      </w:r>
    </w:p>
    <w:p w14:paraId="3DD9DB75">
      <w:pPr>
        <w:pStyle w:val="12"/>
        <w:pageBreakBefore w:val="0"/>
        <w:kinsoku/>
        <w:overflowPunct/>
        <w:bidi w:val="0"/>
        <w:spacing w:line="360" w:lineRule="auto"/>
        <w:ind w:left="243" w:hanging="243" w:hangingChars="101"/>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1.2采购项目概况</w:t>
      </w:r>
    </w:p>
    <w:p w14:paraId="574C0D60">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b w:val="0"/>
          <w:bCs/>
          <w:color w:val="auto"/>
          <w:highlight w:val="none"/>
        </w:rPr>
      </w:pPr>
      <w:r>
        <w:rPr>
          <w:rFonts w:hint="eastAsia" w:ascii="宋体" w:hAnsi="宋体" w:eastAsia="宋体" w:cs="宋体"/>
          <w:b w:val="0"/>
          <w:bCs/>
          <w:color w:val="auto"/>
          <w:sz w:val="24"/>
          <w:szCs w:val="24"/>
          <w:highlight w:val="none"/>
          <w:lang w:val="en-US" w:eastAsia="zh-CN"/>
        </w:rPr>
        <w:t>1.2.1</w:t>
      </w:r>
      <w:r>
        <w:rPr>
          <w:rFonts w:hint="eastAsia" w:ascii="宋体" w:hAnsi="宋体" w:eastAsia="宋体" w:cs="宋体"/>
          <w:b w:val="0"/>
          <w:bCs/>
          <w:color w:val="auto"/>
          <w:sz w:val="24"/>
          <w:szCs w:val="24"/>
          <w:highlight w:val="none"/>
        </w:rPr>
        <w:t>采购人、项目名称及项目编号，详见“投标人须知前附表”。</w:t>
      </w:r>
    </w:p>
    <w:p w14:paraId="0E391E7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1.</w:t>
      </w:r>
      <w:r>
        <w:rPr>
          <w:rFonts w:hint="eastAsia" w:ascii="宋体" w:hAnsi="宋体" w:eastAsia="宋体" w:cs="宋体"/>
          <w:b w:val="0"/>
          <w:bCs/>
          <w:color w:val="auto"/>
          <w:sz w:val="24"/>
          <w:highlight w:val="none"/>
        </w:rPr>
        <w:t>2.</w:t>
      </w:r>
      <w:r>
        <w:rPr>
          <w:rFonts w:hint="eastAsia" w:ascii="宋体" w:hAnsi="宋体" w:eastAsia="宋体" w:cs="宋体"/>
          <w:b w:val="0"/>
          <w:bCs/>
          <w:color w:val="auto"/>
          <w:sz w:val="24"/>
          <w:highlight w:val="none"/>
          <w:lang w:val="en-US" w:eastAsia="zh-CN"/>
        </w:rPr>
        <w:t>2</w:t>
      </w:r>
      <w:r>
        <w:rPr>
          <w:rFonts w:hint="eastAsia" w:ascii="宋体" w:hAnsi="宋体" w:eastAsia="宋体" w:cs="宋体"/>
          <w:b w:val="0"/>
          <w:bCs/>
          <w:color w:val="auto"/>
          <w:sz w:val="24"/>
          <w:highlight w:val="none"/>
        </w:rPr>
        <w:t>资金来源情况</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已落实</w:t>
      </w:r>
      <w:r>
        <w:rPr>
          <w:rFonts w:hint="eastAsia" w:ascii="宋体" w:hAnsi="宋体" w:eastAsia="宋体" w:cs="宋体"/>
          <w:b w:val="0"/>
          <w:bCs/>
          <w:color w:val="auto"/>
          <w:sz w:val="24"/>
          <w:highlight w:val="none"/>
        </w:rPr>
        <w:t>，用于采购“</w:t>
      </w:r>
      <w:r>
        <w:rPr>
          <w:rFonts w:hint="eastAsia" w:ascii="宋体" w:hAnsi="宋体" w:eastAsia="宋体" w:cs="宋体"/>
          <w:b w:val="0"/>
          <w:bCs/>
          <w:color w:val="auto"/>
          <w:sz w:val="24"/>
          <w:highlight w:val="none"/>
          <w:lang w:eastAsia="zh-CN"/>
        </w:rPr>
        <w:t>采购需求及技术参数要求</w:t>
      </w:r>
      <w:r>
        <w:rPr>
          <w:rFonts w:hint="eastAsia" w:ascii="宋体" w:hAnsi="宋体" w:eastAsia="宋体" w:cs="宋体"/>
          <w:b w:val="0"/>
          <w:bCs/>
          <w:color w:val="auto"/>
          <w:sz w:val="24"/>
          <w:highlight w:val="none"/>
        </w:rPr>
        <w:t>”所列货物。</w:t>
      </w:r>
    </w:p>
    <w:p w14:paraId="07AADC5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1.2.3</w:t>
      </w:r>
      <w:r>
        <w:rPr>
          <w:rFonts w:hint="eastAsia" w:ascii="宋体" w:hAnsi="宋体" w:eastAsia="宋体" w:cs="宋体"/>
          <w:color w:val="auto"/>
          <w:sz w:val="24"/>
          <w:highlight w:val="none"/>
        </w:rPr>
        <w:t>本项目</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范围：见“投标人须知前附表”。</w:t>
      </w:r>
    </w:p>
    <w:p w14:paraId="5640C45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1.2.4</w:t>
      </w:r>
      <w:r>
        <w:rPr>
          <w:rFonts w:hint="eastAsia" w:ascii="宋体" w:hAnsi="宋体" w:eastAsia="宋体" w:cs="宋体"/>
          <w:color w:val="auto"/>
          <w:sz w:val="24"/>
          <w:highlight w:val="none"/>
        </w:rPr>
        <w:t>本项目</w:t>
      </w:r>
      <w:r>
        <w:rPr>
          <w:rFonts w:hint="eastAsia" w:ascii="宋体" w:hAnsi="宋体" w:eastAsia="宋体" w:cs="宋体"/>
          <w:color w:val="auto"/>
          <w:sz w:val="24"/>
          <w:highlight w:val="none"/>
          <w:lang w:eastAsia="zh-CN"/>
        </w:rPr>
        <w:t>交货期</w:t>
      </w:r>
      <w:r>
        <w:rPr>
          <w:rFonts w:hint="eastAsia" w:ascii="宋体" w:hAnsi="宋体" w:eastAsia="宋体" w:cs="宋体"/>
          <w:color w:val="auto"/>
          <w:sz w:val="24"/>
          <w:highlight w:val="none"/>
        </w:rPr>
        <w:t>和</w:t>
      </w:r>
      <w:r>
        <w:rPr>
          <w:rFonts w:hint="eastAsia" w:ascii="宋体" w:hAnsi="宋体" w:eastAsia="宋体" w:cs="宋体"/>
          <w:color w:val="auto"/>
          <w:sz w:val="24"/>
          <w:highlight w:val="none"/>
          <w:lang w:eastAsia="zh-CN"/>
        </w:rPr>
        <w:t>交货地点</w:t>
      </w:r>
      <w:r>
        <w:rPr>
          <w:rFonts w:hint="eastAsia" w:ascii="宋体" w:hAnsi="宋体" w:eastAsia="宋体" w:cs="宋体"/>
          <w:color w:val="auto"/>
          <w:sz w:val="24"/>
          <w:highlight w:val="none"/>
        </w:rPr>
        <w:t>：见“投标人须知前附表”。</w:t>
      </w:r>
    </w:p>
    <w:p w14:paraId="1FAC8C9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1.2.5</w:t>
      </w:r>
      <w:r>
        <w:rPr>
          <w:rFonts w:hint="eastAsia" w:ascii="宋体" w:hAnsi="宋体" w:eastAsia="宋体" w:cs="宋体"/>
          <w:color w:val="auto"/>
          <w:sz w:val="24"/>
          <w:highlight w:val="none"/>
        </w:rPr>
        <w:t>本项目</w:t>
      </w:r>
      <w:r>
        <w:rPr>
          <w:rFonts w:hint="eastAsia" w:ascii="宋体" w:hAnsi="宋体" w:eastAsia="宋体" w:cs="宋体"/>
          <w:color w:val="auto"/>
          <w:sz w:val="24"/>
          <w:highlight w:val="none"/>
          <w:lang w:eastAsia="zh-CN"/>
        </w:rPr>
        <w:t>质量标准</w:t>
      </w:r>
      <w:r>
        <w:rPr>
          <w:rFonts w:hint="eastAsia" w:ascii="宋体" w:hAnsi="宋体" w:eastAsia="宋体" w:cs="宋体"/>
          <w:color w:val="auto"/>
          <w:sz w:val="24"/>
          <w:highlight w:val="none"/>
        </w:rPr>
        <w:t>：见“投标人须知前附表”。</w:t>
      </w:r>
    </w:p>
    <w:p w14:paraId="227A1596">
      <w:pPr>
        <w:pageBreakBefore w:val="0"/>
        <w:kinsoku/>
        <w:overflowPunct/>
        <w:bidi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1.3</w:t>
      </w:r>
      <w:r>
        <w:rPr>
          <w:rFonts w:hint="eastAsia" w:ascii="宋体" w:hAnsi="宋体" w:eastAsia="宋体" w:cs="宋体"/>
          <w:b/>
          <w:color w:val="auto"/>
          <w:sz w:val="24"/>
          <w:highlight w:val="none"/>
        </w:rPr>
        <w:t>合格的投标人</w:t>
      </w:r>
    </w:p>
    <w:p w14:paraId="4B551F2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1.3.1投标人应符合招标文件“投标人须知前附表”中规定的资格条件。</w:t>
      </w:r>
    </w:p>
    <w:p w14:paraId="0B778FA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1.3.2 单位负责人为同一人或者存在直接控股、管理关系的不同投标单位，不得参加同一合同项下的政府采购活动；为采购项目提供整体设计、规范编制或者项目管理、监理、检测等服务的投标单位，不得再参加该采购项目的其他采购活动；</w:t>
      </w:r>
    </w:p>
    <w:p w14:paraId="1078FFBA">
      <w:pPr>
        <w:pageBreakBefore w:val="0"/>
        <w:kinsoku/>
        <w:overflowPunct/>
        <w:bidi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1.4</w:t>
      </w:r>
      <w:r>
        <w:rPr>
          <w:rFonts w:hint="eastAsia" w:ascii="宋体" w:hAnsi="宋体" w:eastAsia="宋体" w:cs="宋体"/>
          <w:b/>
          <w:color w:val="auto"/>
          <w:sz w:val="24"/>
          <w:szCs w:val="24"/>
          <w:highlight w:val="none"/>
        </w:rPr>
        <w:t>保密</w:t>
      </w:r>
    </w:p>
    <w:p w14:paraId="6DEEA450">
      <w:pPr>
        <w:pageBreakBefore w:val="0"/>
        <w:kinsoku/>
        <w:overflowPunct/>
        <w:bidi w:val="0"/>
        <w:spacing w:line="360" w:lineRule="auto"/>
        <w:ind w:firstLine="42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参加公开招标采购活动的各方应对招标文件和投标文件中的商业和技术等秘密保密，否则应承担相应的法律责任。</w:t>
      </w:r>
    </w:p>
    <w:p w14:paraId="139A2990">
      <w:pPr>
        <w:pageBreakBefore w:val="0"/>
        <w:kinsoku/>
        <w:overflowPunct/>
        <w:bidi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1.5语言文字</w:t>
      </w:r>
    </w:p>
    <w:p w14:paraId="3D2DFC6E">
      <w:pPr>
        <w:pageBreakBefore w:val="0"/>
        <w:kinsoku/>
        <w:overflowPunct/>
        <w:bidi w:val="0"/>
        <w:spacing w:line="360" w:lineRule="auto"/>
        <w:ind w:firstLine="42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招标文件和投标文件使用的语言文字为中文。专用术语使用外文的，应附有中文注释。</w:t>
      </w:r>
    </w:p>
    <w:p w14:paraId="4F02561D">
      <w:pPr>
        <w:pageBreakBefore w:val="0"/>
        <w:kinsoku/>
        <w:overflowPunct/>
        <w:bidi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1.6 计量单位</w:t>
      </w:r>
    </w:p>
    <w:p w14:paraId="69D1684D">
      <w:pPr>
        <w:pageBreakBefore w:val="0"/>
        <w:kinsoku/>
        <w:overflowPunct/>
        <w:bidi w:val="0"/>
        <w:spacing w:line="360" w:lineRule="auto"/>
        <w:ind w:firstLine="42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所有计量均采用中华人民共和国法定计量单位。</w:t>
      </w:r>
    </w:p>
    <w:p w14:paraId="66295A78">
      <w:pPr>
        <w:pageBreakBefore w:val="0"/>
        <w:kinsoku/>
        <w:overflowPunct/>
        <w:bidi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1.7</w:t>
      </w:r>
      <w:r>
        <w:rPr>
          <w:rFonts w:hint="eastAsia" w:ascii="宋体" w:hAnsi="宋体" w:eastAsia="宋体" w:cs="宋体"/>
          <w:b/>
          <w:color w:val="auto"/>
          <w:sz w:val="24"/>
          <w:highlight w:val="none"/>
        </w:rPr>
        <w:t>投标费用</w:t>
      </w:r>
    </w:p>
    <w:p w14:paraId="2B193AC0">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1.7.1</w:t>
      </w:r>
      <w:r>
        <w:rPr>
          <w:rFonts w:hint="eastAsia" w:ascii="宋体" w:hAnsi="宋体" w:eastAsia="宋体" w:cs="宋体"/>
          <w:color w:val="auto"/>
          <w:sz w:val="24"/>
          <w:szCs w:val="24"/>
          <w:highlight w:val="none"/>
        </w:rPr>
        <w:t>不论投标结果如何，投标人均应自行承担所有与编写和提交投标文件有关的全部费用。</w:t>
      </w:r>
    </w:p>
    <w:p w14:paraId="4555C9D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1.7.2</w:t>
      </w:r>
      <w:r>
        <w:rPr>
          <w:rFonts w:hint="eastAsia" w:ascii="宋体" w:hAnsi="宋体" w:eastAsia="宋体" w:cs="宋体"/>
          <w:color w:val="auto"/>
          <w:sz w:val="24"/>
          <w:highlight w:val="none"/>
          <w:lang w:eastAsia="zh-CN"/>
        </w:rPr>
        <w:t>中标服务费</w:t>
      </w:r>
      <w:r>
        <w:rPr>
          <w:rFonts w:hint="eastAsia" w:ascii="宋体" w:hAnsi="宋体" w:eastAsia="宋体" w:cs="宋体"/>
          <w:color w:val="auto"/>
          <w:sz w:val="24"/>
          <w:highlight w:val="none"/>
        </w:rPr>
        <w:t>：详见“投标人须知前附表”。</w:t>
      </w:r>
    </w:p>
    <w:p w14:paraId="154A747D">
      <w:pPr>
        <w:pStyle w:val="3"/>
        <w:pageBreakBefore w:val="0"/>
        <w:kinsoku/>
        <w:overflowPunct/>
        <w:bidi w:val="0"/>
        <w:spacing w:before="158" w:beforeLines="50" w:after="158" w:afterLines="50" w:line="360" w:lineRule="auto"/>
        <w:ind w:left="0" w:firstLine="0"/>
        <w:jc w:val="both"/>
        <w:rPr>
          <w:rFonts w:hint="eastAsia" w:ascii="宋体" w:hAnsi="宋体" w:eastAsia="宋体" w:cs="宋体"/>
          <w:color w:val="auto"/>
          <w:szCs w:val="28"/>
          <w:highlight w:val="none"/>
        </w:rPr>
      </w:pPr>
      <w:bookmarkStart w:id="69" w:name="_Toc20414"/>
      <w:bookmarkStart w:id="70" w:name="_Toc26240"/>
      <w:bookmarkStart w:id="71" w:name="_Toc25063"/>
      <w:bookmarkStart w:id="72" w:name="_Toc5114"/>
      <w:r>
        <w:rPr>
          <w:rFonts w:hint="eastAsia" w:ascii="宋体" w:hAnsi="宋体" w:eastAsia="宋体" w:cs="宋体"/>
          <w:color w:val="auto"/>
          <w:szCs w:val="28"/>
          <w:highlight w:val="none"/>
        </w:rPr>
        <w:t>二、招标文件</w:t>
      </w:r>
      <w:bookmarkEnd w:id="69"/>
      <w:bookmarkEnd w:id="70"/>
      <w:bookmarkEnd w:id="71"/>
      <w:bookmarkEnd w:id="72"/>
    </w:p>
    <w:p w14:paraId="176A87D0">
      <w:pPr>
        <w:pStyle w:val="12"/>
        <w:pageBreakBefore w:val="0"/>
        <w:kinsoku/>
        <w:overflowPunct/>
        <w:bidi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2.1</w:t>
      </w:r>
      <w:r>
        <w:rPr>
          <w:rFonts w:hint="eastAsia" w:ascii="宋体" w:hAnsi="宋体" w:eastAsia="宋体" w:cs="宋体"/>
          <w:b/>
          <w:bCs/>
          <w:color w:val="auto"/>
          <w:sz w:val="24"/>
          <w:szCs w:val="24"/>
          <w:highlight w:val="none"/>
        </w:rPr>
        <w:t xml:space="preserve"> 招标文件构成</w:t>
      </w:r>
    </w:p>
    <w:p w14:paraId="3EECA04A">
      <w:pPr>
        <w:pageBreakBefore w:val="0"/>
        <w:kinsoku/>
        <w:overflowPunct/>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2.1.1</w:t>
      </w:r>
      <w:r>
        <w:rPr>
          <w:rFonts w:hint="eastAsia" w:ascii="宋体" w:hAnsi="宋体" w:eastAsia="宋体" w:cs="宋体"/>
          <w:color w:val="auto"/>
          <w:sz w:val="24"/>
          <w:highlight w:val="none"/>
        </w:rPr>
        <w:t>要求提供的货物、采购过程及合同条款在招标文件中均有说明，招标文件共六章，各章的内容如下：</w:t>
      </w:r>
    </w:p>
    <w:p w14:paraId="7B69D555">
      <w:pPr>
        <w:pStyle w:val="12"/>
        <w:pageBreakBefore w:val="0"/>
        <w:kinsoku/>
        <w:overflowPunct/>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_Toc10815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lang w:val="en-US" w:eastAsia="zh-CN"/>
        </w:rPr>
        <w:fldChar w:fldCharType="end"/>
      </w:r>
    </w:p>
    <w:p w14:paraId="04AF4A0A">
      <w:pPr>
        <w:pStyle w:val="12"/>
        <w:pageBreakBefore w:val="0"/>
        <w:kinsoku/>
        <w:overflowPunct/>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_Toc18036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第二章 投标人须知</w:t>
      </w:r>
      <w:r>
        <w:rPr>
          <w:rFonts w:hint="eastAsia" w:ascii="宋体" w:hAnsi="宋体" w:eastAsia="宋体" w:cs="宋体"/>
          <w:color w:val="auto"/>
          <w:sz w:val="24"/>
          <w:szCs w:val="24"/>
          <w:highlight w:val="none"/>
          <w:lang w:val="en-US" w:eastAsia="zh-CN"/>
        </w:rPr>
        <w:fldChar w:fldCharType="end"/>
      </w:r>
    </w:p>
    <w:p w14:paraId="3A55C28E">
      <w:pPr>
        <w:pStyle w:val="12"/>
        <w:pageBreakBefore w:val="0"/>
        <w:kinsoku/>
        <w:overflowPunct/>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_Toc31338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第三章 合同书样式及主要条款（草案）</w:t>
      </w:r>
      <w:r>
        <w:rPr>
          <w:rFonts w:hint="eastAsia" w:ascii="宋体" w:hAnsi="宋体" w:eastAsia="宋体" w:cs="宋体"/>
          <w:color w:val="auto"/>
          <w:sz w:val="24"/>
          <w:szCs w:val="24"/>
          <w:highlight w:val="none"/>
          <w:lang w:val="en-US" w:eastAsia="zh-CN"/>
        </w:rPr>
        <w:fldChar w:fldCharType="end"/>
      </w:r>
    </w:p>
    <w:p w14:paraId="4B6726DC">
      <w:pPr>
        <w:pStyle w:val="12"/>
        <w:pageBreakBefore w:val="0"/>
        <w:kinsoku/>
        <w:overflowPunct/>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_Toc30130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第四章 采购需求及技术参数要求</w:t>
      </w:r>
      <w:r>
        <w:rPr>
          <w:rFonts w:hint="eastAsia" w:ascii="宋体" w:hAnsi="宋体" w:eastAsia="宋体" w:cs="宋体"/>
          <w:color w:val="auto"/>
          <w:sz w:val="24"/>
          <w:szCs w:val="24"/>
          <w:highlight w:val="none"/>
          <w:lang w:val="en-US" w:eastAsia="zh-CN"/>
        </w:rPr>
        <w:fldChar w:fldCharType="end"/>
      </w:r>
    </w:p>
    <w:p w14:paraId="12545514">
      <w:pPr>
        <w:pStyle w:val="12"/>
        <w:pageBreakBefore w:val="0"/>
        <w:kinsoku/>
        <w:overflowPunct/>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_Toc25105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第五章 评标方法（综合评分法）</w:t>
      </w:r>
      <w:r>
        <w:rPr>
          <w:rFonts w:hint="eastAsia" w:ascii="宋体" w:hAnsi="宋体" w:eastAsia="宋体" w:cs="宋体"/>
          <w:color w:val="auto"/>
          <w:sz w:val="24"/>
          <w:szCs w:val="24"/>
          <w:highlight w:val="none"/>
          <w:lang w:val="en-US" w:eastAsia="zh-CN"/>
        </w:rPr>
        <w:fldChar w:fldCharType="end"/>
      </w:r>
    </w:p>
    <w:p w14:paraId="7C71701B">
      <w:pPr>
        <w:pStyle w:val="12"/>
        <w:pageBreakBefore w:val="0"/>
        <w:kinsoku/>
        <w:overflow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_Toc5080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第六章 投标文件格式</w:t>
      </w:r>
      <w:r>
        <w:rPr>
          <w:rFonts w:hint="eastAsia" w:ascii="宋体" w:hAnsi="宋体" w:eastAsia="宋体" w:cs="宋体"/>
          <w:color w:val="auto"/>
          <w:sz w:val="24"/>
          <w:szCs w:val="24"/>
          <w:highlight w:val="none"/>
          <w:lang w:val="en-US" w:eastAsia="zh-CN"/>
        </w:rPr>
        <w:fldChar w:fldCharType="end"/>
      </w:r>
    </w:p>
    <w:p w14:paraId="3D160F5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2.1.2</w:t>
      </w:r>
      <w:r>
        <w:rPr>
          <w:rFonts w:hint="eastAsia" w:ascii="宋体" w:hAnsi="宋体" w:eastAsia="宋体" w:cs="宋体"/>
          <w:color w:val="auto"/>
          <w:sz w:val="24"/>
          <w:highlight w:val="none"/>
        </w:rPr>
        <w:t>除</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.1内容外，采购人在提交投标文件截止前发出的对招标文件的澄清或修改内容，均为招标文件的组成部分，对采购人、采购代理机构和投标人起约束作用。</w:t>
      </w:r>
    </w:p>
    <w:p w14:paraId="4F2D0CA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2.1.3</w:t>
      </w:r>
      <w:r>
        <w:rPr>
          <w:rFonts w:hint="eastAsia" w:ascii="宋体" w:hAnsi="宋体" w:eastAsia="宋体" w:cs="宋体"/>
          <w:color w:val="auto"/>
          <w:sz w:val="24"/>
          <w:highlight w:val="none"/>
        </w:rPr>
        <w:t>投标人获取招标文件后，应仔细检查招标文件的所有内容，如有残缺等问题应在获得招标文件2日内向采购人提出，否则，由此引起的损失由投标人自己承担。投标人同时应认真审阅招标文件中所有的事项、格式、条款和规范要求等，若投标人的投标文件没有按招标文件要求提交全部资料，或投标文件没有对招标文件做出实质性响应，根据有关条款规定，该投标有可能被拒绝，其风险由投标人自行承担。</w:t>
      </w:r>
    </w:p>
    <w:p w14:paraId="235A69D0">
      <w:pPr>
        <w:pStyle w:val="12"/>
        <w:pageBreakBefore w:val="0"/>
        <w:kinsoku/>
        <w:overflow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2.2</w:t>
      </w:r>
      <w:r>
        <w:rPr>
          <w:rFonts w:hint="eastAsia" w:ascii="宋体" w:hAnsi="宋体" w:eastAsia="宋体" w:cs="宋体"/>
          <w:b/>
          <w:bCs/>
          <w:color w:val="auto"/>
          <w:sz w:val="24"/>
          <w:szCs w:val="24"/>
          <w:highlight w:val="none"/>
        </w:rPr>
        <w:t>招标文件的澄清、补充</w:t>
      </w:r>
    </w:p>
    <w:p w14:paraId="5E008D3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2.2.1</w:t>
      </w:r>
      <w:r>
        <w:rPr>
          <w:rFonts w:hint="eastAsia" w:ascii="宋体" w:hAnsi="宋体" w:eastAsia="宋体" w:cs="宋体"/>
          <w:color w:val="auto"/>
          <w:sz w:val="24"/>
          <w:highlight w:val="none"/>
        </w:rPr>
        <w:t>投标人若对招标文件有任何疑问，应于投标截止日期前15日内凭企业数字证书（CA）登录政采云平台（http：//www.zcygov.cn），通过网络在线方式向采购人或采购代理进行提问，采购人统一解答后回复所有接收了招标文件的投标人，否则，由此产生的后果由投标人负责。</w:t>
      </w:r>
    </w:p>
    <w:p w14:paraId="5EB9BAA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2.2.2采购</w:t>
      </w:r>
      <w:r>
        <w:rPr>
          <w:rFonts w:hint="eastAsia" w:ascii="宋体" w:hAnsi="宋体" w:eastAsia="宋体" w:cs="宋体"/>
          <w:color w:val="auto"/>
          <w:sz w:val="24"/>
          <w:highlight w:val="none"/>
        </w:rPr>
        <w:t>代理机构将以</w:t>
      </w:r>
      <w:r>
        <w:rPr>
          <w:rFonts w:hint="eastAsia" w:ascii="宋体" w:hAnsi="宋体" w:eastAsia="宋体" w:cs="宋体"/>
          <w:color w:val="auto"/>
          <w:sz w:val="24"/>
          <w:highlight w:val="none"/>
          <w:lang w:val="en-US" w:eastAsia="zh-CN"/>
        </w:rPr>
        <w:t>网上公示形式</w:t>
      </w:r>
      <w:r>
        <w:rPr>
          <w:rFonts w:hint="eastAsia" w:ascii="宋体" w:hAnsi="宋体" w:eastAsia="宋体" w:cs="宋体"/>
          <w:color w:val="auto"/>
          <w:sz w:val="24"/>
          <w:highlight w:val="none"/>
        </w:rPr>
        <w:t>答复所有</w:t>
      </w:r>
      <w:r>
        <w:rPr>
          <w:rFonts w:hint="eastAsia" w:ascii="宋体" w:hAnsi="宋体" w:eastAsia="宋体" w:cs="宋体"/>
          <w:color w:val="auto"/>
          <w:sz w:val="24"/>
          <w:highlight w:val="none"/>
          <w:lang w:val="en-US" w:eastAsia="zh-CN"/>
        </w:rPr>
        <w:t>潜在</w:t>
      </w:r>
      <w:r>
        <w:rPr>
          <w:rFonts w:hint="eastAsia" w:ascii="宋体" w:hAnsi="宋体" w:eastAsia="宋体" w:cs="宋体"/>
          <w:color w:val="auto"/>
          <w:sz w:val="24"/>
          <w:highlight w:val="none"/>
        </w:rPr>
        <w:t>投标人（答复中不包含问题的来源）要求澄清的问题，其他澄清方式为无效。</w:t>
      </w:r>
    </w:p>
    <w:p w14:paraId="24A83DE7">
      <w:pPr>
        <w:pStyle w:val="12"/>
        <w:pageBreakBefore w:val="0"/>
        <w:kinsoku/>
        <w:overflowPunct/>
        <w:bidi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2.3</w:t>
      </w:r>
      <w:r>
        <w:rPr>
          <w:rFonts w:hint="eastAsia" w:ascii="宋体" w:hAnsi="宋体" w:eastAsia="宋体" w:cs="宋体"/>
          <w:b/>
          <w:bCs/>
          <w:color w:val="auto"/>
          <w:sz w:val="24"/>
          <w:szCs w:val="24"/>
          <w:highlight w:val="none"/>
        </w:rPr>
        <w:t>招标文件的修改</w:t>
      </w:r>
    </w:p>
    <w:p w14:paraId="1B68F4B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2.3.1采购人或者采购代理机构可以对已发出的招标文件进行必要的澄清或者修改。澄清或者修改的内容可能影响投标文件编制的，采购人或者采购代理机构应当在投标截止时间至少15日前，以公告形式通知所有获取招标文件的潜在投标人；不足15日的，采购人或者采购代理机构应当顺延提交投标文件的截止时间。</w:t>
      </w:r>
    </w:p>
    <w:p w14:paraId="0AEAFAF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2.3.2采购代理机构和采购单位可以视采购具体情况，延长投标截止时间和开标时间，采购人或代理机构将变更时间以网上公示形式通知所有招标文件收受人，并在云南省政府采购网、政府采购云平台上发布变更公告。</w:t>
      </w:r>
    </w:p>
    <w:p w14:paraId="2D280A7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2.3.3招标文件、招标文件澄清、招标文件修改文件内容均以网上发布的为准，当招标文件、招标文件澄清、招标文件修改文件内容相互矛盾时，以最后发出的为准。</w:t>
      </w:r>
    </w:p>
    <w:p w14:paraId="7282F30A">
      <w:pPr>
        <w:pStyle w:val="3"/>
        <w:pageBreakBefore w:val="0"/>
        <w:kinsoku/>
        <w:overflowPunct/>
        <w:bidi w:val="0"/>
        <w:spacing w:before="158" w:beforeLines="50" w:after="158" w:afterLines="50" w:line="360" w:lineRule="auto"/>
        <w:ind w:left="0" w:firstLine="0"/>
        <w:jc w:val="both"/>
        <w:rPr>
          <w:rFonts w:hint="eastAsia" w:ascii="宋体" w:hAnsi="宋体" w:eastAsia="宋体" w:cs="宋体"/>
          <w:color w:val="auto"/>
          <w:szCs w:val="28"/>
          <w:highlight w:val="none"/>
        </w:rPr>
      </w:pPr>
      <w:bookmarkStart w:id="73" w:name="_Toc3157"/>
      <w:bookmarkStart w:id="74" w:name="_Toc3923"/>
      <w:bookmarkStart w:id="75" w:name="_Toc10579"/>
      <w:bookmarkStart w:id="76" w:name="_Toc21794"/>
      <w:r>
        <w:rPr>
          <w:rFonts w:hint="eastAsia" w:ascii="宋体" w:hAnsi="宋体" w:eastAsia="宋体" w:cs="宋体"/>
          <w:color w:val="auto"/>
          <w:szCs w:val="28"/>
          <w:highlight w:val="none"/>
        </w:rPr>
        <w:t>三、投标文件</w:t>
      </w:r>
      <w:bookmarkEnd w:id="73"/>
      <w:bookmarkEnd w:id="74"/>
      <w:bookmarkEnd w:id="75"/>
      <w:bookmarkEnd w:id="76"/>
    </w:p>
    <w:p w14:paraId="56A99DDC">
      <w:pPr>
        <w:pageBreakBefore w:val="0"/>
        <w:kinsoku/>
        <w:overflowPunct/>
        <w:bidi w:val="0"/>
        <w:spacing w:line="360" w:lineRule="auto"/>
        <w:jc w:val="left"/>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3.1投标文件的语言及度量衡单位</w:t>
      </w:r>
    </w:p>
    <w:p w14:paraId="037979D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3.1.1</w:t>
      </w:r>
      <w:r>
        <w:rPr>
          <w:rFonts w:hint="eastAsia" w:ascii="宋体" w:hAnsi="宋体" w:eastAsia="宋体" w:cs="宋体"/>
          <w:color w:val="auto"/>
          <w:sz w:val="24"/>
          <w:highlight w:val="none"/>
        </w:rPr>
        <w:t>投标人提交的投标文件以及投标人与</w:t>
      </w:r>
      <w:r>
        <w:rPr>
          <w:rFonts w:hint="eastAsia" w:ascii="宋体" w:hAnsi="宋体" w:eastAsia="宋体" w:cs="宋体"/>
          <w:color w:val="auto"/>
          <w:sz w:val="24"/>
          <w:highlight w:val="none"/>
          <w:lang w:val="en-US" w:eastAsia="zh-CN"/>
        </w:rPr>
        <w:t>采购代理机构</w:t>
      </w:r>
      <w:r>
        <w:rPr>
          <w:rFonts w:hint="eastAsia" w:ascii="宋体" w:hAnsi="宋体" w:eastAsia="宋体" w:cs="宋体"/>
          <w:color w:val="auto"/>
          <w:sz w:val="24"/>
          <w:highlight w:val="none"/>
        </w:rPr>
        <w:t>就有关投标的所有来往函电均应使用中文。投标人可以提交其他语言打印的资料，但有关的段落必须翻译成中文，在有差异和矛盾时以中文为准。字体要便于辨识。</w:t>
      </w:r>
    </w:p>
    <w:p w14:paraId="38DFE67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3.1.2</w:t>
      </w:r>
      <w:r>
        <w:rPr>
          <w:rFonts w:hint="eastAsia" w:ascii="宋体" w:hAnsi="宋体" w:eastAsia="宋体" w:cs="宋体"/>
          <w:color w:val="auto"/>
          <w:sz w:val="24"/>
          <w:highlight w:val="none"/>
        </w:rPr>
        <w:t>若有非中文版印刷的技术资料、资格证书等，投标人应提供符合中国有关法律、法规和规章的中文译本，并以中文译本为准。</w:t>
      </w:r>
    </w:p>
    <w:p w14:paraId="46BFA2C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3.1.3</w:t>
      </w:r>
      <w:r>
        <w:rPr>
          <w:rFonts w:hint="eastAsia" w:ascii="宋体" w:hAnsi="宋体" w:eastAsia="宋体" w:cs="宋体"/>
          <w:color w:val="auto"/>
          <w:sz w:val="24"/>
          <w:highlight w:val="none"/>
        </w:rPr>
        <w:t>投标文件中所使用的度量衡单位，除招标文件中有特殊要求外，一律采用中华人民共和国公制单位。</w:t>
      </w:r>
    </w:p>
    <w:p w14:paraId="77703D9F">
      <w:pPr>
        <w:pageBreakBefore w:val="0"/>
        <w:kinsoku/>
        <w:overflowPunct/>
        <w:bidi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3.2</w:t>
      </w:r>
      <w:r>
        <w:rPr>
          <w:rFonts w:hint="eastAsia" w:ascii="宋体" w:hAnsi="宋体" w:eastAsia="宋体" w:cs="宋体"/>
          <w:b/>
          <w:color w:val="auto"/>
          <w:sz w:val="24"/>
          <w:highlight w:val="none"/>
        </w:rPr>
        <w:t>投标文件构成</w:t>
      </w:r>
    </w:p>
    <w:p w14:paraId="7C6A6B3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3.2.1</w:t>
      </w:r>
      <w:r>
        <w:rPr>
          <w:rFonts w:hint="eastAsia" w:ascii="宋体" w:hAnsi="宋体" w:eastAsia="宋体" w:cs="宋体"/>
          <w:color w:val="auto"/>
          <w:sz w:val="24"/>
          <w:highlight w:val="none"/>
        </w:rPr>
        <w:t>投标人编写的投标文件应由第</w:t>
      </w:r>
      <w:r>
        <w:rPr>
          <w:rFonts w:hint="eastAsia" w:ascii="宋体" w:hAnsi="宋体" w:eastAsia="宋体" w:cs="宋体"/>
          <w:color w:val="auto"/>
          <w:sz w:val="24"/>
          <w:highlight w:val="none"/>
          <w:lang w:val="en-US" w:eastAsia="zh-CN"/>
        </w:rPr>
        <w:t>六</w:t>
      </w:r>
      <w:r>
        <w:rPr>
          <w:rFonts w:hint="eastAsia" w:ascii="宋体" w:hAnsi="宋体" w:eastAsia="宋体" w:cs="宋体"/>
          <w:color w:val="auto"/>
          <w:sz w:val="24"/>
          <w:highlight w:val="none"/>
        </w:rPr>
        <w:t>章所列的内容构成。投标人在投标截止时间前和评标过程中作出的符合招标文件要求的澄清、说明和补正，构成投标文件的组成部分。</w:t>
      </w:r>
    </w:p>
    <w:p w14:paraId="3E8DD86B">
      <w:pPr>
        <w:pageBreakBefore w:val="0"/>
        <w:numPr>
          <w:ilvl w:val="0"/>
          <w:numId w:val="0"/>
        </w:numPr>
        <w:kinsoku/>
        <w:overflowPunct/>
        <w:bidi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3.3</w:t>
      </w:r>
      <w:r>
        <w:rPr>
          <w:rFonts w:hint="eastAsia" w:ascii="宋体" w:hAnsi="宋体" w:eastAsia="宋体" w:cs="宋体"/>
          <w:b/>
          <w:color w:val="auto"/>
          <w:sz w:val="24"/>
          <w:highlight w:val="none"/>
        </w:rPr>
        <w:t>投标报价</w:t>
      </w:r>
    </w:p>
    <w:p w14:paraId="75393BCD">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3.3.1</w:t>
      </w:r>
      <w:r>
        <w:rPr>
          <w:rFonts w:hint="eastAsia" w:ascii="宋体" w:hAnsi="宋体" w:eastAsia="宋体" w:cs="宋体"/>
          <w:color w:val="auto"/>
          <w:sz w:val="24"/>
          <w:szCs w:val="24"/>
          <w:highlight w:val="none"/>
        </w:rPr>
        <w:t>投标人必须就“</w:t>
      </w:r>
      <w:r>
        <w:rPr>
          <w:rFonts w:hint="eastAsia" w:ascii="宋体" w:hAnsi="宋体" w:eastAsia="宋体" w:cs="宋体"/>
          <w:color w:val="auto"/>
          <w:sz w:val="24"/>
          <w:szCs w:val="24"/>
          <w:highlight w:val="none"/>
          <w:lang w:eastAsia="zh-CN"/>
        </w:rPr>
        <w:t>采购需求及技术参数要求</w:t>
      </w:r>
      <w:r>
        <w:rPr>
          <w:rFonts w:hint="eastAsia" w:ascii="宋体" w:hAnsi="宋体" w:eastAsia="宋体" w:cs="宋体"/>
          <w:color w:val="auto"/>
          <w:sz w:val="24"/>
          <w:szCs w:val="24"/>
          <w:highlight w:val="none"/>
        </w:rPr>
        <w:t>”中的货物内容按照要求作完整唯一报价，投标人的投标报价超出最高限价</w:t>
      </w:r>
      <w:r>
        <w:rPr>
          <w:rFonts w:hint="eastAsia" w:ascii="宋体" w:hAnsi="宋体" w:eastAsia="宋体" w:cs="宋体"/>
          <w:color w:val="auto"/>
          <w:sz w:val="24"/>
          <w:szCs w:val="24"/>
          <w:highlight w:val="none"/>
          <w:lang w:val="en-US" w:eastAsia="zh-CN"/>
        </w:rPr>
        <w:t>或采购预算单价或合价的</w:t>
      </w:r>
      <w:r>
        <w:rPr>
          <w:rFonts w:hint="eastAsia" w:ascii="宋体" w:hAnsi="宋体" w:eastAsia="宋体" w:cs="宋体"/>
          <w:color w:val="auto"/>
          <w:sz w:val="24"/>
          <w:szCs w:val="24"/>
          <w:highlight w:val="none"/>
        </w:rPr>
        <w:t>的按无效标处理。</w:t>
      </w:r>
    </w:p>
    <w:p w14:paraId="7E598856">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3.3.2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应依据项目文件的要求及有关资料，按国家或行业现行技术经济标准、定额及规范，自行测算出满足本项目要求的报价。</w:t>
      </w:r>
      <w:r>
        <w:rPr>
          <w:rFonts w:hint="eastAsia" w:ascii="宋体" w:hAnsi="宋体" w:eastAsia="宋体" w:cs="宋体"/>
          <w:color w:val="auto"/>
          <w:sz w:val="24"/>
          <w:szCs w:val="24"/>
          <w:highlight w:val="none"/>
          <w:lang w:val="en-US" w:eastAsia="zh-CN"/>
        </w:rPr>
        <w:t>报价</w:t>
      </w:r>
      <w:r>
        <w:rPr>
          <w:rFonts w:hint="eastAsia" w:ascii="宋体" w:hAnsi="宋体" w:eastAsia="宋体" w:cs="宋体"/>
          <w:b w:val="0"/>
          <w:bCs w:val="0"/>
          <w:color w:val="auto"/>
          <w:sz w:val="24"/>
          <w:szCs w:val="24"/>
          <w:highlight w:val="none"/>
        </w:rPr>
        <w:t>应是完成本项目的全部费用，</w:t>
      </w:r>
      <w:r>
        <w:rPr>
          <w:rFonts w:hint="eastAsia" w:ascii="宋体" w:hAnsi="宋体" w:eastAsia="宋体" w:cs="宋体"/>
          <w:b w:val="0"/>
          <w:bCs w:val="0"/>
          <w:color w:val="auto"/>
          <w:sz w:val="24"/>
          <w:szCs w:val="24"/>
          <w:highlight w:val="none"/>
          <w:lang w:val="en-US" w:eastAsia="zh-CN"/>
        </w:rPr>
        <w:t>包括但不仅限于设备购置和安装、项目实施、运输、装卸、培训辅导、质保期售后服务、各项税金及此次应向采购代理公司缴纳的中标服务费等费用。合同一旦签订，此价格在合同实施期间将不因市场价格等的变化而调整</w:t>
      </w:r>
      <w:r>
        <w:rPr>
          <w:rFonts w:hint="eastAsia" w:ascii="宋体" w:hAnsi="宋体" w:eastAsia="宋体" w:cs="宋体"/>
          <w:color w:val="auto"/>
          <w:sz w:val="24"/>
          <w:szCs w:val="24"/>
          <w:highlight w:val="none"/>
        </w:rPr>
        <w:t>。该报价应考虑市场风险、政策性风险、汇率风险等因素，并能保证</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完成履行合同所需的全部工作，该报价应符合国内行情并能保证投标人完成履行合同所需的一切工作。合同一旦签订，此合同价格在合同实施期间将不因市场设备材料价格的变化而调整。</w:t>
      </w:r>
    </w:p>
    <w:p w14:paraId="27C5E875">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人的投标报价也不得明显低于其他通过符合性审查的投标人报价，否则按《政府采购货物和服务招标投标管理办法》（财政部令第87号）第六十条“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执行。</w:t>
      </w:r>
    </w:p>
    <w:p w14:paraId="5C017041">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3.3.4</w:t>
      </w:r>
      <w:r>
        <w:rPr>
          <w:rFonts w:hint="eastAsia" w:ascii="宋体" w:hAnsi="宋体" w:eastAsia="宋体" w:cs="宋体"/>
          <w:color w:val="auto"/>
          <w:sz w:val="24"/>
          <w:szCs w:val="24"/>
          <w:highlight w:val="none"/>
        </w:rPr>
        <w:t>投标文件中的单价、合价、总价全部采用人民币表示。</w:t>
      </w:r>
    </w:p>
    <w:p w14:paraId="7292172B">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注：</w:t>
      </w:r>
      <w:r>
        <w:rPr>
          <w:rFonts w:hint="eastAsia" w:ascii="宋体" w:hAnsi="宋体" w:eastAsia="宋体" w:cs="宋体"/>
          <w:b/>
          <w:bCs/>
          <w:color w:val="auto"/>
          <w:sz w:val="24"/>
          <w:szCs w:val="24"/>
          <w:highlight w:val="none"/>
          <w:lang w:eastAsia="zh-CN"/>
        </w:rPr>
        <w:t>异常低价问题</w:t>
      </w:r>
      <w:r>
        <w:rPr>
          <w:rFonts w:hint="eastAsia" w:ascii="宋体" w:hAnsi="宋体" w:eastAsia="宋体" w:cs="宋体"/>
          <w:b/>
          <w:bCs/>
          <w:color w:val="auto"/>
          <w:sz w:val="24"/>
          <w:szCs w:val="24"/>
          <w:highlight w:val="none"/>
        </w:rPr>
        <w:t>的处理</w:t>
      </w:r>
    </w:p>
    <w:p w14:paraId="55CFBCF9">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 xml:space="preserve">评审中出现下列情形之一的，评审委员会应当启动异常低价投标（响应）审查程序： </w:t>
      </w:r>
    </w:p>
    <w:p w14:paraId="1D9171F4">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（1）投标（响应）报价低于全部通过符合性审查供应商投标（响应）报价平均值50%的，即投标（响应）报价＜全部通过符合性审查供应商投标（响应）报价平均值×50%；</w:t>
      </w:r>
    </w:p>
    <w:p w14:paraId="6FCD5AC8">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（2）投标（响应）报价低于通过符合性审查的次低报价供应商投标（响应）报价50%的，即投标（响应）报价＜通过符合性审查的次低报价供应商投标（响应）报价×50%；</w:t>
      </w:r>
    </w:p>
    <w:p w14:paraId="34208CE3">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（3）投标（响应）报价低于采购项目最高限价45%的，即投标（响应）报价＜采购项目最高限价×45%；</w:t>
      </w:r>
    </w:p>
    <w:p w14:paraId="5FC9BF66">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（4）评审委员会基于专业判断，认为供应商报价过低，有可能影响产品质量或者不能诚信履约的其他情形。</w:t>
      </w:r>
    </w:p>
    <w:p w14:paraId="59C08B36">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相关法律法规对供应商报价有规定的，从其规定。</w:t>
      </w:r>
    </w:p>
    <w:p w14:paraId="429F5A02">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default"/>
          <w:lang w:val="en-US" w:eastAsia="zh-CN"/>
        </w:rPr>
      </w:pPr>
      <w:r>
        <w:rPr>
          <w:rFonts w:hint="eastAsia" w:ascii="宋体" w:hAnsi="宋体" w:eastAsia="宋体" w:cs="宋体"/>
          <w:b/>
          <w:bCs/>
          <w:color w:val="auto"/>
          <w:sz w:val="24"/>
          <w:szCs w:val="24"/>
          <w:highlight w:val="none"/>
          <w:lang w:eastAsia="zh-CN"/>
        </w:rPr>
        <w:t>评审委员会启动异常低价投标（响应）审查后，属于前述（1）至（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0E290DB">
      <w:pPr>
        <w:pageBreakBefore w:val="0"/>
        <w:kinsoku/>
        <w:overflowPunct/>
        <w:bidi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3.4</w:t>
      </w:r>
      <w:r>
        <w:rPr>
          <w:rFonts w:hint="eastAsia" w:ascii="宋体" w:hAnsi="宋体" w:eastAsia="宋体" w:cs="宋体"/>
          <w:b/>
          <w:color w:val="auto"/>
          <w:sz w:val="24"/>
          <w:highlight w:val="none"/>
        </w:rPr>
        <w:t>投标有效期</w:t>
      </w:r>
    </w:p>
    <w:p w14:paraId="3EE43D4D">
      <w:pPr>
        <w:pageBreakBefore w:val="0"/>
        <w:tabs>
          <w:tab w:val="left" w:pos="7899"/>
        </w:tabs>
        <w:kinsoku/>
        <w:overflowPunct/>
        <w:bidi w:val="0"/>
        <w:spacing w:line="360" w:lineRule="auto"/>
        <w:ind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 除投标人须知前附表另有规定外，投标文件有效期应为90日，从招标文件规定的递交投标文件的截止时间开始计算。</w:t>
      </w:r>
    </w:p>
    <w:p w14:paraId="2F56878B">
      <w:pPr>
        <w:pageBreakBefore w:val="0"/>
        <w:tabs>
          <w:tab w:val="left" w:pos="7899"/>
        </w:tabs>
        <w:kinsoku/>
        <w:overflowPunct/>
        <w:bidi w:val="0"/>
        <w:spacing w:line="360" w:lineRule="auto"/>
        <w:ind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出现特殊情况需要延长投标文件有效期的，采购人以云南省政府采购网、政府采购云平台发布通知形式通知所有投标人延长投标文件有效期，投标人应予以答复。同意延长的，应相应延长其投标保证金的有效期，但不得修改其投标文件；投标人拒绝延长的，其投标文件在原有效期届满后失效，但投标人有权收回其投标保证金。</w:t>
      </w:r>
    </w:p>
    <w:p w14:paraId="73AC575C">
      <w:pPr>
        <w:pageBreakBefore w:val="0"/>
        <w:tabs>
          <w:tab w:val="left" w:pos="7899"/>
        </w:tabs>
        <w:kinsoku/>
        <w:overflowPunct/>
        <w:bidi w:val="0"/>
        <w:spacing w:line="360" w:lineRule="auto"/>
        <w:ind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.3 投标有效期从提交投标文件的截止之日起算。投标文件中承诺的投标有效期应当不少于招标文件中载明的投标有效期。投标有效期内投标人撤销投标文件的，采购人或者采购代理机构不退还投标保证金。</w:t>
      </w:r>
    </w:p>
    <w:p w14:paraId="600A4952">
      <w:pPr>
        <w:pageBreakBefore w:val="0"/>
        <w:kinsoku/>
        <w:overflowPunct/>
        <w:bidi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3.5</w:t>
      </w:r>
      <w:r>
        <w:rPr>
          <w:rFonts w:hint="eastAsia" w:ascii="宋体" w:hAnsi="宋体" w:eastAsia="宋体" w:cs="宋体"/>
          <w:b/>
          <w:color w:val="auto"/>
          <w:sz w:val="24"/>
          <w:highlight w:val="none"/>
        </w:rPr>
        <w:t>投标保证金</w:t>
      </w:r>
    </w:p>
    <w:p w14:paraId="3C13E95F">
      <w:pPr>
        <w:pStyle w:val="12"/>
        <w:keepNext w:val="0"/>
        <w:keepLines w:val="0"/>
        <w:pageBreakBefore w:val="0"/>
        <w:widowControl w:val="0"/>
        <w:tabs>
          <w:tab w:val="left" w:pos="710"/>
        </w:tabs>
        <w:kinsoku/>
        <w:wordWrap/>
        <w:overflowPunct/>
        <w:topLinePunct w:val="0"/>
        <w:autoSpaceDE/>
        <w:autoSpaceDN/>
        <w:bidi w:val="0"/>
        <w:adjustRightInd/>
        <w:snapToGrid/>
        <w:spacing w:line="360" w:lineRule="auto"/>
        <w:ind w:left="0" w:leftChars="0" w:right="0" w:rightChars="0" w:firstLine="448" w:firstLineChars="200"/>
        <w:jc w:val="both"/>
        <w:textAlignment w:val="auto"/>
        <w:outlineLvl w:val="9"/>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lang w:val="en-US" w:eastAsia="zh-CN"/>
        </w:rPr>
        <w:t>3.5.1</w:t>
      </w:r>
      <w:r>
        <w:rPr>
          <w:rFonts w:hint="eastAsia" w:ascii="宋体" w:hAnsi="宋体" w:eastAsia="宋体" w:cs="宋体"/>
          <w:color w:val="auto"/>
          <w:spacing w:val="-8"/>
          <w:sz w:val="24"/>
          <w:szCs w:val="24"/>
          <w:highlight w:val="none"/>
        </w:rPr>
        <w:t>投标保证金为人民币。投标人应在提交投标文件截止时间以前按“</w:t>
      </w:r>
      <w:r>
        <w:rPr>
          <w:rFonts w:hint="eastAsia" w:ascii="宋体" w:hAnsi="宋体" w:eastAsia="宋体" w:cs="宋体"/>
          <w:b w:val="0"/>
          <w:bCs/>
          <w:color w:val="auto"/>
          <w:spacing w:val="-8"/>
          <w:sz w:val="24"/>
          <w:szCs w:val="24"/>
          <w:highlight w:val="none"/>
        </w:rPr>
        <w:t>投标人须知前附表”</w:t>
      </w:r>
      <w:r>
        <w:rPr>
          <w:rFonts w:hint="eastAsia" w:ascii="宋体" w:hAnsi="宋体" w:eastAsia="宋体" w:cs="宋体"/>
          <w:color w:val="auto"/>
          <w:spacing w:val="-8"/>
          <w:sz w:val="24"/>
          <w:szCs w:val="24"/>
          <w:highlight w:val="none"/>
        </w:rPr>
        <w:t>规定的</w:t>
      </w:r>
      <w:r>
        <w:rPr>
          <w:rFonts w:hint="eastAsia" w:ascii="宋体" w:hAnsi="宋体" w:eastAsia="宋体" w:cs="宋体"/>
          <w:color w:val="auto"/>
          <w:spacing w:val="-8"/>
          <w:sz w:val="24"/>
          <w:szCs w:val="24"/>
          <w:highlight w:val="none"/>
          <w:lang w:val="en-US" w:eastAsia="zh-CN"/>
        </w:rPr>
        <w:t>提交投标保证金</w:t>
      </w:r>
      <w:r>
        <w:rPr>
          <w:rFonts w:hint="eastAsia" w:ascii="宋体" w:hAnsi="宋体" w:eastAsia="宋体" w:cs="宋体"/>
          <w:color w:val="auto"/>
          <w:spacing w:val="-8"/>
          <w:sz w:val="24"/>
          <w:szCs w:val="24"/>
          <w:highlight w:val="none"/>
        </w:rPr>
        <w:t>，并在规定的时间内保持有效。</w:t>
      </w:r>
    </w:p>
    <w:p w14:paraId="0C2A85F2">
      <w:pPr>
        <w:pStyle w:val="12"/>
        <w:keepNext w:val="0"/>
        <w:keepLines w:val="0"/>
        <w:pageBreakBefore w:val="0"/>
        <w:widowControl w:val="0"/>
        <w:tabs>
          <w:tab w:val="left" w:pos="710"/>
        </w:tabs>
        <w:kinsoku/>
        <w:wordWrap/>
        <w:overflowPunct/>
        <w:topLinePunct w:val="0"/>
        <w:autoSpaceDE/>
        <w:autoSpaceDN/>
        <w:bidi w:val="0"/>
        <w:adjustRightInd/>
        <w:snapToGrid/>
        <w:spacing w:line="360" w:lineRule="auto"/>
        <w:ind w:left="0" w:leftChars="0" w:right="0" w:rightChars="0" w:firstLine="448" w:firstLineChars="200"/>
        <w:jc w:val="both"/>
        <w:textAlignment w:val="auto"/>
        <w:outlineLvl w:val="9"/>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lang w:val="en-US" w:eastAsia="zh-CN"/>
        </w:rPr>
        <w:t>3.5.2</w:t>
      </w:r>
      <w:r>
        <w:rPr>
          <w:rFonts w:hint="eastAsia" w:ascii="宋体" w:hAnsi="宋体" w:eastAsia="宋体" w:cs="宋体"/>
          <w:color w:val="auto"/>
          <w:spacing w:val="-8"/>
          <w:sz w:val="24"/>
          <w:szCs w:val="24"/>
          <w:highlight w:val="none"/>
        </w:rPr>
        <w:t>除投标人须知前附表另有规定外，采购人将在发出中标通知书后5个工作日退还未中标人的投标保证金，并在采购合同签订后5个工作日内退还中标人的投标保证金。</w:t>
      </w:r>
    </w:p>
    <w:p w14:paraId="5C14EC61">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3.5.3</w:t>
      </w:r>
      <w:r>
        <w:rPr>
          <w:rFonts w:hint="eastAsia" w:ascii="宋体" w:hAnsi="宋体" w:eastAsia="宋体" w:cs="宋体"/>
          <w:color w:val="auto"/>
          <w:sz w:val="24"/>
          <w:szCs w:val="24"/>
          <w:highlight w:val="none"/>
        </w:rPr>
        <w:t>投标人在投标截止时间前撤回已提交的投标文件的，采购人、采购代理机构应当自收到投标人撤回通知之日起5个工作日内，退还已收取的投标保证金，但因投标人自身原因导致无法及时退还的除外。</w:t>
      </w:r>
    </w:p>
    <w:p w14:paraId="31045B6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3.5.4</w:t>
      </w:r>
      <w:r>
        <w:rPr>
          <w:rFonts w:hint="eastAsia" w:ascii="宋体" w:hAnsi="宋体" w:eastAsia="宋体" w:cs="宋体"/>
          <w:color w:val="auto"/>
          <w:sz w:val="24"/>
          <w:highlight w:val="none"/>
        </w:rPr>
        <w:t>有下列情形之一的，投标保证金将不予退还：</w:t>
      </w:r>
    </w:p>
    <w:p w14:paraId="414211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（1）投标人在提交投标文件截止时间后撤回投标文件的；</w:t>
      </w:r>
    </w:p>
    <w:p w14:paraId="3299EE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（2）投标人在投标文件中提供虚假材料的；</w:t>
      </w:r>
    </w:p>
    <w:p w14:paraId="2A0940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（3）除因不可抗力或招标文件认可的情形以外，中标投标人不与采购人签订合同的；</w:t>
      </w:r>
    </w:p>
    <w:p w14:paraId="7D28E3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（4）投标人与采购人、其他投标人或者采购代理机构恶意串通的；</w:t>
      </w:r>
    </w:p>
    <w:p w14:paraId="437F37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5）法律法规规定的其他情形。</w:t>
      </w:r>
    </w:p>
    <w:p w14:paraId="15F261B1">
      <w:pPr>
        <w:pageBreakBefore w:val="0"/>
        <w:kinsoku/>
        <w:overflowPunct/>
        <w:bidi w:val="0"/>
        <w:spacing w:line="360" w:lineRule="auto"/>
        <w:jc w:val="left"/>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lang w:val="en-US" w:eastAsia="zh-CN"/>
        </w:rPr>
        <w:t>3.6</w:t>
      </w:r>
      <w:r>
        <w:rPr>
          <w:rFonts w:hint="eastAsia" w:ascii="宋体" w:hAnsi="宋体" w:eastAsia="宋体" w:cs="宋体"/>
          <w:b/>
          <w:bCs w:val="0"/>
          <w:color w:val="auto"/>
          <w:sz w:val="24"/>
          <w:highlight w:val="none"/>
        </w:rPr>
        <w:t>投标文件</w:t>
      </w:r>
      <w:r>
        <w:rPr>
          <w:rFonts w:hint="eastAsia" w:ascii="宋体" w:hAnsi="宋体" w:eastAsia="宋体" w:cs="宋体"/>
          <w:b/>
          <w:bCs w:val="0"/>
          <w:color w:val="auto"/>
          <w:sz w:val="24"/>
          <w:highlight w:val="none"/>
          <w:lang w:val="en-US" w:eastAsia="zh-CN"/>
        </w:rPr>
        <w:t>的编制</w:t>
      </w:r>
    </w:p>
    <w:p w14:paraId="7C451FEB">
      <w:pPr>
        <w:pageBreakBefore w:val="0"/>
        <w:tabs>
          <w:tab w:val="left" w:pos="7899"/>
        </w:tabs>
        <w:kinsoku/>
        <w:overflowPunct/>
        <w:bidi w:val="0"/>
        <w:spacing w:line="360" w:lineRule="auto"/>
        <w:ind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3.6.1</w:t>
      </w:r>
      <w:r>
        <w:rPr>
          <w:rFonts w:hint="eastAsia" w:ascii="宋体" w:hAnsi="宋体" w:eastAsia="宋体" w:cs="宋体"/>
          <w:color w:val="auto"/>
          <w:sz w:val="24"/>
          <w:szCs w:val="24"/>
          <w:highlight w:val="none"/>
        </w:rPr>
        <w:t>投标文件应按第</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章“投标文件格式”进行编写，如有必要，可以增加附页，作为投标文件的组成部分。其中，投标函在满足招标文件实质性要求的基础上，可以提出比招标文件要求更有利于采购人的承诺。</w:t>
      </w:r>
    </w:p>
    <w:p w14:paraId="2FD78642">
      <w:pPr>
        <w:pageBreakBefore w:val="0"/>
        <w:tabs>
          <w:tab w:val="left" w:pos="7899"/>
        </w:tabs>
        <w:kinsoku/>
        <w:overflowPunct/>
        <w:bidi w:val="0"/>
        <w:spacing w:line="360" w:lineRule="auto"/>
        <w:ind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3.6.2</w:t>
      </w:r>
      <w:r>
        <w:rPr>
          <w:rFonts w:hint="eastAsia" w:ascii="宋体" w:hAnsi="宋体" w:eastAsia="宋体" w:cs="宋体"/>
          <w:color w:val="auto"/>
          <w:sz w:val="24"/>
          <w:szCs w:val="24"/>
          <w:highlight w:val="none"/>
        </w:rPr>
        <w:t>投标人应仔细阅读招标文件，在完全了解采购的内容、技术性能要求(详见“第</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 xml:space="preserve">章 </w:t>
      </w:r>
      <w:r>
        <w:rPr>
          <w:rFonts w:hint="eastAsia" w:ascii="宋体" w:hAnsi="宋体" w:eastAsia="宋体" w:cs="宋体"/>
          <w:color w:val="auto"/>
          <w:sz w:val="24"/>
          <w:szCs w:val="24"/>
          <w:highlight w:val="none"/>
          <w:lang w:eastAsia="zh-CN"/>
        </w:rPr>
        <w:t>采购需求及技术参数要求</w:t>
      </w:r>
      <w:r>
        <w:rPr>
          <w:rFonts w:hint="eastAsia" w:ascii="宋体" w:hAnsi="宋体" w:eastAsia="宋体" w:cs="宋体"/>
          <w:color w:val="auto"/>
          <w:sz w:val="24"/>
          <w:szCs w:val="24"/>
          <w:highlight w:val="none"/>
        </w:rPr>
        <w:t>”)和商务条件后，编写投标文件。如果没有按照招标文件要求提交全部投标文件或者资料，没有对招标文件的实质性要求和条件作出响应是投标人的风险，并可能导致该投标被拒绝。</w:t>
      </w:r>
    </w:p>
    <w:p w14:paraId="5A8DF215">
      <w:pPr>
        <w:pageBreakBefore w:val="0"/>
        <w:tabs>
          <w:tab w:val="left" w:pos="7899"/>
        </w:tabs>
        <w:kinsoku/>
        <w:overflowPunct/>
        <w:bidi w:val="0"/>
        <w:spacing w:line="360" w:lineRule="auto"/>
        <w:ind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3.6.3</w:t>
      </w:r>
      <w:r>
        <w:rPr>
          <w:rFonts w:hint="eastAsia" w:ascii="宋体" w:hAnsi="宋体" w:eastAsia="宋体" w:cs="宋体"/>
          <w:color w:val="auto"/>
          <w:sz w:val="24"/>
          <w:szCs w:val="24"/>
          <w:highlight w:val="none"/>
        </w:rPr>
        <w:t>对招标文件提出的实质性要求和条件作出响应是指投标人必须对招标文件中标明实质性要求和条件的技术参数及性能配置、数量、售后服务、合同主要条款及其它要求等内容作出满足或者优于原要求和条件的承诺。</w:t>
      </w:r>
    </w:p>
    <w:p w14:paraId="6D7EACED">
      <w:pPr>
        <w:pageBreakBefore w:val="0"/>
        <w:tabs>
          <w:tab w:val="left" w:pos="7899"/>
        </w:tabs>
        <w:kinsoku/>
        <w:overflowPunct/>
        <w:bidi w:val="0"/>
        <w:spacing w:line="360" w:lineRule="auto"/>
        <w:ind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3.6.4</w:t>
      </w:r>
      <w:r>
        <w:rPr>
          <w:rFonts w:hint="eastAsia" w:ascii="宋体" w:hAnsi="宋体" w:eastAsia="宋体" w:cs="宋体"/>
          <w:color w:val="auto"/>
          <w:sz w:val="24"/>
          <w:szCs w:val="24"/>
          <w:highlight w:val="none"/>
        </w:rPr>
        <w:t>投标人应保证所提供资料的真实有效，如因资料弄虚作假所引起的一切后果由投标人自行承担。</w:t>
      </w:r>
    </w:p>
    <w:p w14:paraId="6ED87C20">
      <w:pPr>
        <w:pageBreakBefore w:val="0"/>
        <w:tabs>
          <w:tab w:val="left" w:pos="7899"/>
        </w:tabs>
        <w:kinsoku/>
        <w:overflowPunct/>
        <w:bidi w:val="0"/>
        <w:spacing w:line="360" w:lineRule="auto"/>
        <w:ind w:firstLine="472" w:firstLineChars="19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3.6.5</w:t>
      </w:r>
      <w:r>
        <w:rPr>
          <w:rFonts w:hint="eastAsia" w:ascii="宋体" w:hAnsi="宋体" w:eastAsia="宋体" w:cs="宋体"/>
          <w:b/>
          <w:bCs/>
          <w:color w:val="auto"/>
          <w:sz w:val="24"/>
          <w:szCs w:val="24"/>
          <w:highlight w:val="none"/>
          <w:lang w:val="en-US" w:eastAsia="zh-CN"/>
        </w:rPr>
        <w:t>本项目所述的投标文件指电子投标文件。</w:t>
      </w:r>
      <w:r>
        <w:rPr>
          <w:rFonts w:hint="eastAsia" w:ascii="宋体" w:hAnsi="宋体" w:eastAsia="宋体" w:cs="宋体"/>
          <w:color w:val="auto"/>
          <w:sz w:val="24"/>
          <w:szCs w:val="24"/>
          <w:highlight w:val="none"/>
          <w:lang w:val="en-US" w:eastAsia="zh-CN"/>
        </w:rPr>
        <w:t>电子投标文件的制作应使用“政采云投标客户端”，投标人下载“政采云投标客户端”，通过“政采云投标客户端”编制并生成加密的投标文件；“政采云投标客户端”提供数字证书（CA）对投标文件进行加密功能。投标人对网上递交的投标文件应加密。如果投标人使用某个数字证书（CA）对投标文件进行了数字证书（CA）加密，需要在开标时使用该数字证书（CA）进行解密，才能读取或导入投标文件，如因投标人自身原因导致在规定时间内无法正常解密的（如：浏览器故障、未安装相关驱动、网络故障、加密CA与解密CA不一致等），采购代理机构不予异常处理，视为投标人自动弃标。</w:t>
      </w:r>
    </w:p>
    <w:p w14:paraId="4823A2CB">
      <w:pPr>
        <w:pageBreakBefore w:val="0"/>
        <w:kinsoku/>
        <w:wordWrap w:val="0"/>
        <w:overflowPunct/>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注：</w:t>
      </w:r>
      <w:r>
        <w:rPr>
          <w:rFonts w:hint="eastAsia" w:ascii="宋体" w:hAnsi="宋体" w:eastAsia="宋体" w:cs="宋体"/>
          <w:bCs/>
          <w:sz w:val="24"/>
          <w:szCs w:val="24"/>
          <w:highlight w:val="none"/>
        </w:rPr>
        <w:t>在使用政采云投标客户端时，建议使用WIN7（64位）及以上操作系统。客户端请至政采云公司网站（https://edu.zcygov.cn/luban/yunnan-dzjy-gys）进行查看下载，如有问题可拨打政采云客户服务热线95763进行咨询。</w:t>
      </w:r>
    </w:p>
    <w:p w14:paraId="52624B94">
      <w:pPr>
        <w:pageBreakBefore w:val="0"/>
        <w:kinsoku/>
        <w:overflowPunct/>
        <w:bidi w:val="0"/>
        <w:spacing w:line="360" w:lineRule="auto"/>
        <w:jc w:val="left"/>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t>3.7投标文件的提交</w:t>
      </w:r>
    </w:p>
    <w:p w14:paraId="2CD8585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3.7.1</w:t>
      </w:r>
      <w:r>
        <w:rPr>
          <w:rFonts w:hint="eastAsia" w:ascii="宋体" w:hAnsi="宋体" w:eastAsia="宋体" w:cs="宋体"/>
          <w:color w:val="auto"/>
          <w:sz w:val="24"/>
          <w:highlight w:val="none"/>
        </w:rPr>
        <w:t>本项目投标将采用电子评审。</w:t>
      </w:r>
    </w:p>
    <w:p w14:paraId="0518204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3.7.2投标人对网上提交的投标文件必须加密，如果投标人使用某个数字证书（CA）对投标文件进行了数字证书（CA）加密，需要在开标过程中使用该数字证书（CA）进行解密，才能读取或导入投标文件，因投标人原因造成投标文件未解密的，视为撤回其投标文件</w:t>
      </w:r>
      <w:r>
        <w:rPr>
          <w:rFonts w:hint="eastAsia" w:ascii="宋体" w:hAnsi="宋体" w:eastAsia="宋体" w:cs="宋体"/>
          <w:color w:val="auto"/>
          <w:sz w:val="24"/>
          <w:highlight w:val="none"/>
        </w:rPr>
        <w:t>。</w:t>
      </w:r>
    </w:p>
    <w:p w14:paraId="4DAE053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3.7.3</w:t>
      </w:r>
      <w:r>
        <w:rPr>
          <w:rFonts w:hint="eastAsia" w:ascii="宋体" w:hAnsi="宋体" w:eastAsia="宋体" w:cs="宋体"/>
          <w:color w:val="auto"/>
          <w:sz w:val="24"/>
          <w:highlight w:val="none"/>
        </w:rPr>
        <w:t>网上递交投标文件截止时间：详见“投标人须知前附表”，投标人须在投标截止时间前完成所有投标文件的上传。</w:t>
      </w:r>
    </w:p>
    <w:p w14:paraId="45CEDA7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3.7.4</w:t>
      </w:r>
      <w:r>
        <w:rPr>
          <w:rFonts w:hint="eastAsia" w:ascii="宋体" w:hAnsi="宋体" w:eastAsia="宋体" w:cs="宋体"/>
          <w:color w:val="auto"/>
          <w:sz w:val="24"/>
          <w:highlight w:val="none"/>
        </w:rPr>
        <w:t>在规定的投标截止时间前，投标人可以修改或撤回已在网上递交的电子投标文件，无须书面形式通知采购代理机构。修改的电子投标文件应按照有关电子投标文件规定进行编制、加密和提交。</w:t>
      </w:r>
    </w:p>
    <w:p w14:paraId="753F5C5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3.7.5</w:t>
      </w:r>
      <w:r>
        <w:rPr>
          <w:rFonts w:hint="eastAsia" w:ascii="宋体" w:hAnsi="宋体" w:eastAsia="宋体" w:cs="宋体"/>
          <w:color w:val="auto"/>
          <w:sz w:val="24"/>
          <w:highlight w:val="none"/>
        </w:rPr>
        <w:t>电子投标文件的提交不得迟于“投标人须知前附表”规定的提交截止时间。</w:t>
      </w:r>
    </w:p>
    <w:p w14:paraId="39DE0E1E">
      <w:pPr>
        <w:pStyle w:val="3"/>
        <w:pageBreakBefore w:val="0"/>
        <w:kinsoku/>
        <w:overflowPunct/>
        <w:bidi w:val="0"/>
        <w:spacing w:before="158" w:beforeLines="50" w:after="158" w:afterLines="50" w:line="360" w:lineRule="auto"/>
        <w:ind w:left="0" w:firstLine="0"/>
        <w:jc w:val="both"/>
        <w:rPr>
          <w:rFonts w:hint="eastAsia" w:ascii="宋体" w:hAnsi="宋体" w:eastAsia="宋体" w:cs="宋体"/>
          <w:color w:val="auto"/>
          <w:szCs w:val="28"/>
          <w:highlight w:val="none"/>
        </w:rPr>
      </w:pPr>
      <w:bookmarkStart w:id="77" w:name="_Toc29886"/>
      <w:bookmarkStart w:id="78" w:name="_Toc24839"/>
      <w:bookmarkStart w:id="79" w:name="_Toc4151"/>
      <w:bookmarkStart w:id="80" w:name="_Toc29914"/>
      <w:r>
        <w:rPr>
          <w:rFonts w:hint="eastAsia" w:ascii="宋体" w:hAnsi="宋体" w:eastAsia="宋体" w:cs="宋体"/>
          <w:color w:val="auto"/>
          <w:szCs w:val="28"/>
          <w:highlight w:val="none"/>
          <w:lang w:val="en-US" w:eastAsia="zh-CN"/>
        </w:rPr>
        <w:t>四</w:t>
      </w:r>
      <w:r>
        <w:rPr>
          <w:rFonts w:hint="eastAsia" w:ascii="宋体" w:hAnsi="宋体" w:eastAsia="宋体" w:cs="宋体"/>
          <w:color w:val="auto"/>
          <w:szCs w:val="28"/>
          <w:highlight w:val="none"/>
        </w:rPr>
        <w:t>、开标</w:t>
      </w:r>
      <w:bookmarkEnd w:id="77"/>
      <w:bookmarkEnd w:id="78"/>
      <w:bookmarkEnd w:id="79"/>
      <w:bookmarkEnd w:id="80"/>
    </w:p>
    <w:p w14:paraId="049D84E5">
      <w:pPr>
        <w:pageBreakBefore w:val="0"/>
        <w:kinsoku/>
        <w:overflowPunct/>
        <w:bidi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4.1</w:t>
      </w:r>
      <w:r>
        <w:rPr>
          <w:rFonts w:hint="eastAsia" w:ascii="宋体" w:hAnsi="宋体" w:eastAsia="宋体" w:cs="宋体"/>
          <w:b/>
          <w:color w:val="auto"/>
          <w:sz w:val="24"/>
          <w:highlight w:val="none"/>
        </w:rPr>
        <w:t>开标</w:t>
      </w:r>
    </w:p>
    <w:p w14:paraId="4917E2A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4.1.1采购代理机构将在“投标人须知前附表”规定的时间和地点进行开标。</w:t>
      </w:r>
    </w:p>
    <w:p w14:paraId="4625C29C">
      <w:pPr>
        <w:pageBreakBefore w:val="0"/>
        <w:kinsoku/>
        <w:overflowPunct/>
        <w:bidi w:val="0"/>
        <w:snapToGrid w:val="0"/>
        <w:spacing w:line="360" w:lineRule="auto"/>
        <w:ind w:firstLine="480" w:firstLineChars="200"/>
        <w:contextualSpacing/>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4.1.2开标程序详见“投标人须知前附表”。</w:t>
      </w:r>
    </w:p>
    <w:p w14:paraId="75E65D27">
      <w:pPr>
        <w:pageBreakBefore w:val="0"/>
        <w:kinsoku/>
        <w:overflowPunct/>
        <w:bidi w:val="0"/>
        <w:snapToGrid w:val="0"/>
        <w:spacing w:line="360" w:lineRule="auto"/>
        <w:ind w:firstLine="480" w:firstLineChars="200"/>
        <w:contextualSpacing/>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（1）开标会由采购代理机构主持，主持人宣布开标会议开始；</w:t>
      </w:r>
    </w:p>
    <w:p w14:paraId="2DB310BB">
      <w:pPr>
        <w:pageBreakBefore w:val="0"/>
        <w:kinsoku/>
        <w:overflowPunct/>
        <w:bidi w:val="0"/>
        <w:snapToGrid w:val="0"/>
        <w:spacing w:line="360" w:lineRule="auto"/>
        <w:ind w:firstLine="480" w:firstLineChars="200"/>
        <w:contextualSpacing/>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（2）介绍参加开标会的人员名单；</w:t>
      </w:r>
    </w:p>
    <w:p w14:paraId="6B5C2B39">
      <w:pPr>
        <w:pageBreakBefore w:val="0"/>
        <w:kinsoku/>
        <w:overflowPunct/>
        <w:bidi w:val="0"/>
        <w:snapToGrid w:val="0"/>
        <w:spacing w:line="360" w:lineRule="auto"/>
        <w:ind w:firstLine="480" w:firstLineChars="200"/>
        <w:contextualSpacing/>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（3）打开智能开标系统，投标人在规定时间内完成投标文件解密。</w:t>
      </w:r>
    </w:p>
    <w:p w14:paraId="0F978B6F">
      <w:pPr>
        <w:pageBreakBefore w:val="0"/>
        <w:kinsoku/>
        <w:overflowPunct/>
        <w:bidi w:val="0"/>
        <w:snapToGrid w:val="0"/>
        <w:spacing w:line="360" w:lineRule="auto"/>
        <w:ind w:firstLine="480" w:firstLineChars="200"/>
        <w:contextualSpacing/>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各投标人核对开标记录表中各项数据；如有问题，可以在线提出异议，由采购代理机构给予对应的回复。开标端发起对本次开标过程是否有异议询问后，不确认或不及时提出异议，视为对本次开标过程无异议。</w:t>
      </w:r>
    </w:p>
    <w:p w14:paraId="5B206EEF">
      <w:pPr>
        <w:pageBreakBefore w:val="0"/>
        <w:kinsoku/>
        <w:overflowPunct/>
        <w:bidi w:val="0"/>
        <w:snapToGrid w:val="0"/>
        <w:spacing w:line="360" w:lineRule="auto"/>
        <w:ind w:firstLine="480" w:firstLineChars="200"/>
        <w:contextualSpacing/>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（5）代理机构确认开标会议结束。</w:t>
      </w:r>
    </w:p>
    <w:p w14:paraId="71B1EB4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4.1.3采购代理机构将做开标记录并存档备查。</w:t>
      </w:r>
    </w:p>
    <w:p w14:paraId="6CA1692A">
      <w:pPr>
        <w:pStyle w:val="3"/>
        <w:pageBreakBefore w:val="0"/>
        <w:kinsoku/>
        <w:overflowPunct/>
        <w:bidi w:val="0"/>
        <w:spacing w:before="158" w:beforeLines="50" w:after="158" w:afterLines="50" w:line="360" w:lineRule="auto"/>
        <w:ind w:left="0" w:firstLine="0"/>
        <w:jc w:val="both"/>
        <w:rPr>
          <w:rFonts w:hint="eastAsia" w:ascii="宋体" w:hAnsi="宋体" w:eastAsia="宋体" w:cs="宋体"/>
          <w:color w:val="auto"/>
          <w:szCs w:val="28"/>
          <w:highlight w:val="none"/>
          <w:lang w:val="en-US" w:eastAsia="zh-CN"/>
        </w:rPr>
      </w:pPr>
      <w:bookmarkStart w:id="81" w:name="_Toc29419"/>
      <w:bookmarkStart w:id="82" w:name="_Toc7057"/>
      <w:bookmarkStart w:id="83" w:name="_Toc25414"/>
      <w:bookmarkStart w:id="84" w:name="_Toc3475"/>
      <w:r>
        <w:rPr>
          <w:rFonts w:hint="eastAsia" w:ascii="宋体" w:hAnsi="宋体" w:eastAsia="宋体" w:cs="宋体"/>
          <w:color w:val="auto"/>
          <w:szCs w:val="28"/>
          <w:highlight w:val="none"/>
          <w:lang w:val="en-US" w:eastAsia="zh-CN"/>
        </w:rPr>
        <w:t>五、资格审查</w:t>
      </w:r>
      <w:bookmarkEnd w:id="81"/>
      <w:bookmarkEnd w:id="82"/>
      <w:bookmarkEnd w:id="83"/>
      <w:bookmarkEnd w:id="84"/>
    </w:p>
    <w:p w14:paraId="7D924C0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本项目开标会议结束后，由采购人或采购代理机构依据资格审查标准对投标人投标文件进行资格审查，资格审查合格投标人不足3家的，不得进入下一步评标。第五章“评标方法（综合评分法）”的第一款各项评审内容及标准均为招标文件的实质性要求，投标文件响应各款所列材料在开标后不得澄清、后补。并向评标委员会提交资格审查报告。</w:t>
      </w:r>
    </w:p>
    <w:p w14:paraId="38749F94">
      <w:pPr>
        <w:pStyle w:val="3"/>
        <w:pageBreakBefore w:val="0"/>
        <w:kinsoku/>
        <w:overflowPunct/>
        <w:bidi w:val="0"/>
        <w:spacing w:before="158" w:beforeLines="50" w:after="158" w:afterLines="50" w:line="360" w:lineRule="auto"/>
        <w:ind w:left="0" w:firstLine="0"/>
        <w:jc w:val="both"/>
        <w:rPr>
          <w:rFonts w:hint="eastAsia" w:ascii="宋体" w:hAnsi="宋体" w:eastAsia="宋体" w:cs="宋体"/>
          <w:color w:val="auto"/>
          <w:szCs w:val="28"/>
          <w:highlight w:val="none"/>
          <w:lang w:val="en-US" w:eastAsia="zh-CN"/>
        </w:rPr>
      </w:pPr>
      <w:bookmarkStart w:id="85" w:name="_Toc3027"/>
      <w:bookmarkStart w:id="86" w:name="_Toc32631"/>
      <w:bookmarkStart w:id="87" w:name="_Toc9661"/>
      <w:bookmarkStart w:id="88" w:name="_Toc6296"/>
      <w:r>
        <w:rPr>
          <w:rFonts w:hint="eastAsia" w:ascii="宋体" w:hAnsi="宋体" w:eastAsia="宋体" w:cs="宋体"/>
          <w:color w:val="auto"/>
          <w:szCs w:val="28"/>
          <w:highlight w:val="none"/>
          <w:lang w:val="en-US" w:eastAsia="zh-CN"/>
        </w:rPr>
        <w:t>六、评标</w:t>
      </w:r>
      <w:bookmarkEnd w:id="85"/>
      <w:bookmarkEnd w:id="86"/>
      <w:bookmarkEnd w:id="87"/>
      <w:bookmarkEnd w:id="88"/>
    </w:p>
    <w:p w14:paraId="12258D00">
      <w:pPr>
        <w:pageBreakBefore w:val="0"/>
        <w:kinsoku/>
        <w:overflowPunct/>
        <w:bidi w:val="0"/>
        <w:spacing w:line="360" w:lineRule="auto"/>
        <w:jc w:val="left"/>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6.1评标委员会</w:t>
      </w:r>
    </w:p>
    <w:p w14:paraId="2FC13B5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6.1.1评标由采购人依法组建的评标委员会负责。评标委员会由采购人代表和有关技术、经济等方面的专家组成，成员人数应当为5人或以上单数。其中，技术、经济等方面的专家不得少于成员总数的三分之二。评标委员会应当推选组长，但采购人代表不得担任组长。</w:t>
      </w:r>
    </w:p>
    <w:p w14:paraId="7257997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6.1.2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5C98554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6.1.3采购人委派代表参加评标委员会的，要向采购代理机构出具授权函。</w:t>
      </w:r>
    </w:p>
    <w:p w14:paraId="764EBE1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6.1.4评标委员会成员有下列情形之一的，应当回避：</w:t>
      </w:r>
    </w:p>
    <w:p w14:paraId="6C376AB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（1）采购人或投标人的主要负责人的近亲属；</w:t>
      </w:r>
    </w:p>
    <w:p w14:paraId="005A11A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（2）项目主管部门或者行政监督部门的人员；</w:t>
      </w:r>
    </w:p>
    <w:p w14:paraId="7A54C66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（3）与投标人有经济利益关系，可能影响对投标公正评审的；</w:t>
      </w:r>
    </w:p>
    <w:p w14:paraId="25A7CBC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（4）曾因在招标、评标以及其他与招标投标有关活动中从事违法行为而受过行政处罚或刑事处罚的。</w:t>
      </w:r>
    </w:p>
    <w:p w14:paraId="2FF12D5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评审专家发现本人与参加采购活动的投标人有利害关系的，应当主动提出回避。采购人或者采购代理机构发现评审专家与参加采购活动的投标人有利害关系的，应当要求其回避。</w:t>
      </w:r>
    </w:p>
    <w:p w14:paraId="7848176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6.1.5评标中因评标委员会成员缺席、回避或者健康等特殊原因导致评标委员会组成不符合招标文件规定的，采购人或者采购代理机构应当按规定补足后继续评标。被更换的评标委员会成员所作出的评标意见无效。无法及时补足评标委员会成员的，采购人或者采购代理机构应当停止评标活动，封存所有投标文件和开标、评标资料，重新组建评标委员会进行评标。原评标委员会所作出的评标意见无效。采购人或者采购代理机构应当将变更、重新组建评标委员会的情况予以记录，并随招标文件一并存档。</w:t>
      </w:r>
    </w:p>
    <w:p w14:paraId="6F25FEC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6.1.6评标委员会负责具体评标事务，并独立履行下列职责：</w:t>
      </w:r>
    </w:p>
    <w:p w14:paraId="0163576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（1）审查、评价投标文件是否符合招标文件的商务、技术等实质性要求；</w:t>
      </w:r>
    </w:p>
    <w:p w14:paraId="1E4C1DB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（2）要求投标人对投标文件有关事项作出澄清或者说明；</w:t>
      </w:r>
    </w:p>
    <w:p w14:paraId="11FA2C8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（3）对投标文件进行比较和评价；</w:t>
      </w:r>
    </w:p>
    <w:p w14:paraId="429C585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（4）确定中标候选人名单，以及根据采购人委托直接确定中标人；</w:t>
      </w:r>
    </w:p>
    <w:p w14:paraId="2008927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（5）向采购人、采购代理机构或者有关部门报告评标中发现的违法行为。</w:t>
      </w:r>
    </w:p>
    <w:p w14:paraId="67CBF0A9">
      <w:pPr>
        <w:pageBreakBefore w:val="0"/>
        <w:kinsoku/>
        <w:overflowPunct/>
        <w:bidi w:val="0"/>
        <w:spacing w:line="360" w:lineRule="auto"/>
        <w:jc w:val="left"/>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6.2评标工作</w:t>
      </w:r>
    </w:p>
    <w:p w14:paraId="11A0CF95">
      <w:pPr>
        <w:pStyle w:val="1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6.2.1</w:t>
      </w:r>
      <w:r>
        <w:rPr>
          <w:rFonts w:hint="eastAsia" w:ascii="宋体" w:hAnsi="宋体" w:eastAsia="宋体" w:cs="宋体"/>
          <w:bCs/>
          <w:color w:val="auto"/>
          <w:sz w:val="24"/>
          <w:szCs w:val="24"/>
          <w:highlight w:val="none"/>
        </w:rPr>
        <w:t>评标原则</w:t>
      </w:r>
    </w:p>
    <w:p w14:paraId="7CDB0D6B">
      <w:pPr>
        <w:pStyle w:val="1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评标活动遵循公平、公正、科学和择优的原则。</w:t>
      </w:r>
    </w:p>
    <w:p w14:paraId="2B00EF57">
      <w:pPr>
        <w:pStyle w:val="1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6.2.2评标方法</w:t>
      </w:r>
    </w:p>
    <w:p w14:paraId="40C77AE6">
      <w:pPr>
        <w:pStyle w:val="1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本项目的具体评标方法详见第五章。</w:t>
      </w:r>
    </w:p>
    <w:p w14:paraId="2352D860">
      <w:pPr>
        <w:pStyle w:val="1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6.2.3评标工作程序</w:t>
      </w:r>
    </w:p>
    <w:p w14:paraId="121453D3">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w:t>
      </w:r>
      <w:r>
        <w:rPr>
          <w:rFonts w:hint="eastAsia" w:ascii="宋体" w:hAnsi="宋体" w:eastAsia="宋体" w:cs="宋体"/>
          <w:b w:val="0"/>
          <w:bCs w:val="0"/>
          <w:color w:val="auto"/>
          <w:sz w:val="24"/>
          <w:highlight w:val="none"/>
        </w:rPr>
        <w:t>会按照第</w:t>
      </w:r>
      <w:r>
        <w:rPr>
          <w:rFonts w:hint="eastAsia" w:ascii="宋体" w:hAnsi="宋体" w:eastAsia="宋体" w:cs="宋体"/>
          <w:b w:val="0"/>
          <w:bCs w:val="0"/>
          <w:color w:val="auto"/>
          <w:sz w:val="24"/>
          <w:highlight w:val="none"/>
          <w:lang w:val="en-US" w:eastAsia="zh-CN"/>
        </w:rPr>
        <w:t>五</w:t>
      </w:r>
      <w:r>
        <w:rPr>
          <w:rFonts w:hint="eastAsia" w:ascii="宋体" w:hAnsi="宋体" w:eastAsia="宋体" w:cs="宋体"/>
          <w:b w:val="0"/>
          <w:bCs w:val="0"/>
          <w:color w:val="auto"/>
          <w:sz w:val="24"/>
          <w:highlight w:val="none"/>
        </w:rPr>
        <w:t>章“</w:t>
      </w:r>
      <w:r>
        <w:rPr>
          <w:rFonts w:hint="eastAsia" w:ascii="宋体" w:hAnsi="宋体" w:eastAsia="宋体" w:cs="宋体"/>
          <w:b w:val="0"/>
          <w:bCs w:val="0"/>
          <w:color w:val="auto"/>
          <w:sz w:val="24"/>
          <w:highlight w:val="none"/>
          <w:lang w:eastAsia="zh-CN"/>
        </w:rPr>
        <w:t>评标方法</w:t>
      </w:r>
      <w:r>
        <w:rPr>
          <w:rFonts w:hint="eastAsia" w:ascii="宋体" w:hAnsi="宋体" w:eastAsia="宋体" w:cs="宋体"/>
          <w:b w:val="0"/>
          <w:bCs w:val="0"/>
          <w:color w:val="auto"/>
          <w:sz w:val="24"/>
          <w:highlight w:val="none"/>
        </w:rPr>
        <w:t>”规定的方法、评审因素、标准和程序对投标文件进行评审。第</w:t>
      </w:r>
      <w:r>
        <w:rPr>
          <w:rFonts w:hint="eastAsia" w:ascii="宋体" w:hAnsi="宋体" w:eastAsia="宋体" w:cs="宋体"/>
          <w:b w:val="0"/>
          <w:bCs w:val="0"/>
          <w:color w:val="auto"/>
          <w:sz w:val="24"/>
          <w:highlight w:val="none"/>
          <w:lang w:val="en-US" w:eastAsia="zh-CN"/>
        </w:rPr>
        <w:t>五</w:t>
      </w:r>
      <w:r>
        <w:rPr>
          <w:rFonts w:hint="eastAsia" w:ascii="宋体" w:hAnsi="宋体" w:eastAsia="宋体" w:cs="宋体"/>
          <w:b w:val="0"/>
          <w:bCs w:val="0"/>
          <w:color w:val="auto"/>
          <w:sz w:val="24"/>
          <w:highlight w:val="none"/>
        </w:rPr>
        <w:t>章“</w:t>
      </w:r>
      <w:r>
        <w:rPr>
          <w:rFonts w:hint="eastAsia" w:ascii="宋体" w:hAnsi="宋体" w:eastAsia="宋体" w:cs="宋体"/>
          <w:b w:val="0"/>
          <w:bCs w:val="0"/>
          <w:color w:val="auto"/>
          <w:sz w:val="24"/>
          <w:highlight w:val="none"/>
          <w:lang w:eastAsia="zh-CN"/>
        </w:rPr>
        <w:t>评标方法</w:t>
      </w:r>
      <w:r>
        <w:rPr>
          <w:rFonts w:hint="eastAsia" w:ascii="宋体" w:hAnsi="宋体" w:eastAsia="宋体" w:cs="宋体"/>
          <w:b w:val="0"/>
          <w:bCs w:val="0"/>
          <w:color w:val="auto"/>
          <w:sz w:val="24"/>
          <w:highlight w:val="none"/>
        </w:rPr>
        <w:t>”没有规</w:t>
      </w:r>
      <w:r>
        <w:rPr>
          <w:rFonts w:hint="eastAsia" w:ascii="宋体" w:hAnsi="宋体" w:eastAsia="宋体" w:cs="宋体"/>
          <w:color w:val="auto"/>
          <w:sz w:val="24"/>
          <w:highlight w:val="none"/>
        </w:rPr>
        <w:t>定的方法、评审因素和标准，不作为评标依据。</w:t>
      </w:r>
      <w:r>
        <w:rPr>
          <w:rFonts w:hint="eastAsia" w:ascii="宋体" w:hAnsi="宋体" w:eastAsia="宋体" w:cs="宋体"/>
          <w:bCs/>
          <w:color w:val="auto"/>
          <w:kern w:val="1"/>
          <w:sz w:val="24"/>
          <w:szCs w:val="24"/>
          <w:highlight w:val="none"/>
        </w:rPr>
        <w:t>评标完成后，评标委员会应向采购人提交书面评标报告。</w:t>
      </w:r>
    </w:p>
    <w:p w14:paraId="3EA4B9FB">
      <w:pPr>
        <w:pStyle w:val="1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6.2.4</w:t>
      </w:r>
      <w:r>
        <w:rPr>
          <w:rFonts w:hint="eastAsia" w:ascii="宋体" w:hAnsi="宋体" w:eastAsia="宋体" w:cs="宋体"/>
          <w:color w:val="auto"/>
          <w:sz w:val="24"/>
          <w:szCs w:val="24"/>
          <w:highlight w:val="none"/>
        </w:rPr>
        <w:t>评标过程的保密。开标后，直到授予投标人合同止，凡是属于审查、澄清、评审和比较的有关资料以及授标建议等均不得向投标人或其他无关的人员透露。投标人在评标过程中，所进行的力图影响评标结果的不公正活动，可能导致其投标被拒绝。</w:t>
      </w:r>
    </w:p>
    <w:p w14:paraId="638B4142">
      <w:pPr>
        <w:pStyle w:val="12"/>
        <w:pageBreakBefore w:val="0"/>
        <w:kinsoku/>
        <w:overflowPunct/>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6.3</w:t>
      </w:r>
      <w:r>
        <w:rPr>
          <w:rFonts w:hint="eastAsia" w:ascii="宋体" w:hAnsi="宋体" w:eastAsia="宋体" w:cs="宋体"/>
          <w:b/>
          <w:color w:val="auto"/>
          <w:sz w:val="24"/>
          <w:szCs w:val="24"/>
          <w:highlight w:val="none"/>
        </w:rPr>
        <w:t>投标文件计算错误的修正</w:t>
      </w:r>
    </w:p>
    <w:p w14:paraId="1000F5FF">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6.3.1</w:t>
      </w:r>
      <w:r>
        <w:rPr>
          <w:rFonts w:hint="eastAsia" w:ascii="宋体" w:hAnsi="宋体" w:eastAsia="宋体" w:cs="宋体"/>
          <w:bCs/>
          <w:color w:val="auto"/>
          <w:sz w:val="24"/>
          <w:szCs w:val="24"/>
          <w:highlight w:val="none"/>
        </w:rPr>
        <w:t>投标文件报价出现前后不一致的，除招标文件另有规定外，按照下列规定修正：</w:t>
      </w:r>
    </w:p>
    <w:p w14:paraId="20CF4A4A">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（1）投标文件中开标一览表（报价表）内容与投标文件中相应内容不一致的，以开标一览表（报价表）为准；</w:t>
      </w:r>
    </w:p>
    <w:p w14:paraId="246B78C9">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（2）大写金额和小写金额不一致的，以大写金额为准；</w:t>
      </w:r>
    </w:p>
    <w:p w14:paraId="3D5F4F73">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（3）单价金额小数点或者百分比有明显错位的，以开标一览表的总价为准，并修改单价；</w:t>
      </w:r>
    </w:p>
    <w:p w14:paraId="6E12148A">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（4）总价金额与按单价汇总金额不一致的，以单价金额计算结果为准。</w:t>
      </w:r>
    </w:p>
    <w:p w14:paraId="1E826E36">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按上述修正错误的原则及方法调整或修正投标文件的投标报价，同时出现两种以上不一致的，按照前款规定的顺序修正。投标人同意后，调整后的投标报价对投标人起约束作用。如果投标人不接受修正后的报价，则其投标按无效标处理。</w:t>
      </w:r>
    </w:p>
    <w:p w14:paraId="7D7E3E7C">
      <w:pPr>
        <w:pStyle w:val="12"/>
        <w:pageBreakBefore w:val="0"/>
        <w:kinsoku/>
        <w:overflowPunct/>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6.4</w:t>
      </w:r>
      <w:r>
        <w:rPr>
          <w:rFonts w:hint="eastAsia" w:ascii="宋体" w:hAnsi="宋体" w:eastAsia="宋体" w:cs="宋体"/>
          <w:b/>
          <w:color w:val="auto"/>
          <w:sz w:val="24"/>
          <w:szCs w:val="24"/>
          <w:highlight w:val="none"/>
        </w:rPr>
        <w:t>投标无效的情形</w:t>
      </w:r>
    </w:p>
    <w:p w14:paraId="257002F3">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扫描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审结果。</w:t>
      </w:r>
    </w:p>
    <w:p w14:paraId="18C0D643">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6.4.1</w:t>
      </w:r>
      <w:r>
        <w:rPr>
          <w:rFonts w:hint="eastAsia" w:ascii="宋体" w:hAnsi="宋体" w:eastAsia="宋体" w:cs="宋体"/>
          <w:b w:val="0"/>
          <w:bCs/>
          <w:color w:val="auto"/>
          <w:sz w:val="24"/>
          <w:szCs w:val="24"/>
          <w:highlight w:val="none"/>
        </w:rPr>
        <w:t>在符合性审查时，如发现下列情形之一的，投标文件将被视为无效：</w:t>
      </w:r>
    </w:p>
    <w:p w14:paraId="17C3103F">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（1）未按照招标文件的规定提交投标保证金的；</w:t>
      </w:r>
    </w:p>
    <w:p w14:paraId="3ABA761E">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（2）报价超过招标文件中规定的预算金额且采购人不能承担的；</w:t>
      </w:r>
    </w:p>
    <w:p w14:paraId="7BBEFA9D">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（3）投标文件的签署不符合第二章投标人须知前附表第22项规定；</w:t>
      </w:r>
    </w:p>
    <w:p w14:paraId="1A50E727">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法人身份证明书、授权委托书不符合招标</w:t>
      </w:r>
      <w:r>
        <w:rPr>
          <w:rFonts w:hint="eastAsia" w:ascii="宋体" w:hAnsi="宋体" w:eastAsia="宋体" w:cs="宋体"/>
          <w:b w:val="0"/>
          <w:bCs/>
          <w:color w:val="auto"/>
          <w:sz w:val="24"/>
          <w:szCs w:val="24"/>
          <w:highlight w:val="none"/>
          <w:lang w:eastAsia="zh-CN"/>
        </w:rPr>
        <w:t>文件要求；</w:t>
      </w:r>
    </w:p>
    <w:p w14:paraId="2E35315A">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lang w:eastAsia="zh-CN"/>
        </w:rPr>
        <w:t>）投标文件</w:t>
      </w:r>
      <w:r>
        <w:rPr>
          <w:rFonts w:hint="eastAsia" w:ascii="宋体" w:hAnsi="宋体" w:eastAsia="宋体" w:cs="宋体"/>
          <w:b w:val="0"/>
          <w:bCs/>
          <w:color w:val="auto"/>
          <w:sz w:val="24"/>
          <w:szCs w:val="24"/>
          <w:highlight w:val="none"/>
          <w:lang w:val="en-US" w:eastAsia="zh-CN"/>
        </w:rPr>
        <w:t>未按照招标文件要求编制的或</w:t>
      </w:r>
      <w:r>
        <w:rPr>
          <w:rFonts w:hint="eastAsia" w:ascii="宋体" w:hAnsi="宋体" w:eastAsia="宋体" w:cs="宋体"/>
          <w:b w:val="0"/>
          <w:bCs/>
          <w:color w:val="auto"/>
          <w:sz w:val="24"/>
          <w:szCs w:val="24"/>
          <w:highlight w:val="none"/>
          <w:lang w:eastAsia="zh-CN"/>
        </w:rPr>
        <w:t>投标文件关键字迹模糊、无法辨认的；</w:t>
      </w:r>
    </w:p>
    <w:p w14:paraId="2DD67E79">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lang w:eastAsia="zh-CN"/>
        </w:rPr>
        <w:t>）法律法规和招标文件规定的其他无效情形或投标文件含有采购人不能接受的附加条件的；</w:t>
      </w:r>
    </w:p>
    <w:p w14:paraId="25892692">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7</w:t>
      </w:r>
      <w:r>
        <w:rPr>
          <w:rFonts w:hint="eastAsia" w:ascii="宋体" w:hAnsi="宋体" w:eastAsia="宋体" w:cs="宋体"/>
          <w:b w:val="0"/>
          <w:bCs/>
          <w:color w:val="auto"/>
          <w:sz w:val="24"/>
          <w:szCs w:val="24"/>
          <w:highlight w:val="none"/>
          <w:lang w:eastAsia="zh-CN"/>
        </w:rPr>
        <w:t>）</w:t>
      </w:r>
      <w:r>
        <w:rPr>
          <w:rFonts w:hint="eastAsia" w:ascii="宋体" w:hAnsi="宋体" w:eastAsia="宋体" w:cs="宋体"/>
          <w:color w:val="auto"/>
          <w:sz w:val="24"/>
          <w:szCs w:val="24"/>
          <w:highlight w:val="none"/>
        </w:rPr>
        <w:t>不符合招标文件中规定的其它实质性要求</w:t>
      </w:r>
      <w:r>
        <w:rPr>
          <w:rFonts w:hint="eastAsia" w:ascii="宋体" w:hAnsi="宋体" w:eastAsia="宋体" w:cs="宋体"/>
          <w:color w:val="auto"/>
          <w:sz w:val="24"/>
          <w:szCs w:val="24"/>
          <w:highlight w:val="none"/>
          <w:lang w:eastAsia="zh-CN"/>
        </w:rPr>
        <w:t>，不满足招标文件标注“</w:t>
      </w:r>
      <w:r>
        <w:rPr>
          <w:rFonts w:hint="eastAsia" w:ascii="宋体" w:hAnsi="宋体" w:eastAsia="宋体" w:cs="宋体"/>
          <w:b/>
          <w:color w:val="auto"/>
          <w:sz w:val="24"/>
          <w:szCs w:val="24"/>
          <w:lang w:eastAsia="zh-CN" w:bidi="ar"/>
        </w:rPr>
        <w:t>★</w:t>
      </w:r>
      <w:r>
        <w:rPr>
          <w:rFonts w:hint="eastAsia" w:ascii="宋体" w:hAnsi="宋体" w:eastAsia="宋体" w:cs="宋体"/>
          <w:color w:val="auto"/>
          <w:sz w:val="24"/>
          <w:szCs w:val="24"/>
          <w:highlight w:val="none"/>
          <w:lang w:eastAsia="zh-CN"/>
        </w:rPr>
        <w:t>”号条款的实质性要求</w:t>
      </w:r>
      <w:r>
        <w:rPr>
          <w:rFonts w:hint="eastAsia" w:ascii="宋体" w:hAnsi="宋体" w:eastAsia="宋体" w:cs="宋体"/>
          <w:b w:val="0"/>
          <w:bCs/>
          <w:color w:val="auto"/>
          <w:sz w:val="24"/>
          <w:szCs w:val="24"/>
          <w:highlight w:val="none"/>
          <w:lang w:eastAsia="zh-CN"/>
        </w:rPr>
        <w:t>。</w:t>
      </w:r>
    </w:p>
    <w:p w14:paraId="028401F0">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6.4.2</w:t>
      </w:r>
      <w:r>
        <w:rPr>
          <w:rFonts w:hint="eastAsia" w:ascii="宋体" w:hAnsi="宋体" w:eastAsia="宋体" w:cs="宋体"/>
          <w:b w:val="0"/>
          <w:bCs/>
          <w:color w:val="auto"/>
          <w:sz w:val="24"/>
          <w:szCs w:val="24"/>
          <w:highlight w:val="none"/>
        </w:rPr>
        <w:t>有下列情形之一的，视为投标人串通投标，其投标无效：</w:t>
      </w:r>
    </w:p>
    <w:p w14:paraId="143C4128">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（1）不同投标人的投标文件由同一单位或者个人编制；</w:t>
      </w:r>
    </w:p>
    <w:p w14:paraId="474AB4A5">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（2）不同投标人委托同一单位或者个人办理投标事宜；</w:t>
      </w:r>
    </w:p>
    <w:p w14:paraId="09DEFDA3">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（3）不同投标人的投标文件载明的项目管理成员或者联系人员为同一人；</w:t>
      </w:r>
    </w:p>
    <w:p w14:paraId="1CAFC121">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（4）不同投标人的投标文件异常一致或者投标报价呈规律性差异；</w:t>
      </w:r>
    </w:p>
    <w:p w14:paraId="3DDDF093">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（5）不同投标人的投标文件相互混装；</w:t>
      </w:r>
    </w:p>
    <w:p w14:paraId="3BF04187">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（6）不同投标人的投标保证金从同一单位或者个人的账户转出。</w:t>
      </w:r>
    </w:p>
    <w:p w14:paraId="4FFA0324">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6.4.3</w:t>
      </w:r>
      <w:r>
        <w:rPr>
          <w:rFonts w:hint="eastAsia" w:ascii="宋体" w:hAnsi="宋体" w:eastAsia="宋体" w:cs="宋体"/>
          <w:b w:val="0"/>
          <w:bCs/>
          <w:color w:val="auto"/>
          <w:sz w:val="24"/>
          <w:szCs w:val="24"/>
          <w:highlight w:val="none"/>
        </w:rPr>
        <w:t>出现下列情形之一的，按废标处理：</w:t>
      </w:r>
    </w:p>
    <w:p w14:paraId="421605FA">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（1）符合专业条件的投标人或者对招标文件作实质响应的投标人不足三家的；</w:t>
      </w:r>
    </w:p>
    <w:p w14:paraId="50C61E19">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（2）出现影响采购公正的违法、违规行为的；</w:t>
      </w:r>
    </w:p>
    <w:p w14:paraId="5C5C0E9E">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（3）投标人的报价均超过了采购预算价，采购人不能支付的；</w:t>
      </w:r>
    </w:p>
    <w:p w14:paraId="4EE357AD">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（4）因重大变故，采购任务取消的。</w:t>
      </w:r>
    </w:p>
    <w:p w14:paraId="679DD986">
      <w:pPr>
        <w:pStyle w:val="3"/>
        <w:pageBreakBefore w:val="0"/>
        <w:kinsoku/>
        <w:overflowPunct/>
        <w:bidi w:val="0"/>
        <w:spacing w:before="158" w:beforeLines="50" w:after="158" w:afterLines="50" w:line="360" w:lineRule="auto"/>
        <w:ind w:left="0" w:firstLine="0"/>
        <w:jc w:val="both"/>
        <w:rPr>
          <w:rFonts w:hint="eastAsia" w:ascii="宋体" w:hAnsi="宋体" w:eastAsia="宋体" w:cs="宋体"/>
          <w:color w:val="auto"/>
          <w:szCs w:val="28"/>
          <w:highlight w:val="none"/>
        </w:rPr>
      </w:pPr>
      <w:bookmarkStart w:id="89" w:name="_Toc13168"/>
      <w:bookmarkStart w:id="90" w:name="_Toc9387"/>
      <w:bookmarkStart w:id="91" w:name="_Toc12243"/>
      <w:bookmarkStart w:id="92" w:name="_Toc30778"/>
      <w:r>
        <w:rPr>
          <w:rFonts w:hint="eastAsia" w:ascii="宋体" w:hAnsi="宋体" w:eastAsia="宋体" w:cs="宋体"/>
          <w:color w:val="auto"/>
          <w:szCs w:val="28"/>
          <w:highlight w:val="none"/>
          <w:lang w:val="en-US" w:eastAsia="zh-CN"/>
        </w:rPr>
        <w:t>七、</w:t>
      </w:r>
      <w:r>
        <w:rPr>
          <w:rFonts w:hint="eastAsia" w:ascii="宋体" w:hAnsi="宋体" w:eastAsia="宋体" w:cs="宋体"/>
          <w:color w:val="auto"/>
          <w:szCs w:val="28"/>
          <w:highlight w:val="none"/>
        </w:rPr>
        <w:t>中标</w:t>
      </w:r>
      <w:r>
        <w:rPr>
          <w:rFonts w:hint="eastAsia" w:ascii="宋体" w:hAnsi="宋体" w:eastAsia="宋体" w:cs="宋体"/>
          <w:color w:val="auto"/>
          <w:szCs w:val="28"/>
          <w:highlight w:val="none"/>
          <w:lang w:val="en-US" w:eastAsia="zh-CN"/>
        </w:rPr>
        <w:t>和合同</w:t>
      </w:r>
      <w:bookmarkEnd w:id="89"/>
      <w:bookmarkEnd w:id="90"/>
      <w:bookmarkEnd w:id="91"/>
      <w:bookmarkEnd w:id="92"/>
    </w:p>
    <w:p w14:paraId="0216570E">
      <w:pPr>
        <w:pStyle w:val="12"/>
        <w:pageBreakBefore w:val="0"/>
        <w:kinsoku/>
        <w:overflowPunct/>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7.1</w:t>
      </w:r>
      <w:r>
        <w:rPr>
          <w:rFonts w:hint="eastAsia" w:ascii="宋体" w:hAnsi="宋体" w:eastAsia="宋体" w:cs="宋体"/>
          <w:b/>
          <w:color w:val="auto"/>
          <w:sz w:val="24"/>
          <w:szCs w:val="24"/>
          <w:highlight w:val="none"/>
        </w:rPr>
        <w:t>中标人的确定</w:t>
      </w:r>
    </w:p>
    <w:p w14:paraId="3CDCDB4C">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7.1.1</w:t>
      </w:r>
      <w:r>
        <w:rPr>
          <w:rFonts w:hint="eastAsia" w:ascii="宋体" w:hAnsi="宋体" w:eastAsia="宋体" w:cs="宋体"/>
          <w:color w:val="auto"/>
          <w:sz w:val="24"/>
          <w:highlight w:val="none"/>
        </w:rPr>
        <w:t>采购代理机构应当在评标结束后2个工作日内将评标报告送采购人确认。</w:t>
      </w:r>
    </w:p>
    <w:p w14:paraId="58065EC1">
      <w:pPr>
        <w:pStyle w:val="2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7.1.2</w:t>
      </w:r>
      <w:r>
        <w:rPr>
          <w:rFonts w:hint="eastAsia" w:ascii="宋体" w:hAnsi="宋体" w:eastAsia="宋体" w:cs="宋体"/>
          <w:color w:val="auto"/>
          <w:highlight w:val="none"/>
        </w:rPr>
        <w:t>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69ACCC34">
      <w:pPr>
        <w:pageBreakBefore w:val="0"/>
        <w:kinsoku/>
        <w:overflowPunct/>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7.2</w:t>
      </w:r>
      <w:r>
        <w:rPr>
          <w:rFonts w:hint="eastAsia" w:ascii="宋体" w:hAnsi="宋体" w:eastAsia="宋体" w:cs="宋体"/>
          <w:b/>
          <w:color w:val="auto"/>
          <w:sz w:val="24"/>
          <w:szCs w:val="24"/>
          <w:highlight w:val="none"/>
        </w:rPr>
        <w:t>中标结果公</w:t>
      </w:r>
      <w:r>
        <w:rPr>
          <w:rFonts w:hint="eastAsia" w:ascii="宋体" w:hAnsi="宋体" w:eastAsia="宋体" w:cs="宋体"/>
          <w:b/>
          <w:color w:val="auto"/>
          <w:sz w:val="24"/>
          <w:szCs w:val="24"/>
          <w:highlight w:val="none"/>
          <w:lang w:val="en-US" w:eastAsia="zh-CN"/>
        </w:rPr>
        <w:t>告</w:t>
      </w:r>
    </w:p>
    <w:p w14:paraId="51D3CD95">
      <w:pPr>
        <w:keepNext w:val="0"/>
        <w:keepLines w:val="0"/>
        <w:pageBreakBefore w:val="0"/>
        <w:widowControl w:val="0"/>
        <w:tabs>
          <w:tab w:val="left" w:pos="7899"/>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7.2.1</w:t>
      </w:r>
      <w:r>
        <w:rPr>
          <w:rFonts w:hint="eastAsia" w:ascii="宋体" w:hAnsi="宋体" w:eastAsia="宋体" w:cs="宋体"/>
          <w:color w:val="auto"/>
          <w:sz w:val="24"/>
          <w:szCs w:val="24"/>
          <w:highlight w:val="none"/>
        </w:rPr>
        <w:t>中标人确定后2个工作日内，在云南省政府采购网、政府采购云平台</w:t>
      </w:r>
      <w:r>
        <w:rPr>
          <w:rFonts w:hint="eastAsia" w:ascii="宋体" w:hAnsi="宋体" w:eastAsia="宋体" w:cs="宋体"/>
          <w:color w:val="auto"/>
          <w:sz w:val="24"/>
          <w:szCs w:val="24"/>
          <w:highlight w:val="none"/>
          <w:lang w:val="en-US" w:eastAsia="zh-CN"/>
        </w:rPr>
        <w:t>上发布</w:t>
      </w:r>
      <w:r>
        <w:rPr>
          <w:rFonts w:hint="eastAsia" w:ascii="宋体" w:hAnsi="宋体" w:eastAsia="宋体" w:cs="宋体"/>
          <w:color w:val="auto"/>
          <w:sz w:val="24"/>
          <w:szCs w:val="24"/>
          <w:highlight w:val="none"/>
        </w:rPr>
        <w:t>中标结果，并将招标文件随中标结果同时公告。</w:t>
      </w:r>
    </w:p>
    <w:p w14:paraId="4DD7D360">
      <w:pPr>
        <w:keepNext w:val="0"/>
        <w:keepLines w:val="0"/>
        <w:pageBreakBefore w:val="0"/>
        <w:widowControl w:val="0"/>
        <w:tabs>
          <w:tab w:val="left" w:pos="7899"/>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7.2.2</w:t>
      </w:r>
      <w:r>
        <w:rPr>
          <w:rFonts w:hint="eastAsia" w:ascii="宋体" w:hAnsi="宋体" w:eastAsia="宋体" w:cs="宋体"/>
          <w:color w:val="auto"/>
          <w:sz w:val="24"/>
          <w:szCs w:val="24"/>
          <w:highlight w:val="none"/>
        </w:rPr>
        <w:t>中标结果公告内容包括采购人及其委托的采购代理机构的名称、地址、联系方式，项目名称和项目编号，中标人名称、地址和中标金额，主要中标标的的名称、规格型号、数量、单价、服务要求，中标公告期限以及评审专家名单。</w:t>
      </w:r>
    </w:p>
    <w:p w14:paraId="56D8B3B2">
      <w:pPr>
        <w:keepNext w:val="0"/>
        <w:keepLines w:val="0"/>
        <w:pageBreakBefore w:val="0"/>
        <w:widowControl w:val="0"/>
        <w:tabs>
          <w:tab w:val="left" w:pos="7899"/>
        </w:tabs>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7.2.3</w:t>
      </w:r>
      <w:r>
        <w:rPr>
          <w:rFonts w:hint="eastAsia" w:ascii="宋体" w:hAnsi="宋体" w:eastAsia="宋体" w:cs="宋体"/>
          <w:color w:val="auto"/>
          <w:sz w:val="24"/>
          <w:szCs w:val="24"/>
          <w:highlight w:val="none"/>
        </w:rPr>
        <w:t>中标公告期限为1个工作日。</w:t>
      </w:r>
    </w:p>
    <w:p w14:paraId="798A873B">
      <w:pPr>
        <w:keepNext w:val="0"/>
        <w:keepLines w:val="0"/>
        <w:pageBreakBefore w:val="0"/>
        <w:widowControl w:val="0"/>
        <w:tabs>
          <w:tab w:val="left" w:pos="7899"/>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7.2.4在公告中标结果的同时，采购人或者采购代理机构应当向中标人发出中标通知书；对未通过资格审查的投标人，应当告知其未通过的原因；采用综合评分法评审的，还应当告知未中标人本人的评审得分与排序。</w:t>
      </w:r>
    </w:p>
    <w:p w14:paraId="79753919">
      <w:pPr>
        <w:pStyle w:val="12"/>
        <w:pageBreakBefore w:val="0"/>
        <w:kinsoku/>
        <w:overflowPunct/>
        <w:bidi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7.3</w:t>
      </w:r>
      <w:r>
        <w:rPr>
          <w:rFonts w:hint="eastAsia" w:ascii="宋体" w:hAnsi="宋体" w:eastAsia="宋体" w:cs="宋体"/>
          <w:b/>
          <w:bCs/>
          <w:color w:val="auto"/>
          <w:sz w:val="24"/>
          <w:szCs w:val="24"/>
          <w:highlight w:val="none"/>
        </w:rPr>
        <w:t>中标通知书</w:t>
      </w:r>
    </w:p>
    <w:p w14:paraId="7F196586">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7.3.1</w:t>
      </w:r>
      <w:r>
        <w:rPr>
          <w:rFonts w:hint="eastAsia" w:ascii="宋体" w:hAnsi="宋体" w:eastAsia="宋体" w:cs="宋体"/>
          <w:color w:val="auto"/>
          <w:sz w:val="24"/>
          <w:szCs w:val="24"/>
          <w:highlight w:val="none"/>
        </w:rPr>
        <w:t>公告中标结果的同时向中标人发出中标通知书。</w:t>
      </w:r>
    </w:p>
    <w:p w14:paraId="1E2DB029">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7.3.2</w:t>
      </w:r>
      <w:r>
        <w:rPr>
          <w:rFonts w:hint="eastAsia" w:ascii="宋体" w:hAnsi="宋体" w:eastAsia="宋体" w:cs="宋体"/>
          <w:color w:val="auto"/>
          <w:sz w:val="24"/>
          <w:szCs w:val="24"/>
          <w:highlight w:val="none"/>
        </w:rPr>
        <w:t>中标通知书是合同的一个组成部分。</w:t>
      </w:r>
    </w:p>
    <w:p w14:paraId="37A491C1">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7.3.3</w:t>
      </w:r>
      <w:r>
        <w:rPr>
          <w:rFonts w:hint="eastAsia" w:ascii="宋体" w:hAnsi="宋体" w:eastAsia="宋体" w:cs="宋体"/>
          <w:color w:val="auto"/>
          <w:sz w:val="24"/>
          <w:szCs w:val="24"/>
          <w:highlight w:val="none"/>
        </w:rPr>
        <w:t>采购代理机构无义务向未中标投标人解释未中标的原因和退回投标文件。</w:t>
      </w:r>
    </w:p>
    <w:p w14:paraId="0509F3EE">
      <w:pPr>
        <w:pStyle w:val="12"/>
        <w:pageBreakBefore w:val="0"/>
        <w:kinsoku/>
        <w:overflowPunct/>
        <w:bidi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7.4</w:t>
      </w:r>
      <w:r>
        <w:rPr>
          <w:rFonts w:hint="eastAsia" w:ascii="宋体" w:hAnsi="宋体" w:eastAsia="宋体" w:cs="宋体"/>
          <w:b/>
          <w:bCs/>
          <w:color w:val="auto"/>
          <w:sz w:val="24"/>
          <w:szCs w:val="24"/>
          <w:highlight w:val="none"/>
        </w:rPr>
        <w:t>签订合同</w:t>
      </w:r>
    </w:p>
    <w:p w14:paraId="69397867">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7.4.1</w:t>
      </w:r>
      <w:r>
        <w:rPr>
          <w:rFonts w:hint="eastAsia" w:ascii="宋体" w:hAnsi="宋体" w:eastAsia="宋体" w:cs="宋体"/>
          <w:color w:val="auto"/>
          <w:sz w:val="24"/>
          <w:szCs w:val="24"/>
          <w:highlight w:val="none"/>
        </w:rPr>
        <w:t>采购人应当自中标通知书发出之日起30日内，按照招标文件和中标人投标文件的规定，与中标人签订书面合同。所签订的合同不得对招标文件确定的事项和中标人投标文件作实质性修改。</w:t>
      </w:r>
    </w:p>
    <w:p w14:paraId="0A48DA1C">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7.4.2</w:t>
      </w:r>
      <w:r>
        <w:rPr>
          <w:rFonts w:hint="eastAsia" w:ascii="宋体" w:hAnsi="宋体" w:eastAsia="宋体" w:cs="宋体"/>
          <w:color w:val="auto"/>
          <w:sz w:val="24"/>
          <w:szCs w:val="24"/>
          <w:highlight w:val="none"/>
        </w:rPr>
        <w:t>采购人不得向中标人提出任何不合理的要求作为签订合同的条件。</w:t>
      </w:r>
    </w:p>
    <w:p w14:paraId="11CD7221">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7.4.3</w:t>
      </w:r>
      <w:r>
        <w:rPr>
          <w:rFonts w:hint="eastAsia" w:ascii="宋体" w:hAnsi="宋体" w:eastAsia="宋体" w:cs="宋体"/>
          <w:color w:val="auto"/>
          <w:sz w:val="24"/>
          <w:szCs w:val="24"/>
          <w:highlight w:val="none"/>
        </w:rPr>
        <w:t>政府采购合同履行中，采购人需追加与合同标的相同的货物或者服务的，在不改变合同其他条款的前提下，可以与供应商协商签订补充合同，但所有补充合同的采购金额不得超过原合同采购金额的百分之十。</w:t>
      </w:r>
    </w:p>
    <w:p w14:paraId="54A8FBBC">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7.4.4</w:t>
      </w:r>
      <w:r>
        <w:rPr>
          <w:rFonts w:hint="eastAsia" w:ascii="宋体" w:hAnsi="宋体" w:eastAsia="宋体" w:cs="宋体"/>
          <w:b w:val="0"/>
          <w:color w:val="auto"/>
          <w:sz w:val="24"/>
          <w:szCs w:val="24"/>
          <w:highlight w:val="none"/>
        </w:rPr>
        <w:t>特殊情形处理</w:t>
      </w:r>
    </w:p>
    <w:p w14:paraId="15AAA9AD">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中标或者成交供应商拒绝与采购人签订合同的,采购人可以按照评审报告推荐的中标或者成交候选人名单排序,确定下一候选人为中标或者成交供应商,也可以重新开展政府采购活动。</w:t>
      </w:r>
    </w:p>
    <w:p w14:paraId="68A70D1D">
      <w:pPr>
        <w:pStyle w:val="3"/>
        <w:pageBreakBefore w:val="0"/>
        <w:kinsoku/>
        <w:overflowPunct/>
        <w:bidi w:val="0"/>
        <w:spacing w:before="158" w:beforeLines="50" w:after="158" w:afterLines="50" w:line="360" w:lineRule="auto"/>
        <w:ind w:left="0" w:firstLine="0"/>
        <w:jc w:val="both"/>
        <w:rPr>
          <w:rFonts w:hint="eastAsia" w:ascii="宋体" w:hAnsi="宋体" w:eastAsia="宋体" w:cs="宋体"/>
          <w:color w:val="auto"/>
          <w:szCs w:val="28"/>
          <w:highlight w:val="none"/>
          <w:lang w:val="en-US" w:eastAsia="zh-CN"/>
        </w:rPr>
      </w:pPr>
      <w:bookmarkStart w:id="93" w:name="_Toc7685"/>
      <w:bookmarkStart w:id="94" w:name="_Toc4755"/>
      <w:bookmarkStart w:id="95" w:name="_Toc5571"/>
      <w:bookmarkStart w:id="96" w:name="_Toc8121"/>
      <w:r>
        <w:rPr>
          <w:rFonts w:hint="eastAsia" w:ascii="宋体" w:hAnsi="宋体" w:eastAsia="宋体" w:cs="宋体"/>
          <w:color w:val="auto"/>
          <w:szCs w:val="28"/>
          <w:highlight w:val="none"/>
          <w:lang w:val="en-US" w:eastAsia="zh-CN"/>
        </w:rPr>
        <w:t>八、其他事项</w:t>
      </w:r>
      <w:bookmarkEnd w:id="93"/>
      <w:bookmarkEnd w:id="94"/>
      <w:bookmarkEnd w:id="95"/>
      <w:bookmarkEnd w:id="96"/>
    </w:p>
    <w:p w14:paraId="3180804A">
      <w:pPr>
        <w:pStyle w:val="12"/>
        <w:pageBreakBefore w:val="0"/>
        <w:kinsoku/>
        <w:overflowPunct/>
        <w:bidi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8.1</w:t>
      </w:r>
      <w:r>
        <w:rPr>
          <w:rFonts w:hint="eastAsia" w:ascii="宋体" w:hAnsi="宋体" w:eastAsia="宋体" w:cs="宋体"/>
          <w:b/>
          <w:bCs/>
          <w:color w:val="auto"/>
          <w:sz w:val="24"/>
          <w:szCs w:val="24"/>
          <w:highlight w:val="none"/>
        </w:rPr>
        <w:t>询问、质疑、投诉</w:t>
      </w:r>
    </w:p>
    <w:p w14:paraId="5A76E82B">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8.1.1</w:t>
      </w:r>
      <w:r>
        <w:rPr>
          <w:rFonts w:hint="eastAsia" w:ascii="宋体" w:hAnsi="宋体" w:eastAsia="宋体" w:cs="宋体"/>
          <w:b w:val="0"/>
          <w:bCs w:val="0"/>
          <w:color w:val="auto"/>
          <w:sz w:val="24"/>
          <w:szCs w:val="24"/>
          <w:highlight w:val="none"/>
        </w:rPr>
        <w:t>询问</w:t>
      </w:r>
    </w:p>
    <w:p w14:paraId="6E027F37">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投标人对政府采购活动事项有疑问的，可以向采购人或者采购代理机构提出询问，询问可以口头方式提出或者书面形式提出。</w:t>
      </w:r>
    </w:p>
    <w:p w14:paraId="3646CA90">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如采用书面形式提出询问，投标人为自然人的，询问函应当由本人签字；投标人为法人或者其他组织的，应当由法定代表人、主要负责人或授权代表签字或者盖章，并加盖投标人公章。询问投标人若委托代理人提出询问的，询问函应按要求列明“授权代表”的有关内容，并提交由投标人签署的授权委托书及代理人身份证复印件，并加盖投标人公章。授权委托书应载明代理人的姓名或者名称、代理事项、具体权限、期限和相关事项。</w:t>
      </w:r>
    </w:p>
    <w:p w14:paraId="3E60F3EE">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采购人或者采购代理机构在三个工作日内对投标人依法提出的询问作出答复。</w:t>
      </w:r>
    </w:p>
    <w:p w14:paraId="09B72C0B">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8.1.2</w:t>
      </w:r>
      <w:r>
        <w:rPr>
          <w:rFonts w:hint="eastAsia" w:ascii="宋体" w:hAnsi="宋体" w:eastAsia="宋体" w:cs="宋体"/>
          <w:b w:val="0"/>
          <w:bCs w:val="0"/>
          <w:color w:val="auto"/>
          <w:sz w:val="24"/>
          <w:szCs w:val="24"/>
          <w:highlight w:val="none"/>
        </w:rPr>
        <w:t>质疑</w:t>
      </w:r>
    </w:p>
    <w:p w14:paraId="14DC59E3">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8.1.2.1</w:t>
      </w:r>
      <w:r>
        <w:rPr>
          <w:rFonts w:hint="eastAsia" w:ascii="宋体" w:hAnsi="宋体" w:eastAsia="宋体" w:cs="宋体"/>
          <w:b w:val="0"/>
          <w:bCs w:val="0"/>
          <w:color w:val="auto"/>
          <w:sz w:val="24"/>
          <w:szCs w:val="24"/>
          <w:highlight w:val="none"/>
        </w:rPr>
        <w:t>提出质疑</w:t>
      </w:r>
    </w:p>
    <w:p w14:paraId="0A4385A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（1）投标人认为招标文件、评标过程和中标结果使自己的合法权益受到损害的，可以在知道或者应知其权益受到损害之日起七个工作日内，以书面形式（指加盖投标人公章的</w:t>
      </w:r>
      <w:r>
        <w:rPr>
          <w:rFonts w:hint="eastAsia" w:ascii="宋体" w:hAnsi="宋体" w:eastAsia="宋体" w:cs="宋体"/>
          <w:b w:val="0"/>
          <w:bCs w:val="0"/>
          <w:color w:val="auto"/>
          <w:sz w:val="24"/>
          <w:highlight w:val="none"/>
          <w:lang w:val="en-US" w:eastAsia="zh-CN"/>
        </w:rPr>
        <w:t>文本</w:t>
      </w:r>
      <w:r>
        <w:rPr>
          <w:rFonts w:hint="eastAsia" w:ascii="宋体" w:hAnsi="宋体" w:eastAsia="宋体" w:cs="宋体"/>
          <w:b w:val="0"/>
          <w:bCs w:val="0"/>
          <w:color w:val="auto"/>
          <w:sz w:val="24"/>
          <w:highlight w:val="none"/>
        </w:rPr>
        <w:t>）向采购人或采购代理机构提出质疑，逾期对招标文件提出质疑将不再受理。提出质疑的投标人应当是参与所质疑项目采购活动的投标人，投标人针对同一采购程序环节的质疑应当在法定质疑期内一次性提出，提出质疑时应当有明确的请求和必要的证明材料。</w:t>
      </w:r>
    </w:p>
    <w:p w14:paraId="1E074BC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注：质疑期限：</w:t>
      </w:r>
    </w:p>
    <w:p w14:paraId="7C16C28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①投标人认为招标文件的内容损害其权益的，应当在获取招标文件之日或者招标文件公告期届满之日起七个工作日内。（注：投标人获取招标文件之日早于招标文件公告期限届满之日的，则以投标人获取招标文件之日为质疑时效期间的起算日期；否则，以招标文件公告期限届满之日为质疑时效期间的起算日期）</w:t>
      </w:r>
    </w:p>
    <w:p w14:paraId="0863E45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②投标人认为采购过程损害其权益的，应在各采购程序环节结束之日起七个工作日内。</w:t>
      </w:r>
    </w:p>
    <w:p w14:paraId="4ACDFEE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③投标人认为中标结果损害其权益的，应在中标结果公告期限届满之日起七个工作日内。</w:t>
      </w:r>
    </w:p>
    <w:p w14:paraId="47D817C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投标人可以委托代理人进行质疑。其授权委托书应当载明代理人的姓名或者名称、代理事项、具体权限、期限和相关事项。投标人为自然人的，应当由本人签字；投标人为法人或者其他组织的，应当由法定代表人、主要负责人签字或者盖章，并加盖公章。代理人提出质疑，应当提交投标人签署的授权委托书。</w:t>
      </w:r>
    </w:p>
    <w:p w14:paraId="451D91C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（3）投标人提出质疑应当提交质疑函和必要的证明材料（如材料中有外文资料应同时附上中文译本）。质疑函应当包括下列内容：</w:t>
      </w:r>
    </w:p>
    <w:p w14:paraId="6AEE226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 xml:space="preserve"> ①投标人的姓名或者名称、地址、邮编、联系人及联系电话；</w:t>
      </w:r>
    </w:p>
    <w:p w14:paraId="2641DF2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 xml:space="preserve"> ②质疑项目的名称、编号；</w:t>
      </w:r>
    </w:p>
    <w:p w14:paraId="7F99C12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 xml:space="preserve"> ③具体、明确的质疑事项和与质疑事项相关的请求；</w:t>
      </w:r>
    </w:p>
    <w:p w14:paraId="5613294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 xml:space="preserve"> ④事实依据；</w:t>
      </w:r>
    </w:p>
    <w:p w14:paraId="559E236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 xml:space="preserve"> ⑤必要的法律依据；</w:t>
      </w:r>
    </w:p>
    <w:p w14:paraId="31937D5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 xml:space="preserve"> ⑥提出质疑的日期。</w:t>
      </w:r>
    </w:p>
    <w:p w14:paraId="572773F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质疑书实行实名制，投标人为自然人的，应当由本人签字；投标人为法人或者其他组织的，应当由法定代表人、主要负责人 ，或者其授权代表签字或者盖章。</w:t>
      </w:r>
    </w:p>
    <w:p w14:paraId="2934FB5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注：《政府采购投标人质疑函范本》详见中国政府采购网（</w:t>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"http://www.ccgp.gov.cn/"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sz w:val="24"/>
          <w:highlight w:val="none"/>
        </w:rPr>
        <w:t>http://www.ccgp.gov.cn/</w:t>
      </w:r>
      <w:r>
        <w:rPr>
          <w:rFonts w:hint="eastAsia" w:ascii="宋体" w:hAnsi="宋体" w:eastAsia="宋体" w:cs="宋体"/>
          <w:b w:val="0"/>
          <w:bCs w:val="0"/>
          <w:color w:val="auto"/>
          <w:sz w:val="24"/>
          <w:highlight w:val="none"/>
        </w:rPr>
        <w:fldChar w:fldCharType="end"/>
      </w:r>
      <w:r>
        <w:rPr>
          <w:rFonts w:hint="eastAsia" w:ascii="宋体" w:hAnsi="宋体" w:eastAsia="宋体" w:cs="宋体"/>
          <w:b w:val="0"/>
          <w:bCs w:val="0"/>
          <w:color w:val="auto"/>
          <w:sz w:val="24"/>
          <w:highlight w:val="none"/>
        </w:rPr>
        <w:t>）</w:t>
      </w:r>
    </w:p>
    <w:p w14:paraId="076B6A6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投标人提出质疑时，被质疑人应配合质疑处理部门的调查、处理工作，根据需要对举证材料须给予书面澄清回复和接受质询，其投标文件可公开的内容须接受任何形式的审查核实。</w:t>
      </w:r>
    </w:p>
    <w:p w14:paraId="50E63743">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highlight w:val="none"/>
        </w:rPr>
        <w:t>（4）</w:t>
      </w:r>
      <w:r>
        <w:rPr>
          <w:rFonts w:hint="eastAsia" w:ascii="宋体" w:hAnsi="宋体" w:eastAsia="宋体" w:cs="宋体"/>
          <w:b w:val="0"/>
          <w:bCs w:val="0"/>
          <w:color w:val="auto"/>
          <w:sz w:val="24"/>
          <w:szCs w:val="24"/>
          <w:highlight w:val="none"/>
        </w:rPr>
        <w:t>以联合体形式参加政府采购活动的，其质疑应当由组成联合体的所有投标人共同提出。</w:t>
      </w:r>
    </w:p>
    <w:p w14:paraId="5E8D83EA">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highlight w:val="none"/>
        </w:rPr>
        <w:t>（5）</w:t>
      </w:r>
      <w:r>
        <w:rPr>
          <w:rFonts w:hint="eastAsia" w:ascii="宋体" w:hAnsi="宋体" w:eastAsia="宋体" w:cs="宋体"/>
          <w:b w:val="0"/>
          <w:bCs w:val="0"/>
          <w:color w:val="auto"/>
          <w:sz w:val="24"/>
          <w:szCs w:val="24"/>
          <w:highlight w:val="none"/>
        </w:rPr>
        <w:t>投标人捏造事实、提供虚假材料或者以非法手段取得证明材料不能作为质疑的证明材料。</w:t>
      </w:r>
    </w:p>
    <w:p w14:paraId="5C9ED133">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highlight w:val="none"/>
        </w:rPr>
        <w:t>（6）</w:t>
      </w:r>
      <w:r>
        <w:rPr>
          <w:rFonts w:hint="eastAsia" w:ascii="宋体" w:hAnsi="宋体" w:eastAsia="宋体" w:cs="宋体"/>
          <w:b w:val="0"/>
          <w:bCs w:val="0"/>
          <w:color w:val="auto"/>
          <w:sz w:val="24"/>
          <w:szCs w:val="24"/>
          <w:highlight w:val="none"/>
        </w:rPr>
        <w:t>采购人或者采购代理机构在收到质疑函后7个工作日内作出答复，并以书面形式通知质疑投标人和其他有关投标人，但答复内容不涉及商业秘密。</w:t>
      </w:r>
    </w:p>
    <w:p w14:paraId="0B7F61D6">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highlight w:val="none"/>
        </w:rPr>
        <w:t>（7）</w:t>
      </w:r>
      <w:r>
        <w:rPr>
          <w:rFonts w:hint="eastAsia" w:ascii="宋体" w:hAnsi="宋体" w:eastAsia="宋体" w:cs="宋体"/>
          <w:b w:val="0"/>
          <w:bCs w:val="0"/>
          <w:color w:val="auto"/>
          <w:sz w:val="24"/>
          <w:szCs w:val="24"/>
          <w:highlight w:val="none"/>
        </w:rPr>
        <w:t>询问、质疑的期间开始之日，不计算在期间内。期间届满的最后一日是节假日的，以节假日后的第一日为期间届满的日期。</w:t>
      </w:r>
    </w:p>
    <w:p w14:paraId="6E835106">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highlight w:val="none"/>
        </w:rPr>
        <w:t>（8）</w:t>
      </w:r>
      <w:r>
        <w:rPr>
          <w:rFonts w:hint="eastAsia" w:ascii="宋体" w:hAnsi="宋体" w:eastAsia="宋体" w:cs="宋体"/>
          <w:b w:val="0"/>
          <w:bCs w:val="0"/>
          <w:color w:val="auto"/>
          <w:sz w:val="24"/>
          <w:szCs w:val="24"/>
          <w:highlight w:val="none"/>
        </w:rPr>
        <w:t>对于捏造事实、滥用维权扰乱采购秩序的恶意质疑者或举证不全查无实据被驳回次数在一年内达三次以上，将纳入不良行为记录名单并承担相应的法律责任。</w:t>
      </w:r>
    </w:p>
    <w:p w14:paraId="542E9B07">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highlight w:val="none"/>
        </w:rPr>
        <w:t>（9）</w:t>
      </w:r>
      <w:r>
        <w:rPr>
          <w:rFonts w:hint="eastAsia" w:ascii="宋体" w:hAnsi="宋体" w:eastAsia="宋体" w:cs="宋体"/>
          <w:b w:val="0"/>
          <w:bCs w:val="0"/>
          <w:color w:val="auto"/>
          <w:sz w:val="24"/>
          <w:szCs w:val="24"/>
          <w:highlight w:val="none"/>
        </w:rPr>
        <w:t>采购代理机构接收质疑函的联系部门、联系电话和通讯地址等信息详见第一章通讯联系人、电话及地址。</w:t>
      </w:r>
    </w:p>
    <w:p w14:paraId="4D29CFA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（10）采购人、采购代理机构应当在收到投标人的书面质疑后七个工作日内作出答复，并以书面形式通知质疑投标人和其他有关投标人，但答复的内容不涉及商业秘密。</w:t>
      </w:r>
    </w:p>
    <w:p w14:paraId="7E39855A">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注：详细内容可查看《中华人民共和国财政部令第94号－－政府采购质疑和投诉办法》</w:t>
      </w:r>
    </w:p>
    <w:p w14:paraId="59E23638">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8.1.2.2</w:t>
      </w:r>
      <w:r>
        <w:rPr>
          <w:rFonts w:hint="eastAsia" w:ascii="宋体" w:hAnsi="宋体" w:eastAsia="宋体" w:cs="宋体"/>
          <w:b w:val="0"/>
          <w:bCs w:val="0"/>
          <w:color w:val="auto"/>
          <w:sz w:val="24"/>
          <w:szCs w:val="24"/>
          <w:highlight w:val="none"/>
        </w:rPr>
        <w:t>质疑处理</w:t>
      </w:r>
    </w:p>
    <w:p w14:paraId="128FE12D">
      <w:pPr>
        <w:keepNext w:val="0"/>
        <w:keepLines w:val="0"/>
        <w:pageBreakBefore w:val="0"/>
        <w:widowControl w:val="0"/>
        <w:tabs>
          <w:tab w:val="left" w:pos="7899"/>
        </w:tabs>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（1）采购人、采购代理机构认为投标人质疑不成立，或者成立但未对中标结果构成影响的，继续开展采购活动；认为投标人质疑成立且影响或者可能影响中标结果的，按照下列情况处理：</w:t>
      </w:r>
    </w:p>
    <w:p w14:paraId="3B11B0EA">
      <w:pPr>
        <w:keepNext w:val="0"/>
        <w:keepLines w:val="0"/>
        <w:pageBreakBefore w:val="0"/>
        <w:widowControl w:val="0"/>
        <w:tabs>
          <w:tab w:val="left" w:pos="7899"/>
        </w:tabs>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①对招标文件提出的质疑，依法通过澄清或者修改可以继续开展采购活动的，澄清或者修改招标文件后继续开展采购活动；否则应当修改招标文件后重新开展采购活动。</w:t>
      </w:r>
    </w:p>
    <w:p w14:paraId="6E26787B">
      <w:pPr>
        <w:keepNext w:val="0"/>
        <w:keepLines w:val="0"/>
        <w:pageBreakBefore w:val="0"/>
        <w:widowControl w:val="0"/>
        <w:tabs>
          <w:tab w:val="left" w:pos="7899"/>
        </w:tabs>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②对采购过程、中标结果提出的质疑，合格投标人符合法定数量时，可以从合格的中标候选人中另行确定中标人的，应当依法另行确定中标人；否则应当重新开展采购活动。</w:t>
      </w:r>
    </w:p>
    <w:p w14:paraId="40E7A79C">
      <w:pPr>
        <w:keepNext w:val="0"/>
        <w:keepLines w:val="0"/>
        <w:pageBreakBefore w:val="0"/>
        <w:widowControl w:val="0"/>
        <w:tabs>
          <w:tab w:val="left" w:pos="7899"/>
        </w:tabs>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（2）质疑答复导致中标结果改变的，采购人或者采购代理机构应当将有关情况书面报告本级财政部门。</w:t>
      </w:r>
    </w:p>
    <w:p w14:paraId="6BFA2C2E">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8.1.3</w:t>
      </w:r>
      <w:r>
        <w:rPr>
          <w:rFonts w:hint="eastAsia" w:ascii="宋体" w:hAnsi="宋体" w:eastAsia="宋体" w:cs="宋体"/>
          <w:b w:val="0"/>
          <w:bCs w:val="0"/>
          <w:color w:val="auto"/>
          <w:sz w:val="24"/>
          <w:szCs w:val="24"/>
          <w:highlight w:val="none"/>
        </w:rPr>
        <w:t>投诉</w:t>
      </w:r>
    </w:p>
    <w:p w14:paraId="379C47B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投诉必须首先经过质疑程序。质疑投标人对采购人、采购代理机构的答复不满意，或者采购人、采购代理机构未在规定的时间内作出答复的，可以在答复期满后十五个工作日内书面向政府采购监督管理部门投诉。</w:t>
      </w:r>
    </w:p>
    <w:p w14:paraId="713FF58F">
      <w:pPr>
        <w:pStyle w:val="12"/>
        <w:pageBreakBefore w:val="0"/>
        <w:kinsoku/>
        <w:overflowPunct/>
        <w:bidi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8.2</w:t>
      </w:r>
      <w:r>
        <w:rPr>
          <w:rFonts w:hint="eastAsia" w:ascii="宋体" w:hAnsi="宋体" w:eastAsia="宋体" w:cs="宋体"/>
          <w:b/>
          <w:bCs/>
          <w:color w:val="auto"/>
          <w:sz w:val="24"/>
          <w:szCs w:val="24"/>
          <w:highlight w:val="none"/>
        </w:rPr>
        <w:t>纪律要求</w:t>
      </w:r>
    </w:p>
    <w:p w14:paraId="4F4770FB">
      <w:pPr>
        <w:pageBreakBefore w:val="0"/>
        <w:kinsoku/>
        <w:overflowPunct/>
        <w:bidi w:val="0"/>
        <w:spacing w:line="360" w:lineRule="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8.2.1</w:t>
      </w:r>
      <w:r>
        <w:rPr>
          <w:rFonts w:hint="eastAsia" w:ascii="宋体" w:hAnsi="宋体" w:eastAsia="宋体" w:cs="宋体"/>
          <w:b w:val="0"/>
          <w:bCs/>
          <w:color w:val="auto"/>
          <w:sz w:val="24"/>
          <w:highlight w:val="none"/>
        </w:rPr>
        <w:t>对采购人的纪律要求</w:t>
      </w:r>
    </w:p>
    <w:p w14:paraId="31D3C912">
      <w:pPr>
        <w:pageBreakBefore w:val="0"/>
        <w:tabs>
          <w:tab w:val="left" w:pos="7899"/>
        </w:tabs>
        <w:kinsoku/>
        <w:overflowPunct/>
        <w:bidi w:val="0"/>
        <w:spacing w:line="360" w:lineRule="auto"/>
        <w:ind w:firstLine="472" w:firstLineChars="197"/>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采购人不得泄露公开招标采购活动中应当保密的情况和资料，不得与投标人串通损害国家利益、社会公共利益或者他人合法权益。</w:t>
      </w:r>
    </w:p>
    <w:p w14:paraId="63500BD2">
      <w:pPr>
        <w:pageBreakBefore w:val="0"/>
        <w:kinsoku/>
        <w:overflowPunct/>
        <w:bidi w:val="0"/>
        <w:spacing w:line="360" w:lineRule="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8.2.2</w:t>
      </w:r>
      <w:r>
        <w:rPr>
          <w:rFonts w:hint="eastAsia" w:ascii="宋体" w:hAnsi="宋体" w:eastAsia="宋体" w:cs="宋体"/>
          <w:b w:val="0"/>
          <w:bCs/>
          <w:color w:val="auto"/>
          <w:sz w:val="24"/>
          <w:highlight w:val="none"/>
        </w:rPr>
        <w:t>对投标人的纪律要求</w:t>
      </w:r>
    </w:p>
    <w:p w14:paraId="147D1745">
      <w:pPr>
        <w:pageBreakBefore w:val="0"/>
        <w:tabs>
          <w:tab w:val="left" w:pos="7899"/>
        </w:tabs>
        <w:kinsoku/>
        <w:overflowPunct/>
        <w:bidi w:val="0"/>
        <w:spacing w:line="360" w:lineRule="auto"/>
        <w:ind w:firstLine="472" w:firstLineChars="197"/>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投标人不得相互串通或者与采购人串通，不得向采购人或者评标委员会成员行贿谋取中标，不得以他人名义参加公开招标采购活动或者以其他方式弄虚作假骗取中标；投标人不得以任何方式干扰、影响评审工作。</w:t>
      </w:r>
    </w:p>
    <w:p w14:paraId="0883E793">
      <w:pPr>
        <w:pageBreakBefore w:val="0"/>
        <w:kinsoku/>
        <w:overflowPunct/>
        <w:bidi w:val="0"/>
        <w:spacing w:line="360" w:lineRule="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8.2.3</w:t>
      </w:r>
      <w:r>
        <w:rPr>
          <w:rFonts w:hint="eastAsia" w:ascii="宋体" w:hAnsi="宋体" w:eastAsia="宋体" w:cs="宋体"/>
          <w:b w:val="0"/>
          <w:bCs/>
          <w:color w:val="auto"/>
          <w:sz w:val="24"/>
          <w:highlight w:val="none"/>
        </w:rPr>
        <w:t>对评标委员会成员的纪律要求</w:t>
      </w:r>
    </w:p>
    <w:p w14:paraId="26CA008E">
      <w:pPr>
        <w:pageBreakBefore w:val="0"/>
        <w:tabs>
          <w:tab w:val="left" w:pos="7899"/>
        </w:tabs>
        <w:kinsoku/>
        <w:overflowPunct/>
        <w:bidi w:val="0"/>
        <w:spacing w:line="360" w:lineRule="auto"/>
        <w:ind w:firstLine="472" w:firstLineChars="197"/>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评标委员会成员不得收受他人的财物或者其他好处，不得向他人透露对投标文件的评审和比较、候选中标投标人的推荐情况、评审中获悉的商业秘密以及评审有关的其他情况。在开标活动中，评标委员会成员应当客观、公正地履行职责，遵守职业道德，不得擅离职守、影响会议工作正常进行，不得使用第</w:t>
      </w:r>
      <w:r>
        <w:rPr>
          <w:rFonts w:hint="eastAsia" w:ascii="宋体" w:hAnsi="宋体" w:eastAsia="宋体" w:cs="宋体"/>
          <w:b w:val="0"/>
          <w:bCs/>
          <w:color w:val="auto"/>
          <w:sz w:val="24"/>
          <w:highlight w:val="none"/>
          <w:lang w:val="en-US" w:eastAsia="zh-CN"/>
        </w:rPr>
        <w:t>五</w:t>
      </w:r>
      <w:r>
        <w:rPr>
          <w:rFonts w:hint="eastAsia" w:ascii="宋体" w:hAnsi="宋体" w:eastAsia="宋体" w:cs="宋体"/>
          <w:b w:val="0"/>
          <w:bCs/>
          <w:color w:val="auto"/>
          <w:sz w:val="24"/>
          <w:highlight w:val="none"/>
        </w:rPr>
        <w:t>章“评</w:t>
      </w:r>
      <w:r>
        <w:rPr>
          <w:rFonts w:hint="eastAsia" w:ascii="宋体" w:hAnsi="宋体" w:eastAsia="宋体" w:cs="宋体"/>
          <w:b w:val="0"/>
          <w:bCs/>
          <w:color w:val="auto"/>
          <w:sz w:val="24"/>
          <w:highlight w:val="none"/>
          <w:lang w:val="en-US" w:eastAsia="zh-CN"/>
        </w:rPr>
        <w:t>标方</w:t>
      </w:r>
      <w:r>
        <w:rPr>
          <w:rFonts w:hint="eastAsia" w:ascii="宋体" w:hAnsi="宋体" w:eastAsia="宋体" w:cs="宋体"/>
          <w:b w:val="0"/>
          <w:bCs/>
          <w:color w:val="auto"/>
          <w:sz w:val="24"/>
          <w:highlight w:val="none"/>
        </w:rPr>
        <w:t>法”没有规定的评审因素和标准进行评审。</w:t>
      </w:r>
    </w:p>
    <w:p w14:paraId="6E170EF6">
      <w:pPr>
        <w:pageBreakBefore w:val="0"/>
        <w:kinsoku/>
        <w:overflowPunct/>
        <w:bidi w:val="0"/>
        <w:spacing w:line="360" w:lineRule="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8.2.4</w:t>
      </w:r>
      <w:r>
        <w:rPr>
          <w:rFonts w:hint="eastAsia" w:ascii="宋体" w:hAnsi="宋体" w:eastAsia="宋体" w:cs="宋体"/>
          <w:b w:val="0"/>
          <w:bCs/>
          <w:color w:val="auto"/>
          <w:sz w:val="24"/>
          <w:highlight w:val="none"/>
        </w:rPr>
        <w:t>对与</w:t>
      </w:r>
      <w:r>
        <w:rPr>
          <w:rFonts w:hint="eastAsia" w:ascii="宋体" w:hAnsi="宋体" w:eastAsia="宋体" w:cs="宋体"/>
          <w:b w:val="0"/>
          <w:bCs/>
          <w:color w:val="auto"/>
          <w:sz w:val="24"/>
          <w:highlight w:val="none"/>
          <w:lang w:val="en-US" w:eastAsia="zh-CN"/>
        </w:rPr>
        <w:t>采购</w:t>
      </w:r>
      <w:r>
        <w:rPr>
          <w:rFonts w:hint="eastAsia" w:ascii="宋体" w:hAnsi="宋体" w:eastAsia="宋体" w:cs="宋体"/>
          <w:b w:val="0"/>
          <w:bCs/>
          <w:color w:val="auto"/>
          <w:sz w:val="24"/>
          <w:highlight w:val="none"/>
        </w:rPr>
        <w:t>活动有关的工作人员的纪律要求</w:t>
      </w:r>
    </w:p>
    <w:p w14:paraId="60A1260D">
      <w:pPr>
        <w:keepLines w:val="0"/>
        <w:pageBreakBefore w:val="0"/>
        <w:kinsoku/>
        <w:wordWrap/>
        <w:overflowPunct/>
        <w:topLinePunct w:val="0"/>
        <w:autoSpaceDE/>
        <w:autoSpaceDN/>
        <w:bidi w:val="0"/>
        <w:snapToGrid/>
        <w:spacing w:line="360" w:lineRule="auto"/>
        <w:ind w:left="0" w:leftChars="0" w:right="0" w:rightChars="0" w:firstLine="480" w:firstLineChars="200"/>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rPr>
        <w:t>与开</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评标</w:t>
      </w:r>
      <w:r>
        <w:rPr>
          <w:rFonts w:hint="eastAsia" w:ascii="宋体" w:hAnsi="宋体" w:eastAsia="宋体" w:cs="宋体"/>
          <w:b w:val="0"/>
          <w:bCs/>
          <w:color w:val="auto"/>
          <w:sz w:val="24"/>
          <w:highlight w:val="none"/>
        </w:rPr>
        <w:t>活动有关的工作人员不得收受他人的财物或者其他好处，不得向他人透露对投标文件的评审、候选中标投标人的推荐情况以及开标有关的其他情况。在开</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评标</w:t>
      </w:r>
      <w:r>
        <w:rPr>
          <w:rFonts w:hint="eastAsia" w:ascii="宋体" w:hAnsi="宋体" w:eastAsia="宋体" w:cs="宋体"/>
          <w:b w:val="0"/>
          <w:bCs/>
          <w:color w:val="auto"/>
          <w:sz w:val="24"/>
          <w:highlight w:val="none"/>
        </w:rPr>
        <w:t>活动中，与开</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评标</w:t>
      </w:r>
      <w:r>
        <w:rPr>
          <w:rFonts w:hint="eastAsia" w:ascii="宋体" w:hAnsi="宋体" w:eastAsia="宋体" w:cs="宋体"/>
          <w:b w:val="0"/>
          <w:bCs/>
          <w:color w:val="auto"/>
          <w:sz w:val="24"/>
          <w:highlight w:val="none"/>
        </w:rPr>
        <w:t>活动有关的工作人员不得擅离职守，影响开</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评标</w:t>
      </w:r>
      <w:r>
        <w:rPr>
          <w:rFonts w:hint="eastAsia" w:ascii="宋体" w:hAnsi="宋体" w:eastAsia="宋体" w:cs="宋体"/>
          <w:b w:val="0"/>
          <w:bCs/>
          <w:color w:val="auto"/>
          <w:sz w:val="24"/>
          <w:highlight w:val="none"/>
        </w:rPr>
        <w:t>工作正常进行</w:t>
      </w:r>
      <w:r>
        <w:rPr>
          <w:rFonts w:hint="eastAsia" w:ascii="宋体" w:hAnsi="宋体" w:eastAsia="宋体" w:cs="宋体"/>
          <w:b w:val="0"/>
          <w:bCs/>
          <w:color w:val="auto"/>
          <w:sz w:val="24"/>
          <w:highlight w:val="none"/>
          <w:lang w:eastAsia="zh-CN"/>
        </w:rPr>
        <w:t>。</w:t>
      </w:r>
    </w:p>
    <w:p w14:paraId="625122CF">
      <w:pPr>
        <w:pStyle w:val="12"/>
        <w:pageBreakBefore w:val="0"/>
        <w:kinsoku/>
        <w:overflowPunct/>
        <w:bidi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8.3</w:t>
      </w:r>
      <w:r>
        <w:rPr>
          <w:rFonts w:hint="eastAsia" w:ascii="宋体" w:hAnsi="宋体" w:eastAsia="宋体" w:cs="宋体"/>
          <w:b/>
          <w:bCs/>
          <w:color w:val="auto"/>
          <w:sz w:val="24"/>
          <w:szCs w:val="24"/>
          <w:highlight w:val="none"/>
        </w:rPr>
        <w:t>解释权</w:t>
      </w:r>
    </w:p>
    <w:p w14:paraId="4C6CC86A">
      <w:pPr>
        <w:keepLines w:val="0"/>
        <w:pageBreakBefore w:val="0"/>
        <w:kinsoku/>
        <w:wordWrap/>
        <w:overflowPunct/>
        <w:topLinePunct w:val="0"/>
        <w:autoSpaceDE/>
        <w:autoSpaceDN/>
        <w:bidi w:val="0"/>
        <w:snapToGrid/>
        <w:spacing w:line="360" w:lineRule="auto"/>
        <w:ind w:left="0" w:leftChars="0" w:right="0" w:rightChars="0" w:firstLine="480" w:firstLineChars="200"/>
        <w:rPr>
          <w:rFonts w:hint="eastAsia" w:ascii="宋体" w:hAnsi="宋体" w:eastAsia="宋体" w:cs="宋体"/>
          <w:b w:val="0"/>
          <w:bCs/>
          <w:color w:val="auto"/>
          <w:sz w:val="24"/>
          <w:highlight w:val="none"/>
          <w:lang w:eastAsia="zh-CN"/>
        </w:rPr>
      </w:pPr>
      <w:r>
        <w:rPr>
          <w:rFonts w:hint="eastAsia" w:ascii="宋体" w:hAnsi="宋体" w:eastAsia="宋体" w:cs="宋体"/>
          <w:color w:val="auto"/>
          <w:sz w:val="24"/>
          <w:szCs w:val="24"/>
          <w:highlight w:val="none"/>
        </w:rPr>
        <w:t>本招标文件是根据《中华人民共和国政府采购法》及相关法律法规编制，解释权</w:t>
      </w:r>
      <w:r>
        <w:rPr>
          <w:rFonts w:hint="eastAsia" w:ascii="宋体" w:hAnsi="宋体" w:eastAsia="宋体" w:cs="宋体"/>
          <w:b w:val="0"/>
          <w:bCs/>
          <w:color w:val="auto"/>
          <w:sz w:val="24"/>
          <w:highlight w:val="none"/>
        </w:rPr>
        <w:t>属采购代理机构</w:t>
      </w:r>
      <w:r>
        <w:rPr>
          <w:rFonts w:hint="eastAsia" w:ascii="宋体" w:hAnsi="宋体" w:eastAsia="宋体" w:cs="宋体"/>
          <w:b w:val="0"/>
          <w:bCs/>
          <w:color w:val="auto"/>
          <w:sz w:val="24"/>
          <w:highlight w:val="none"/>
          <w:lang w:eastAsia="zh-CN"/>
        </w:rPr>
        <w:t>。</w:t>
      </w:r>
    </w:p>
    <w:p w14:paraId="6B54B0A5">
      <w:pPr>
        <w:pageBreakBefore w:val="0"/>
        <w:kinsoku/>
        <w:overflowPunct/>
        <w:bidi w:val="0"/>
        <w:spacing w:line="360" w:lineRule="auto"/>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br w:type="page"/>
      </w:r>
    </w:p>
    <w:p w14:paraId="4241FBCC">
      <w:pPr>
        <w:pStyle w:val="5"/>
        <w:pageBreakBefore w:val="0"/>
        <w:kinsoku/>
        <w:overflowPunct/>
        <w:bidi w:val="0"/>
        <w:spacing w:after="0" w:line="360" w:lineRule="auto"/>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附表 1：问题澄清通知</w:t>
      </w:r>
    </w:p>
    <w:p w14:paraId="62396BF0">
      <w:pPr>
        <w:pStyle w:val="5"/>
        <w:pageBreakBefore w:val="0"/>
        <w:kinsoku/>
        <w:overflowPunct/>
        <w:bidi w:val="0"/>
        <w:spacing w:after="0" w:line="360" w:lineRule="auto"/>
        <w:jc w:val="center"/>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问题澄清通知</w:t>
      </w:r>
    </w:p>
    <w:p w14:paraId="2CC4BB70">
      <w:pPr>
        <w:pStyle w:val="5"/>
        <w:pageBreakBefore w:val="0"/>
        <w:kinsoku/>
        <w:overflowPunct/>
        <w:bidi w:val="0"/>
        <w:spacing w:after="0" w:line="360" w:lineRule="auto"/>
        <w:jc w:val="center"/>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项目编号：</w:t>
      </w:r>
    </w:p>
    <w:p w14:paraId="7B59C190">
      <w:pPr>
        <w:pageBreakBefore w:val="0"/>
        <w:kinsoku/>
        <w:overflow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（投标供应商名称）：</w:t>
      </w:r>
    </w:p>
    <w:p w14:paraId="04E898C4">
      <w:pPr>
        <w:pageBreakBefore w:val="0"/>
        <w:kinsoku/>
        <w:overflowPunct/>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（项目名称）采购的评标委员会，对你方的投标文件进行了仔细的审查，现需你方对下列问题以</w:t>
      </w:r>
      <w:r>
        <w:rPr>
          <w:rFonts w:hint="eastAsia" w:ascii="宋体" w:hAnsi="宋体" w:eastAsia="宋体" w:cs="宋体"/>
          <w:color w:val="auto"/>
          <w:sz w:val="24"/>
          <w:szCs w:val="24"/>
          <w:highlight w:val="none"/>
          <w:lang w:eastAsia="zh-CN"/>
        </w:rPr>
        <w:t>书面形式</w:t>
      </w:r>
      <w:r>
        <w:rPr>
          <w:rFonts w:hint="eastAsia" w:ascii="宋体" w:hAnsi="宋体" w:eastAsia="宋体" w:cs="宋体"/>
          <w:color w:val="auto"/>
          <w:sz w:val="24"/>
          <w:szCs w:val="24"/>
          <w:highlight w:val="none"/>
        </w:rPr>
        <w:t xml:space="preserve">予以澄清： </w:t>
      </w:r>
    </w:p>
    <w:p w14:paraId="6DFB42BB">
      <w:pPr>
        <w:pageBreakBefore w:val="0"/>
        <w:kinsoku/>
        <w:overflowPunct/>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w:t>
      </w:r>
    </w:p>
    <w:p w14:paraId="6B9B0E9E">
      <w:pPr>
        <w:pageBreakBefore w:val="0"/>
        <w:kinsoku/>
        <w:overflowPunct/>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 </w:t>
      </w:r>
    </w:p>
    <w:p w14:paraId="70F73CB1">
      <w:pPr>
        <w:pageBreakBefore w:val="0"/>
        <w:kinsoku/>
        <w:overflowPunct/>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6B53276">
      <w:pPr>
        <w:pageBreakBefore w:val="0"/>
        <w:kinsoku/>
        <w:overflowPunct/>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请将上述问题的澄清于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时前递交至（详细地址）或</w:t>
      </w:r>
      <w:r>
        <w:rPr>
          <w:rFonts w:hint="eastAsia" w:ascii="宋体" w:hAnsi="宋体" w:eastAsia="宋体" w:cs="宋体"/>
          <w:color w:val="auto"/>
          <w:sz w:val="24"/>
          <w:szCs w:val="24"/>
          <w:highlight w:val="none"/>
          <w:lang w:eastAsia="zh-CN"/>
        </w:rPr>
        <w:t>发送至</w:t>
      </w:r>
      <w:r>
        <w:rPr>
          <w:rFonts w:hint="eastAsia" w:ascii="宋体" w:hAnsi="宋体" w:eastAsia="宋体" w:cs="宋体"/>
          <w:color w:val="auto"/>
          <w:sz w:val="24"/>
          <w:szCs w:val="24"/>
          <w:highlight w:val="none"/>
        </w:rPr>
        <w:t>（邮箱号码）。采用邮件方式的，应在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时前将原件递交至（详细地址）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0CEF8B9A">
      <w:pPr>
        <w:pStyle w:val="5"/>
        <w:pageBreakBefore w:val="0"/>
        <w:kinsoku/>
        <w:overflowPunct/>
        <w:bidi w:val="0"/>
        <w:spacing w:line="360" w:lineRule="auto"/>
        <w:rPr>
          <w:rFonts w:hint="eastAsia" w:ascii="宋体" w:hAnsi="宋体" w:eastAsia="宋体" w:cs="宋体"/>
          <w:color w:val="auto"/>
          <w:highlight w:val="none"/>
        </w:rPr>
      </w:pPr>
    </w:p>
    <w:p w14:paraId="56F82AB1">
      <w:pPr>
        <w:pageBreakBefore w:val="0"/>
        <w:kinsoku/>
        <w:overflowPunct/>
        <w:bidi w:val="0"/>
        <w:spacing w:line="360" w:lineRule="auto"/>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评标人工作组负责人：（签字）</w:t>
      </w:r>
    </w:p>
    <w:p w14:paraId="6EEB80A6">
      <w:pPr>
        <w:pStyle w:val="5"/>
        <w:pageBreakBefore w:val="0"/>
        <w:kinsoku/>
        <w:overflowPunct/>
        <w:bidi w:val="0"/>
        <w:spacing w:line="360" w:lineRule="auto"/>
        <w:rPr>
          <w:rFonts w:hint="eastAsia" w:ascii="宋体" w:hAnsi="宋体" w:eastAsia="宋体" w:cs="宋体"/>
          <w:color w:val="auto"/>
          <w:highlight w:val="none"/>
        </w:rPr>
      </w:pPr>
    </w:p>
    <w:p w14:paraId="47295AA0">
      <w:pPr>
        <w:pageBreakBefore w:val="0"/>
        <w:kinsoku/>
        <w:overflowPunct/>
        <w:bidi w:val="0"/>
        <w:spacing w:line="360" w:lineRule="auto"/>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3D20323E">
      <w:pPr>
        <w:pageBreakBefore w:val="0"/>
        <w:kinsoku/>
        <w:overflowPunct/>
        <w:bidi w:val="0"/>
        <w:spacing w:line="360" w:lineRule="auto"/>
        <w:ind w:firstLine="480" w:firstLineChars="200"/>
        <w:jc w:val="right"/>
        <w:rPr>
          <w:rFonts w:hint="eastAsia" w:ascii="宋体" w:hAnsi="宋体" w:eastAsia="宋体" w:cs="宋体"/>
          <w:color w:val="auto"/>
          <w:sz w:val="24"/>
          <w:szCs w:val="24"/>
          <w:highlight w:val="none"/>
        </w:rPr>
      </w:pPr>
    </w:p>
    <w:p w14:paraId="07F3545A">
      <w:pPr>
        <w:pStyle w:val="5"/>
        <w:pageBreakBefore w:val="0"/>
        <w:kinsoku/>
        <w:overflowPunct/>
        <w:bidi w:val="0"/>
        <w:spacing w:after="0" w:line="360" w:lineRule="auto"/>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附表 2：问题澄清函</w:t>
      </w:r>
    </w:p>
    <w:p w14:paraId="729C1F22">
      <w:pPr>
        <w:pStyle w:val="5"/>
        <w:pageBreakBefore w:val="0"/>
        <w:kinsoku/>
        <w:overflowPunct/>
        <w:bidi w:val="0"/>
        <w:spacing w:after="0" w:line="360" w:lineRule="auto"/>
        <w:jc w:val="center"/>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问题澄清函</w:t>
      </w:r>
    </w:p>
    <w:p w14:paraId="06D5DCAB">
      <w:pPr>
        <w:pStyle w:val="5"/>
        <w:pageBreakBefore w:val="0"/>
        <w:kinsoku/>
        <w:overflowPunct/>
        <w:bidi w:val="0"/>
        <w:spacing w:after="0" w:line="360" w:lineRule="auto"/>
        <w:jc w:val="center"/>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项目编号：</w:t>
      </w:r>
    </w:p>
    <w:p w14:paraId="75C935FE">
      <w:pPr>
        <w:pStyle w:val="5"/>
        <w:pageBreakBefore w:val="0"/>
        <w:kinsoku/>
        <w:overflowPunct/>
        <w:bidi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（项目名称）采购评标委员会：</w:t>
      </w:r>
    </w:p>
    <w:p w14:paraId="5D19E7A4">
      <w:pPr>
        <w:pStyle w:val="5"/>
        <w:pageBreakBefore w:val="0"/>
        <w:kinsoku/>
        <w:overflowPunct/>
        <w:bidi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问题澄清通知（编号：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）已收悉，现澄清如下：</w:t>
      </w:r>
    </w:p>
    <w:p w14:paraId="5BA91EED">
      <w:pPr>
        <w:pStyle w:val="5"/>
        <w:pageBreakBefore w:val="0"/>
        <w:kinsoku/>
        <w:overflowPunct/>
        <w:bidi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p w14:paraId="4C2467EB">
      <w:pPr>
        <w:pStyle w:val="5"/>
        <w:pageBreakBefore w:val="0"/>
        <w:kinsoku/>
        <w:overflowPunct/>
        <w:bidi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p w14:paraId="43F2EB33">
      <w:pPr>
        <w:pStyle w:val="5"/>
        <w:pageBreakBefore w:val="0"/>
        <w:kinsoku/>
        <w:overflowPunct/>
        <w:bidi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0DB9622">
      <w:pPr>
        <w:pStyle w:val="5"/>
        <w:pageBreakBefore w:val="0"/>
        <w:kinsoku/>
        <w:overflowPunct/>
        <w:bidi w:val="0"/>
        <w:spacing w:after="0" w:line="360" w:lineRule="auto"/>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 （全称）（盖章）</w:t>
      </w:r>
    </w:p>
    <w:p w14:paraId="59249CA3">
      <w:pPr>
        <w:pStyle w:val="5"/>
        <w:pageBreakBefore w:val="0"/>
        <w:kinsoku/>
        <w:overflowPunct/>
        <w:bidi w:val="0"/>
        <w:spacing w:after="0" w:line="360" w:lineRule="auto"/>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w:t>
      </w:r>
    </w:p>
    <w:p w14:paraId="5D3B0342">
      <w:pPr>
        <w:pStyle w:val="5"/>
        <w:pageBreakBefore w:val="0"/>
        <w:kinsoku/>
        <w:overflowPunct/>
        <w:bidi w:val="0"/>
        <w:spacing w:after="0" w:line="360" w:lineRule="auto"/>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59527445">
      <w:pPr>
        <w:keepLines w:val="0"/>
        <w:pageBreakBefore w:val="0"/>
        <w:kinsoku/>
        <w:wordWrap/>
        <w:overflowPunct/>
        <w:topLinePunct w:val="0"/>
        <w:autoSpaceDE/>
        <w:autoSpaceDN/>
        <w:bidi w:val="0"/>
        <w:snapToGrid/>
        <w:spacing w:line="360" w:lineRule="auto"/>
        <w:ind w:left="0" w:leftChars="0" w:right="0" w:rightChars="0" w:firstLine="480" w:firstLineChars="200"/>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lang w:eastAsia="zh-CN"/>
        </w:rPr>
        <w:br w:type="page"/>
      </w:r>
    </w:p>
    <w:p w14:paraId="42C28027">
      <w:pPr>
        <w:pStyle w:val="2"/>
        <w:pageBreakBefore w:val="0"/>
        <w:kinsoku/>
        <w:overflowPunct/>
        <w:bidi w:val="0"/>
        <w:spacing w:line="360" w:lineRule="auto"/>
        <w:jc w:val="center"/>
        <w:rPr>
          <w:rFonts w:hint="eastAsia" w:ascii="宋体" w:hAnsi="宋体" w:eastAsia="宋体" w:cs="宋体"/>
        </w:rPr>
      </w:pPr>
      <w:bookmarkStart w:id="97" w:name="_Toc7339"/>
      <w:bookmarkStart w:id="98" w:name="_Toc22021"/>
      <w:r>
        <w:rPr>
          <w:rFonts w:hint="eastAsia" w:ascii="宋体" w:hAnsi="宋体" w:eastAsia="宋体" w:cs="宋体"/>
          <w:lang w:val="en-US" w:eastAsia="zh-CN"/>
        </w:rPr>
        <w:t xml:space="preserve">第三章 </w:t>
      </w:r>
      <w:r>
        <w:rPr>
          <w:rFonts w:hint="eastAsia" w:ascii="宋体" w:hAnsi="宋体" w:eastAsia="宋体" w:cs="宋体"/>
        </w:rPr>
        <w:t>合同书样式及主要条款</w:t>
      </w:r>
      <w:r>
        <w:rPr>
          <w:rFonts w:hint="eastAsia" w:ascii="宋体" w:hAnsi="宋体" w:eastAsia="宋体" w:cs="宋体"/>
          <w:lang w:eastAsia="zh-CN"/>
        </w:rPr>
        <w:t>（</w:t>
      </w:r>
      <w:r>
        <w:rPr>
          <w:rFonts w:hint="eastAsia" w:ascii="宋体" w:hAnsi="宋体" w:eastAsia="宋体" w:cs="宋体"/>
          <w:lang w:val="en-US" w:eastAsia="zh-CN"/>
        </w:rPr>
        <w:t>草案</w:t>
      </w:r>
      <w:r>
        <w:rPr>
          <w:rFonts w:hint="eastAsia" w:ascii="宋体" w:hAnsi="宋体" w:eastAsia="宋体" w:cs="宋体"/>
          <w:lang w:eastAsia="zh-CN"/>
        </w:rPr>
        <w:t>）</w:t>
      </w:r>
      <w:bookmarkEnd w:id="97"/>
      <w:bookmarkEnd w:id="98"/>
    </w:p>
    <w:p w14:paraId="3CB8B701">
      <w:pPr>
        <w:pageBreakBefore w:val="0"/>
        <w:kinsoku/>
        <w:overflowPunct/>
        <w:bidi w:val="0"/>
        <w:spacing w:line="360" w:lineRule="auto"/>
        <w:jc w:val="center"/>
        <w:rPr>
          <w:rFonts w:hint="eastAsia" w:ascii="宋体" w:hAnsi="宋体" w:eastAsia="宋体" w:cs="宋体"/>
          <w:b/>
          <w:color w:val="auto"/>
          <w:sz w:val="44"/>
          <w:szCs w:val="44"/>
          <w:highlight w:val="none"/>
        </w:rPr>
      </w:pPr>
    </w:p>
    <w:p w14:paraId="5297C852">
      <w:pPr>
        <w:pageBreakBefore w:val="0"/>
        <w:kinsoku/>
        <w:overflowPunct/>
        <w:bidi w:val="0"/>
        <w:spacing w:line="360" w:lineRule="auto"/>
        <w:jc w:val="center"/>
        <w:rPr>
          <w:rFonts w:hint="eastAsia" w:ascii="宋体" w:hAnsi="宋体" w:eastAsia="宋体" w:cs="宋体"/>
          <w:b/>
          <w:bCs/>
          <w:color w:val="auto"/>
          <w:highlight w:val="none"/>
        </w:rPr>
      </w:pPr>
      <w:r>
        <w:rPr>
          <w:rFonts w:hint="eastAsia" w:ascii="宋体" w:hAnsi="宋体" w:eastAsia="宋体" w:cs="宋体"/>
          <w:b/>
          <w:bCs/>
          <w:color w:val="auto"/>
          <w:sz w:val="24"/>
          <w:szCs w:val="15"/>
          <w:highlight w:val="none"/>
          <w:lang w:eastAsia="zh-CN"/>
        </w:rPr>
        <w:t>（本合同书为参考格式，合同</w:t>
      </w:r>
      <w:r>
        <w:rPr>
          <w:rFonts w:hint="eastAsia" w:ascii="宋体" w:hAnsi="宋体" w:eastAsia="宋体" w:cs="宋体"/>
          <w:b/>
          <w:bCs/>
          <w:color w:val="auto"/>
          <w:sz w:val="24"/>
          <w:szCs w:val="15"/>
          <w:highlight w:val="none"/>
          <w:lang w:val="en-US" w:eastAsia="zh-CN"/>
        </w:rPr>
        <w:t>格</w:t>
      </w:r>
      <w:r>
        <w:rPr>
          <w:rFonts w:hint="eastAsia" w:ascii="宋体" w:hAnsi="宋体" w:eastAsia="宋体" w:cs="宋体"/>
          <w:b/>
          <w:bCs/>
          <w:color w:val="auto"/>
          <w:sz w:val="24"/>
          <w:szCs w:val="15"/>
          <w:highlight w:val="none"/>
          <w:lang w:eastAsia="zh-CN"/>
        </w:rPr>
        <w:t>式及主要条款具体以</w:t>
      </w:r>
      <w:r>
        <w:rPr>
          <w:rFonts w:hint="eastAsia" w:ascii="宋体" w:hAnsi="宋体" w:eastAsia="宋体" w:cs="宋体"/>
          <w:b/>
          <w:bCs/>
          <w:color w:val="auto"/>
          <w:sz w:val="24"/>
          <w:szCs w:val="15"/>
          <w:highlight w:val="none"/>
          <w:lang w:val="en-US" w:eastAsia="zh-CN"/>
        </w:rPr>
        <w:t>采购</w:t>
      </w:r>
      <w:r>
        <w:rPr>
          <w:rFonts w:hint="eastAsia" w:ascii="宋体" w:hAnsi="宋体" w:eastAsia="宋体" w:cs="宋体"/>
          <w:b/>
          <w:bCs/>
          <w:color w:val="auto"/>
          <w:sz w:val="24"/>
          <w:szCs w:val="15"/>
          <w:highlight w:val="none"/>
          <w:lang w:eastAsia="zh-CN"/>
        </w:rPr>
        <w:t>人与</w:t>
      </w:r>
      <w:r>
        <w:rPr>
          <w:rFonts w:hint="eastAsia" w:ascii="宋体" w:hAnsi="宋体" w:eastAsia="宋体" w:cs="宋体"/>
          <w:b/>
          <w:bCs/>
          <w:color w:val="auto"/>
          <w:sz w:val="24"/>
          <w:szCs w:val="15"/>
          <w:highlight w:val="none"/>
          <w:lang w:val="en-US" w:eastAsia="zh-CN"/>
        </w:rPr>
        <w:t>中标</w:t>
      </w:r>
      <w:r>
        <w:rPr>
          <w:rFonts w:hint="eastAsia" w:ascii="宋体" w:hAnsi="宋体" w:eastAsia="宋体" w:cs="宋体"/>
          <w:b/>
          <w:bCs/>
          <w:color w:val="auto"/>
          <w:sz w:val="24"/>
          <w:szCs w:val="15"/>
          <w:highlight w:val="none"/>
          <w:lang w:eastAsia="zh-CN"/>
        </w:rPr>
        <w:t>人双方按</w:t>
      </w:r>
      <w:r>
        <w:rPr>
          <w:rFonts w:hint="eastAsia" w:ascii="宋体" w:hAnsi="宋体" w:eastAsia="宋体" w:cs="宋体"/>
          <w:b/>
          <w:bCs/>
          <w:color w:val="auto"/>
          <w:sz w:val="24"/>
          <w:szCs w:val="15"/>
          <w:highlight w:val="none"/>
          <w:lang w:val="en-US" w:eastAsia="zh-CN"/>
        </w:rPr>
        <w:t>招标</w:t>
      </w:r>
      <w:r>
        <w:rPr>
          <w:rFonts w:hint="eastAsia" w:ascii="宋体" w:hAnsi="宋体" w:eastAsia="宋体" w:cs="宋体"/>
          <w:b/>
          <w:bCs/>
          <w:color w:val="auto"/>
          <w:sz w:val="24"/>
          <w:szCs w:val="15"/>
          <w:highlight w:val="none"/>
          <w:lang w:eastAsia="zh-CN"/>
        </w:rPr>
        <w:t>文件和</w:t>
      </w:r>
      <w:r>
        <w:rPr>
          <w:rFonts w:hint="eastAsia" w:ascii="宋体" w:hAnsi="宋体" w:eastAsia="宋体" w:cs="宋体"/>
          <w:b/>
          <w:bCs/>
          <w:color w:val="auto"/>
          <w:sz w:val="24"/>
          <w:szCs w:val="15"/>
          <w:highlight w:val="none"/>
          <w:lang w:val="en-US" w:eastAsia="zh-CN"/>
        </w:rPr>
        <w:t>投标</w:t>
      </w:r>
      <w:r>
        <w:rPr>
          <w:rFonts w:hint="eastAsia" w:ascii="宋体" w:hAnsi="宋体" w:eastAsia="宋体" w:cs="宋体"/>
          <w:b/>
          <w:bCs/>
          <w:color w:val="auto"/>
          <w:sz w:val="24"/>
          <w:szCs w:val="15"/>
          <w:highlight w:val="none"/>
          <w:lang w:eastAsia="zh-CN"/>
        </w:rPr>
        <w:t>文件并结合本项目实际情况协商签订的为准</w:t>
      </w:r>
      <w:r>
        <w:rPr>
          <w:rFonts w:hint="eastAsia" w:ascii="宋体" w:hAnsi="宋体" w:eastAsia="宋体" w:cs="宋体"/>
          <w:b/>
          <w:bCs/>
          <w:color w:val="auto"/>
          <w:highlight w:val="none"/>
        </w:rPr>
        <w:t>。</w:t>
      </w:r>
      <w:r>
        <w:rPr>
          <w:rFonts w:hint="eastAsia" w:ascii="宋体" w:hAnsi="宋体" w:eastAsia="宋体" w:cs="宋体"/>
          <w:b/>
          <w:bCs/>
          <w:color w:val="auto"/>
          <w:sz w:val="24"/>
          <w:szCs w:val="15"/>
          <w:highlight w:val="none"/>
          <w:lang w:eastAsia="zh-CN"/>
        </w:rPr>
        <w:t>）</w:t>
      </w:r>
    </w:p>
    <w:p w14:paraId="30380319">
      <w:pPr>
        <w:pageBreakBefore w:val="0"/>
        <w:kinsoku/>
        <w:overflowPunct/>
        <w:bidi w:val="0"/>
        <w:spacing w:line="360" w:lineRule="auto"/>
        <w:rPr>
          <w:rFonts w:hint="eastAsia" w:ascii="宋体" w:hAnsi="宋体" w:eastAsia="宋体" w:cs="宋体"/>
          <w:b/>
          <w:bCs/>
          <w:color w:val="auto"/>
          <w:highlight w:val="none"/>
        </w:rPr>
      </w:pPr>
    </w:p>
    <w:p w14:paraId="1D1F309E">
      <w:pPr>
        <w:pageBreakBefore w:val="0"/>
        <w:kinsoku/>
        <w:overflowPunct/>
        <w:bidi w:val="0"/>
        <w:snapToGrid w:val="0"/>
        <w:spacing w:line="360" w:lineRule="auto"/>
        <w:jc w:val="center"/>
        <w:rPr>
          <w:rFonts w:hint="eastAsia" w:ascii="宋体" w:hAnsi="宋体" w:eastAsia="宋体" w:cs="宋体"/>
          <w:b/>
          <w:bCs/>
          <w:color w:val="auto"/>
          <w:sz w:val="24"/>
          <w:highlight w:val="none"/>
        </w:rPr>
      </w:pPr>
    </w:p>
    <w:p w14:paraId="50A50544">
      <w:pPr>
        <w:pageBreakBefore w:val="0"/>
        <w:kinsoku/>
        <w:overflowPunct/>
        <w:bidi w:val="0"/>
        <w:snapToGrid w:val="0"/>
        <w:spacing w:line="360" w:lineRule="auto"/>
        <w:jc w:val="center"/>
        <w:rPr>
          <w:rFonts w:hint="eastAsia" w:ascii="宋体" w:hAnsi="宋体" w:eastAsia="宋体" w:cs="宋体"/>
          <w:b/>
          <w:bCs/>
          <w:color w:val="auto"/>
          <w:sz w:val="52"/>
          <w:szCs w:val="52"/>
          <w:highlight w:val="none"/>
        </w:rPr>
      </w:pPr>
    </w:p>
    <w:p w14:paraId="488C41F0">
      <w:pPr>
        <w:pageBreakBefore w:val="0"/>
        <w:kinsoku/>
        <w:overflowPunct/>
        <w:bidi w:val="0"/>
        <w:snapToGrid w:val="0"/>
        <w:spacing w:line="360" w:lineRule="auto"/>
        <w:jc w:val="center"/>
        <w:rPr>
          <w:rFonts w:hint="eastAsia" w:ascii="宋体" w:hAnsi="宋体" w:eastAsia="宋体" w:cs="宋体"/>
          <w:b/>
          <w:bCs/>
          <w:color w:val="auto"/>
          <w:sz w:val="52"/>
          <w:szCs w:val="52"/>
          <w:highlight w:val="none"/>
        </w:rPr>
      </w:pPr>
    </w:p>
    <w:p w14:paraId="291626F5">
      <w:pPr>
        <w:pageBreakBefore w:val="0"/>
        <w:kinsoku/>
        <w:overflowPunct/>
        <w:bidi w:val="0"/>
        <w:snapToGrid w:val="0"/>
        <w:spacing w:line="360" w:lineRule="auto"/>
        <w:jc w:val="center"/>
        <w:rPr>
          <w:rFonts w:hint="eastAsia" w:ascii="宋体" w:hAnsi="宋体" w:eastAsia="宋体" w:cs="宋体"/>
          <w:b/>
          <w:bCs/>
          <w:color w:val="auto"/>
          <w:sz w:val="52"/>
          <w:szCs w:val="52"/>
          <w:highlight w:val="none"/>
          <w:lang w:val="en-US" w:eastAsia="zh-CN"/>
        </w:rPr>
      </w:pPr>
      <w:r>
        <w:rPr>
          <w:rFonts w:hint="eastAsia" w:ascii="宋体" w:hAnsi="宋体" w:eastAsia="宋体" w:cs="宋体"/>
          <w:b/>
          <w:bCs/>
          <w:color w:val="auto"/>
          <w:sz w:val="52"/>
          <w:szCs w:val="52"/>
          <w:highlight w:val="none"/>
        </w:rPr>
        <w:t>政府采购</w:t>
      </w:r>
      <w:r>
        <w:rPr>
          <w:rFonts w:hint="eastAsia" w:ascii="宋体" w:hAnsi="宋体" w:cs="宋体"/>
          <w:b/>
          <w:bCs/>
          <w:color w:val="auto"/>
          <w:sz w:val="52"/>
          <w:szCs w:val="52"/>
          <w:highlight w:val="none"/>
          <w:lang w:val="en-US" w:eastAsia="zh-CN"/>
        </w:rPr>
        <w:t>合同</w:t>
      </w:r>
    </w:p>
    <w:p w14:paraId="06DC76F3">
      <w:pPr>
        <w:pageBreakBefore w:val="0"/>
        <w:kinsoku/>
        <w:overflowPunct/>
        <w:bidi w:val="0"/>
        <w:snapToGrid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w:t>
      </w:r>
      <w:r>
        <w:rPr>
          <w:rFonts w:hint="eastAsia" w:ascii="宋体" w:hAnsi="宋体" w:cs="宋体"/>
          <w:b/>
          <w:bCs/>
          <w:color w:val="auto"/>
          <w:sz w:val="32"/>
          <w:szCs w:val="32"/>
          <w:highlight w:val="none"/>
          <w:lang w:val="en-US" w:eastAsia="zh-CN"/>
        </w:rPr>
        <w:t>电子交易项目使用</w:t>
      </w:r>
      <w:r>
        <w:rPr>
          <w:rFonts w:hint="eastAsia" w:ascii="宋体" w:hAnsi="宋体" w:eastAsia="宋体" w:cs="宋体"/>
          <w:b/>
          <w:bCs/>
          <w:color w:val="auto"/>
          <w:sz w:val="32"/>
          <w:szCs w:val="32"/>
          <w:highlight w:val="none"/>
        </w:rPr>
        <w:t>）</w:t>
      </w:r>
    </w:p>
    <w:p w14:paraId="30D01F7D">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cs="宋体"/>
          <w:b/>
          <w:bCs/>
          <w:color w:val="auto"/>
          <w:sz w:val="32"/>
          <w:szCs w:val="32"/>
          <w:highlight w:val="none"/>
          <w:lang w:val="en-US" w:eastAsia="zh-CN"/>
        </w:rPr>
      </w:pPr>
    </w:p>
    <w:p w14:paraId="04EFDACC">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cs="宋体"/>
          <w:b/>
          <w:bCs/>
          <w:color w:val="auto"/>
          <w:sz w:val="32"/>
          <w:szCs w:val="32"/>
          <w:highlight w:val="none"/>
          <w:lang w:val="en-US" w:eastAsia="zh-CN"/>
        </w:rPr>
      </w:pPr>
    </w:p>
    <w:p w14:paraId="605FEFC3">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cs="宋体"/>
          <w:b/>
          <w:bCs/>
          <w:color w:val="auto"/>
          <w:sz w:val="32"/>
          <w:szCs w:val="32"/>
          <w:highlight w:val="none"/>
          <w:u w:val="single"/>
          <w:lang w:val="en-US" w:eastAsia="zh-CN"/>
        </w:rPr>
      </w:pPr>
      <w:r>
        <w:rPr>
          <w:rFonts w:hint="eastAsia" w:ascii="宋体" w:hAnsi="宋体" w:cs="宋体"/>
          <w:b/>
          <w:bCs/>
          <w:color w:val="auto"/>
          <w:sz w:val="32"/>
          <w:szCs w:val="32"/>
          <w:highlight w:val="none"/>
          <w:lang w:val="en-US" w:eastAsia="zh-CN"/>
        </w:rPr>
        <w:t>项目名称：</w:t>
      </w:r>
      <w:r>
        <w:rPr>
          <w:rFonts w:hint="eastAsia" w:ascii="宋体" w:hAnsi="宋体" w:cs="宋体"/>
          <w:b/>
          <w:bCs/>
          <w:color w:val="auto"/>
          <w:sz w:val="32"/>
          <w:szCs w:val="32"/>
          <w:highlight w:val="none"/>
          <w:u w:val="single"/>
          <w:lang w:val="en-US" w:eastAsia="zh-CN"/>
        </w:rPr>
        <w:t xml:space="preserve">                           </w:t>
      </w:r>
    </w:p>
    <w:p w14:paraId="619BC56F">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cs="宋体"/>
          <w:b/>
          <w:bCs/>
          <w:color w:val="auto"/>
          <w:sz w:val="32"/>
          <w:szCs w:val="32"/>
          <w:highlight w:val="none"/>
          <w:u w:val="none"/>
          <w:lang w:val="en-US" w:eastAsia="zh-CN"/>
        </w:rPr>
      </w:pPr>
      <w:r>
        <w:rPr>
          <w:rFonts w:hint="eastAsia" w:ascii="宋体" w:hAnsi="宋体" w:cs="宋体"/>
          <w:b/>
          <w:bCs/>
          <w:color w:val="auto"/>
          <w:sz w:val="32"/>
          <w:szCs w:val="32"/>
          <w:highlight w:val="none"/>
          <w:lang w:val="en-US" w:eastAsia="zh-CN"/>
        </w:rPr>
        <w:t>合同编号：</w:t>
      </w:r>
      <w:r>
        <w:rPr>
          <w:rFonts w:hint="eastAsia" w:ascii="宋体" w:hAnsi="宋体" w:cs="宋体"/>
          <w:b/>
          <w:bCs/>
          <w:color w:val="auto"/>
          <w:sz w:val="32"/>
          <w:szCs w:val="32"/>
          <w:highlight w:val="none"/>
          <w:u w:val="single"/>
          <w:lang w:val="en-US" w:eastAsia="zh-CN"/>
        </w:rPr>
        <w:t xml:space="preserve">                        </w:t>
      </w:r>
      <w:r>
        <w:rPr>
          <w:rFonts w:hint="eastAsia" w:ascii="宋体" w:hAnsi="宋体" w:cs="宋体"/>
          <w:b/>
          <w:bCs/>
          <w:color w:val="auto"/>
          <w:sz w:val="32"/>
          <w:szCs w:val="32"/>
          <w:highlight w:val="none"/>
          <w:u w:val="none"/>
          <w:lang w:val="en-US" w:eastAsia="zh-CN"/>
        </w:rPr>
        <w:t>（系统编号）</w:t>
      </w:r>
    </w:p>
    <w:p w14:paraId="6005F82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cs="宋体"/>
          <w:b/>
          <w:bCs/>
          <w:color w:val="auto"/>
          <w:sz w:val="32"/>
          <w:szCs w:val="32"/>
          <w:highlight w:val="none"/>
          <w:u w:val="none"/>
          <w:lang w:val="en-US" w:eastAsia="zh-CN"/>
        </w:rPr>
      </w:pPr>
      <w:r>
        <w:rPr>
          <w:rFonts w:hint="eastAsia" w:ascii="宋体" w:hAnsi="宋体" w:cs="宋体"/>
          <w:b/>
          <w:bCs/>
          <w:color w:val="auto"/>
          <w:sz w:val="32"/>
          <w:szCs w:val="32"/>
          <w:highlight w:val="none"/>
          <w:u w:val="none"/>
          <w:lang w:val="en-US" w:eastAsia="zh-CN"/>
        </w:rPr>
        <w:t>（自编号，如有）</w:t>
      </w:r>
    </w:p>
    <w:p w14:paraId="542568F5">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cs="宋体"/>
          <w:b/>
          <w:bCs/>
          <w:color w:val="auto"/>
          <w:sz w:val="32"/>
          <w:szCs w:val="32"/>
          <w:highlight w:val="none"/>
          <w:u w:val="single"/>
          <w:lang w:val="en-US" w:eastAsia="zh-CN"/>
        </w:rPr>
      </w:pPr>
      <w:r>
        <w:rPr>
          <w:rFonts w:hint="eastAsia" w:ascii="宋体" w:hAnsi="宋体" w:cs="宋体"/>
          <w:b/>
          <w:bCs/>
          <w:color w:val="auto"/>
          <w:sz w:val="32"/>
          <w:szCs w:val="32"/>
          <w:highlight w:val="none"/>
          <w:u w:val="none"/>
          <w:lang w:val="en-US" w:eastAsia="zh-CN"/>
        </w:rPr>
        <w:t>甲方：</w:t>
      </w:r>
      <w:r>
        <w:rPr>
          <w:rFonts w:hint="eastAsia" w:ascii="宋体" w:hAnsi="宋体" w:cs="宋体"/>
          <w:b/>
          <w:bCs/>
          <w:color w:val="auto"/>
          <w:sz w:val="32"/>
          <w:szCs w:val="32"/>
          <w:highlight w:val="none"/>
          <w:u w:val="single"/>
          <w:lang w:val="en-US" w:eastAsia="zh-CN"/>
        </w:rPr>
        <w:t xml:space="preserve">                </w:t>
      </w:r>
    </w:p>
    <w:p w14:paraId="4CE93F7A">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cs="宋体"/>
          <w:b/>
          <w:bCs/>
          <w:color w:val="auto"/>
          <w:sz w:val="32"/>
          <w:szCs w:val="32"/>
          <w:highlight w:val="none"/>
          <w:u w:val="single"/>
          <w:lang w:val="en-US" w:eastAsia="zh-CN"/>
        </w:rPr>
      </w:pPr>
      <w:r>
        <w:rPr>
          <w:rFonts w:hint="eastAsia" w:ascii="宋体" w:hAnsi="宋体" w:cs="宋体"/>
          <w:b/>
          <w:bCs/>
          <w:color w:val="auto"/>
          <w:sz w:val="32"/>
          <w:szCs w:val="32"/>
          <w:highlight w:val="none"/>
          <w:u w:val="none"/>
          <w:lang w:val="en-US" w:eastAsia="zh-CN"/>
        </w:rPr>
        <w:t>乙方：</w:t>
      </w:r>
      <w:r>
        <w:rPr>
          <w:rFonts w:hint="eastAsia" w:ascii="宋体" w:hAnsi="宋体" w:cs="宋体"/>
          <w:b/>
          <w:bCs/>
          <w:color w:val="auto"/>
          <w:sz w:val="32"/>
          <w:szCs w:val="32"/>
          <w:highlight w:val="none"/>
          <w:u w:val="single"/>
          <w:lang w:val="en-US" w:eastAsia="zh-CN"/>
        </w:rPr>
        <w:t xml:space="preserve">                </w:t>
      </w:r>
    </w:p>
    <w:p w14:paraId="585DC463">
      <w:pPr>
        <w:pageBreakBefore w:val="0"/>
        <w:kinsoku/>
        <w:overflowPunct/>
        <w:bidi w:val="0"/>
        <w:snapToGrid w:val="0"/>
        <w:spacing w:line="360" w:lineRule="auto"/>
        <w:jc w:val="center"/>
        <w:rPr>
          <w:rFonts w:hint="eastAsia" w:ascii="宋体" w:hAnsi="宋体" w:eastAsia="宋体" w:cs="宋体"/>
          <w:b/>
          <w:bCs/>
          <w:color w:val="auto"/>
          <w:sz w:val="32"/>
          <w:szCs w:val="32"/>
          <w:highlight w:val="none"/>
        </w:rPr>
      </w:pPr>
    </w:p>
    <w:p w14:paraId="13A56B31">
      <w:pPr>
        <w:pageBreakBefore w:val="0"/>
        <w:tabs>
          <w:tab w:val="left" w:pos="426"/>
        </w:tabs>
        <w:kinsoku/>
        <w:overflowPunct/>
        <w:bidi w:val="0"/>
        <w:spacing w:line="360" w:lineRule="auto"/>
        <w:jc w:val="center"/>
        <w:rPr>
          <w:rFonts w:hint="eastAsia" w:ascii="宋体" w:hAnsi="宋体" w:eastAsia="宋体" w:cs="宋体"/>
          <w:b/>
          <w:bCs/>
          <w:color w:val="auto"/>
          <w:highlight w:val="none"/>
        </w:rPr>
      </w:pPr>
    </w:p>
    <w:p w14:paraId="695E40CB">
      <w:pPr>
        <w:pageBreakBefore w:val="0"/>
        <w:kinsoku/>
        <w:overflowPunct/>
        <w:bidi w:val="0"/>
        <w:spacing w:line="360" w:lineRule="auto"/>
        <w:rPr>
          <w:rFonts w:hint="eastAsia" w:ascii="宋体" w:hAnsi="宋体" w:eastAsia="宋体" w:cs="宋体"/>
          <w:color w:val="auto"/>
          <w:highlight w:val="none"/>
        </w:rPr>
      </w:pPr>
      <w:r>
        <w:rPr>
          <w:rFonts w:hint="eastAsia" w:ascii="宋体" w:hAnsi="宋体" w:eastAsia="宋体" w:cs="宋体"/>
          <w:b/>
          <w:bCs/>
          <w:color w:val="auto"/>
          <w:sz w:val="24"/>
          <w:highlight w:val="none"/>
        </w:rPr>
        <w:br w:type="page"/>
      </w:r>
    </w:p>
    <w:p w14:paraId="6813DCC4">
      <w:pPr>
        <w:pStyle w:val="5"/>
        <w:pageBreakBefore w:val="0"/>
        <w:tabs>
          <w:tab w:val="left" w:pos="193"/>
        </w:tabs>
        <w:kinsoku/>
        <w:overflowPunct/>
        <w:bidi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购 销 合 同</w:t>
      </w:r>
    </w:p>
    <w:p w14:paraId="5D093407">
      <w:pPr>
        <w:pageBreakBefore w:val="0"/>
        <w:kinsoku/>
        <w:overflowPunct/>
        <w:bidi w:val="0"/>
        <w:adjustRightInd w:val="0"/>
        <w:snapToGrid w:val="0"/>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（货物类）</w:t>
      </w:r>
    </w:p>
    <w:p w14:paraId="451DCECE">
      <w:pPr>
        <w:pageBreakBefore w:val="0"/>
        <w:kinsoku/>
        <w:overflowPunct/>
        <w:bidi w:val="0"/>
        <w:adjustRightInd w:val="0"/>
        <w:snapToGrid w:val="0"/>
        <w:spacing w:line="360" w:lineRule="auto"/>
        <w:ind w:right="960"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合同编号：</w:t>
      </w:r>
    </w:p>
    <w:p w14:paraId="23937BA5">
      <w:pPr>
        <w:pageBreakBefore w:val="0"/>
        <w:kinsoku/>
        <w:overflowPunct/>
        <w:bidi w:val="0"/>
        <w:adjustRightInd w:val="0"/>
        <w:snapToGrid w:val="0"/>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甲方：</w:t>
      </w:r>
      <w:r>
        <w:rPr>
          <w:rFonts w:hint="default" w:ascii="宋体" w:hAnsi="宋体" w:eastAsia="宋体" w:cs="宋体"/>
          <w:b/>
          <w:color w:val="auto"/>
          <w:sz w:val="24"/>
          <w:szCs w:val="24"/>
          <w:highlight w:val="none"/>
          <w:lang w:eastAsia="zh-CN"/>
        </w:rPr>
        <w:t>玉溪市生态环境局</w:t>
      </w:r>
    </w:p>
    <w:p w14:paraId="6BFB355E">
      <w:pPr>
        <w:pageBreakBefore w:val="0"/>
        <w:kinsoku/>
        <w:overflowPunct/>
        <w:bidi w:val="0"/>
        <w:adjustRightInd w:val="0"/>
        <w:snapToGrid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乙方 ：XXXXXX</w:t>
      </w:r>
    </w:p>
    <w:p w14:paraId="6A0D756E">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lang w:val="en-US" w:eastAsia="zh-CN"/>
        </w:rPr>
      </w:pPr>
    </w:p>
    <w:p w14:paraId="3D05B50B">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按照</w:t>
      </w:r>
      <w:r>
        <w:rPr>
          <w:rFonts w:hint="eastAsia" w:ascii="宋体" w:hAnsi="宋体" w:eastAsia="宋体" w:cs="宋体"/>
          <w:color w:val="auto"/>
          <w:sz w:val="24"/>
          <w:szCs w:val="24"/>
          <w:highlight w:val="none"/>
        </w:rPr>
        <w:t>《中华人民共和国政府采购法》、《中华人民共和国</w:t>
      </w:r>
      <w:r>
        <w:rPr>
          <w:rFonts w:hint="eastAsia" w:ascii="宋体" w:hAnsi="宋体" w:eastAsia="宋体" w:cs="宋体"/>
          <w:color w:val="auto"/>
          <w:sz w:val="24"/>
          <w:szCs w:val="24"/>
          <w:highlight w:val="none"/>
          <w:lang w:val="en-US" w:eastAsia="zh-CN"/>
        </w:rPr>
        <w:t>民法典</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rPr>
        <w:t>》的要求及</w:t>
      </w:r>
      <w:r>
        <w:rPr>
          <w:rFonts w:hint="eastAsia" w:ascii="宋体" w:hAnsi="宋体" w:eastAsia="宋体" w:cs="宋体"/>
          <w:color w:val="auto"/>
          <w:sz w:val="24"/>
          <w:szCs w:val="24"/>
          <w:highlight w:val="none"/>
          <w:u w:val="single"/>
          <w:lang w:val="en-US" w:eastAsia="zh-CN"/>
        </w:rPr>
        <w:t>云南上资咨询有限公司</w:t>
      </w:r>
      <w:r>
        <w:rPr>
          <w:rFonts w:hint="eastAsia" w:ascii="宋体" w:hAnsi="宋体" w:eastAsia="宋体" w:cs="宋体"/>
          <w:color w:val="auto"/>
          <w:sz w:val="24"/>
          <w:szCs w:val="24"/>
          <w:highlight w:val="none"/>
          <w:u w:val="none"/>
          <w:lang w:val="en-US" w:eastAsia="zh-CN"/>
        </w:rPr>
        <w:t>组织的</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u w:val="single"/>
          <w:lang w:val="en-US" w:eastAsia="zh-CN"/>
        </w:rPr>
        <w:t>珠江流域（玉溪段）生态环境监测能力提升项目</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公开招标</w:t>
      </w:r>
      <w:r>
        <w:rPr>
          <w:rFonts w:hint="eastAsia" w:ascii="宋体" w:hAnsi="宋体" w:eastAsia="宋体" w:cs="宋体"/>
          <w:color w:val="auto"/>
          <w:sz w:val="24"/>
          <w:szCs w:val="24"/>
          <w:highlight w:val="none"/>
        </w:rPr>
        <w:t>结果，经甲、乙双方协商一致，本着平等互利和诚实信用的原则，在双方履行</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及文件澄清、修订、变更、确认函、承诺函等各项承诺的前提下，同意按下述条款签署本合同。</w:t>
      </w:r>
    </w:p>
    <w:p w14:paraId="0B68E287">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本合同涉及金额全部为人民币。</w:t>
      </w:r>
    </w:p>
    <w:p w14:paraId="619D88A3">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p>
    <w:p w14:paraId="1021F302">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第一条　项目名称</w:t>
      </w:r>
    </w:p>
    <w:p w14:paraId="1307B8FE">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u w:val="single"/>
          <w:lang w:val="en-US" w:eastAsia="zh-CN"/>
        </w:rPr>
        <w:t>珠江流域（玉溪段）生态环境监测能力提升项目</w:t>
      </w:r>
    </w:p>
    <w:p w14:paraId="4136DAC4">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第二条　货物清单（价目表）</w:t>
      </w:r>
    </w:p>
    <w:tbl>
      <w:tblPr>
        <w:tblStyle w:val="23"/>
        <w:tblW w:w="0" w:type="auto"/>
        <w:jc w:val="center"/>
        <w:tblLayout w:type="fixed"/>
        <w:tblCellMar>
          <w:top w:w="0" w:type="dxa"/>
          <w:left w:w="30" w:type="dxa"/>
          <w:bottom w:w="0" w:type="dxa"/>
          <w:right w:w="30" w:type="dxa"/>
        </w:tblCellMar>
      </w:tblPr>
      <w:tblGrid>
        <w:gridCol w:w="630"/>
        <w:gridCol w:w="1575"/>
        <w:gridCol w:w="3510"/>
        <w:gridCol w:w="1260"/>
        <w:gridCol w:w="1260"/>
        <w:gridCol w:w="1365"/>
      </w:tblGrid>
      <w:tr w14:paraId="4559B558">
        <w:tblPrEx>
          <w:tblCellMar>
            <w:top w:w="0" w:type="dxa"/>
            <w:left w:w="30" w:type="dxa"/>
            <w:bottom w:w="0" w:type="dxa"/>
            <w:right w:w="30" w:type="dxa"/>
          </w:tblCellMar>
        </w:tblPrEx>
        <w:trPr>
          <w:cantSplit/>
          <w:trHeight w:val="460" w:hRule="atLeast"/>
          <w:jc w:val="center"/>
        </w:trPr>
        <w:tc>
          <w:tcPr>
            <w:tcW w:w="630" w:type="dxa"/>
            <w:tcBorders>
              <w:top w:val="single" w:color="auto" w:sz="6" w:space="0"/>
              <w:left w:val="single" w:color="auto" w:sz="6" w:space="0"/>
              <w:bottom w:val="single" w:color="auto" w:sz="6" w:space="0"/>
              <w:right w:val="single" w:color="auto" w:sz="6" w:space="0"/>
            </w:tcBorders>
            <w:shd w:val="clear" w:color="auto" w:fill="D9D9D9"/>
            <w:noWrap w:val="0"/>
            <w:vAlign w:val="center"/>
          </w:tcPr>
          <w:p w14:paraId="14298729">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575" w:type="dxa"/>
            <w:tcBorders>
              <w:top w:val="single" w:color="auto" w:sz="6" w:space="0"/>
              <w:left w:val="single" w:color="auto" w:sz="6" w:space="0"/>
              <w:bottom w:val="single" w:color="auto" w:sz="6" w:space="0"/>
              <w:right w:val="single" w:color="auto" w:sz="6" w:space="0"/>
            </w:tcBorders>
            <w:shd w:val="clear" w:color="auto" w:fill="D9D9D9"/>
            <w:noWrap w:val="0"/>
            <w:vAlign w:val="center"/>
          </w:tcPr>
          <w:p w14:paraId="2A7268DD">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3510" w:type="dxa"/>
            <w:tcBorders>
              <w:top w:val="single" w:color="auto" w:sz="6" w:space="0"/>
              <w:left w:val="single" w:color="auto" w:sz="6" w:space="0"/>
              <w:bottom w:val="single" w:color="auto" w:sz="6" w:space="0"/>
              <w:right w:val="single" w:color="auto" w:sz="6" w:space="0"/>
            </w:tcBorders>
            <w:shd w:val="clear" w:color="auto" w:fill="D9D9D9"/>
            <w:noWrap w:val="0"/>
            <w:vAlign w:val="center"/>
          </w:tcPr>
          <w:p w14:paraId="5883BDEF">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品牌型号</w:t>
            </w:r>
          </w:p>
        </w:tc>
        <w:tc>
          <w:tcPr>
            <w:tcW w:w="1260" w:type="dxa"/>
            <w:tcBorders>
              <w:top w:val="single" w:color="auto" w:sz="6" w:space="0"/>
              <w:left w:val="single" w:color="auto" w:sz="6" w:space="0"/>
              <w:bottom w:val="single" w:color="auto" w:sz="6" w:space="0"/>
              <w:right w:val="single" w:color="auto" w:sz="6" w:space="0"/>
            </w:tcBorders>
            <w:shd w:val="clear" w:color="auto" w:fill="D9D9D9"/>
            <w:noWrap w:val="0"/>
            <w:vAlign w:val="center"/>
          </w:tcPr>
          <w:p w14:paraId="0FD9DF48">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260" w:type="dxa"/>
            <w:tcBorders>
              <w:top w:val="single" w:color="auto" w:sz="6" w:space="0"/>
              <w:left w:val="single" w:color="auto" w:sz="6" w:space="0"/>
              <w:bottom w:val="single" w:color="auto" w:sz="6" w:space="0"/>
              <w:right w:val="single" w:color="auto" w:sz="4" w:space="0"/>
            </w:tcBorders>
            <w:shd w:val="clear" w:color="auto" w:fill="D9D9D9"/>
            <w:noWrap w:val="0"/>
            <w:vAlign w:val="center"/>
          </w:tcPr>
          <w:p w14:paraId="74F18A68">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单价（元）</w:t>
            </w:r>
          </w:p>
        </w:tc>
        <w:tc>
          <w:tcPr>
            <w:tcW w:w="1365" w:type="dxa"/>
            <w:tcBorders>
              <w:top w:val="single" w:color="auto" w:sz="6" w:space="0"/>
              <w:left w:val="single" w:color="auto" w:sz="4" w:space="0"/>
              <w:bottom w:val="single" w:color="auto" w:sz="6" w:space="0"/>
              <w:right w:val="single" w:color="auto" w:sz="6" w:space="0"/>
            </w:tcBorders>
            <w:shd w:val="clear" w:color="auto" w:fill="D9D9D9"/>
            <w:noWrap w:val="0"/>
            <w:vAlign w:val="center"/>
          </w:tcPr>
          <w:p w14:paraId="43655F81">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总价（元）</w:t>
            </w:r>
          </w:p>
        </w:tc>
      </w:tr>
      <w:tr w14:paraId="314D04C3">
        <w:tblPrEx>
          <w:tblCellMar>
            <w:top w:w="0" w:type="dxa"/>
            <w:left w:w="30" w:type="dxa"/>
            <w:bottom w:w="0" w:type="dxa"/>
            <w:right w:w="30" w:type="dxa"/>
          </w:tblCellMar>
        </w:tblPrEx>
        <w:trPr>
          <w:trHeight w:val="410" w:hRule="atLeast"/>
          <w:jc w:val="center"/>
        </w:trPr>
        <w:tc>
          <w:tcPr>
            <w:tcW w:w="630" w:type="dxa"/>
            <w:tcBorders>
              <w:top w:val="single" w:color="auto" w:sz="6" w:space="0"/>
              <w:left w:val="single" w:color="auto" w:sz="6" w:space="0"/>
              <w:bottom w:val="single" w:color="auto" w:sz="4" w:space="0"/>
              <w:right w:val="single" w:color="auto" w:sz="6" w:space="0"/>
            </w:tcBorders>
            <w:noWrap w:val="0"/>
            <w:vAlign w:val="center"/>
          </w:tcPr>
          <w:p w14:paraId="425AC23F">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75" w:type="dxa"/>
            <w:tcBorders>
              <w:top w:val="single" w:color="auto" w:sz="6" w:space="0"/>
              <w:left w:val="single" w:color="auto" w:sz="6" w:space="0"/>
              <w:bottom w:val="single" w:color="auto" w:sz="4" w:space="0"/>
              <w:right w:val="single" w:color="auto" w:sz="6" w:space="0"/>
            </w:tcBorders>
            <w:noWrap w:val="0"/>
            <w:vAlign w:val="center"/>
          </w:tcPr>
          <w:p w14:paraId="7DA5A3EB">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p>
        </w:tc>
        <w:tc>
          <w:tcPr>
            <w:tcW w:w="3510" w:type="dxa"/>
            <w:tcBorders>
              <w:top w:val="single" w:color="auto" w:sz="6" w:space="0"/>
              <w:left w:val="single" w:color="auto" w:sz="6" w:space="0"/>
              <w:bottom w:val="single" w:color="auto" w:sz="4" w:space="0"/>
              <w:right w:val="single" w:color="auto" w:sz="6" w:space="0"/>
            </w:tcBorders>
            <w:noWrap w:val="0"/>
            <w:vAlign w:val="center"/>
          </w:tcPr>
          <w:p w14:paraId="374FEB2F">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p>
        </w:tc>
        <w:tc>
          <w:tcPr>
            <w:tcW w:w="1260" w:type="dxa"/>
            <w:tcBorders>
              <w:top w:val="single" w:color="auto" w:sz="6" w:space="0"/>
              <w:left w:val="single" w:color="auto" w:sz="6" w:space="0"/>
              <w:bottom w:val="single" w:color="auto" w:sz="4" w:space="0"/>
              <w:right w:val="single" w:color="auto" w:sz="6" w:space="0"/>
            </w:tcBorders>
            <w:noWrap w:val="0"/>
            <w:vAlign w:val="center"/>
          </w:tcPr>
          <w:p w14:paraId="0B608EE6">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p>
        </w:tc>
        <w:tc>
          <w:tcPr>
            <w:tcW w:w="1260" w:type="dxa"/>
            <w:tcBorders>
              <w:top w:val="single" w:color="auto" w:sz="6" w:space="0"/>
              <w:left w:val="single" w:color="auto" w:sz="6" w:space="0"/>
              <w:bottom w:val="single" w:color="auto" w:sz="4" w:space="0"/>
              <w:right w:val="single" w:color="auto" w:sz="4" w:space="0"/>
            </w:tcBorders>
            <w:noWrap w:val="0"/>
            <w:vAlign w:val="center"/>
          </w:tcPr>
          <w:p w14:paraId="0329A611">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p>
        </w:tc>
        <w:tc>
          <w:tcPr>
            <w:tcW w:w="1365" w:type="dxa"/>
            <w:tcBorders>
              <w:top w:val="single" w:color="auto" w:sz="6" w:space="0"/>
              <w:left w:val="single" w:color="auto" w:sz="4" w:space="0"/>
              <w:bottom w:val="single" w:color="auto" w:sz="4" w:space="0"/>
              <w:right w:val="single" w:color="auto" w:sz="6" w:space="0"/>
            </w:tcBorders>
            <w:noWrap w:val="0"/>
            <w:vAlign w:val="center"/>
          </w:tcPr>
          <w:p w14:paraId="1274894E">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p>
        </w:tc>
      </w:tr>
      <w:tr w14:paraId="2D598BB8">
        <w:tblPrEx>
          <w:tblCellMar>
            <w:top w:w="0" w:type="dxa"/>
            <w:left w:w="30" w:type="dxa"/>
            <w:bottom w:w="0" w:type="dxa"/>
            <w:right w:w="30" w:type="dxa"/>
          </w:tblCellMar>
        </w:tblPrEx>
        <w:trPr>
          <w:trHeight w:val="401" w:hRule="atLeast"/>
          <w:jc w:val="center"/>
        </w:trPr>
        <w:tc>
          <w:tcPr>
            <w:tcW w:w="630" w:type="dxa"/>
            <w:tcBorders>
              <w:top w:val="single" w:color="auto" w:sz="4" w:space="0"/>
              <w:left w:val="single" w:color="auto" w:sz="6" w:space="0"/>
              <w:bottom w:val="single" w:color="auto" w:sz="4" w:space="0"/>
              <w:right w:val="single" w:color="auto" w:sz="6" w:space="0"/>
            </w:tcBorders>
            <w:noWrap w:val="0"/>
            <w:vAlign w:val="center"/>
          </w:tcPr>
          <w:p w14:paraId="2D6000E2">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575" w:type="dxa"/>
            <w:tcBorders>
              <w:top w:val="single" w:color="auto" w:sz="4" w:space="0"/>
              <w:left w:val="single" w:color="auto" w:sz="6" w:space="0"/>
              <w:bottom w:val="single" w:color="auto" w:sz="4" w:space="0"/>
              <w:right w:val="single" w:color="auto" w:sz="6" w:space="0"/>
            </w:tcBorders>
            <w:noWrap w:val="0"/>
            <w:vAlign w:val="center"/>
          </w:tcPr>
          <w:p w14:paraId="09853E47">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p>
        </w:tc>
        <w:tc>
          <w:tcPr>
            <w:tcW w:w="3510" w:type="dxa"/>
            <w:tcBorders>
              <w:top w:val="single" w:color="auto" w:sz="4" w:space="0"/>
              <w:left w:val="single" w:color="auto" w:sz="6" w:space="0"/>
              <w:bottom w:val="single" w:color="auto" w:sz="4" w:space="0"/>
              <w:right w:val="single" w:color="auto" w:sz="6" w:space="0"/>
            </w:tcBorders>
            <w:noWrap w:val="0"/>
            <w:vAlign w:val="center"/>
          </w:tcPr>
          <w:p w14:paraId="7C5641C3">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p>
        </w:tc>
        <w:tc>
          <w:tcPr>
            <w:tcW w:w="1260" w:type="dxa"/>
            <w:tcBorders>
              <w:top w:val="single" w:color="auto" w:sz="4" w:space="0"/>
              <w:left w:val="single" w:color="auto" w:sz="6" w:space="0"/>
              <w:bottom w:val="single" w:color="auto" w:sz="4" w:space="0"/>
              <w:right w:val="single" w:color="auto" w:sz="6" w:space="0"/>
            </w:tcBorders>
            <w:noWrap w:val="0"/>
            <w:vAlign w:val="center"/>
          </w:tcPr>
          <w:p w14:paraId="12F88C45">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p>
        </w:tc>
        <w:tc>
          <w:tcPr>
            <w:tcW w:w="1260" w:type="dxa"/>
            <w:tcBorders>
              <w:top w:val="single" w:color="auto" w:sz="4" w:space="0"/>
              <w:left w:val="single" w:color="auto" w:sz="6" w:space="0"/>
              <w:bottom w:val="single" w:color="auto" w:sz="4" w:space="0"/>
              <w:right w:val="single" w:color="auto" w:sz="4" w:space="0"/>
            </w:tcBorders>
            <w:noWrap w:val="0"/>
            <w:vAlign w:val="center"/>
          </w:tcPr>
          <w:p w14:paraId="7B4879D5">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p>
        </w:tc>
        <w:tc>
          <w:tcPr>
            <w:tcW w:w="1365" w:type="dxa"/>
            <w:tcBorders>
              <w:top w:val="single" w:color="auto" w:sz="4" w:space="0"/>
              <w:left w:val="single" w:color="auto" w:sz="4" w:space="0"/>
              <w:bottom w:val="single" w:color="auto" w:sz="4" w:space="0"/>
              <w:right w:val="single" w:color="auto" w:sz="6" w:space="0"/>
            </w:tcBorders>
            <w:noWrap w:val="0"/>
            <w:vAlign w:val="center"/>
          </w:tcPr>
          <w:p w14:paraId="594188C3">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p>
        </w:tc>
      </w:tr>
      <w:tr w14:paraId="2A40C765">
        <w:tblPrEx>
          <w:tblCellMar>
            <w:top w:w="0" w:type="dxa"/>
            <w:left w:w="30" w:type="dxa"/>
            <w:bottom w:w="0" w:type="dxa"/>
            <w:right w:w="30" w:type="dxa"/>
          </w:tblCellMar>
        </w:tblPrEx>
        <w:trPr>
          <w:trHeight w:val="375" w:hRule="atLeast"/>
          <w:jc w:val="center"/>
        </w:trPr>
        <w:tc>
          <w:tcPr>
            <w:tcW w:w="630" w:type="dxa"/>
            <w:tcBorders>
              <w:top w:val="single" w:color="auto" w:sz="4" w:space="0"/>
              <w:left w:val="single" w:color="auto" w:sz="6" w:space="0"/>
              <w:bottom w:val="single" w:color="auto" w:sz="6" w:space="0"/>
              <w:right w:val="single" w:color="auto" w:sz="6" w:space="0"/>
            </w:tcBorders>
            <w:noWrap w:val="0"/>
            <w:vAlign w:val="center"/>
          </w:tcPr>
          <w:p w14:paraId="443E55F1">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575" w:type="dxa"/>
            <w:tcBorders>
              <w:top w:val="single" w:color="auto" w:sz="4" w:space="0"/>
              <w:left w:val="single" w:color="auto" w:sz="6" w:space="0"/>
              <w:bottom w:val="single" w:color="auto" w:sz="6" w:space="0"/>
              <w:right w:val="single" w:color="auto" w:sz="6" w:space="0"/>
            </w:tcBorders>
            <w:noWrap w:val="0"/>
            <w:vAlign w:val="center"/>
          </w:tcPr>
          <w:p w14:paraId="15BAED4C">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p>
        </w:tc>
        <w:tc>
          <w:tcPr>
            <w:tcW w:w="3510" w:type="dxa"/>
            <w:tcBorders>
              <w:top w:val="single" w:color="auto" w:sz="4" w:space="0"/>
              <w:left w:val="single" w:color="auto" w:sz="6" w:space="0"/>
              <w:bottom w:val="single" w:color="auto" w:sz="6" w:space="0"/>
              <w:right w:val="single" w:color="auto" w:sz="6" w:space="0"/>
            </w:tcBorders>
            <w:noWrap w:val="0"/>
            <w:vAlign w:val="center"/>
          </w:tcPr>
          <w:p w14:paraId="43C73F3E">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p>
        </w:tc>
        <w:tc>
          <w:tcPr>
            <w:tcW w:w="1260" w:type="dxa"/>
            <w:tcBorders>
              <w:top w:val="single" w:color="auto" w:sz="4" w:space="0"/>
              <w:left w:val="single" w:color="auto" w:sz="6" w:space="0"/>
              <w:bottom w:val="single" w:color="auto" w:sz="6" w:space="0"/>
              <w:right w:val="single" w:color="auto" w:sz="6" w:space="0"/>
            </w:tcBorders>
            <w:noWrap w:val="0"/>
            <w:vAlign w:val="center"/>
          </w:tcPr>
          <w:p w14:paraId="044134C7">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p>
        </w:tc>
        <w:tc>
          <w:tcPr>
            <w:tcW w:w="1260" w:type="dxa"/>
            <w:tcBorders>
              <w:top w:val="single" w:color="auto" w:sz="4" w:space="0"/>
              <w:left w:val="single" w:color="auto" w:sz="6" w:space="0"/>
              <w:bottom w:val="single" w:color="auto" w:sz="6" w:space="0"/>
              <w:right w:val="single" w:color="auto" w:sz="4" w:space="0"/>
            </w:tcBorders>
            <w:noWrap w:val="0"/>
            <w:vAlign w:val="center"/>
          </w:tcPr>
          <w:p w14:paraId="3E2678D9">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p>
        </w:tc>
        <w:tc>
          <w:tcPr>
            <w:tcW w:w="1365" w:type="dxa"/>
            <w:tcBorders>
              <w:top w:val="single" w:color="auto" w:sz="4" w:space="0"/>
              <w:left w:val="single" w:color="auto" w:sz="4" w:space="0"/>
              <w:bottom w:val="single" w:color="auto" w:sz="6" w:space="0"/>
              <w:right w:val="single" w:color="auto" w:sz="6" w:space="0"/>
            </w:tcBorders>
            <w:noWrap w:val="0"/>
            <w:vAlign w:val="center"/>
          </w:tcPr>
          <w:p w14:paraId="78BF036F">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p>
        </w:tc>
      </w:tr>
      <w:tr w14:paraId="759C8BFC">
        <w:tblPrEx>
          <w:tblCellMar>
            <w:top w:w="0" w:type="dxa"/>
            <w:left w:w="30" w:type="dxa"/>
            <w:bottom w:w="0" w:type="dxa"/>
            <w:right w:w="30" w:type="dxa"/>
          </w:tblCellMar>
        </w:tblPrEx>
        <w:trPr>
          <w:trHeight w:val="340" w:hRule="atLeast"/>
          <w:jc w:val="center"/>
        </w:trPr>
        <w:tc>
          <w:tcPr>
            <w:tcW w:w="9600" w:type="dxa"/>
            <w:gridSpan w:val="6"/>
            <w:tcBorders>
              <w:top w:val="single" w:color="auto" w:sz="6" w:space="0"/>
              <w:left w:val="single" w:color="auto" w:sz="6" w:space="0"/>
              <w:bottom w:val="single" w:color="auto" w:sz="6" w:space="0"/>
              <w:right w:val="single" w:color="auto" w:sz="6" w:space="0"/>
            </w:tcBorders>
            <w:noWrap w:val="0"/>
            <w:vAlign w:val="center"/>
          </w:tcPr>
          <w:p w14:paraId="7FA5362F">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以上合计：人民币（大写）：           元整   小写：￥         </w:t>
            </w:r>
          </w:p>
        </w:tc>
      </w:tr>
      <w:tr w14:paraId="2D81113F">
        <w:tblPrEx>
          <w:tblCellMar>
            <w:top w:w="0" w:type="dxa"/>
            <w:left w:w="30" w:type="dxa"/>
            <w:bottom w:w="0" w:type="dxa"/>
            <w:right w:w="30" w:type="dxa"/>
          </w:tblCellMar>
        </w:tblPrEx>
        <w:trPr>
          <w:trHeight w:val="340" w:hRule="atLeast"/>
          <w:jc w:val="center"/>
        </w:trPr>
        <w:tc>
          <w:tcPr>
            <w:tcW w:w="9600" w:type="dxa"/>
            <w:gridSpan w:val="6"/>
            <w:tcBorders>
              <w:top w:val="single" w:color="auto" w:sz="6" w:space="0"/>
              <w:left w:val="single" w:color="auto" w:sz="6" w:space="0"/>
              <w:bottom w:val="single" w:color="auto" w:sz="6" w:space="0"/>
              <w:right w:val="single" w:color="auto" w:sz="6" w:space="0"/>
            </w:tcBorders>
            <w:noWrap w:val="0"/>
            <w:vAlign w:val="center"/>
          </w:tcPr>
          <w:p w14:paraId="049B458F">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备注： </w:t>
            </w:r>
          </w:p>
        </w:tc>
      </w:tr>
      <w:tr w14:paraId="11386BE5">
        <w:tblPrEx>
          <w:tblCellMar>
            <w:top w:w="0" w:type="dxa"/>
            <w:left w:w="30" w:type="dxa"/>
            <w:bottom w:w="0" w:type="dxa"/>
            <w:right w:w="30" w:type="dxa"/>
          </w:tblCellMar>
        </w:tblPrEx>
        <w:trPr>
          <w:trHeight w:val="340" w:hRule="atLeast"/>
          <w:jc w:val="center"/>
        </w:trPr>
        <w:tc>
          <w:tcPr>
            <w:tcW w:w="9600" w:type="dxa"/>
            <w:gridSpan w:val="6"/>
            <w:tcBorders>
              <w:top w:val="single" w:color="auto" w:sz="6" w:space="0"/>
              <w:left w:val="single" w:color="auto" w:sz="6" w:space="0"/>
              <w:bottom w:val="single" w:color="auto" w:sz="6" w:space="0"/>
              <w:right w:val="single" w:color="auto" w:sz="6" w:space="0"/>
            </w:tcBorders>
            <w:noWrap w:val="0"/>
            <w:vAlign w:val="center"/>
          </w:tcPr>
          <w:p w14:paraId="7B838BBE">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36B12693">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1.供货清单价目表详见本合同附件。</w:t>
            </w:r>
          </w:p>
          <w:p w14:paraId="0D71F91E">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2.售后服务承诺详见本合同附件。</w:t>
            </w:r>
          </w:p>
          <w:p w14:paraId="2C360892">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3.加盖骑缝章。</w:t>
            </w:r>
          </w:p>
        </w:tc>
      </w:tr>
    </w:tbl>
    <w:p w14:paraId="738DDFAE">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p>
    <w:p w14:paraId="2200C80D">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第三条　项目标的主要内容及要求</w:t>
      </w:r>
    </w:p>
    <w:p w14:paraId="1EDA740C">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及乙方</w:t>
      </w:r>
      <w:r>
        <w:rPr>
          <w:rFonts w:hint="eastAsia" w:ascii="宋体" w:hAnsi="宋体" w:eastAsia="宋体" w:cs="宋体"/>
          <w:color w:val="auto"/>
          <w:sz w:val="24"/>
          <w:szCs w:val="24"/>
          <w:highlight w:val="none"/>
          <w:lang w:eastAsia="zh-CN"/>
        </w:rPr>
        <w:t>投标文件</w:t>
      </w:r>
    </w:p>
    <w:p w14:paraId="664169FD">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p>
    <w:p w14:paraId="7DEFA9FA">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第四条　合同金额</w:t>
      </w:r>
    </w:p>
    <w:p w14:paraId="28AD27DA">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合同总额 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元整   小写：￥</w:t>
      </w:r>
      <w:r>
        <w:rPr>
          <w:rFonts w:hint="eastAsia" w:ascii="宋体" w:hAnsi="宋体" w:eastAsia="宋体" w:cs="宋体"/>
          <w:color w:val="auto"/>
          <w:sz w:val="24"/>
          <w:szCs w:val="24"/>
          <w:highlight w:val="none"/>
          <w:u w:val="single"/>
        </w:rPr>
        <w:t xml:space="preserve">         </w:t>
      </w:r>
    </w:p>
    <w:p w14:paraId="09F485FA">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合同总额包括货物及零配件的购置和安装、运输、保险、装卸、培训辅导、质保期售后服务、全额含税发票及合同实施过程中的不可预见费用等。</w:t>
      </w:r>
    </w:p>
    <w:p w14:paraId="34E90433">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价格为固定不变价，天数为日历日。</w:t>
      </w:r>
    </w:p>
    <w:p w14:paraId="414455D6">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第五条　付款</w:t>
      </w:r>
    </w:p>
    <w:p w14:paraId="0533AD11">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付款方式：</w:t>
      </w:r>
    </w:p>
    <w:p w14:paraId="60326FD0">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乙方收款账户如下：</w:t>
      </w:r>
    </w:p>
    <w:p w14:paraId="770A7E10">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开户名称： </w:t>
      </w:r>
    </w:p>
    <w:p w14:paraId="2EF70C10">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开户银行： </w:t>
      </w:r>
    </w:p>
    <w:p w14:paraId="7621A908">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银行账号：</w:t>
      </w:r>
    </w:p>
    <w:p w14:paraId="5C85FEBB">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p>
    <w:p w14:paraId="402D16AF">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第六条　交付时间、地点</w:t>
      </w:r>
    </w:p>
    <w:p w14:paraId="3822878D">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交货地点：甲方所在地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A33CF49">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设备场地：甲方负责准备符合设备安装的场地，乙方予以设计指导。 </w:t>
      </w:r>
    </w:p>
    <w:p w14:paraId="57D57EBC">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交货期限：合同生效后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w:t>
      </w:r>
    </w:p>
    <w:p w14:paraId="416573DB">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p>
    <w:p w14:paraId="7DA9EBAF">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第七条　验收标准、验收方式、验收要求以及培训</w:t>
      </w:r>
      <w:r>
        <w:rPr>
          <w:rFonts w:hint="eastAsia" w:ascii="宋体" w:hAnsi="宋体" w:eastAsia="宋体" w:cs="宋体"/>
          <w:b/>
          <w:color w:val="auto"/>
          <w:sz w:val="24"/>
          <w:szCs w:val="24"/>
          <w:highlight w:val="none"/>
          <w:lang w:eastAsia="zh-CN"/>
        </w:rPr>
        <w:t>验</w:t>
      </w:r>
      <w:r>
        <w:rPr>
          <w:rFonts w:hint="eastAsia" w:ascii="宋体" w:hAnsi="宋体" w:eastAsia="宋体" w:cs="宋体"/>
          <w:b/>
          <w:color w:val="auto"/>
          <w:sz w:val="24"/>
          <w:szCs w:val="24"/>
          <w:highlight w:val="none"/>
        </w:rPr>
        <w:t>收报告。</w:t>
      </w:r>
    </w:p>
    <w:p w14:paraId="72CD5C21">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污染，无侵权行为、表面无划损、无任何缺陷隐患，在中国交付验收标准：乙方指派具有相关合法资质的专业人员，并提供性能符合规定的设备、工具，按照相关操作规程，负责货到现场的安装调试。所有设备应参照本合同约定的技术性能标准和参数进行验收，本合同没有约定此标准的，按照招</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的标准，甲乙双方综合验收并出具验收报告。</w:t>
      </w:r>
    </w:p>
    <w:p w14:paraId="1A570401">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在设备商检前，甲方不得自行拆装、调试或使用。</w:t>
      </w:r>
    </w:p>
    <w:p w14:paraId="6C7BBC8B">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货物为全新合格产品，整无污染，无侵权行为、表面无划损、无任何缺陷隐患，在中国境内可依常规安全合法使用。</w:t>
      </w:r>
    </w:p>
    <w:p w14:paraId="0BFC288E">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装标准为原厂制造商未启封全新包装，具有出厂合格证，序列号，包装箱号与出厂批号一致，并可追索查阅。所有随设备的附件（装箱清单、用户手册、原厂保修卡、合格证、必备品、配件、工具、报关单等）必须齐全。</w:t>
      </w:r>
    </w:p>
    <w:p w14:paraId="5662E1AB">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货物运至甲方后，甲方只对货物进行数量和外包装的初步验收。设备安装调试后，乙方应向甲方提供详细的验收标准、验收手册、验收申请，甲方有权委托中国有资格的单位对上述设备进行验收及精度校核。</w:t>
      </w:r>
    </w:p>
    <w:p w14:paraId="2A14E90E">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为确保甲方能够进行日常操作及维护保养，设备安装验收后，乙方为甲方提供如下学习培训，承担相关费用：</w:t>
      </w:r>
    </w:p>
    <w:p w14:paraId="6C69B342">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A.</w:t>
      </w:r>
      <w:r>
        <w:rPr>
          <w:rFonts w:hint="eastAsia" w:ascii="宋体" w:hAnsi="宋体" w:eastAsia="宋体" w:cs="宋体"/>
          <w:color w:val="auto"/>
          <w:sz w:val="24"/>
          <w:szCs w:val="24"/>
          <w:highlight w:val="none"/>
          <w:u w:val="single"/>
        </w:rPr>
        <w:t xml:space="preserve">             </w:t>
      </w:r>
    </w:p>
    <w:p w14:paraId="3F9C6E61">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B. </w:t>
      </w:r>
      <w:r>
        <w:rPr>
          <w:rFonts w:hint="eastAsia" w:ascii="宋体" w:hAnsi="宋体" w:eastAsia="宋体" w:cs="宋体"/>
          <w:color w:val="auto"/>
          <w:sz w:val="24"/>
          <w:szCs w:val="24"/>
          <w:highlight w:val="none"/>
          <w:u w:val="single"/>
        </w:rPr>
        <w:t xml:space="preserve">            </w:t>
      </w:r>
    </w:p>
    <w:p w14:paraId="468DB677">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p>
    <w:p w14:paraId="4C8F2CEB">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第八条　制作与交付</w:t>
      </w:r>
    </w:p>
    <w:p w14:paraId="69AC16F8">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1.在符合</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要求和响应承诺的前提下，将货物制作与交付至最佳状态且双方均认为满意。</w:t>
      </w:r>
    </w:p>
    <w:p w14:paraId="377B09A3">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配置清单（供货价目清单）详见本合同附件。</w:t>
      </w:r>
    </w:p>
    <w:p w14:paraId="61571745">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p>
    <w:p w14:paraId="241CDBEC">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第九条　质保期及售后服务要求</w:t>
      </w:r>
      <w:r>
        <w:rPr>
          <w:rFonts w:hint="eastAsia" w:ascii="宋体" w:hAnsi="宋体" w:eastAsia="宋体" w:cs="宋体"/>
          <w:color w:val="auto"/>
          <w:sz w:val="24"/>
          <w:szCs w:val="24"/>
          <w:highlight w:val="none"/>
        </w:rPr>
        <w:t>（详见附件——售后服务承诺书）</w:t>
      </w:r>
    </w:p>
    <w:p w14:paraId="241BE889">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1.整及所有附件（含第三方产品）质保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p>
    <w:p w14:paraId="3EB0CC29">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2.终身维护。质保期内维修保养次数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次/年。质保期外，根据维修服务标注条款进行维修服务。响应时间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小时内有专业人员到达现场维修。</w:t>
      </w:r>
    </w:p>
    <w:p w14:paraId="6F1E66CB">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 </w:t>
      </w:r>
    </w:p>
    <w:p w14:paraId="17A113C8">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p>
    <w:p w14:paraId="3F49058F">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第十条 双方权利义务</w:t>
      </w:r>
    </w:p>
    <w:p w14:paraId="057632DC">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1.未经甲方书面同意，乙方不得擅自向第三方转让其应履行的合同项下的义务。</w:t>
      </w:r>
    </w:p>
    <w:p w14:paraId="2F318AEA">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2.乙方应在签订本合同时提供设备配置清单、厂家或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售后服务承诺书等资料内容。</w:t>
      </w:r>
    </w:p>
    <w:p w14:paraId="7B7D9519">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3.乙方保证甲方在使用设备期间（有配套软件的包括软件产品）不受第三方提出侵犯其专利权、商标权、工业设计权等全部权利的起诉。若出现，由乙方承担全部责任。</w:t>
      </w:r>
    </w:p>
    <w:p w14:paraId="2E6760B8">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乙双方应对本合同内容严加保密，在未经对方事先书面同意的情况下，不得将与本合同有关的信息、数据、资料等内容向任何人披露或为其自身利益而使用。在本合同到期或终止后，甲乙双方仍须履行该保密义务。</w:t>
      </w:r>
    </w:p>
    <w:p w14:paraId="1D9237E7">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p>
    <w:p w14:paraId="667A01F9">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第十一条 违约责任</w:t>
      </w:r>
    </w:p>
    <w:p w14:paraId="69867025">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乙方交付的设备、货物或提供的服务，甲方只有在不符合</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或本合同规定的情况下才有权拒收，并且乙方须向甲方支付本合同总价</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%的违约金并赔偿甲方全部损失。若无上述原因，甲方无权拒收；若甲方因非上述原因拒收，甲方须向乙方支付本合同总价</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%的违约金并赔偿乙方全部损失。</w:t>
      </w:r>
    </w:p>
    <w:p w14:paraId="3A8B86F5">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乙方延迟履行合同，逾期交付货物的，从逾期之日起每日按合同总额的</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%向甲方支付违约金，最高限额为合同总价格的</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%。但因设备场地不符合安装要求的，乙方延期交货，则不承担上述违约责任。</w:t>
      </w:r>
    </w:p>
    <w:p w14:paraId="10313C10">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如甲乙双方未按本合同第十条第四款约定履行保密义务，违约方须向守约方赔偿本合同总价</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%的违约金。因泄密引发的纠纷、事故及损失，由违约方全部承担。</w:t>
      </w:r>
    </w:p>
    <w:p w14:paraId="2C7B53EC">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其它违约责任按《中华人民共和国</w:t>
      </w:r>
      <w:r>
        <w:rPr>
          <w:rFonts w:hint="eastAsia" w:ascii="宋体" w:hAnsi="宋体" w:eastAsia="宋体" w:cs="宋体"/>
          <w:color w:val="auto"/>
          <w:sz w:val="24"/>
          <w:szCs w:val="24"/>
          <w:highlight w:val="none"/>
          <w:lang w:val="en-US" w:eastAsia="zh-CN"/>
        </w:rPr>
        <w:t>民法典</w:t>
      </w:r>
      <w:r>
        <w:rPr>
          <w:rFonts w:hint="eastAsia" w:ascii="宋体" w:hAnsi="宋体" w:eastAsia="宋体" w:cs="宋体"/>
          <w:color w:val="auto"/>
          <w:sz w:val="24"/>
          <w:szCs w:val="24"/>
          <w:highlight w:val="none"/>
        </w:rPr>
        <w:t>》处理。</w:t>
      </w:r>
    </w:p>
    <w:p w14:paraId="5FC518FB">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p>
    <w:p w14:paraId="6AFDC909">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第十二条 提出异议的时间和方法</w:t>
      </w:r>
    </w:p>
    <w:p w14:paraId="5FBADC77">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甲方在验收后90天内如对货物的型号、规格、质量有异议时，应在妥善保管货物的同时，向乙方提出书面异议，乙方在收到书面异议七天内予以答复。解决方案由甲乙双方协商一致后签署补充协议。</w:t>
      </w:r>
    </w:p>
    <w:p w14:paraId="4D4E2CE5">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甲方因违章操作、保管、保养不善等人为因素造成货物损毁，所提出的异议乙方有权不予接受。</w:t>
      </w:r>
    </w:p>
    <w:p w14:paraId="47BAA042">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p>
    <w:p w14:paraId="320E772A">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第十三条  通知与送达</w:t>
      </w:r>
    </w:p>
    <w:p w14:paraId="6DADF980">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1.甲方通信地址及联系人：</w:t>
      </w:r>
    </w:p>
    <w:p w14:paraId="01D90EBD">
      <w:pPr>
        <w:pStyle w:val="12"/>
        <w:keepNext w:val="0"/>
        <w:keepLines w:val="0"/>
        <w:pageBreakBefore w:val="0"/>
        <w:widowControl w:val="0"/>
        <w:kinsoku/>
        <w:wordWrap/>
        <w:overflowPunct/>
        <w:topLinePunct w:val="0"/>
        <w:autoSpaceDE/>
        <w:autoSpaceDN/>
        <w:bidi w:val="0"/>
        <w:adjustRightInd/>
        <w:snapToGrid/>
        <w:spacing w:line="360" w:lineRule="auto"/>
        <w:ind w:left="720"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38E3CCB">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2.乙方通信地址及联系人：</w:t>
      </w:r>
    </w:p>
    <w:p w14:paraId="081F8497">
      <w:pPr>
        <w:pStyle w:val="12"/>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p>
    <w:p w14:paraId="1190A617">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3.如一方地址、电话、传真号码、开户银行及账号等资料有变更，应在变更当日内书面通知对方，否则，视为未变更。</w:t>
      </w:r>
    </w:p>
    <w:p w14:paraId="1698334F">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bCs/>
          <w:color w:val="auto"/>
          <w:sz w:val="24"/>
          <w:szCs w:val="24"/>
          <w:highlight w:val="none"/>
        </w:rPr>
      </w:pPr>
    </w:p>
    <w:p w14:paraId="5C6F1F27">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第十四条　不可抗力 </w:t>
      </w:r>
    </w:p>
    <w:p w14:paraId="0A8676D6">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任何一方由于不可抗力原因不能履行合同时，应在不可抗力事件发生后及时向对方通报，以减轻可能给对方造成的损失，在取得有关构的不可抗力证明或双方谅解确认后，允许延期履行或修订合同，并根据情况可部分或全部免于承担违约责任。但一方延误履约后发生不可抗力的，不能免除责任。</w:t>
      </w:r>
    </w:p>
    <w:p w14:paraId="19E9AEB2">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bCs/>
          <w:color w:val="auto"/>
          <w:sz w:val="24"/>
          <w:szCs w:val="24"/>
          <w:highlight w:val="none"/>
        </w:rPr>
      </w:pPr>
    </w:p>
    <w:p w14:paraId="66F4EE69">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第十五条　争议的解决</w:t>
      </w:r>
    </w:p>
    <w:p w14:paraId="2D03A1F2">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1.合同履行过程中发生的任何争议，如双方未能通过友好协商解决，双方同意通过诉讼方式解决，诉讼管辖地为甲方所在地有管辖权的人民法院。</w:t>
      </w:r>
    </w:p>
    <w:p w14:paraId="73A264E5">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2.对货物质量的检查鉴定，由甲乙双方协议认定的第三方相关检测构进行终局鉴定，鉴定结果符合质量技术标准时，鉴定费由提出异议方承担，否则鉴定费由被异议方承担。</w:t>
      </w:r>
    </w:p>
    <w:p w14:paraId="10067F81">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第十六条　其它条款</w:t>
      </w:r>
    </w:p>
    <w:p w14:paraId="5FDCC1C6">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本合同在甲、乙双方法人代表或其授权代理人签字并加盖单位公章之日起生效。</w:t>
      </w:r>
    </w:p>
    <w:p w14:paraId="68788250">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份，甲方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份、乙方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14:paraId="5CDC0A62">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3.所有经双方签署、确认的文件包括购销廉洁协议、配置清单、售后服务承诺书、授权委托书、补充协议及</w:t>
      </w: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color w:val="auto"/>
          <w:sz w:val="24"/>
          <w:szCs w:val="24"/>
          <w:highlight w:val="none"/>
        </w:rPr>
        <w:t>等均为本合同不可分割的有效组成部分，与本合同具有同等的法律效力和履约义务，其生效日期为签字盖章确认之日期。</w:t>
      </w:r>
    </w:p>
    <w:p w14:paraId="49AA857A">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4.出现</w:t>
      </w: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color w:val="auto"/>
          <w:sz w:val="24"/>
          <w:szCs w:val="24"/>
          <w:highlight w:val="none"/>
        </w:rPr>
        <w:t>内容与本合同内容不一致的情况时，以本合同为准。</w:t>
      </w:r>
    </w:p>
    <w:p w14:paraId="7F54DCBD">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5.本合同签约地点：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F7314DC">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6.双方均已对以上各条款及附件作充分了解，并明确理解由此而产生的相关权责。</w:t>
      </w:r>
    </w:p>
    <w:p w14:paraId="0DDB8E5D">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第十七条 附件</w:t>
      </w:r>
    </w:p>
    <w:p w14:paraId="7FCAC916">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中标</w:t>
      </w:r>
      <w:r>
        <w:rPr>
          <w:rFonts w:hint="eastAsia" w:ascii="宋体" w:hAnsi="宋体" w:eastAsia="宋体" w:cs="宋体"/>
          <w:color w:val="auto"/>
          <w:sz w:val="24"/>
          <w:szCs w:val="24"/>
          <w:highlight w:val="none"/>
        </w:rPr>
        <w:t>通知书</w:t>
      </w:r>
    </w:p>
    <w:p w14:paraId="353C1EDD">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2.配置清单（供货价目清单）</w:t>
      </w:r>
    </w:p>
    <w:p w14:paraId="5124A523">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3.售后服务承诺书</w:t>
      </w:r>
    </w:p>
    <w:p w14:paraId="15030301">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p w14:paraId="68BED302">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p w14:paraId="1649284A">
      <w:pPr>
        <w:keepNext w:val="0"/>
        <w:keepLines w:val="0"/>
        <w:pageBreakBefore w:val="0"/>
        <w:widowControl w:val="0"/>
        <w:tabs>
          <w:tab w:val="left" w:pos="8280"/>
        </w:tabs>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乙方：</w:t>
      </w:r>
    </w:p>
    <w:p w14:paraId="5896DE7E">
      <w:pPr>
        <w:keepNext w:val="0"/>
        <w:keepLines w:val="0"/>
        <w:pageBreakBefore w:val="0"/>
        <w:widowControl w:val="0"/>
        <w:tabs>
          <w:tab w:val="left" w:pos="8280"/>
        </w:tabs>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              法定代表人（或委托代理人）：</w:t>
      </w:r>
    </w:p>
    <w:p w14:paraId="1770E2F3">
      <w:pPr>
        <w:keepNext w:val="0"/>
        <w:keepLines w:val="0"/>
        <w:pageBreakBefore w:val="0"/>
        <w:widowControl w:val="0"/>
        <w:tabs>
          <w:tab w:val="left" w:pos="8280"/>
        </w:tabs>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地址：</w:t>
      </w:r>
    </w:p>
    <w:p w14:paraId="69B312E6">
      <w:pPr>
        <w:keepNext w:val="0"/>
        <w:keepLines w:val="0"/>
        <w:pageBreakBefore w:val="0"/>
        <w:widowControl w:val="0"/>
        <w:tabs>
          <w:tab w:val="left" w:pos="8280"/>
        </w:tabs>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                                    邮编：</w:t>
      </w:r>
    </w:p>
    <w:p w14:paraId="20746426">
      <w:pPr>
        <w:keepNext w:val="0"/>
        <w:keepLines w:val="0"/>
        <w:pageBreakBefore w:val="0"/>
        <w:widowControl w:val="0"/>
        <w:tabs>
          <w:tab w:val="left" w:pos="8280"/>
        </w:tabs>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电话：</w:t>
      </w:r>
    </w:p>
    <w:p w14:paraId="3C35035C">
      <w:pPr>
        <w:keepNext w:val="0"/>
        <w:keepLines w:val="0"/>
        <w:pageBreakBefore w:val="0"/>
        <w:widowControl w:val="0"/>
        <w:tabs>
          <w:tab w:val="left" w:pos="8280"/>
        </w:tabs>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                                  开户行：</w:t>
      </w:r>
    </w:p>
    <w:p w14:paraId="1E503C5E">
      <w:pPr>
        <w:keepNext w:val="0"/>
        <w:keepLines w:val="0"/>
        <w:pageBreakBefore w:val="0"/>
        <w:widowControl w:val="0"/>
        <w:tabs>
          <w:tab w:val="left" w:pos="8280"/>
        </w:tabs>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                                    账号：</w:t>
      </w:r>
    </w:p>
    <w:p w14:paraId="0B717501">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税号：                                    税号：</w:t>
      </w:r>
    </w:p>
    <w:p w14:paraId="74A1902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日期：   年   月    日                    日  期： 年   月    </w:t>
      </w:r>
      <w:r>
        <w:rPr>
          <w:rFonts w:hint="eastAsia" w:ascii="宋体" w:hAnsi="宋体" w:eastAsia="宋体" w:cs="宋体"/>
          <w:color w:val="auto"/>
          <w:sz w:val="24"/>
          <w:szCs w:val="24"/>
          <w:highlight w:val="none"/>
          <w:lang w:val="en-US" w:eastAsia="zh-CN"/>
        </w:rPr>
        <w:t>日</w:t>
      </w:r>
    </w:p>
    <w:p w14:paraId="51863BD4">
      <w:pPr>
        <w:pageBreakBefore w:val="0"/>
        <w:kinsoku/>
        <w:overflowPunct/>
        <w:bidi w:val="0"/>
        <w:spacing w:line="360" w:lineRule="auto"/>
        <w:rPr>
          <w:rFonts w:hint="eastAsia" w:ascii="宋体" w:hAnsi="宋体" w:eastAsia="宋体" w:cs="宋体"/>
        </w:rPr>
      </w:pPr>
      <w:r>
        <w:rPr>
          <w:rFonts w:hint="eastAsia" w:ascii="宋体" w:hAnsi="宋体" w:eastAsia="宋体" w:cs="宋体"/>
        </w:rPr>
        <w:br w:type="page"/>
      </w:r>
    </w:p>
    <w:p w14:paraId="289AAF4D">
      <w:pPr>
        <w:pStyle w:val="2"/>
        <w:pageBreakBefore w:val="0"/>
        <w:kinsoku/>
        <w:overflowPunct/>
        <w:bidi w:val="0"/>
        <w:spacing w:line="360" w:lineRule="auto"/>
        <w:jc w:val="center"/>
        <w:rPr>
          <w:rFonts w:hint="eastAsia" w:ascii="宋体" w:hAnsi="宋体" w:eastAsia="宋体" w:cs="宋体"/>
          <w:highlight w:val="none"/>
          <w:lang w:val="en-US" w:eastAsia="zh-CN"/>
        </w:rPr>
        <w:sectPr>
          <w:footerReference r:id="rId5" w:type="default"/>
          <w:pgSz w:w="11906" w:h="16838"/>
          <w:pgMar w:top="1440" w:right="1800" w:bottom="1440" w:left="1800" w:header="851" w:footer="992" w:gutter="0"/>
          <w:pgNumType w:fmt="decimal"/>
          <w:cols w:space="425" w:num="1"/>
          <w:docGrid w:type="lines" w:linePitch="312" w:charSpace="0"/>
        </w:sectPr>
      </w:pPr>
      <w:bookmarkStart w:id="99" w:name="_Toc15468"/>
    </w:p>
    <w:p w14:paraId="7C3C5736">
      <w:pPr>
        <w:pStyle w:val="2"/>
        <w:pageBreakBefore w:val="0"/>
        <w:kinsoku/>
        <w:overflowPunct/>
        <w:bidi w:val="0"/>
        <w:spacing w:line="360" w:lineRule="auto"/>
        <w:jc w:val="center"/>
        <w:rPr>
          <w:rFonts w:hint="eastAsia" w:ascii="宋体" w:hAnsi="宋体" w:eastAsia="宋体" w:cs="宋体"/>
          <w:highlight w:val="none"/>
        </w:rPr>
      </w:pPr>
      <w:bookmarkStart w:id="100" w:name="_Toc24287"/>
      <w:r>
        <w:rPr>
          <w:rFonts w:hint="eastAsia" w:ascii="宋体" w:hAnsi="宋体" w:eastAsia="宋体" w:cs="宋体"/>
          <w:highlight w:val="none"/>
          <w:lang w:val="en-US" w:eastAsia="zh-CN"/>
        </w:rPr>
        <w:t xml:space="preserve">第四章   </w:t>
      </w:r>
      <w:r>
        <w:rPr>
          <w:rFonts w:hint="eastAsia" w:ascii="宋体" w:hAnsi="宋体" w:eastAsia="宋体" w:cs="宋体"/>
          <w:highlight w:val="none"/>
          <w:lang w:eastAsia="zh-CN"/>
        </w:rPr>
        <w:t>采购需求及技术参数要求</w:t>
      </w:r>
      <w:bookmarkEnd w:id="99"/>
      <w:bookmarkEnd w:id="100"/>
    </w:p>
    <w:p w14:paraId="1A57C2D2">
      <w:pPr>
        <w:pageBreakBefore w:val="0"/>
        <w:kinsoku/>
        <w:overflowPunct/>
        <w:bidi w:val="0"/>
        <w:adjustRightInd w:val="0"/>
        <w:snapToGrid w:val="0"/>
        <w:spacing w:line="360" w:lineRule="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bookmarkStart w:id="101" w:name="_Toc8519"/>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一、</w:t>
      </w:r>
      <w:r>
        <w:rPr>
          <w:rFonts w:hint="eastAsia" w:ascii="宋体" w:hAnsi="宋体" w:cs="宋体"/>
          <w:b/>
          <w:bCs/>
          <w:color w:val="000000" w:themeColor="text1"/>
          <w:sz w:val="24"/>
          <w:szCs w:val="24"/>
          <w:highlight w:val="none"/>
          <w:lang w:val="en-US" w:eastAsia="zh-CN"/>
          <w14:textFill>
            <w14:solidFill>
              <w14:schemeClr w14:val="tx1"/>
            </w14:solidFill>
          </w14:textFill>
        </w:rPr>
        <w:t>设备采购清单</w:t>
      </w:r>
    </w:p>
    <w:tbl>
      <w:tblPr>
        <w:tblStyle w:val="24"/>
        <w:tblW w:w="9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824"/>
        <w:gridCol w:w="2947"/>
        <w:gridCol w:w="1032"/>
        <w:gridCol w:w="1505"/>
        <w:gridCol w:w="1879"/>
      </w:tblGrid>
      <w:tr w14:paraId="139BE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blHeader/>
          <w:jc w:val="center"/>
        </w:trPr>
        <w:tc>
          <w:tcPr>
            <w:tcW w:w="1067" w:type="dxa"/>
            <w:vAlign w:val="center"/>
          </w:tcPr>
          <w:p w14:paraId="42825CE7">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b/>
                <w:bCs/>
                <w:color w:val="auto"/>
                <w:sz w:val="24"/>
                <w:highlight w:val="none"/>
                <w:vertAlign w:val="baseline"/>
                <w:lang w:val="en-US" w:eastAsia="zh-CN"/>
              </w:rPr>
            </w:pPr>
            <w:r>
              <w:rPr>
                <w:rFonts w:hint="eastAsia" w:ascii="宋体" w:hAnsi="宋体" w:cs="宋体"/>
                <w:b/>
                <w:bCs/>
                <w:color w:val="auto"/>
                <w:sz w:val="24"/>
                <w:highlight w:val="none"/>
                <w:vertAlign w:val="baseline"/>
                <w:lang w:val="en-US" w:eastAsia="zh-CN"/>
              </w:rPr>
              <w:t>包件号</w:t>
            </w:r>
          </w:p>
        </w:tc>
        <w:tc>
          <w:tcPr>
            <w:tcW w:w="824" w:type="dxa"/>
            <w:vAlign w:val="center"/>
          </w:tcPr>
          <w:p w14:paraId="4408DF3B">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b/>
                <w:bCs/>
                <w:color w:val="auto"/>
                <w:sz w:val="24"/>
                <w:highlight w:val="none"/>
                <w:vertAlign w:val="baseline"/>
                <w:lang w:val="en-US" w:eastAsia="zh-CN"/>
              </w:rPr>
            </w:pPr>
            <w:r>
              <w:rPr>
                <w:rFonts w:hint="eastAsia" w:ascii="宋体" w:hAnsi="宋体" w:cs="宋体"/>
                <w:b/>
                <w:bCs/>
                <w:color w:val="auto"/>
                <w:sz w:val="24"/>
                <w:highlight w:val="none"/>
                <w:vertAlign w:val="baseline"/>
                <w:lang w:val="en-US" w:eastAsia="zh-CN"/>
              </w:rPr>
              <w:t>序号</w:t>
            </w:r>
          </w:p>
        </w:tc>
        <w:tc>
          <w:tcPr>
            <w:tcW w:w="2947" w:type="dxa"/>
            <w:vAlign w:val="center"/>
          </w:tcPr>
          <w:p w14:paraId="4AC5FAD0">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b/>
                <w:bCs/>
                <w:color w:val="auto"/>
                <w:sz w:val="24"/>
                <w:highlight w:val="none"/>
                <w:vertAlign w:val="baseline"/>
                <w:lang w:val="en-US" w:eastAsia="zh-CN"/>
              </w:rPr>
            </w:pPr>
            <w:r>
              <w:rPr>
                <w:rFonts w:hint="eastAsia" w:ascii="宋体" w:hAnsi="宋体" w:cs="宋体"/>
                <w:b/>
                <w:bCs/>
                <w:color w:val="auto"/>
                <w:sz w:val="24"/>
                <w:highlight w:val="none"/>
                <w:vertAlign w:val="baseline"/>
                <w:lang w:val="en-US" w:eastAsia="zh-CN"/>
              </w:rPr>
              <w:t>标的名称</w:t>
            </w:r>
          </w:p>
        </w:tc>
        <w:tc>
          <w:tcPr>
            <w:tcW w:w="1032" w:type="dxa"/>
            <w:vAlign w:val="center"/>
          </w:tcPr>
          <w:p w14:paraId="72D66009">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b/>
                <w:bCs/>
                <w:color w:val="auto"/>
                <w:sz w:val="24"/>
                <w:highlight w:val="none"/>
                <w:vertAlign w:val="baseline"/>
                <w:lang w:val="en-US" w:eastAsia="zh-CN"/>
              </w:rPr>
            </w:pPr>
            <w:r>
              <w:rPr>
                <w:rFonts w:hint="eastAsia" w:ascii="宋体" w:hAnsi="宋体" w:cs="宋体"/>
                <w:b/>
                <w:bCs/>
                <w:color w:val="auto"/>
                <w:sz w:val="24"/>
                <w:highlight w:val="none"/>
                <w:vertAlign w:val="baseline"/>
                <w:lang w:val="en-US" w:eastAsia="zh-CN"/>
              </w:rPr>
              <w:t>数量（台）</w:t>
            </w:r>
          </w:p>
        </w:tc>
        <w:tc>
          <w:tcPr>
            <w:tcW w:w="1505" w:type="dxa"/>
            <w:vAlign w:val="center"/>
          </w:tcPr>
          <w:p w14:paraId="49679B68">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b/>
                <w:bCs/>
                <w:color w:val="auto"/>
                <w:sz w:val="24"/>
                <w:highlight w:val="none"/>
                <w:vertAlign w:val="baseline"/>
                <w:lang w:val="en-US" w:eastAsia="zh-CN"/>
              </w:rPr>
            </w:pPr>
            <w:r>
              <w:rPr>
                <w:rFonts w:hint="eastAsia" w:ascii="宋体" w:hAnsi="宋体" w:cs="宋体"/>
                <w:b/>
                <w:bCs/>
                <w:color w:val="auto"/>
                <w:sz w:val="24"/>
                <w:highlight w:val="none"/>
                <w:vertAlign w:val="baseline"/>
                <w:lang w:val="en-US" w:eastAsia="zh-CN"/>
              </w:rPr>
              <w:t>单价（元）</w:t>
            </w:r>
          </w:p>
        </w:tc>
        <w:tc>
          <w:tcPr>
            <w:tcW w:w="1879" w:type="dxa"/>
            <w:vAlign w:val="center"/>
          </w:tcPr>
          <w:p w14:paraId="1D03B0FD">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b/>
                <w:bCs/>
                <w:color w:val="auto"/>
                <w:sz w:val="24"/>
                <w:highlight w:val="none"/>
                <w:vertAlign w:val="baseline"/>
                <w:lang w:val="en-US" w:eastAsia="zh-CN"/>
              </w:rPr>
            </w:pPr>
            <w:r>
              <w:rPr>
                <w:rFonts w:hint="eastAsia" w:ascii="宋体" w:hAnsi="宋体" w:cs="宋体"/>
                <w:b/>
                <w:bCs/>
                <w:color w:val="auto"/>
                <w:sz w:val="24"/>
                <w:highlight w:val="none"/>
                <w:vertAlign w:val="baseline"/>
                <w:lang w:val="en-US" w:eastAsia="zh-CN"/>
              </w:rPr>
              <w:t>备注</w:t>
            </w:r>
          </w:p>
        </w:tc>
      </w:tr>
      <w:tr w14:paraId="552A7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067" w:type="dxa"/>
            <w:vMerge w:val="restart"/>
            <w:vAlign w:val="center"/>
          </w:tcPr>
          <w:p w14:paraId="501693FB">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w:t>
            </w:r>
          </w:p>
        </w:tc>
        <w:tc>
          <w:tcPr>
            <w:tcW w:w="824" w:type="dxa"/>
            <w:vAlign w:val="center"/>
          </w:tcPr>
          <w:p w14:paraId="016D23D2">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w:t>
            </w:r>
          </w:p>
        </w:tc>
        <w:tc>
          <w:tcPr>
            <w:tcW w:w="2947" w:type="dxa"/>
            <w:vAlign w:val="center"/>
          </w:tcPr>
          <w:p w14:paraId="59707B1E">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原子吸收光谱仪</w:t>
            </w:r>
          </w:p>
          <w:p w14:paraId="4A6523BA">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b/>
                <w:bCs/>
                <w:color w:val="auto"/>
                <w:sz w:val="24"/>
                <w:highlight w:val="none"/>
                <w:vertAlign w:val="baseline"/>
                <w:lang w:val="en-US" w:eastAsia="zh-CN"/>
              </w:rPr>
              <w:t>（核心产品）</w:t>
            </w:r>
          </w:p>
        </w:tc>
        <w:tc>
          <w:tcPr>
            <w:tcW w:w="1032" w:type="dxa"/>
            <w:vAlign w:val="center"/>
          </w:tcPr>
          <w:p w14:paraId="4651E6EB">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default"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3</w:t>
            </w:r>
          </w:p>
        </w:tc>
        <w:tc>
          <w:tcPr>
            <w:tcW w:w="1505" w:type="dxa"/>
            <w:vAlign w:val="center"/>
          </w:tcPr>
          <w:p w14:paraId="5861E241">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350000</w:t>
            </w:r>
          </w:p>
        </w:tc>
        <w:tc>
          <w:tcPr>
            <w:tcW w:w="1879" w:type="dxa"/>
            <w:vAlign w:val="center"/>
          </w:tcPr>
          <w:p w14:paraId="32543BE5">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配置江川站、通海站、峨山站</w:t>
            </w:r>
          </w:p>
        </w:tc>
      </w:tr>
      <w:tr w14:paraId="5FE52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14:paraId="2AF3EE4D">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14:paraId="160C887B">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2</w:t>
            </w:r>
          </w:p>
        </w:tc>
        <w:tc>
          <w:tcPr>
            <w:tcW w:w="2947" w:type="dxa"/>
            <w:vAlign w:val="center"/>
          </w:tcPr>
          <w:p w14:paraId="6A624C40">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原子荧光分光光度计</w:t>
            </w:r>
          </w:p>
        </w:tc>
        <w:tc>
          <w:tcPr>
            <w:tcW w:w="1032" w:type="dxa"/>
            <w:vAlign w:val="center"/>
          </w:tcPr>
          <w:p w14:paraId="49D5145A">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5</w:t>
            </w:r>
          </w:p>
        </w:tc>
        <w:tc>
          <w:tcPr>
            <w:tcW w:w="1505" w:type="dxa"/>
            <w:vAlign w:val="center"/>
          </w:tcPr>
          <w:p w14:paraId="649E5658">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150000</w:t>
            </w:r>
          </w:p>
        </w:tc>
        <w:tc>
          <w:tcPr>
            <w:tcW w:w="1879" w:type="dxa"/>
            <w:vAlign w:val="center"/>
          </w:tcPr>
          <w:p w14:paraId="48F8815D">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红塔站、江川站、通海站、华宁站、峨山站</w:t>
            </w:r>
          </w:p>
        </w:tc>
      </w:tr>
      <w:tr w14:paraId="203AB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14:paraId="1D232A18">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14:paraId="4505D2CF">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3</w:t>
            </w:r>
          </w:p>
        </w:tc>
        <w:tc>
          <w:tcPr>
            <w:tcW w:w="2947" w:type="dxa"/>
            <w:vAlign w:val="center"/>
          </w:tcPr>
          <w:p w14:paraId="47E3A860">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全自动高锰酸盐指数分析仪</w:t>
            </w:r>
          </w:p>
        </w:tc>
        <w:tc>
          <w:tcPr>
            <w:tcW w:w="1032" w:type="dxa"/>
            <w:vAlign w:val="center"/>
          </w:tcPr>
          <w:p w14:paraId="757856C6">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6</w:t>
            </w:r>
          </w:p>
        </w:tc>
        <w:tc>
          <w:tcPr>
            <w:tcW w:w="1505" w:type="dxa"/>
            <w:vAlign w:val="center"/>
          </w:tcPr>
          <w:p w14:paraId="66EBED5C">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180000</w:t>
            </w:r>
          </w:p>
        </w:tc>
        <w:tc>
          <w:tcPr>
            <w:tcW w:w="1879" w:type="dxa"/>
            <w:vAlign w:val="center"/>
          </w:tcPr>
          <w:p w14:paraId="213E209A">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红塔站、江川站、通海站、华宁站、峨山站</w:t>
            </w:r>
          </w:p>
        </w:tc>
      </w:tr>
      <w:tr w14:paraId="602A6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14:paraId="5D579F8E">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14:paraId="0FEFFE13">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4</w:t>
            </w:r>
          </w:p>
        </w:tc>
        <w:tc>
          <w:tcPr>
            <w:tcW w:w="2947" w:type="dxa"/>
            <w:vAlign w:val="center"/>
          </w:tcPr>
          <w:p w14:paraId="37EB7F70">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全自动COD测定仪</w:t>
            </w:r>
          </w:p>
        </w:tc>
        <w:tc>
          <w:tcPr>
            <w:tcW w:w="1032" w:type="dxa"/>
            <w:vAlign w:val="center"/>
          </w:tcPr>
          <w:p w14:paraId="02D0EE49">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1505" w:type="dxa"/>
            <w:vAlign w:val="center"/>
          </w:tcPr>
          <w:p w14:paraId="0A69B227">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200000</w:t>
            </w:r>
          </w:p>
        </w:tc>
        <w:tc>
          <w:tcPr>
            <w:tcW w:w="1879" w:type="dxa"/>
            <w:vAlign w:val="center"/>
          </w:tcPr>
          <w:p w14:paraId="0E9F77B6">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红塔站、澄江站</w:t>
            </w:r>
          </w:p>
        </w:tc>
      </w:tr>
      <w:tr w14:paraId="20B88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14:paraId="1E893770">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14:paraId="4568DCE5">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5</w:t>
            </w:r>
          </w:p>
        </w:tc>
        <w:tc>
          <w:tcPr>
            <w:tcW w:w="2947" w:type="dxa"/>
            <w:vAlign w:val="center"/>
          </w:tcPr>
          <w:p w14:paraId="73F91147">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便携式溶解氧测定仪</w:t>
            </w:r>
          </w:p>
        </w:tc>
        <w:tc>
          <w:tcPr>
            <w:tcW w:w="1032" w:type="dxa"/>
            <w:vAlign w:val="center"/>
          </w:tcPr>
          <w:p w14:paraId="4DA1281F">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8</w:t>
            </w:r>
          </w:p>
        </w:tc>
        <w:tc>
          <w:tcPr>
            <w:tcW w:w="1505" w:type="dxa"/>
            <w:vAlign w:val="center"/>
          </w:tcPr>
          <w:p w14:paraId="6A9C4178">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4000</w:t>
            </w:r>
          </w:p>
        </w:tc>
        <w:tc>
          <w:tcPr>
            <w:tcW w:w="1879" w:type="dxa"/>
            <w:vAlign w:val="center"/>
          </w:tcPr>
          <w:p w14:paraId="11E08A9A">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红塔站、江川站、澄江站、通海站、华宁站、峨山站</w:t>
            </w:r>
          </w:p>
        </w:tc>
      </w:tr>
      <w:tr w14:paraId="0BB52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14:paraId="22088FC6">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14:paraId="3880901F">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6</w:t>
            </w:r>
          </w:p>
        </w:tc>
        <w:tc>
          <w:tcPr>
            <w:tcW w:w="2947" w:type="dxa"/>
            <w:vAlign w:val="center"/>
          </w:tcPr>
          <w:p w14:paraId="627DF2A1">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便携式抽滤装置</w:t>
            </w:r>
          </w:p>
        </w:tc>
        <w:tc>
          <w:tcPr>
            <w:tcW w:w="1032" w:type="dxa"/>
            <w:vAlign w:val="center"/>
          </w:tcPr>
          <w:p w14:paraId="14558069">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11</w:t>
            </w:r>
          </w:p>
        </w:tc>
        <w:tc>
          <w:tcPr>
            <w:tcW w:w="1505" w:type="dxa"/>
            <w:vAlign w:val="center"/>
          </w:tcPr>
          <w:p w14:paraId="61CCA056">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8000</w:t>
            </w:r>
          </w:p>
        </w:tc>
        <w:tc>
          <w:tcPr>
            <w:tcW w:w="1879" w:type="dxa"/>
            <w:vAlign w:val="center"/>
          </w:tcPr>
          <w:p w14:paraId="204FEF85">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红塔站、江川站、澄江站、通海站、华宁站、峨山站</w:t>
            </w:r>
          </w:p>
        </w:tc>
      </w:tr>
      <w:tr w14:paraId="50253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067" w:type="dxa"/>
            <w:vMerge w:val="continue"/>
            <w:vAlign w:val="center"/>
          </w:tcPr>
          <w:p w14:paraId="2EE8C642">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14:paraId="1C7ECE19">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7</w:t>
            </w:r>
          </w:p>
        </w:tc>
        <w:tc>
          <w:tcPr>
            <w:tcW w:w="2947" w:type="dxa"/>
            <w:vAlign w:val="center"/>
          </w:tcPr>
          <w:p w14:paraId="2A1450EB">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全自动流动注射分析仪（阴离子模块1个）</w:t>
            </w:r>
          </w:p>
        </w:tc>
        <w:tc>
          <w:tcPr>
            <w:tcW w:w="1032" w:type="dxa"/>
            <w:vAlign w:val="center"/>
          </w:tcPr>
          <w:p w14:paraId="52F0A111">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505" w:type="dxa"/>
            <w:vAlign w:val="center"/>
          </w:tcPr>
          <w:p w14:paraId="449BEB38">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150000</w:t>
            </w:r>
          </w:p>
        </w:tc>
        <w:tc>
          <w:tcPr>
            <w:tcW w:w="1879" w:type="dxa"/>
            <w:vAlign w:val="center"/>
          </w:tcPr>
          <w:p w14:paraId="2B0E3233">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通海站</w:t>
            </w:r>
          </w:p>
        </w:tc>
      </w:tr>
      <w:tr w14:paraId="322AB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14:paraId="42033C51">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14:paraId="49C30C38">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8</w:t>
            </w:r>
          </w:p>
        </w:tc>
        <w:tc>
          <w:tcPr>
            <w:tcW w:w="2947" w:type="dxa"/>
            <w:vAlign w:val="center"/>
          </w:tcPr>
          <w:p w14:paraId="4819BF74">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便携式浊度仪</w:t>
            </w:r>
          </w:p>
        </w:tc>
        <w:tc>
          <w:tcPr>
            <w:tcW w:w="1032" w:type="dxa"/>
            <w:vAlign w:val="center"/>
          </w:tcPr>
          <w:p w14:paraId="3D73C9CA">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1505" w:type="dxa"/>
            <w:vAlign w:val="center"/>
          </w:tcPr>
          <w:p w14:paraId="6C9E6032">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5000</w:t>
            </w:r>
          </w:p>
        </w:tc>
        <w:tc>
          <w:tcPr>
            <w:tcW w:w="1879" w:type="dxa"/>
            <w:vAlign w:val="center"/>
          </w:tcPr>
          <w:p w14:paraId="304D60AF">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华宁站、峨山站</w:t>
            </w:r>
          </w:p>
        </w:tc>
      </w:tr>
      <w:tr w14:paraId="0FB26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14:paraId="260B7C93">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14:paraId="26D112A3">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9</w:t>
            </w:r>
          </w:p>
        </w:tc>
        <w:tc>
          <w:tcPr>
            <w:tcW w:w="2947" w:type="dxa"/>
            <w:vAlign w:val="center"/>
          </w:tcPr>
          <w:p w14:paraId="27F7AE2B">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实验室叶绿素荧光测定仪</w:t>
            </w:r>
          </w:p>
        </w:tc>
        <w:tc>
          <w:tcPr>
            <w:tcW w:w="1032" w:type="dxa"/>
            <w:vAlign w:val="center"/>
          </w:tcPr>
          <w:p w14:paraId="0EAD133A">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505" w:type="dxa"/>
            <w:vAlign w:val="center"/>
          </w:tcPr>
          <w:p w14:paraId="394E06E2">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70000</w:t>
            </w:r>
          </w:p>
        </w:tc>
        <w:tc>
          <w:tcPr>
            <w:tcW w:w="1879" w:type="dxa"/>
            <w:vAlign w:val="center"/>
          </w:tcPr>
          <w:p w14:paraId="55331F6D">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江川站</w:t>
            </w:r>
          </w:p>
        </w:tc>
      </w:tr>
      <w:tr w14:paraId="5D455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14:paraId="4A108EBC">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14:paraId="608F5D30">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10</w:t>
            </w:r>
          </w:p>
        </w:tc>
        <w:tc>
          <w:tcPr>
            <w:tcW w:w="2947" w:type="dxa"/>
            <w:vAlign w:val="center"/>
          </w:tcPr>
          <w:p w14:paraId="52FA8D3B">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手持叶绿素荧光测定仪</w:t>
            </w:r>
          </w:p>
        </w:tc>
        <w:tc>
          <w:tcPr>
            <w:tcW w:w="1032" w:type="dxa"/>
            <w:vAlign w:val="center"/>
          </w:tcPr>
          <w:p w14:paraId="5B69A706">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505" w:type="dxa"/>
            <w:vAlign w:val="center"/>
          </w:tcPr>
          <w:p w14:paraId="07DFC6BB">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60000</w:t>
            </w:r>
          </w:p>
        </w:tc>
        <w:tc>
          <w:tcPr>
            <w:tcW w:w="1879" w:type="dxa"/>
            <w:vAlign w:val="center"/>
          </w:tcPr>
          <w:p w14:paraId="1C3DE9CE">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江川站</w:t>
            </w:r>
          </w:p>
        </w:tc>
      </w:tr>
      <w:tr w14:paraId="19079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067" w:type="dxa"/>
            <w:vMerge w:val="continue"/>
            <w:vAlign w:val="center"/>
          </w:tcPr>
          <w:p w14:paraId="465B7AB1">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14:paraId="142688CC">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11</w:t>
            </w:r>
          </w:p>
        </w:tc>
        <w:tc>
          <w:tcPr>
            <w:tcW w:w="2947" w:type="dxa"/>
            <w:vAlign w:val="center"/>
          </w:tcPr>
          <w:p w14:paraId="7101C472">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便携式多参数水质测定仪（水温、PH、电导率、溶解氧</w:t>
            </w:r>
          </w:p>
        </w:tc>
        <w:tc>
          <w:tcPr>
            <w:tcW w:w="1032" w:type="dxa"/>
            <w:vAlign w:val="center"/>
          </w:tcPr>
          <w:p w14:paraId="4C7C259F">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505" w:type="dxa"/>
            <w:vAlign w:val="center"/>
          </w:tcPr>
          <w:p w14:paraId="26CD4A7E">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34000</w:t>
            </w:r>
          </w:p>
        </w:tc>
        <w:tc>
          <w:tcPr>
            <w:tcW w:w="1879" w:type="dxa"/>
            <w:vAlign w:val="center"/>
          </w:tcPr>
          <w:p w14:paraId="183B8579">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通海站</w:t>
            </w:r>
          </w:p>
        </w:tc>
      </w:tr>
      <w:tr w14:paraId="3F6FE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067" w:type="dxa"/>
            <w:vMerge w:val="continue"/>
            <w:vAlign w:val="center"/>
          </w:tcPr>
          <w:p w14:paraId="522144D6">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14:paraId="337C67E0">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12</w:t>
            </w:r>
          </w:p>
        </w:tc>
        <w:tc>
          <w:tcPr>
            <w:tcW w:w="2947" w:type="dxa"/>
            <w:vAlign w:val="center"/>
          </w:tcPr>
          <w:p w14:paraId="2D3643CB">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酶底物法微生物快速检测系统</w:t>
            </w:r>
          </w:p>
        </w:tc>
        <w:tc>
          <w:tcPr>
            <w:tcW w:w="1032" w:type="dxa"/>
            <w:vAlign w:val="center"/>
          </w:tcPr>
          <w:p w14:paraId="6185891F">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505" w:type="dxa"/>
            <w:vAlign w:val="center"/>
          </w:tcPr>
          <w:p w14:paraId="7796F29A">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70000</w:t>
            </w:r>
          </w:p>
        </w:tc>
        <w:tc>
          <w:tcPr>
            <w:tcW w:w="1879" w:type="dxa"/>
            <w:vAlign w:val="center"/>
          </w:tcPr>
          <w:p w14:paraId="3112D08C">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峨山站</w:t>
            </w:r>
          </w:p>
        </w:tc>
      </w:tr>
      <w:tr w14:paraId="21EE0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067" w:type="dxa"/>
            <w:vMerge w:val="continue"/>
            <w:vAlign w:val="center"/>
          </w:tcPr>
          <w:p w14:paraId="683A5180">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14:paraId="09EAF18E">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13</w:t>
            </w:r>
          </w:p>
        </w:tc>
        <w:tc>
          <w:tcPr>
            <w:tcW w:w="2947" w:type="dxa"/>
            <w:vAlign w:val="center"/>
          </w:tcPr>
          <w:p w14:paraId="68D1AF5A">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台式溶解氧测定仪（电化学探头法）</w:t>
            </w:r>
          </w:p>
        </w:tc>
        <w:tc>
          <w:tcPr>
            <w:tcW w:w="1032" w:type="dxa"/>
            <w:vAlign w:val="center"/>
          </w:tcPr>
          <w:p w14:paraId="009D3F0B">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505" w:type="dxa"/>
            <w:vAlign w:val="center"/>
          </w:tcPr>
          <w:p w14:paraId="5B033089">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6000</w:t>
            </w:r>
          </w:p>
        </w:tc>
        <w:tc>
          <w:tcPr>
            <w:tcW w:w="1879" w:type="dxa"/>
            <w:vAlign w:val="center"/>
          </w:tcPr>
          <w:p w14:paraId="205A2C20">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峨山站</w:t>
            </w:r>
          </w:p>
        </w:tc>
      </w:tr>
      <w:tr w14:paraId="0D32E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14:paraId="6899623A">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14:paraId="2422DE40">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14</w:t>
            </w:r>
          </w:p>
        </w:tc>
        <w:tc>
          <w:tcPr>
            <w:tcW w:w="2947" w:type="dxa"/>
            <w:vAlign w:val="center"/>
          </w:tcPr>
          <w:p w14:paraId="46F966FB">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COD消解仪</w:t>
            </w:r>
          </w:p>
        </w:tc>
        <w:tc>
          <w:tcPr>
            <w:tcW w:w="1032" w:type="dxa"/>
            <w:vAlign w:val="center"/>
          </w:tcPr>
          <w:p w14:paraId="3851B829">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5</w:t>
            </w:r>
          </w:p>
        </w:tc>
        <w:tc>
          <w:tcPr>
            <w:tcW w:w="1505" w:type="dxa"/>
            <w:vAlign w:val="center"/>
          </w:tcPr>
          <w:p w14:paraId="2812D5CE">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12000</w:t>
            </w:r>
          </w:p>
        </w:tc>
        <w:tc>
          <w:tcPr>
            <w:tcW w:w="1879" w:type="dxa"/>
            <w:vAlign w:val="center"/>
          </w:tcPr>
          <w:p w14:paraId="6E3C5F84">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红塔站、华宁站、峨山站</w:t>
            </w:r>
          </w:p>
        </w:tc>
      </w:tr>
      <w:tr w14:paraId="7B274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14:paraId="4C8613F1">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14:paraId="0C9070D3">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15</w:t>
            </w:r>
          </w:p>
        </w:tc>
        <w:tc>
          <w:tcPr>
            <w:tcW w:w="2947" w:type="dxa"/>
            <w:vAlign w:val="center"/>
          </w:tcPr>
          <w:p w14:paraId="196DDEF1">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生化培养箱</w:t>
            </w:r>
          </w:p>
        </w:tc>
        <w:tc>
          <w:tcPr>
            <w:tcW w:w="1032" w:type="dxa"/>
            <w:vAlign w:val="center"/>
          </w:tcPr>
          <w:p w14:paraId="58B0B5C8">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505" w:type="dxa"/>
            <w:vAlign w:val="center"/>
          </w:tcPr>
          <w:p w14:paraId="7183D795">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7500</w:t>
            </w:r>
          </w:p>
        </w:tc>
        <w:tc>
          <w:tcPr>
            <w:tcW w:w="1879" w:type="dxa"/>
            <w:vAlign w:val="center"/>
          </w:tcPr>
          <w:p w14:paraId="7EF9C9DF">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峨山站</w:t>
            </w:r>
          </w:p>
        </w:tc>
      </w:tr>
      <w:tr w14:paraId="55EF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14:paraId="6650C99B">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14:paraId="46034A7B">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16</w:t>
            </w:r>
          </w:p>
        </w:tc>
        <w:tc>
          <w:tcPr>
            <w:tcW w:w="2947" w:type="dxa"/>
            <w:vAlign w:val="center"/>
          </w:tcPr>
          <w:p w14:paraId="5DAEA182">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电热鼓风干燥箱</w:t>
            </w:r>
          </w:p>
        </w:tc>
        <w:tc>
          <w:tcPr>
            <w:tcW w:w="1032" w:type="dxa"/>
            <w:vAlign w:val="center"/>
          </w:tcPr>
          <w:p w14:paraId="775278B6">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505" w:type="dxa"/>
            <w:vAlign w:val="center"/>
          </w:tcPr>
          <w:p w14:paraId="1F3F6F3C">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4000</w:t>
            </w:r>
          </w:p>
        </w:tc>
        <w:tc>
          <w:tcPr>
            <w:tcW w:w="1879" w:type="dxa"/>
            <w:vAlign w:val="center"/>
          </w:tcPr>
          <w:p w14:paraId="5819DA65">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红塔站</w:t>
            </w:r>
          </w:p>
        </w:tc>
      </w:tr>
      <w:tr w14:paraId="114EE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14:paraId="43428212">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14:paraId="10C341C2">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17</w:t>
            </w:r>
          </w:p>
        </w:tc>
        <w:tc>
          <w:tcPr>
            <w:tcW w:w="2947" w:type="dxa"/>
            <w:vAlign w:val="center"/>
          </w:tcPr>
          <w:p w14:paraId="33D5B13D">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通风柜</w:t>
            </w:r>
          </w:p>
        </w:tc>
        <w:tc>
          <w:tcPr>
            <w:tcW w:w="1032" w:type="dxa"/>
            <w:vAlign w:val="center"/>
          </w:tcPr>
          <w:p w14:paraId="3248D9CE">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4</w:t>
            </w:r>
          </w:p>
        </w:tc>
        <w:tc>
          <w:tcPr>
            <w:tcW w:w="1505" w:type="dxa"/>
            <w:vAlign w:val="center"/>
          </w:tcPr>
          <w:p w14:paraId="0DD5EE4A">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cs="宋体"/>
                <w:i w:val="0"/>
                <w:iCs w:val="0"/>
                <w:color w:val="000000"/>
                <w:kern w:val="0"/>
                <w:sz w:val="24"/>
                <w:szCs w:val="24"/>
                <w:u w:val="none"/>
                <w:lang w:val="en-US" w:eastAsia="zh-CN" w:bidi="ar"/>
              </w:rPr>
              <w:t>11100</w:t>
            </w:r>
          </w:p>
        </w:tc>
        <w:tc>
          <w:tcPr>
            <w:tcW w:w="1879" w:type="dxa"/>
            <w:vAlign w:val="center"/>
          </w:tcPr>
          <w:p w14:paraId="5DC37B34">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红塔站</w:t>
            </w:r>
          </w:p>
        </w:tc>
      </w:tr>
      <w:tr w14:paraId="74535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067" w:type="dxa"/>
            <w:vMerge w:val="continue"/>
            <w:vAlign w:val="center"/>
          </w:tcPr>
          <w:p w14:paraId="340F8124">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4803" w:type="dxa"/>
            <w:gridSpan w:val="3"/>
            <w:vAlign w:val="center"/>
          </w:tcPr>
          <w:p w14:paraId="0B4BE1FA">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合计（元）</w:t>
            </w:r>
          </w:p>
        </w:tc>
        <w:tc>
          <w:tcPr>
            <w:tcW w:w="1505" w:type="dxa"/>
            <w:vAlign w:val="center"/>
          </w:tcPr>
          <w:p w14:paraId="6614EE45">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cs="宋体"/>
                <w:b/>
                <w:bCs/>
                <w:i w:val="0"/>
                <w:iCs w:val="0"/>
                <w:color w:val="000000"/>
                <w:kern w:val="0"/>
                <w:sz w:val="24"/>
                <w:szCs w:val="24"/>
                <w:u w:val="none"/>
                <w:lang w:val="en-US" w:eastAsia="zh-CN" w:bidi="ar"/>
              </w:rPr>
            </w:pPr>
            <w:r>
              <w:rPr>
                <w:rFonts w:hint="eastAsia" w:ascii="宋体" w:hAnsi="宋体" w:cs="宋体"/>
                <w:b/>
                <w:bCs/>
                <w:color w:val="auto"/>
                <w:sz w:val="24"/>
                <w:highlight w:val="none"/>
                <w:lang w:val="en-US" w:eastAsia="zh-CN"/>
              </w:rPr>
              <w:t>3915900.00</w:t>
            </w:r>
          </w:p>
        </w:tc>
        <w:tc>
          <w:tcPr>
            <w:tcW w:w="1879" w:type="dxa"/>
            <w:vAlign w:val="center"/>
          </w:tcPr>
          <w:p w14:paraId="656BFC86">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r>
      <w:tr w14:paraId="24798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067" w:type="dxa"/>
            <w:vAlign w:val="center"/>
          </w:tcPr>
          <w:p w14:paraId="3CF7D187">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cs="宋体"/>
                <w:color w:val="auto"/>
                <w:sz w:val="24"/>
                <w:highlight w:val="none"/>
                <w:vertAlign w:val="baseline"/>
                <w:lang w:val="en-US" w:eastAsia="zh-CN"/>
              </w:rPr>
            </w:pPr>
            <w:r>
              <w:rPr>
                <w:rFonts w:hint="eastAsia" w:ascii="宋体" w:hAnsi="宋体" w:cs="宋体"/>
                <w:b/>
                <w:bCs/>
                <w:color w:val="auto"/>
                <w:sz w:val="24"/>
                <w:highlight w:val="none"/>
                <w:vertAlign w:val="baseline"/>
                <w:lang w:val="en-US" w:eastAsia="zh-CN"/>
              </w:rPr>
              <w:t>包件号</w:t>
            </w:r>
          </w:p>
        </w:tc>
        <w:tc>
          <w:tcPr>
            <w:tcW w:w="824" w:type="dxa"/>
            <w:vAlign w:val="center"/>
          </w:tcPr>
          <w:p w14:paraId="49FF8282">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cs="宋体"/>
                <w:color w:val="auto"/>
                <w:sz w:val="24"/>
                <w:highlight w:val="none"/>
                <w:vertAlign w:val="baseline"/>
                <w:lang w:val="en-US" w:eastAsia="zh-CN"/>
              </w:rPr>
            </w:pPr>
            <w:r>
              <w:rPr>
                <w:rFonts w:hint="eastAsia" w:ascii="宋体" w:hAnsi="宋体" w:cs="宋体"/>
                <w:b/>
                <w:bCs/>
                <w:color w:val="auto"/>
                <w:sz w:val="24"/>
                <w:highlight w:val="none"/>
                <w:vertAlign w:val="baseline"/>
                <w:lang w:val="en-US" w:eastAsia="zh-CN"/>
              </w:rPr>
              <w:t>序号</w:t>
            </w:r>
          </w:p>
        </w:tc>
        <w:tc>
          <w:tcPr>
            <w:tcW w:w="2947" w:type="dxa"/>
            <w:vAlign w:val="center"/>
          </w:tcPr>
          <w:p w14:paraId="60A4D511">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color w:val="auto"/>
                <w:sz w:val="24"/>
                <w:highlight w:val="none"/>
                <w:vertAlign w:val="baseline"/>
                <w:lang w:val="en-US" w:eastAsia="zh-CN"/>
              </w:rPr>
              <w:t>标的名称</w:t>
            </w:r>
          </w:p>
        </w:tc>
        <w:tc>
          <w:tcPr>
            <w:tcW w:w="1032" w:type="dxa"/>
            <w:vAlign w:val="center"/>
          </w:tcPr>
          <w:p w14:paraId="26B91876">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b/>
                <w:bCs/>
                <w:color w:val="auto"/>
                <w:sz w:val="24"/>
                <w:highlight w:val="none"/>
                <w:vertAlign w:val="baseline"/>
                <w:lang w:val="en-US" w:eastAsia="zh-CN"/>
              </w:rPr>
              <w:t>数量（台）</w:t>
            </w:r>
          </w:p>
        </w:tc>
        <w:tc>
          <w:tcPr>
            <w:tcW w:w="1505" w:type="dxa"/>
            <w:vAlign w:val="center"/>
          </w:tcPr>
          <w:p w14:paraId="22237A80">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b/>
                <w:bCs/>
                <w:color w:val="auto"/>
                <w:sz w:val="24"/>
                <w:highlight w:val="none"/>
                <w:vertAlign w:val="baseline"/>
                <w:lang w:val="en-US" w:eastAsia="zh-CN"/>
              </w:rPr>
              <w:t>单价（元）</w:t>
            </w:r>
          </w:p>
        </w:tc>
        <w:tc>
          <w:tcPr>
            <w:tcW w:w="1879" w:type="dxa"/>
            <w:vAlign w:val="center"/>
          </w:tcPr>
          <w:p w14:paraId="4143F941">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b/>
                <w:bCs/>
                <w:color w:val="auto"/>
                <w:sz w:val="24"/>
                <w:highlight w:val="none"/>
                <w:vertAlign w:val="baseline"/>
                <w:lang w:val="en-US" w:eastAsia="zh-CN"/>
              </w:rPr>
              <w:t>备注</w:t>
            </w:r>
          </w:p>
        </w:tc>
      </w:tr>
      <w:tr w14:paraId="12F6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067" w:type="dxa"/>
            <w:vMerge w:val="restart"/>
            <w:vAlign w:val="center"/>
          </w:tcPr>
          <w:p w14:paraId="57CA9EF3">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2</w:t>
            </w:r>
          </w:p>
        </w:tc>
        <w:tc>
          <w:tcPr>
            <w:tcW w:w="824" w:type="dxa"/>
            <w:vAlign w:val="center"/>
          </w:tcPr>
          <w:p w14:paraId="6A368E1D">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w:t>
            </w:r>
          </w:p>
        </w:tc>
        <w:tc>
          <w:tcPr>
            <w:tcW w:w="2947" w:type="dxa"/>
            <w:vAlign w:val="center"/>
          </w:tcPr>
          <w:p w14:paraId="50A62F91">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气相分子吸收光谱仪</w:t>
            </w:r>
          </w:p>
          <w:p w14:paraId="1061D811">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（核心产品）</w:t>
            </w:r>
          </w:p>
        </w:tc>
        <w:tc>
          <w:tcPr>
            <w:tcW w:w="1032" w:type="dxa"/>
            <w:vAlign w:val="center"/>
          </w:tcPr>
          <w:p w14:paraId="17DF28A1">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505" w:type="dxa"/>
            <w:vAlign w:val="center"/>
          </w:tcPr>
          <w:p w14:paraId="2D1A3D4B">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275000</w:t>
            </w:r>
          </w:p>
        </w:tc>
        <w:tc>
          <w:tcPr>
            <w:tcW w:w="1879" w:type="dxa"/>
            <w:vAlign w:val="center"/>
          </w:tcPr>
          <w:p w14:paraId="58063BFB">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红塔站、江川站、澄江站、通海站、华宁站、峨山站</w:t>
            </w:r>
          </w:p>
        </w:tc>
      </w:tr>
      <w:tr w14:paraId="4700D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14:paraId="371D66EA">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14:paraId="1525E008">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2</w:t>
            </w:r>
          </w:p>
        </w:tc>
        <w:tc>
          <w:tcPr>
            <w:tcW w:w="2947" w:type="dxa"/>
            <w:vAlign w:val="center"/>
          </w:tcPr>
          <w:p w14:paraId="0FF5B652">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离子色谱仪</w:t>
            </w:r>
          </w:p>
        </w:tc>
        <w:tc>
          <w:tcPr>
            <w:tcW w:w="1032" w:type="dxa"/>
            <w:vAlign w:val="center"/>
          </w:tcPr>
          <w:p w14:paraId="54E56854">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505" w:type="dxa"/>
            <w:vAlign w:val="center"/>
          </w:tcPr>
          <w:p w14:paraId="09FF90B1">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220000</w:t>
            </w:r>
          </w:p>
        </w:tc>
        <w:tc>
          <w:tcPr>
            <w:tcW w:w="1879" w:type="dxa"/>
            <w:vAlign w:val="center"/>
          </w:tcPr>
          <w:p w14:paraId="6CBAFE0A">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江川站、澄江站、华宁站、峨山站</w:t>
            </w:r>
          </w:p>
        </w:tc>
      </w:tr>
      <w:tr w14:paraId="72DC3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14:paraId="4E65C5C7">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14:paraId="5EA97754">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3</w:t>
            </w:r>
          </w:p>
        </w:tc>
        <w:tc>
          <w:tcPr>
            <w:tcW w:w="2947" w:type="dxa"/>
            <w:vAlign w:val="center"/>
          </w:tcPr>
          <w:p w14:paraId="6F6327AE">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全自动总磷总氮测定仪</w:t>
            </w:r>
          </w:p>
        </w:tc>
        <w:tc>
          <w:tcPr>
            <w:tcW w:w="1032" w:type="dxa"/>
            <w:vAlign w:val="center"/>
          </w:tcPr>
          <w:p w14:paraId="481F5BC6">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05" w:type="dxa"/>
            <w:vAlign w:val="center"/>
          </w:tcPr>
          <w:p w14:paraId="2DA67FCB">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248000</w:t>
            </w:r>
          </w:p>
        </w:tc>
        <w:tc>
          <w:tcPr>
            <w:tcW w:w="1879" w:type="dxa"/>
            <w:vAlign w:val="center"/>
          </w:tcPr>
          <w:p w14:paraId="6DC991D0">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红塔站、江川站</w:t>
            </w:r>
          </w:p>
        </w:tc>
      </w:tr>
      <w:tr w14:paraId="18A2F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14:paraId="7EDDCE89">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14:paraId="5AD132C0">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4</w:t>
            </w:r>
          </w:p>
        </w:tc>
        <w:tc>
          <w:tcPr>
            <w:tcW w:w="2947" w:type="dxa"/>
            <w:vAlign w:val="center"/>
          </w:tcPr>
          <w:p w14:paraId="10C91C77">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全自动红外测油仪</w:t>
            </w:r>
          </w:p>
        </w:tc>
        <w:tc>
          <w:tcPr>
            <w:tcW w:w="1032" w:type="dxa"/>
            <w:vAlign w:val="center"/>
          </w:tcPr>
          <w:p w14:paraId="79E95A90">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05" w:type="dxa"/>
            <w:vAlign w:val="center"/>
          </w:tcPr>
          <w:p w14:paraId="2CB22931">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157000</w:t>
            </w:r>
          </w:p>
        </w:tc>
        <w:tc>
          <w:tcPr>
            <w:tcW w:w="1879" w:type="dxa"/>
            <w:vAlign w:val="center"/>
          </w:tcPr>
          <w:p w14:paraId="6CE71CEB">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红塔站</w:t>
            </w:r>
          </w:p>
        </w:tc>
      </w:tr>
      <w:tr w14:paraId="34E59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14:paraId="6F437511">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14:paraId="6745B0CD">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5</w:t>
            </w:r>
          </w:p>
        </w:tc>
        <w:tc>
          <w:tcPr>
            <w:tcW w:w="2947" w:type="dxa"/>
            <w:vAlign w:val="center"/>
          </w:tcPr>
          <w:p w14:paraId="0CE9B8C4">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超纯水机</w:t>
            </w:r>
          </w:p>
        </w:tc>
        <w:tc>
          <w:tcPr>
            <w:tcW w:w="1032" w:type="dxa"/>
            <w:vAlign w:val="center"/>
          </w:tcPr>
          <w:p w14:paraId="590F1691">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505" w:type="dxa"/>
            <w:vAlign w:val="center"/>
          </w:tcPr>
          <w:p w14:paraId="2C0B473D">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22000</w:t>
            </w:r>
          </w:p>
        </w:tc>
        <w:tc>
          <w:tcPr>
            <w:tcW w:w="1879" w:type="dxa"/>
            <w:vAlign w:val="center"/>
          </w:tcPr>
          <w:p w14:paraId="3BB7ABA0">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红塔站、江川站、澄江站、华宁站、峨山站</w:t>
            </w:r>
          </w:p>
        </w:tc>
      </w:tr>
      <w:tr w14:paraId="6595A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14:paraId="652EC132">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14:paraId="08AEF6F6">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6</w:t>
            </w:r>
          </w:p>
        </w:tc>
        <w:tc>
          <w:tcPr>
            <w:tcW w:w="2947" w:type="dxa"/>
            <w:vAlign w:val="center"/>
          </w:tcPr>
          <w:p w14:paraId="59653DB9">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便携式离心机</w:t>
            </w:r>
          </w:p>
        </w:tc>
        <w:tc>
          <w:tcPr>
            <w:tcW w:w="1032" w:type="dxa"/>
            <w:vAlign w:val="center"/>
          </w:tcPr>
          <w:p w14:paraId="5EBB40C8">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505" w:type="dxa"/>
            <w:vAlign w:val="center"/>
          </w:tcPr>
          <w:p w14:paraId="1CBCF9BB">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7000</w:t>
            </w:r>
          </w:p>
        </w:tc>
        <w:tc>
          <w:tcPr>
            <w:tcW w:w="1879" w:type="dxa"/>
            <w:vAlign w:val="center"/>
          </w:tcPr>
          <w:p w14:paraId="4EC2E803">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红塔站、通海站</w:t>
            </w:r>
          </w:p>
        </w:tc>
      </w:tr>
      <w:tr w14:paraId="5260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14:paraId="5270D387">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14:paraId="44041745">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7</w:t>
            </w:r>
          </w:p>
        </w:tc>
        <w:tc>
          <w:tcPr>
            <w:tcW w:w="2947" w:type="dxa"/>
            <w:vAlign w:val="center"/>
          </w:tcPr>
          <w:p w14:paraId="3A00E573">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专用药品柜</w:t>
            </w:r>
          </w:p>
        </w:tc>
        <w:tc>
          <w:tcPr>
            <w:tcW w:w="1032" w:type="dxa"/>
            <w:vAlign w:val="center"/>
          </w:tcPr>
          <w:p w14:paraId="763D8337">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05" w:type="dxa"/>
            <w:vAlign w:val="center"/>
          </w:tcPr>
          <w:p w14:paraId="6CE60E04">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16500</w:t>
            </w:r>
          </w:p>
        </w:tc>
        <w:tc>
          <w:tcPr>
            <w:tcW w:w="1879" w:type="dxa"/>
            <w:vAlign w:val="center"/>
          </w:tcPr>
          <w:p w14:paraId="34AF3FE5">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红塔站</w:t>
            </w:r>
          </w:p>
        </w:tc>
      </w:tr>
      <w:tr w14:paraId="416EA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7" w:type="dxa"/>
            <w:vMerge w:val="continue"/>
            <w:vAlign w:val="center"/>
          </w:tcPr>
          <w:p w14:paraId="4AB4BF6B">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14:paraId="1CAAFFC1">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8</w:t>
            </w:r>
          </w:p>
        </w:tc>
        <w:tc>
          <w:tcPr>
            <w:tcW w:w="2947" w:type="dxa"/>
            <w:vAlign w:val="center"/>
          </w:tcPr>
          <w:p w14:paraId="261A8E47">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瓶口分液器</w:t>
            </w:r>
          </w:p>
        </w:tc>
        <w:tc>
          <w:tcPr>
            <w:tcW w:w="1032" w:type="dxa"/>
            <w:vAlign w:val="center"/>
          </w:tcPr>
          <w:p w14:paraId="6039B32E">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505" w:type="dxa"/>
            <w:vAlign w:val="center"/>
          </w:tcPr>
          <w:p w14:paraId="510D3BFD">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3000</w:t>
            </w:r>
          </w:p>
        </w:tc>
        <w:tc>
          <w:tcPr>
            <w:tcW w:w="1879" w:type="dxa"/>
            <w:vAlign w:val="center"/>
          </w:tcPr>
          <w:p w14:paraId="2D6FFAE8">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红塔站、江川站、通海站</w:t>
            </w:r>
          </w:p>
        </w:tc>
      </w:tr>
      <w:tr w14:paraId="63DA1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067" w:type="dxa"/>
            <w:vMerge w:val="continue"/>
            <w:vAlign w:val="center"/>
          </w:tcPr>
          <w:p w14:paraId="3D38B462">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14:paraId="31CCEA7B">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9</w:t>
            </w:r>
          </w:p>
        </w:tc>
        <w:tc>
          <w:tcPr>
            <w:tcW w:w="2947" w:type="dxa"/>
            <w:vAlign w:val="center"/>
          </w:tcPr>
          <w:p w14:paraId="607EEC4D">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紫外分光光度计</w:t>
            </w:r>
          </w:p>
        </w:tc>
        <w:tc>
          <w:tcPr>
            <w:tcW w:w="1032" w:type="dxa"/>
            <w:vAlign w:val="center"/>
          </w:tcPr>
          <w:p w14:paraId="08E75541">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05" w:type="dxa"/>
            <w:vAlign w:val="center"/>
          </w:tcPr>
          <w:p w14:paraId="18F618B1">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35000</w:t>
            </w:r>
          </w:p>
        </w:tc>
        <w:tc>
          <w:tcPr>
            <w:tcW w:w="1879" w:type="dxa"/>
            <w:vAlign w:val="center"/>
          </w:tcPr>
          <w:p w14:paraId="21170B2F">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江川站、峨山站</w:t>
            </w:r>
          </w:p>
        </w:tc>
      </w:tr>
      <w:tr w14:paraId="1471C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14:paraId="7D55B3B6">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14:paraId="72F30BA5">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10</w:t>
            </w:r>
          </w:p>
        </w:tc>
        <w:tc>
          <w:tcPr>
            <w:tcW w:w="2947" w:type="dxa"/>
            <w:vAlign w:val="center"/>
          </w:tcPr>
          <w:p w14:paraId="6BACD2EE">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垂直震动器</w:t>
            </w:r>
          </w:p>
        </w:tc>
        <w:tc>
          <w:tcPr>
            <w:tcW w:w="1032" w:type="dxa"/>
            <w:vAlign w:val="center"/>
          </w:tcPr>
          <w:p w14:paraId="74F983EF">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05" w:type="dxa"/>
            <w:vAlign w:val="center"/>
          </w:tcPr>
          <w:p w14:paraId="6E636634">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20000</w:t>
            </w:r>
          </w:p>
        </w:tc>
        <w:tc>
          <w:tcPr>
            <w:tcW w:w="1879" w:type="dxa"/>
            <w:vAlign w:val="center"/>
          </w:tcPr>
          <w:p w14:paraId="4C007338">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通海站、华宁站</w:t>
            </w:r>
          </w:p>
        </w:tc>
      </w:tr>
      <w:tr w14:paraId="24631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14:paraId="0B72528B">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14:paraId="174D2D07">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11</w:t>
            </w:r>
          </w:p>
        </w:tc>
        <w:tc>
          <w:tcPr>
            <w:tcW w:w="2947" w:type="dxa"/>
            <w:vAlign w:val="center"/>
          </w:tcPr>
          <w:p w14:paraId="47DBF75E">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全自动液液萃取仪</w:t>
            </w:r>
          </w:p>
        </w:tc>
        <w:tc>
          <w:tcPr>
            <w:tcW w:w="1032" w:type="dxa"/>
            <w:vAlign w:val="center"/>
          </w:tcPr>
          <w:p w14:paraId="6D51D767">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505" w:type="dxa"/>
            <w:vAlign w:val="center"/>
          </w:tcPr>
          <w:p w14:paraId="6DF7EE3E">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20000</w:t>
            </w:r>
          </w:p>
        </w:tc>
        <w:tc>
          <w:tcPr>
            <w:tcW w:w="1879" w:type="dxa"/>
            <w:vAlign w:val="center"/>
          </w:tcPr>
          <w:p w14:paraId="0724D0E6">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红塔站、江川站、峨山站</w:t>
            </w:r>
          </w:p>
        </w:tc>
      </w:tr>
      <w:tr w14:paraId="21C4C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067" w:type="dxa"/>
            <w:vMerge w:val="continue"/>
            <w:vAlign w:val="center"/>
          </w:tcPr>
          <w:p w14:paraId="7627C2AE">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14:paraId="3EBFC2BD">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12</w:t>
            </w:r>
          </w:p>
        </w:tc>
        <w:tc>
          <w:tcPr>
            <w:tcW w:w="2947" w:type="dxa"/>
            <w:vAlign w:val="center"/>
          </w:tcPr>
          <w:p w14:paraId="0F2A78ED">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叶绿素研磨仪（包括抽滤装置全套）</w:t>
            </w:r>
          </w:p>
        </w:tc>
        <w:tc>
          <w:tcPr>
            <w:tcW w:w="1032" w:type="dxa"/>
            <w:vAlign w:val="center"/>
          </w:tcPr>
          <w:p w14:paraId="49EA85DB">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05" w:type="dxa"/>
            <w:vAlign w:val="center"/>
          </w:tcPr>
          <w:p w14:paraId="7B512EF3">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26000</w:t>
            </w:r>
          </w:p>
        </w:tc>
        <w:tc>
          <w:tcPr>
            <w:tcW w:w="1879" w:type="dxa"/>
            <w:vAlign w:val="center"/>
          </w:tcPr>
          <w:p w14:paraId="6A6F2014">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峨山站</w:t>
            </w:r>
          </w:p>
        </w:tc>
      </w:tr>
      <w:tr w14:paraId="67EF0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14:paraId="545143D8">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14:paraId="5298EF36">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13</w:t>
            </w:r>
          </w:p>
        </w:tc>
        <w:tc>
          <w:tcPr>
            <w:tcW w:w="2947" w:type="dxa"/>
            <w:vAlign w:val="center"/>
          </w:tcPr>
          <w:p w14:paraId="499178FF">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流速仪</w:t>
            </w:r>
          </w:p>
        </w:tc>
        <w:tc>
          <w:tcPr>
            <w:tcW w:w="1032" w:type="dxa"/>
            <w:vAlign w:val="center"/>
          </w:tcPr>
          <w:p w14:paraId="3987EB32">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505" w:type="dxa"/>
            <w:vAlign w:val="center"/>
          </w:tcPr>
          <w:p w14:paraId="4BFCC5E5">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6000</w:t>
            </w:r>
          </w:p>
        </w:tc>
        <w:tc>
          <w:tcPr>
            <w:tcW w:w="1879" w:type="dxa"/>
            <w:vAlign w:val="center"/>
          </w:tcPr>
          <w:p w14:paraId="7F569D2E">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红塔站、江川站、华宁站</w:t>
            </w:r>
          </w:p>
        </w:tc>
      </w:tr>
      <w:tr w14:paraId="35732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14:paraId="37A64022">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14:paraId="2E35DF39">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14</w:t>
            </w:r>
          </w:p>
        </w:tc>
        <w:tc>
          <w:tcPr>
            <w:tcW w:w="2947" w:type="dxa"/>
            <w:vAlign w:val="center"/>
          </w:tcPr>
          <w:p w14:paraId="5C3669D2">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多联不锈钢溶液过滤器</w:t>
            </w:r>
          </w:p>
        </w:tc>
        <w:tc>
          <w:tcPr>
            <w:tcW w:w="1032" w:type="dxa"/>
            <w:vAlign w:val="center"/>
          </w:tcPr>
          <w:p w14:paraId="10956DBA">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505" w:type="dxa"/>
            <w:vAlign w:val="center"/>
          </w:tcPr>
          <w:p w14:paraId="759AC9C7">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8000</w:t>
            </w:r>
          </w:p>
        </w:tc>
        <w:tc>
          <w:tcPr>
            <w:tcW w:w="1879" w:type="dxa"/>
            <w:vAlign w:val="center"/>
          </w:tcPr>
          <w:p w14:paraId="3E30D078">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红塔站、江川站、澄江站</w:t>
            </w:r>
          </w:p>
        </w:tc>
      </w:tr>
      <w:tr w14:paraId="36A32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14:paraId="15488378">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14:paraId="36113742">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15</w:t>
            </w:r>
          </w:p>
        </w:tc>
        <w:tc>
          <w:tcPr>
            <w:tcW w:w="2947" w:type="dxa"/>
            <w:vAlign w:val="center"/>
          </w:tcPr>
          <w:p w14:paraId="4C8CEF67">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红外测油仪</w:t>
            </w:r>
          </w:p>
        </w:tc>
        <w:tc>
          <w:tcPr>
            <w:tcW w:w="1032" w:type="dxa"/>
            <w:vAlign w:val="center"/>
          </w:tcPr>
          <w:p w14:paraId="07B3D815">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505" w:type="dxa"/>
            <w:vAlign w:val="center"/>
          </w:tcPr>
          <w:p w14:paraId="6E7508F3">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60000</w:t>
            </w:r>
          </w:p>
        </w:tc>
        <w:tc>
          <w:tcPr>
            <w:tcW w:w="1879" w:type="dxa"/>
            <w:vAlign w:val="center"/>
          </w:tcPr>
          <w:p w14:paraId="21628338">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江川站、</w:t>
            </w: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澄江站、华宁站、峨山站</w:t>
            </w:r>
          </w:p>
        </w:tc>
      </w:tr>
      <w:tr w14:paraId="6AF76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14:paraId="3200D4D8">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14:paraId="3E98429D">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16</w:t>
            </w:r>
          </w:p>
        </w:tc>
        <w:tc>
          <w:tcPr>
            <w:tcW w:w="2947" w:type="dxa"/>
            <w:vAlign w:val="center"/>
          </w:tcPr>
          <w:p w14:paraId="716C2B26">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实验室台式离心机</w:t>
            </w:r>
          </w:p>
        </w:tc>
        <w:tc>
          <w:tcPr>
            <w:tcW w:w="1032" w:type="dxa"/>
            <w:vAlign w:val="center"/>
          </w:tcPr>
          <w:p w14:paraId="2E122682">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505" w:type="dxa"/>
            <w:vAlign w:val="center"/>
          </w:tcPr>
          <w:p w14:paraId="504656EE">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13000</w:t>
            </w:r>
          </w:p>
        </w:tc>
        <w:tc>
          <w:tcPr>
            <w:tcW w:w="1879" w:type="dxa"/>
            <w:vAlign w:val="center"/>
          </w:tcPr>
          <w:p w14:paraId="63153B16">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配置红塔站、通海</w:t>
            </w:r>
          </w:p>
        </w:tc>
      </w:tr>
      <w:tr w14:paraId="4991E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067" w:type="dxa"/>
            <w:vMerge w:val="continue"/>
            <w:vAlign w:val="center"/>
          </w:tcPr>
          <w:p w14:paraId="33AA92E0">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14:paraId="6AE9907F">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17</w:t>
            </w:r>
          </w:p>
        </w:tc>
        <w:tc>
          <w:tcPr>
            <w:tcW w:w="2947" w:type="dxa"/>
            <w:vAlign w:val="center"/>
          </w:tcPr>
          <w:p w14:paraId="165BB495">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氟化物离子计</w:t>
            </w:r>
          </w:p>
        </w:tc>
        <w:tc>
          <w:tcPr>
            <w:tcW w:w="1032" w:type="dxa"/>
            <w:vAlign w:val="center"/>
          </w:tcPr>
          <w:p w14:paraId="24EDF70A">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05" w:type="dxa"/>
            <w:vAlign w:val="center"/>
          </w:tcPr>
          <w:p w14:paraId="2A7AD5FA">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6000</w:t>
            </w:r>
          </w:p>
        </w:tc>
        <w:tc>
          <w:tcPr>
            <w:tcW w:w="1879" w:type="dxa"/>
            <w:vAlign w:val="center"/>
          </w:tcPr>
          <w:p w14:paraId="24314468">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配置江川站</w:t>
            </w:r>
          </w:p>
        </w:tc>
      </w:tr>
      <w:tr w14:paraId="667B4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067" w:type="dxa"/>
            <w:vMerge w:val="continue"/>
            <w:vAlign w:val="center"/>
          </w:tcPr>
          <w:p w14:paraId="1933D487">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4803" w:type="dxa"/>
            <w:gridSpan w:val="3"/>
            <w:vAlign w:val="center"/>
          </w:tcPr>
          <w:p w14:paraId="07C5B1B7">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合计（元）</w:t>
            </w:r>
          </w:p>
        </w:tc>
        <w:tc>
          <w:tcPr>
            <w:tcW w:w="1505" w:type="dxa"/>
            <w:vAlign w:val="center"/>
          </w:tcPr>
          <w:p w14:paraId="2001E211">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3920000.00</w:t>
            </w:r>
          </w:p>
        </w:tc>
        <w:tc>
          <w:tcPr>
            <w:tcW w:w="1879" w:type="dxa"/>
            <w:vAlign w:val="center"/>
          </w:tcPr>
          <w:p w14:paraId="043243EB">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r>
    </w:tbl>
    <w:p w14:paraId="3EC479F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p>
    <w:p w14:paraId="3DF5459F">
      <w:pPr>
        <w:pageBreakBefore w:val="0"/>
        <w:kinsoku/>
        <w:overflowPunct/>
        <w:bidi w:val="0"/>
        <w:spacing w:line="360" w:lineRule="auto"/>
        <w:rPr>
          <w:rFonts w:hint="eastAsia" w:ascii="宋体" w:hAnsi="宋体" w:cs="宋体"/>
          <w:b/>
          <w:bCs/>
          <w:color w:val="000000" w:themeColor="text1"/>
          <w:kern w:val="2"/>
          <w:sz w:val="24"/>
          <w:szCs w:val="24"/>
          <w:lang w:val="en-US" w:eastAsia="zh-CN" w:bidi="ar-SA"/>
          <w14:textFill>
            <w14:solidFill>
              <w14:schemeClr w14:val="tx1"/>
            </w14:solidFill>
          </w14:textFill>
        </w:rPr>
      </w:pPr>
      <w:r>
        <w:rPr>
          <w:rFonts w:hint="eastAsia" w:ascii="宋体" w:hAnsi="宋体" w:cs="宋体"/>
          <w:b/>
          <w:bCs/>
          <w:color w:val="000000" w:themeColor="text1"/>
          <w:kern w:val="2"/>
          <w:sz w:val="24"/>
          <w:szCs w:val="24"/>
          <w:lang w:val="en-US" w:eastAsia="zh-CN" w:bidi="ar-SA"/>
          <w14:textFill>
            <w14:solidFill>
              <w14:schemeClr w14:val="tx1"/>
            </w14:solidFill>
          </w14:textFill>
        </w:rPr>
        <w:br w:type="page"/>
      </w:r>
    </w:p>
    <w:p w14:paraId="79B8CC00">
      <w:pPr>
        <w:pageBreakBefore w:val="0"/>
        <w:kinsoku/>
        <w:overflowPunct/>
        <w:bidi w:val="0"/>
        <w:spacing w:line="360" w:lineRule="auto"/>
        <w:jc w:val="left"/>
        <w:rPr>
          <w:rFonts w:hint="eastAsia" w:ascii="Calibri" w:hAnsi="Calibri" w:eastAsia="宋体" w:cs="Times New Roman"/>
          <w:kern w:val="2"/>
          <w:sz w:val="21"/>
          <w:szCs w:val="24"/>
          <w:lang w:val="en-US" w:eastAsia="zh-CN" w:bidi="ar-SA"/>
        </w:rPr>
        <w:sectPr>
          <w:pgSz w:w="11906" w:h="16838"/>
          <w:pgMar w:top="1440" w:right="1803" w:bottom="1440" w:left="1803" w:header="851" w:footer="992" w:gutter="0"/>
          <w:pgNumType w:fmt="decimal"/>
          <w:cols w:space="0" w:num="1"/>
          <w:rtlGutter w:val="0"/>
          <w:docGrid w:type="lines" w:linePitch="319" w:charSpace="0"/>
        </w:sectPr>
      </w:pPr>
    </w:p>
    <w:p w14:paraId="6EFEC62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kern w:val="2"/>
          <w:sz w:val="24"/>
          <w:szCs w:val="24"/>
          <w:lang w:val="en-US" w:eastAsia="zh-CN" w:bidi="ar-SA"/>
          <w14:textFill>
            <w14:solidFill>
              <w14:schemeClr w14:val="tx1"/>
            </w14:solidFill>
          </w14:textFill>
        </w:rPr>
        <w:t>二、设备</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技术参数要求</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
        <w:gridCol w:w="2050"/>
        <w:gridCol w:w="10625"/>
      </w:tblGrid>
      <w:tr w14:paraId="42873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2" w:type="dxa"/>
            <w:gridSpan w:val="3"/>
            <w:vAlign w:val="center"/>
          </w:tcPr>
          <w:p w14:paraId="097C603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cs="宋体"/>
                <w:b/>
                <w:bCs/>
                <w:color w:val="000000" w:themeColor="text1"/>
                <w:kern w:val="2"/>
                <w:sz w:val="28"/>
                <w:szCs w:val="28"/>
                <w:vertAlign w:val="baseline"/>
                <w:lang w:val="en-US" w:eastAsia="zh-CN" w:bidi="ar-SA"/>
                <w14:textFill>
                  <w14:solidFill>
                    <w14:schemeClr w14:val="tx1"/>
                  </w14:solidFill>
                </w14:textFill>
              </w:rPr>
              <w:t>1包</w:t>
            </w:r>
          </w:p>
        </w:tc>
      </w:tr>
      <w:tr w14:paraId="7DF0A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14:paraId="04B8866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cs="宋体"/>
                <w:b/>
                <w:bCs/>
                <w:color w:val="000000" w:themeColor="text1"/>
                <w:kern w:val="2"/>
                <w:sz w:val="24"/>
                <w:szCs w:val="24"/>
                <w:vertAlign w:val="baseline"/>
                <w:lang w:val="en-US" w:eastAsia="zh-CN" w:bidi="ar-SA"/>
                <w14:textFill>
                  <w14:solidFill>
                    <w14:schemeClr w14:val="tx1"/>
                  </w14:solidFill>
                </w14:textFill>
              </w:rPr>
              <w:t>序号</w:t>
            </w:r>
          </w:p>
        </w:tc>
        <w:tc>
          <w:tcPr>
            <w:tcW w:w="2050" w:type="dxa"/>
            <w:vAlign w:val="center"/>
          </w:tcPr>
          <w:p w14:paraId="19BC849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cs="宋体"/>
                <w:b/>
                <w:bCs/>
                <w:color w:val="000000" w:themeColor="text1"/>
                <w:kern w:val="2"/>
                <w:sz w:val="24"/>
                <w:szCs w:val="24"/>
                <w:vertAlign w:val="baseline"/>
                <w:lang w:val="en-US" w:eastAsia="zh-CN" w:bidi="ar-SA"/>
                <w14:textFill>
                  <w14:solidFill>
                    <w14:schemeClr w14:val="tx1"/>
                  </w14:solidFill>
                </w14:textFill>
              </w:rPr>
              <w:t>设备名称</w:t>
            </w:r>
          </w:p>
        </w:tc>
        <w:tc>
          <w:tcPr>
            <w:tcW w:w="10625" w:type="dxa"/>
            <w:vAlign w:val="center"/>
          </w:tcPr>
          <w:p w14:paraId="60CC745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cs="宋体"/>
                <w:b/>
                <w:bCs/>
                <w:color w:val="000000" w:themeColor="text1"/>
                <w:kern w:val="2"/>
                <w:sz w:val="24"/>
                <w:szCs w:val="24"/>
                <w:vertAlign w:val="baseline"/>
                <w:lang w:val="en-US" w:eastAsia="zh-CN" w:bidi="ar-SA"/>
                <w14:textFill>
                  <w14:solidFill>
                    <w14:schemeClr w14:val="tx1"/>
                  </w14:solidFill>
                </w14:textFill>
              </w:rPr>
              <w:t>技术参数</w:t>
            </w:r>
          </w:p>
        </w:tc>
      </w:tr>
      <w:tr w14:paraId="17BDF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14:paraId="5462205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cs="宋体"/>
                <w:b/>
                <w:bCs/>
                <w:color w:val="000000" w:themeColor="text1"/>
                <w:kern w:val="2"/>
                <w:sz w:val="24"/>
                <w:szCs w:val="24"/>
                <w:vertAlign w:val="baseline"/>
                <w:lang w:val="en-US" w:eastAsia="zh-CN" w:bidi="ar-SA"/>
                <w14:textFill>
                  <w14:solidFill>
                    <w14:schemeClr w14:val="tx1"/>
                  </w14:solidFill>
                </w14:textFill>
              </w:rPr>
              <w:t>1</w:t>
            </w:r>
          </w:p>
        </w:tc>
        <w:tc>
          <w:tcPr>
            <w:tcW w:w="2050" w:type="dxa"/>
            <w:vAlign w:val="center"/>
          </w:tcPr>
          <w:p w14:paraId="2F4C0D9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val="0"/>
                <w:sz w:val="24"/>
                <w:szCs w:val="24"/>
              </w:rPr>
              <w:t>原子吸收光谱仪</w:t>
            </w:r>
            <w:r>
              <w:rPr>
                <w:rFonts w:hint="eastAsia" w:ascii="宋体" w:hAnsi="宋体" w:eastAsia="宋体" w:cs="宋体"/>
                <w:b/>
                <w:bCs/>
                <w:color w:val="auto"/>
                <w:sz w:val="24"/>
                <w:highlight w:val="none"/>
                <w:vertAlign w:val="baseline"/>
                <w:lang w:val="en-US" w:eastAsia="zh-CN"/>
              </w:rPr>
              <w:t>（核心产品）</w:t>
            </w:r>
          </w:p>
        </w:tc>
        <w:tc>
          <w:tcPr>
            <w:tcW w:w="10625" w:type="dxa"/>
            <w:vAlign w:val="center"/>
          </w:tcPr>
          <w:p w14:paraId="12841B36">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
                <w:bCs/>
                <w:kern w:val="2"/>
                <w:sz w:val="21"/>
                <w:szCs w:val="21"/>
              </w:rPr>
            </w:pPr>
          </w:p>
          <w:p w14:paraId="17552087">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
                <w:bCs/>
                <w:kern w:val="2"/>
                <w:sz w:val="21"/>
                <w:szCs w:val="21"/>
              </w:rPr>
            </w:pPr>
            <w:r>
              <w:rPr>
                <w:rFonts w:hint="eastAsia" w:ascii="宋体" w:hAnsi="宋体" w:eastAsia="宋体" w:cs="宋体"/>
                <w:b/>
                <w:bCs/>
                <w:kern w:val="2"/>
                <w:sz w:val="21"/>
                <w:szCs w:val="21"/>
              </w:rPr>
              <w:t>一、操作环境</w:t>
            </w:r>
          </w:p>
          <w:p w14:paraId="500743FB">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kern w:val="2"/>
                <w:sz w:val="21"/>
                <w:szCs w:val="21"/>
              </w:rPr>
            </w:pPr>
            <w:r>
              <w:rPr>
                <w:rFonts w:hint="eastAsia" w:ascii="宋体" w:hAnsi="宋体" w:eastAsia="宋体" w:cs="宋体"/>
                <w:b/>
                <w:bCs/>
                <w:kern w:val="2"/>
                <w:sz w:val="21"/>
                <w:szCs w:val="21"/>
              </w:rPr>
              <w:t>　　</w:t>
            </w:r>
            <w:r>
              <w:rPr>
                <w:rFonts w:hint="eastAsia" w:ascii="宋体" w:hAnsi="宋体" w:eastAsia="宋体" w:cs="宋体"/>
                <w:kern w:val="2"/>
                <w:sz w:val="21"/>
                <w:szCs w:val="21"/>
              </w:rPr>
              <w:t>电源：AC 230V +/-10%，50/60Hz；温度：15-35℃；相对湿度20%-80%。</w:t>
            </w:r>
          </w:p>
          <w:p w14:paraId="11D47BC0">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
                <w:bCs/>
                <w:kern w:val="2"/>
                <w:sz w:val="21"/>
                <w:szCs w:val="21"/>
              </w:rPr>
            </w:pPr>
            <w:r>
              <w:rPr>
                <w:rFonts w:hint="eastAsia" w:ascii="宋体" w:hAnsi="宋体" w:eastAsia="宋体" w:cs="宋体"/>
                <w:b/>
                <w:bCs/>
                <w:kern w:val="2"/>
                <w:sz w:val="21"/>
                <w:szCs w:val="21"/>
              </w:rPr>
              <w:t>二、技术性能要求</w:t>
            </w:r>
          </w:p>
          <w:p w14:paraId="64ECB77D">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
                <w:bCs/>
                <w:kern w:val="2"/>
                <w:sz w:val="21"/>
                <w:szCs w:val="21"/>
              </w:rPr>
            </w:pPr>
            <w:r>
              <w:rPr>
                <w:rFonts w:hint="eastAsia" w:ascii="宋体" w:hAnsi="宋体" w:eastAsia="宋体" w:cs="宋体"/>
                <w:b/>
                <w:bCs/>
                <w:kern w:val="2"/>
                <w:sz w:val="21"/>
                <w:szCs w:val="21"/>
              </w:rPr>
              <w:t>1、整机系统</w:t>
            </w:r>
            <w:bookmarkStart w:id="102" w:name="_Hlk39129469"/>
          </w:p>
          <w:p w14:paraId="25DBFF70">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kern w:val="2"/>
                <w:sz w:val="21"/>
                <w:szCs w:val="21"/>
              </w:rPr>
            </w:pPr>
            <w:r>
              <w:rPr>
                <w:rFonts w:hint="eastAsia" w:ascii="宋体" w:hAnsi="宋体" w:eastAsia="宋体" w:cs="宋体"/>
                <w:kern w:val="2"/>
                <w:sz w:val="21"/>
                <w:szCs w:val="21"/>
              </w:rPr>
              <w:t>　　台式设计原子吸收光谱仪，火焰、石墨炉一体机或分体机，火焰及石墨炉都必须配置自动进样器，并列式设计或分体设计，切换时燃烧头和石墨管位置保持不变,串联式一体机视为不满足要求。仪器以智能化为基础，由进样系统、原子化器（火焰和石墨炉）、光路系统、检测器、分析软件和计算机系统组成，全自动控制，仪器监控仪表全部由计算机控制，任何仪器参数都不需要手动调节的原子吸收光谱仪。</w:t>
            </w:r>
            <w:bookmarkEnd w:id="102"/>
          </w:p>
          <w:p w14:paraId="7765651E">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
                <w:bCs/>
                <w:kern w:val="2"/>
                <w:sz w:val="21"/>
                <w:szCs w:val="21"/>
              </w:rPr>
            </w:pPr>
            <w:r>
              <w:rPr>
                <w:rFonts w:hint="eastAsia" w:ascii="宋体" w:hAnsi="宋体" w:eastAsia="宋体" w:cs="宋体"/>
                <w:b/>
                <w:bCs/>
                <w:kern w:val="2"/>
                <w:sz w:val="21"/>
                <w:szCs w:val="21"/>
              </w:rPr>
              <w:t>2、光学系统</w:t>
            </w:r>
          </w:p>
          <w:p w14:paraId="1CE7C0BD">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kern w:val="2"/>
                <w:sz w:val="21"/>
                <w:szCs w:val="21"/>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kern w:val="2"/>
                <w:sz w:val="21"/>
                <w:szCs w:val="21"/>
              </w:rPr>
              <w:t>.</w:t>
            </w:r>
            <w:r>
              <w:rPr>
                <w:rFonts w:hint="eastAsia" w:ascii="宋体" w:hAnsi="宋体" w:eastAsia="宋体" w:cs="宋体"/>
                <w:color w:val="auto"/>
                <w:kern w:val="2"/>
                <w:sz w:val="21"/>
                <w:szCs w:val="21"/>
                <w:lang w:val="en-US" w:eastAsia="zh-CN"/>
              </w:rPr>
              <w:t>2.</w:t>
            </w:r>
            <w:r>
              <w:rPr>
                <w:rFonts w:hint="eastAsia" w:ascii="宋体" w:hAnsi="宋体" w:eastAsia="宋体" w:cs="宋体"/>
                <w:color w:val="auto"/>
                <w:kern w:val="2"/>
                <w:sz w:val="21"/>
                <w:szCs w:val="21"/>
              </w:rPr>
              <w:t>1、光学系统：单光束和双光束兼备</w:t>
            </w:r>
            <w:r>
              <w:rPr>
                <w:rFonts w:hint="eastAsia" w:ascii="宋体" w:hAnsi="宋体" w:eastAsia="宋体" w:cs="宋体"/>
                <w:color w:val="auto"/>
                <w:kern w:val="2"/>
                <w:sz w:val="21"/>
                <w:szCs w:val="21"/>
                <w:lang w:val="en-US" w:eastAsia="zh-CN"/>
              </w:rPr>
              <w:t>或采用卡尔蔡司光学系统</w:t>
            </w:r>
            <w:r>
              <w:rPr>
                <w:rFonts w:hint="eastAsia" w:ascii="宋体" w:hAnsi="宋体" w:eastAsia="宋体" w:cs="宋体"/>
                <w:color w:val="auto"/>
                <w:kern w:val="2"/>
                <w:sz w:val="21"/>
                <w:szCs w:val="21"/>
              </w:rPr>
              <w:t>，</w:t>
            </w:r>
            <w:r>
              <w:rPr>
                <w:rFonts w:hint="eastAsia" w:ascii="宋体" w:hAnsi="宋体" w:eastAsia="宋体" w:cs="宋体"/>
                <w:kern w:val="2"/>
                <w:sz w:val="21"/>
                <w:szCs w:val="21"/>
              </w:rPr>
              <w:t>软件自动切换。</w:t>
            </w:r>
          </w:p>
          <w:p w14:paraId="15E68756">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kern w:val="2"/>
                <w:sz w:val="21"/>
                <w:szCs w:val="21"/>
              </w:rPr>
            </w:pPr>
            <w:r>
              <w:rPr>
                <w:rFonts w:hint="eastAsia" w:ascii="宋体" w:hAnsi="宋体" w:eastAsia="宋体" w:cs="宋体"/>
                <w:kern w:val="2"/>
                <w:sz w:val="21"/>
                <w:szCs w:val="21"/>
              </w:rPr>
              <w:t>2.2、波长范围：180-900nm。</w:t>
            </w:r>
          </w:p>
          <w:p w14:paraId="45CE4561">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kern w:val="2"/>
                <w:sz w:val="21"/>
                <w:szCs w:val="21"/>
              </w:rPr>
            </w:pPr>
            <w:r>
              <w:rPr>
                <w:rFonts w:hint="eastAsia" w:ascii="宋体" w:hAnsi="宋体" w:eastAsia="宋体" w:cs="宋体"/>
                <w:kern w:val="2"/>
                <w:sz w:val="21"/>
                <w:szCs w:val="21"/>
              </w:rPr>
              <w:t>2.3、光谱带宽：狭缝的宽度自动选择，狭缝的高度自动选择，6种模式。</w:t>
            </w:r>
          </w:p>
          <w:p w14:paraId="0AD86CEE">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kern w:val="2"/>
                <w:sz w:val="21"/>
                <w:szCs w:val="21"/>
              </w:rPr>
            </w:pPr>
            <w:r>
              <w:rPr>
                <w:rFonts w:hint="eastAsia" w:ascii="宋体" w:hAnsi="宋体" w:eastAsia="宋体" w:cs="宋体"/>
                <w:kern w:val="2"/>
                <w:sz w:val="21"/>
                <w:szCs w:val="21"/>
              </w:rPr>
              <w:t>2.4、波长设定：全自动检索，自动波长扫描。</w:t>
            </w:r>
          </w:p>
          <w:p w14:paraId="157F3A3E">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kern w:val="2"/>
                <w:sz w:val="21"/>
                <w:szCs w:val="21"/>
              </w:rPr>
            </w:pPr>
            <w:r>
              <w:rPr>
                <w:rFonts w:hint="eastAsia" w:ascii="宋体" w:hAnsi="宋体" w:eastAsia="宋体" w:cs="宋体"/>
                <w:kern w:val="2"/>
                <w:sz w:val="21"/>
                <w:szCs w:val="21"/>
              </w:rPr>
              <w:t>2.5、波长准确度：≤±0.1nm；波长重复性：≤±0.05nm。</w:t>
            </w:r>
          </w:p>
          <w:p w14:paraId="4165C6C2">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kern w:val="2"/>
                <w:sz w:val="21"/>
                <w:szCs w:val="21"/>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kern w:val="2"/>
                <w:sz w:val="21"/>
                <w:szCs w:val="21"/>
              </w:rPr>
              <w:t>2.6、仪器光谱分辨能力：Mn279.5nm-279.8nm之间峰谷与279.5nm峰高之比≤15%。</w:t>
            </w:r>
          </w:p>
          <w:p w14:paraId="11BE5C18">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
                <w:bCs/>
                <w:kern w:val="2"/>
                <w:sz w:val="21"/>
                <w:szCs w:val="21"/>
              </w:rPr>
            </w:pPr>
            <w:r>
              <w:rPr>
                <w:rFonts w:hint="eastAsia" w:ascii="宋体" w:hAnsi="宋体" w:eastAsia="宋体" w:cs="宋体"/>
                <w:b/>
                <w:bCs/>
                <w:kern w:val="2"/>
                <w:sz w:val="21"/>
                <w:szCs w:val="21"/>
              </w:rPr>
              <w:t>3、光源和检测器</w:t>
            </w:r>
          </w:p>
          <w:p w14:paraId="5C2AC738">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kern w:val="2"/>
                <w:sz w:val="21"/>
                <w:szCs w:val="21"/>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kern w:val="2"/>
                <w:sz w:val="21"/>
                <w:szCs w:val="21"/>
              </w:rPr>
              <w:t>3.1、灯座：8灯座（全自动切换）。</w:t>
            </w:r>
          </w:p>
          <w:p w14:paraId="5FEA443E">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kern w:val="2"/>
                <w:sz w:val="21"/>
                <w:szCs w:val="21"/>
              </w:rPr>
            </w:pPr>
            <w:r>
              <w:rPr>
                <w:rFonts w:hint="eastAsia" w:ascii="宋体" w:hAnsi="宋体" w:eastAsia="宋体" w:cs="宋体"/>
                <w:kern w:val="2"/>
                <w:sz w:val="21"/>
                <w:szCs w:val="21"/>
              </w:rPr>
              <w:t>3.2、灯选择：内置两种灯电源，可连接空心阴极灯和高性能空心阴极灯；通过软件由计算机控制灯的选择和自动准直，可自动识别灯名称和设定灯电流推荐值。</w:t>
            </w:r>
          </w:p>
          <w:p w14:paraId="7BE566AE">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kern w:val="2"/>
                <w:sz w:val="21"/>
                <w:szCs w:val="21"/>
              </w:rPr>
            </w:pPr>
            <w:r>
              <w:rPr>
                <w:rFonts w:hint="eastAsia" w:ascii="宋体" w:hAnsi="宋体" w:eastAsia="宋体" w:cs="宋体"/>
                <w:kern w:val="2"/>
                <w:sz w:val="21"/>
                <w:szCs w:val="21"/>
              </w:rPr>
              <w:t>3.3、检测器：广谱UV增强光电倍增管检测器或固态CCD检测器。</w:t>
            </w:r>
          </w:p>
          <w:p w14:paraId="742E580C">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
                <w:bCs/>
                <w:kern w:val="2"/>
                <w:sz w:val="21"/>
                <w:szCs w:val="21"/>
              </w:rPr>
            </w:pPr>
            <w:r>
              <w:rPr>
                <w:rFonts w:hint="eastAsia" w:ascii="宋体" w:hAnsi="宋体" w:eastAsia="宋体" w:cs="宋体"/>
                <w:b/>
                <w:bCs/>
                <w:kern w:val="2"/>
                <w:sz w:val="21"/>
                <w:szCs w:val="21"/>
              </w:rPr>
              <w:t>4、火焰分析系统</w:t>
            </w:r>
          </w:p>
          <w:p w14:paraId="4E8F12DF">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kern w:val="2"/>
                <w:sz w:val="21"/>
                <w:szCs w:val="21"/>
              </w:rPr>
            </w:pPr>
            <w:r>
              <w:rPr>
                <w:rFonts w:hint="eastAsia" w:ascii="宋体" w:hAnsi="宋体" w:eastAsia="宋体" w:cs="宋体"/>
                <w:kern w:val="2"/>
                <w:sz w:val="21"/>
                <w:szCs w:val="21"/>
              </w:rPr>
              <w:t>4.1、火焰耐HF酸进样系统，耐：≥50%(v/v)HCl、HNO</w:t>
            </w:r>
            <w:r>
              <w:rPr>
                <w:rFonts w:hint="eastAsia" w:ascii="宋体" w:hAnsi="宋体" w:eastAsia="宋体" w:cs="宋体"/>
                <w:kern w:val="2"/>
                <w:sz w:val="21"/>
                <w:szCs w:val="21"/>
                <w:vertAlign w:val="subscript"/>
              </w:rPr>
              <w:t>3</w:t>
            </w:r>
            <w:r>
              <w:rPr>
                <w:rFonts w:hint="eastAsia" w:ascii="宋体" w:hAnsi="宋体" w:eastAsia="宋体" w:cs="宋体"/>
                <w:kern w:val="2"/>
                <w:sz w:val="21"/>
                <w:szCs w:val="21"/>
              </w:rPr>
              <w:t>、H</w:t>
            </w:r>
            <w:r>
              <w:rPr>
                <w:rFonts w:hint="eastAsia" w:ascii="宋体" w:hAnsi="宋体" w:eastAsia="宋体" w:cs="宋体"/>
                <w:kern w:val="2"/>
                <w:sz w:val="21"/>
                <w:szCs w:val="21"/>
                <w:vertAlign w:val="subscript"/>
              </w:rPr>
              <w:t>2</w:t>
            </w:r>
            <w:r>
              <w:rPr>
                <w:rFonts w:hint="eastAsia" w:ascii="宋体" w:hAnsi="宋体" w:eastAsia="宋体" w:cs="宋体"/>
                <w:kern w:val="2"/>
                <w:sz w:val="21"/>
                <w:szCs w:val="21"/>
              </w:rPr>
              <w:t>SO</w:t>
            </w:r>
            <w:r>
              <w:rPr>
                <w:rFonts w:hint="eastAsia" w:ascii="宋体" w:hAnsi="宋体" w:eastAsia="宋体" w:cs="宋体"/>
                <w:kern w:val="2"/>
                <w:sz w:val="21"/>
                <w:szCs w:val="21"/>
                <w:vertAlign w:val="subscript"/>
              </w:rPr>
              <w:t>4</w:t>
            </w:r>
            <w:r>
              <w:rPr>
                <w:rFonts w:hint="eastAsia" w:ascii="宋体" w:hAnsi="宋体" w:eastAsia="宋体" w:cs="宋体"/>
                <w:kern w:val="2"/>
                <w:sz w:val="21"/>
                <w:szCs w:val="21"/>
              </w:rPr>
              <w:t>、H</w:t>
            </w:r>
            <w:r>
              <w:rPr>
                <w:rFonts w:hint="eastAsia" w:ascii="宋体" w:hAnsi="宋体" w:eastAsia="宋体" w:cs="宋体"/>
                <w:kern w:val="2"/>
                <w:sz w:val="21"/>
                <w:szCs w:val="21"/>
                <w:vertAlign w:val="subscript"/>
              </w:rPr>
              <w:t>3</w:t>
            </w:r>
            <w:r>
              <w:rPr>
                <w:rFonts w:hint="eastAsia" w:ascii="宋体" w:hAnsi="宋体" w:eastAsia="宋体" w:cs="宋体"/>
                <w:kern w:val="2"/>
                <w:sz w:val="21"/>
                <w:szCs w:val="21"/>
              </w:rPr>
              <w:t>PO</w:t>
            </w:r>
            <w:r>
              <w:rPr>
                <w:rFonts w:hint="eastAsia" w:ascii="宋体" w:hAnsi="宋体" w:eastAsia="宋体" w:cs="宋体"/>
                <w:kern w:val="2"/>
                <w:sz w:val="21"/>
                <w:szCs w:val="21"/>
                <w:vertAlign w:val="subscript"/>
              </w:rPr>
              <w:t>4</w:t>
            </w:r>
            <w:r>
              <w:rPr>
                <w:rFonts w:hint="eastAsia" w:ascii="宋体" w:hAnsi="宋体" w:eastAsia="宋体" w:cs="宋体"/>
                <w:kern w:val="2"/>
                <w:sz w:val="21"/>
                <w:szCs w:val="21"/>
              </w:rPr>
              <w:t>，20%(v/v)HF，30%(w/v)NaOH以及30%的高盐样品。可调式通用型雾化器，高强度惰性材料预混室，全钛燃烧头。</w:t>
            </w:r>
          </w:p>
          <w:p w14:paraId="33659E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kern w:val="2"/>
                <w:sz w:val="21"/>
                <w:szCs w:val="21"/>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kern w:val="2"/>
                <w:sz w:val="21"/>
                <w:szCs w:val="21"/>
              </w:rPr>
              <w:t>4.2、火焰系统安全保护：安全联锁装置与燃烧头，雾化器/端盖，排液系统，废液桶液面高度，气体流量等联锁，防止在任何不当条件下点火，当监测不到火焰或任何锁定功能激活时，联锁系统会自动关闭燃烧气体，以防万一。突然断电时，仪器会从任何操作方式按预设程序自动关机，确保安全，软件支持气体</w:t>
            </w:r>
            <w:r>
              <w:rPr>
                <w:rFonts w:hint="eastAsia" w:ascii="宋体" w:hAnsi="宋体" w:eastAsia="宋体" w:cs="宋体"/>
                <w:color w:val="auto"/>
                <w:kern w:val="2"/>
                <w:sz w:val="21"/>
                <w:szCs w:val="21"/>
              </w:rPr>
              <w:t>泄露测试</w:t>
            </w:r>
            <w:r>
              <w:rPr>
                <w:rFonts w:hint="eastAsia" w:ascii="宋体" w:hAnsi="宋体" w:eastAsia="宋体" w:cs="宋体"/>
                <w:color w:val="auto"/>
                <w:kern w:val="2"/>
                <w:sz w:val="21"/>
                <w:szCs w:val="21"/>
                <w:lang w:val="en-US" w:eastAsia="zh-CN"/>
              </w:rPr>
              <w:t>或采用多级硬件+软件联锁保护；</w:t>
            </w:r>
            <w:r>
              <w:rPr>
                <w:rFonts w:hint="eastAsia" w:ascii="宋体" w:hAnsi="宋体" w:eastAsia="宋体" w:cs="宋体"/>
                <w:color w:val="auto"/>
                <w:kern w:val="2"/>
                <w:sz w:val="21"/>
                <w:szCs w:val="21"/>
              </w:rPr>
              <w:t>先自检、后通气、再点火；任一条件不满足则禁止点火/立即熄火</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具有</w:t>
            </w:r>
            <w:r>
              <w:rPr>
                <w:rFonts w:hint="eastAsia" w:ascii="宋体" w:hAnsi="宋体" w:eastAsia="宋体" w:cs="宋体"/>
                <w:color w:val="auto"/>
                <w:kern w:val="2"/>
                <w:sz w:val="21"/>
                <w:szCs w:val="21"/>
              </w:rPr>
              <w:t>全程实时监控</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故障</w:t>
            </w:r>
            <w:r>
              <w:rPr>
                <w:rFonts w:hint="eastAsia" w:ascii="宋体" w:hAnsi="宋体" w:eastAsia="宋体" w:cs="宋体"/>
                <w:color w:val="auto"/>
                <w:kern w:val="2"/>
                <w:sz w:val="21"/>
                <w:szCs w:val="21"/>
                <w:lang w:val="en-US" w:eastAsia="zh-CN"/>
              </w:rPr>
              <w:t>立</w:t>
            </w:r>
            <w:r>
              <w:rPr>
                <w:rFonts w:hint="eastAsia" w:ascii="宋体" w:hAnsi="宋体" w:eastAsia="宋体" w:cs="宋体"/>
                <w:color w:val="auto"/>
                <w:kern w:val="2"/>
                <w:sz w:val="21"/>
                <w:szCs w:val="21"/>
              </w:rPr>
              <w:t>即切断，声光报警</w:t>
            </w:r>
            <w:r>
              <w:rPr>
                <w:rFonts w:hint="eastAsia" w:ascii="宋体" w:hAnsi="宋体" w:eastAsia="宋体" w:cs="宋体"/>
                <w:color w:val="auto"/>
                <w:kern w:val="2"/>
                <w:sz w:val="21"/>
                <w:szCs w:val="21"/>
                <w:lang w:val="en-US" w:eastAsia="zh-CN"/>
              </w:rPr>
              <w:t>和</w:t>
            </w:r>
            <w:r>
              <w:rPr>
                <w:rFonts w:hint="eastAsia" w:ascii="宋体" w:hAnsi="宋体" w:eastAsia="宋体" w:cs="宋体"/>
                <w:color w:val="auto"/>
                <w:kern w:val="2"/>
                <w:sz w:val="21"/>
                <w:szCs w:val="21"/>
              </w:rPr>
              <w:t>软件提示</w:t>
            </w:r>
            <w:r>
              <w:rPr>
                <w:rFonts w:hint="eastAsia" w:ascii="宋体" w:hAnsi="宋体" w:eastAsia="宋体" w:cs="宋体"/>
                <w:color w:val="auto"/>
                <w:kern w:val="2"/>
                <w:sz w:val="21"/>
                <w:szCs w:val="21"/>
                <w:lang w:val="en-US" w:eastAsia="zh-CN"/>
              </w:rPr>
              <w:t>功能</w:t>
            </w:r>
            <w:r>
              <w:rPr>
                <w:rFonts w:hint="eastAsia" w:ascii="宋体" w:hAnsi="宋体" w:eastAsia="宋体" w:cs="宋体"/>
                <w:color w:val="auto"/>
                <w:kern w:val="2"/>
                <w:sz w:val="21"/>
                <w:szCs w:val="21"/>
              </w:rPr>
              <w:t>。</w:t>
            </w:r>
          </w:p>
          <w:p w14:paraId="76491B4E">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kern w:val="2"/>
                <w:sz w:val="21"/>
                <w:szCs w:val="21"/>
              </w:rPr>
            </w:pPr>
            <w:r>
              <w:rPr>
                <w:rFonts w:hint="eastAsia" w:ascii="宋体" w:hAnsi="宋体" w:eastAsia="宋体" w:cs="宋体"/>
                <w:kern w:val="2"/>
                <w:sz w:val="21"/>
                <w:szCs w:val="21"/>
              </w:rPr>
              <w:t>4.3、燃烧器系统：燃烧头角度可调节，预混燃烧器可通过软件控制驱动装置自动换入样品室。火焰在光路中的准直，燃烧器的垂直，水平位置的调节完全自动化，并由软件控制自动进行位置最佳化。</w:t>
            </w:r>
          </w:p>
          <w:p w14:paraId="6A38FC36">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4.4、背景校正方式：采用高强度宽范围氘灯背景校正，可校正357nm铬。</w:t>
            </w:r>
          </w:p>
          <w:p w14:paraId="512A1840">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0000FF"/>
                <w:kern w:val="2"/>
                <w:sz w:val="21"/>
                <w:szCs w:val="21"/>
              </w:rPr>
            </w:pPr>
            <w:r>
              <w:rPr>
                <w:rFonts w:hint="eastAsia" w:ascii="宋体" w:hAnsi="宋体" w:eastAsia="宋体" w:cs="宋体"/>
                <w:sz w:val="21"/>
                <w:szCs w:val="21"/>
              </w:rPr>
              <w:t xml:space="preserve">4.5、灵敏度：5ppm Cu吸光度≥1.0A。检出限：＜0.003ppm。 </w:t>
            </w:r>
          </w:p>
          <w:p w14:paraId="069EDB45">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4.6、稳定性：5ppm Cu重复7次，RSD%≤0.35%。 </w:t>
            </w:r>
          </w:p>
          <w:p w14:paraId="772397E8">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sz w:val="21"/>
                <w:szCs w:val="21"/>
              </w:rPr>
              <w:t>4.7、火焰方法测量：766.49nm：10ppm，20ppm，30ppm，40ppm，50ppm的钾（K）标准溶液，以线性计算截距的校准方式，线性相关系数必须大于0.9999。</w:t>
            </w:r>
          </w:p>
          <w:p w14:paraId="78B60950">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4.8、30分钟动态基线稳定性：Cu（0.2nm狭缝，预热小于30分钟）±0.0030Abs，Ni（0.2nm狭缝，预热小于30分钟）±0.0050Abs。 </w:t>
            </w:r>
          </w:p>
          <w:p w14:paraId="27F49955">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5、石墨炉分析系统</w:t>
            </w:r>
          </w:p>
          <w:p w14:paraId="3C9E8CBA">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5.1、石墨管：采用带热解涂层的平台石墨管，一次最大进样体积≥90ul。</w:t>
            </w:r>
          </w:p>
          <w:p w14:paraId="26D9ADD1">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5.2、加热方式：纵向加热或横向加热。</w:t>
            </w:r>
          </w:p>
          <w:p w14:paraId="774AE793">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5.3、石墨炉工作温度：室温－3000℃。</w:t>
            </w:r>
          </w:p>
          <w:p w14:paraId="6EADAE77">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5.4、温度控制：红外探头石墨管温度实时监控，具有电压补偿和石墨管电阻变化补偿功能。</w:t>
            </w:r>
          </w:p>
          <w:p w14:paraId="7D8675B5">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highlight w:val="none"/>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sz w:val="21"/>
                <w:szCs w:val="21"/>
                <w:highlight w:val="none"/>
              </w:rPr>
              <w:t>5.5、</w:t>
            </w:r>
            <w:r>
              <w:rPr>
                <w:rFonts w:hint="default" w:ascii="Times New Roman" w:hAnsi="Times New Roman" w:eastAsia="宋体" w:cs="Times New Roman"/>
                <w:sz w:val="21"/>
                <w:szCs w:val="21"/>
                <w:highlight w:val="none"/>
              </w:rPr>
              <w:t>背景校正方式：</w:t>
            </w:r>
            <w:r>
              <w:rPr>
                <w:rFonts w:hint="default" w:ascii="Times New Roman" w:hAnsi="Times New Roman" w:eastAsia="宋体" w:cs="Times New Roman"/>
                <w:sz w:val="21"/>
                <w:szCs w:val="21"/>
                <w:highlight w:val="none"/>
                <w:lang w:val="en-US" w:eastAsia="zh-CN"/>
              </w:rPr>
              <w:t>具有</w:t>
            </w:r>
            <w:r>
              <w:rPr>
                <w:rFonts w:hint="default" w:ascii="Times New Roman" w:hAnsi="Times New Roman" w:eastAsia="宋体" w:cs="Times New Roman"/>
                <w:sz w:val="21"/>
                <w:szCs w:val="21"/>
                <w:highlight w:val="none"/>
              </w:rPr>
              <w:t>塞曼</w:t>
            </w:r>
            <w:r>
              <w:rPr>
                <w:rFonts w:hint="eastAsia"/>
              </w:rPr>
              <w:t>背景校正</w:t>
            </w:r>
            <w:r>
              <w:rPr>
                <w:rFonts w:hint="default" w:ascii="Times New Roman" w:hAnsi="Times New Roman" w:eastAsia="宋体" w:cs="Times New Roman"/>
                <w:sz w:val="21"/>
                <w:szCs w:val="21"/>
                <w:highlight w:val="none"/>
                <w:lang w:val="en-US" w:eastAsia="zh-CN"/>
              </w:rPr>
              <w:t>或</w:t>
            </w:r>
            <w:r>
              <w:rPr>
                <w:rFonts w:hint="eastAsia"/>
              </w:rPr>
              <w:t>氘灯背景校正</w:t>
            </w:r>
            <w:r>
              <w:rPr>
                <w:rFonts w:hint="default" w:ascii="Times New Roman" w:hAnsi="Times New Roman" w:eastAsia="宋体" w:cs="Times New Roman"/>
                <w:i w:val="0"/>
                <w:iCs w:val="0"/>
                <w:color w:val="000000"/>
                <w:kern w:val="0"/>
                <w:sz w:val="21"/>
                <w:szCs w:val="21"/>
                <w:highlight w:val="none"/>
                <w:u w:val="none"/>
                <w:lang w:val="en-US" w:eastAsia="zh-CN" w:bidi="ar"/>
              </w:rPr>
              <w:t>任意一种</w:t>
            </w:r>
            <w:r>
              <w:rPr>
                <w:rFonts w:hint="default" w:ascii="Times New Roman" w:hAnsi="Times New Roman" w:eastAsia="宋体" w:cs="Times New Roman"/>
                <w:sz w:val="21"/>
                <w:szCs w:val="21"/>
                <w:highlight w:val="none"/>
              </w:rPr>
              <w:t>校正</w:t>
            </w:r>
            <w:r>
              <w:rPr>
                <w:rFonts w:hint="default" w:ascii="Times New Roman" w:hAnsi="Times New Roman" w:eastAsia="宋体" w:cs="Times New Roman"/>
                <w:sz w:val="21"/>
                <w:szCs w:val="21"/>
                <w:highlight w:val="none"/>
                <w:lang w:val="en-US" w:eastAsia="zh-CN"/>
              </w:rPr>
              <w:t>功能</w:t>
            </w:r>
            <w:r>
              <w:rPr>
                <w:rFonts w:hint="eastAsia" w:ascii="宋体" w:hAnsi="宋体" w:eastAsia="宋体" w:cs="宋体"/>
                <w:sz w:val="21"/>
                <w:szCs w:val="21"/>
                <w:highlight w:val="none"/>
              </w:rPr>
              <w:t>。</w:t>
            </w:r>
          </w:p>
          <w:p w14:paraId="2F2CEDC6">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sz w:val="21"/>
                <w:szCs w:val="21"/>
              </w:rPr>
              <w:t>5.6、电源：内置直流石墨炉电源，整个仪器为一个整体。</w:t>
            </w:r>
          </w:p>
          <w:p w14:paraId="4F134A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1"/>
                <w:szCs w:val="21"/>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sz w:val="21"/>
                <w:szCs w:val="21"/>
              </w:rPr>
              <w:t>5.7、</w:t>
            </w:r>
            <w:r>
              <w:rPr>
                <w:rFonts w:hint="eastAsia" w:ascii="宋体" w:hAnsi="宋体" w:eastAsia="宋体" w:cs="宋体"/>
                <w:sz w:val="21"/>
                <w:szCs w:val="21"/>
                <w:lang w:val="en-US" w:eastAsia="zh-CN"/>
              </w:rPr>
              <w:t>具有</w:t>
            </w:r>
            <w:r>
              <w:rPr>
                <w:rFonts w:hint="eastAsia" w:ascii="宋体" w:hAnsi="宋体" w:eastAsia="宋体" w:cs="宋体"/>
                <w:sz w:val="21"/>
                <w:szCs w:val="21"/>
              </w:rPr>
              <w:t>石墨炉</w:t>
            </w:r>
            <w:r>
              <w:rPr>
                <w:rFonts w:hint="eastAsia" w:ascii="宋体" w:hAnsi="宋体" w:eastAsia="宋体" w:cs="宋体"/>
                <w:sz w:val="21"/>
                <w:szCs w:val="21"/>
                <w:lang w:val="en-US" w:eastAsia="zh-CN"/>
              </w:rPr>
              <w:t>彩色摄像</w:t>
            </w:r>
            <w:r>
              <w:rPr>
                <w:rFonts w:hint="eastAsia" w:ascii="宋体" w:hAnsi="宋体" w:eastAsia="宋体" w:cs="宋体"/>
                <w:sz w:val="21"/>
                <w:szCs w:val="21"/>
              </w:rPr>
              <w:t>系统</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可观察样品在石墨管内干燥、</w:t>
            </w:r>
            <w:r>
              <w:rPr>
                <w:rFonts w:hint="eastAsia" w:ascii="宋体" w:hAnsi="宋体" w:eastAsia="宋体" w:cs="宋体"/>
                <w:sz w:val="21"/>
                <w:szCs w:val="21"/>
              </w:rPr>
              <w:t>灰化</w:t>
            </w:r>
            <w:r>
              <w:rPr>
                <w:rFonts w:hint="eastAsia" w:ascii="宋体" w:hAnsi="宋体" w:eastAsia="宋体" w:cs="宋体"/>
                <w:sz w:val="21"/>
                <w:szCs w:val="21"/>
                <w:lang w:val="en-US" w:eastAsia="zh-CN"/>
              </w:rPr>
              <w:t>等过程，便于调整自动进样器</w:t>
            </w:r>
            <w:r>
              <w:rPr>
                <w:rFonts w:hint="eastAsia" w:ascii="宋体" w:hAnsi="宋体" w:eastAsia="宋体" w:cs="宋体"/>
                <w:color w:val="auto"/>
                <w:sz w:val="21"/>
                <w:szCs w:val="21"/>
                <w:lang w:val="en-US" w:eastAsia="zh-CN"/>
              </w:rPr>
              <w:t>的位置</w:t>
            </w:r>
            <w:r>
              <w:rPr>
                <w:rFonts w:hint="eastAsia" w:ascii="宋体" w:hAnsi="宋体" w:eastAsia="宋体" w:cs="宋体"/>
                <w:color w:val="auto"/>
                <w:sz w:val="21"/>
                <w:szCs w:val="21"/>
              </w:rPr>
              <w:t>。</w:t>
            </w:r>
          </w:p>
          <w:p w14:paraId="6E5E7BD6">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sz w:val="21"/>
                <w:szCs w:val="21"/>
              </w:rPr>
              <w:t>5.8、石墨炉配备加氧装置。</w:t>
            </w:r>
          </w:p>
          <w:p w14:paraId="7F802E07">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5.9、灵敏度：2ppb Cd进样20微升，吸光度≥0.2A。检出限：＜0.02ppb。</w:t>
            </w:r>
          </w:p>
          <w:p w14:paraId="35849064">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5.10、稳定性：2ppb Cd重复7次，RSD%≤2%。</w:t>
            </w:r>
          </w:p>
          <w:p w14:paraId="77DDFD08">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sz w:val="21"/>
                <w:szCs w:val="21"/>
              </w:rPr>
              <w:t>5.11、石墨炉方法测量：1%氯化钠基体溶液中10ppb、20ppb、30ppb、40ppb、50ppb的铅（Pb）标准溶液，以线性计算截距的校准方式，线性相关系数必须大于0.999。</w:t>
            </w:r>
          </w:p>
          <w:p w14:paraId="3136D723">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5.12、石墨炉方法测量：10ppb，20ppb，30ppb，40ppb，50ppb高温元素铝（Al）标准溶液，以线性计算截距的校准方式，线性相关系数必须大于0.999。</w:t>
            </w:r>
            <w:bookmarkStart w:id="103" w:name="OLE_LINK1"/>
          </w:p>
          <w:bookmarkEnd w:id="103"/>
          <w:p w14:paraId="222C9FA4">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5.13、石墨炉方法测量：4ppb，8ppb，12ppb，16ppb，20ppb高温元素钡（Ba）标准溶液，以线性计算截距的校准方式，线性相关系数必须大于0.999。</w:t>
            </w:r>
          </w:p>
          <w:p w14:paraId="48576255">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6、火焰/石墨炉一体化自动进样器</w:t>
            </w:r>
          </w:p>
          <w:p w14:paraId="1C4104ED">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bookmarkStart w:id="104" w:name="_Hlk67322436"/>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sz w:val="21"/>
                <w:szCs w:val="21"/>
              </w:rPr>
              <w:t>6.1、样品位数：石墨炉均不小于</w:t>
            </w:r>
            <w:r>
              <w:rPr>
                <w:rFonts w:hint="eastAsia" w:ascii="宋体" w:hAnsi="宋体" w:eastAsia="宋体" w:cs="宋体"/>
                <w:sz w:val="21"/>
                <w:szCs w:val="21"/>
                <w:lang w:val="en-US" w:eastAsia="zh-CN"/>
              </w:rPr>
              <w:t>6</w:t>
            </w:r>
            <w:r>
              <w:rPr>
                <w:rFonts w:hint="eastAsia" w:ascii="宋体" w:hAnsi="宋体" w:eastAsia="宋体" w:cs="宋体"/>
                <w:sz w:val="21"/>
                <w:szCs w:val="21"/>
              </w:rPr>
              <w:t>0个样品位以上，带取样嘴清洗池。</w:t>
            </w:r>
          </w:p>
          <w:bookmarkEnd w:id="104"/>
          <w:p w14:paraId="2CFF1DDD">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6.2、进样量：1-99微升</w:t>
            </w:r>
            <w:r>
              <w:rPr>
                <w:rFonts w:hint="eastAsia" w:ascii="宋体" w:hAnsi="宋体" w:eastAsia="宋体" w:cs="宋体"/>
                <w:kern w:val="0"/>
                <w:sz w:val="21"/>
                <w:szCs w:val="21"/>
                <w:lang w:val="en-US" w:eastAsia="zh-CN" w:bidi="ar"/>
              </w:rPr>
              <w:t>或2-45 微升</w:t>
            </w:r>
            <w:r>
              <w:rPr>
                <w:rFonts w:hint="eastAsia" w:ascii="宋体" w:hAnsi="宋体" w:eastAsia="宋体" w:cs="宋体"/>
                <w:sz w:val="21"/>
                <w:szCs w:val="21"/>
              </w:rPr>
              <w:t>连续可调，最小增量1µl。</w:t>
            </w:r>
          </w:p>
          <w:p w14:paraId="7DDF90F5">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6.3、石墨炉分析可自动进行配制标准、加基体改进剂、浓缩和稀释、质量控制。</w:t>
            </w:r>
          </w:p>
          <w:p w14:paraId="21415FE9">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6.4、火焰/石墨炉自动进样器切换无需任何工具。</w:t>
            </w:r>
          </w:p>
          <w:p w14:paraId="74E4EB25">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7、操作控制软件</w:t>
            </w:r>
          </w:p>
          <w:p w14:paraId="3D6BCD49">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7.</w:t>
            </w:r>
            <w:r>
              <w:rPr>
                <w:rFonts w:hint="eastAsia" w:ascii="宋体" w:hAnsi="宋体" w:cs="宋体"/>
                <w:sz w:val="21"/>
                <w:szCs w:val="21"/>
                <w:lang w:val="en-US" w:eastAsia="zh-CN"/>
              </w:rPr>
              <w:t>1</w:t>
            </w:r>
            <w:r>
              <w:rPr>
                <w:rFonts w:hint="eastAsia" w:ascii="宋体" w:hAnsi="宋体" w:eastAsia="宋体" w:cs="宋体"/>
                <w:sz w:val="21"/>
                <w:szCs w:val="21"/>
              </w:rPr>
              <w:t>、校正曲线：多达15个标准点的各种校正曲线法供选择，可任选单标进行曲线斜率重校。</w:t>
            </w:r>
          </w:p>
          <w:p w14:paraId="0F2BC0E1">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7.</w:t>
            </w:r>
            <w:r>
              <w:rPr>
                <w:rFonts w:hint="eastAsia" w:ascii="宋体" w:hAnsi="宋体" w:cs="宋体"/>
                <w:sz w:val="21"/>
                <w:szCs w:val="21"/>
                <w:lang w:val="en-US" w:eastAsia="zh-CN"/>
              </w:rPr>
              <w:t>2</w:t>
            </w:r>
            <w:r>
              <w:rPr>
                <w:rFonts w:hint="eastAsia" w:ascii="宋体" w:hAnsi="宋体" w:eastAsia="宋体" w:cs="宋体"/>
                <w:sz w:val="21"/>
                <w:szCs w:val="21"/>
              </w:rPr>
              <w:t>、软件具有一键视频教学功能。</w:t>
            </w:r>
          </w:p>
          <w:p w14:paraId="4D758B35">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7.</w:t>
            </w:r>
            <w:r>
              <w:rPr>
                <w:rFonts w:hint="eastAsia" w:ascii="宋体" w:hAnsi="宋体" w:cs="宋体"/>
                <w:sz w:val="21"/>
                <w:szCs w:val="21"/>
                <w:lang w:val="en-US" w:eastAsia="zh-CN"/>
              </w:rPr>
              <w:t>3</w:t>
            </w:r>
            <w:r>
              <w:rPr>
                <w:rFonts w:hint="eastAsia" w:ascii="宋体" w:hAnsi="宋体" w:eastAsia="宋体" w:cs="宋体"/>
                <w:sz w:val="21"/>
                <w:szCs w:val="21"/>
              </w:rPr>
              <w:t>、仪器诊断软件和网络通讯。</w:t>
            </w:r>
          </w:p>
          <w:p w14:paraId="249383AF">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7.</w:t>
            </w:r>
            <w:r>
              <w:rPr>
                <w:rFonts w:hint="eastAsia" w:ascii="宋体" w:hAnsi="宋体" w:cs="宋体"/>
                <w:sz w:val="21"/>
                <w:szCs w:val="21"/>
                <w:lang w:val="en-US" w:eastAsia="zh-CN"/>
              </w:rPr>
              <w:t>4</w:t>
            </w:r>
            <w:r>
              <w:rPr>
                <w:rFonts w:hint="eastAsia" w:ascii="宋体" w:hAnsi="宋体" w:eastAsia="宋体" w:cs="宋体"/>
                <w:sz w:val="21"/>
                <w:szCs w:val="21"/>
              </w:rPr>
              <w:t>、每一元素的测量参数自动优化并推荐最佳值，无需使用者进行估计。</w:t>
            </w:r>
          </w:p>
          <w:p w14:paraId="4418A95A">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7.</w:t>
            </w:r>
            <w:r>
              <w:rPr>
                <w:rFonts w:hint="eastAsia" w:ascii="宋体" w:hAnsi="宋体" w:cs="宋体"/>
                <w:sz w:val="21"/>
                <w:szCs w:val="21"/>
                <w:lang w:val="en-US" w:eastAsia="zh-CN"/>
              </w:rPr>
              <w:t>5</w:t>
            </w:r>
            <w:r>
              <w:rPr>
                <w:rFonts w:hint="eastAsia" w:ascii="宋体" w:hAnsi="宋体" w:eastAsia="宋体" w:cs="宋体"/>
                <w:sz w:val="21"/>
                <w:szCs w:val="21"/>
              </w:rPr>
              <w:t>、石墨炉分析时默认峰面积分读数。</w:t>
            </w:r>
          </w:p>
          <w:p w14:paraId="4FC8ECEC">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三、配置和附件要求</w:t>
            </w:r>
          </w:p>
          <w:p w14:paraId="0C49D15D">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1、原子吸收光谱仪主机（含火焰原子化器和石墨炉原子化器）1套</w:t>
            </w:r>
          </w:p>
          <w:p w14:paraId="200E7776">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2、仪器控制软件 1套</w:t>
            </w:r>
          </w:p>
          <w:p w14:paraId="50EC75C5">
            <w:pPr>
              <w:keepNext w:val="0"/>
              <w:keepLines w:val="0"/>
              <w:pageBreakBefore w:val="0"/>
              <w:widowControl w:val="0"/>
              <w:kinsoku/>
              <w:wordWrap/>
              <w:overflowPunct/>
              <w:topLinePunct w:val="0"/>
              <w:autoSpaceDE/>
              <w:autoSpaceDN/>
              <w:bidi w:val="0"/>
              <w:adjustRightInd/>
              <w:snapToGrid/>
              <w:spacing w:after="0" w:line="360" w:lineRule="auto"/>
              <w:ind w:left="2"/>
              <w:textAlignment w:val="auto"/>
              <w:rPr>
                <w:rFonts w:hint="eastAsia" w:ascii="宋体" w:hAnsi="宋体" w:eastAsia="宋体" w:cs="宋体"/>
                <w:sz w:val="21"/>
                <w:szCs w:val="21"/>
              </w:rPr>
            </w:pPr>
            <w:r>
              <w:rPr>
                <w:rFonts w:hint="eastAsia" w:ascii="宋体" w:hAnsi="宋体" w:eastAsia="宋体" w:cs="宋体"/>
                <w:sz w:val="21"/>
                <w:szCs w:val="21"/>
              </w:rPr>
              <w:t>3、自动进样器（样品位不少于</w:t>
            </w:r>
            <w:r>
              <w:rPr>
                <w:rFonts w:hint="eastAsia" w:ascii="宋体" w:hAnsi="宋体" w:eastAsia="宋体" w:cs="宋体"/>
                <w:sz w:val="21"/>
                <w:szCs w:val="21"/>
                <w:lang w:val="en-US" w:eastAsia="zh-CN"/>
              </w:rPr>
              <w:t>60</w:t>
            </w:r>
            <w:r>
              <w:rPr>
                <w:rFonts w:hint="eastAsia" w:ascii="宋体" w:hAnsi="宋体" w:eastAsia="宋体" w:cs="宋体"/>
                <w:sz w:val="21"/>
                <w:szCs w:val="21"/>
              </w:rPr>
              <w:t>位）　1套</w:t>
            </w:r>
          </w:p>
          <w:p w14:paraId="39F671B6">
            <w:pPr>
              <w:keepNext w:val="0"/>
              <w:keepLines w:val="0"/>
              <w:pageBreakBefore w:val="0"/>
              <w:widowControl w:val="0"/>
              <w:kinsoku/>
              <w:wordWrap/>
              <w:overflowPunct/>
              <w:topLinePunct w:val="0"/>
              <w:autoSpaceDE/>
              <w:autoSpaceDN/>
              <w:bidi w:val="0"/>
              <w:adjustRightInd/>
              <w:snapToGrid/>
              <w:spacing w:after="0" w:line="360" w:lineRule="auto"/>
              <w:ind w:left="2"/>
              <w:textAlignment w:val="auto"/>
              <w:rPr>
                <w:rFonts w:hint="eastAsia" w:ascii="宋体" w:hAnsi="宋体" w:eastAsia="宋体" w:cs="宋体"/>
                <w:sz w:val="21"/>
                <w:szCs w:val="21"/>
              </w:rPr>
            </w:pPr>
            <w:r>
              <w:rPr>
                <w:rFonts w:hint="eastAsia" w:ascii="宋体" w:hAnsi="宋体" w:eastAsia="宋体" w:cs="宋体"/>
                <w:sz w:val="21"/>
                <w:szCs w:val="21"/>
              </w:rPr>
              <w:t xml:space="preserve">4、样品进样、干燥、灰化、原子化和清洗全监测摄像装置　1套 </w:t>
            </w:r>
          </w:p>
          <w:p w14:paraId="3F06ABF6">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5、能量自动平衡氘灯专用控制系统或塞曼装置　1套</w:t>
            </w:r>
          </w:p>
          <w:p w14:paraId="5207DF66">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6、石墨炉加热直流电源　1套</w:t>
            </w:r>
          </w:p>
          <w:p w14:paraId="21F2050E">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7、带液封监测安全联锁保护电路的排废液装置　1套</w:t>
            </w:r>
          </w:p>
          <w:p w14:paraId="7EF0E630">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8、空气、乙炔气、氩气专用连接管路　各1套</w:t>
            </w:r>
          </w:p>
          <w:p w14:paraId="1BBA1C51">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9、标准附件箱（包括燃烧头刮刀、台灯等）　1套</w:t>
            </w:r>
          </w:p>
          <w:p w14:paraId="51846074">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10、空气压缩机和空气过滤器　1套</w:t>
            </w:r>
          </w:p>
          <w:p w14:paraId="6D9F1A23">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11、循环冷却水系统　1套</w:t>
            </w:r>
          </w:p>
          <w:p w14:paraId="47EC479A">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12、石墨炉加氧除碳炉内消解装置　1套</w:t>
            </w:r>
          </w:p>
          <w:p w14:paraId="447FA280">
            <w:pPr>
              <w:keepNext w:val="0"/>
              <w:keepLines w:val="0"/>
              <w:pageBreakBefore w:val="0"/>
              <w:widowControl w:val="0"/>
              <w:kinsoku/>
              <w:wordWrap/>
              <w:overflowPunct/>
              <w:topLinePunct w:val="0"/>
              <w:autoSpaceDE/>
              <w:autoSpaceDN/>
              <w:bidi w:val="0"/>
              <w:adjustRightInd/>
              <w:snapToGrid/>
              <w:spacing w:after="0" w:line="360" w:lineRule="auto"/>
              <w:ind w:left="2"/>
              <w:textAlignment w:val="auto"/>
              <w:rPr>
                <w:rFonts w:hint="eastAsia" w:ascii="宋体" w:hAnsi="宋体" w:eastAsia="宋体" w:cs="宋体"/>
                <w:sz w:val="21"/>
                <w:szCs w:val="21"/>
              </w:rPr>
            </w:pPr>
            <w:r>
              <w:rPr>
                <w:rFonts w:hint="eastAsia" w:ascii="宋体" w:hAnsi="宋体" w:eastAsia="宋体" w:cs="宋体"/>
                <w:sz w:val="21"/>
                <w:szCs w:val="21"/>
              </w:rPr>
              <w:t>13、原厂空心阴极灯Cu、Pb、Cd、Fe、Zn、Ni、Mn</w:t>
            </w:r>
            <w:r>
              <w:rPr>
                <w:rFonts w:hint="eastAsia" w:ascii="宋体" w:hAnsi="宋体" w:eastAsia="宋体" w:cs="宋体"/>
                <w:sz w:val="21"/>
                <w:szCs w:val="21"/>
                <w:lang w:eastAsia="zh-CN"/>
              </w:rPr>
              <w:t>、Cr</w:t>
            </w:r>
            <w:r>
              <w:rPr>
                <w:rFonts w:hint="eastAsia" w:ascii="宋体" w:hAnsi="宋体" w:eastAsia="宋体" w:cs="宋体"/>
                <w:sz w:val="21"/>
                <w:szCs w:val="21"/>
              </w:rPr>
              <w:t>各1只</w:t>
            </w:r>
          </w:p>
          <w:p w14:paraId="59998EEA">
            <w:pPr>
              <w:keepNext w:val="0"/>
              <w:keepLines w:val="0"/>
              <w:pageBreakBefore w:val="0"/>
              <w:widowControl w:val="0"/>
              <w:kinsoku/>
              <w:wordWrap/>
              <w:overflowPunct/>
              <w:topLinePunct w:val="0"/>
              <w:autoSpaceDE/>
              <w:autoSpaceDN/>
              <w:bidi w:val="0"/>
              <w:adjustRightInd/>
              <w:snapToGrid/>
              <w:spacing w:after="0" w:line="360" w:lineRule="auto"/>
              <w:ind w:left="2"/>
              <w:textAlignment w:val="auto"/>
              <w:rPr>
                <w:rFonts w:hint="eastAsia" w:ascii="宋体" w:hAnsi="宋体" w:eastAsia="宋体" w:cs="宋体"/>
                <w:sz w:val="21"/>
                <w:szCs w:val="21"/>
              </w:rPr>
            </w:pPr>
            <w:r>
              <w:rPr>
                <w:rFonts w:hint="eastAsia" w:ascii="宋体" w:hAnsi="宋体" w:eastAsia="宋体" w:cs="宋体"/>
                <w:sz w:val="21"/>
                <w:szCs w:val="21"/>
              </w:rPr>
              <w:t>14、一体化带平台涂层石墨管</w:t>
            </w:r>
            <w:r>
              <w:rPr>
                <w:rFonts w:hint="eastAsia" w:ascii="宋体" w:hAnsi="宋体" w:eastAsia="宋体" w:cs="宋体"/>
                <w:sz w:val="21"/>
                <w:szCs w:val="21"/>
                <w:lang w:val="en-US" w:eastAsia="zh-CN"/>
              </w:rPr>
              <w:t>20</w:t>
            </w:r>
            <w:r>
              <w:rPr>
                <w:rFonts w:hint="eastAsia" w:ascii="宋体" w:hAnsi="宋体" w:eastAsia="宋体" w:cs="宋体"/>
                <w:sz w:val="21"/>
                <w:szCs w:val="21"/>
              </w:rPr>
              <w:t>只</w:t>
            </w:r>
          </w:p>
          <w:p w14:paraId="7E460C3B">
            <w:pPr>
              <w:keepNext w:val="0"/>
              <w:keepLines w:val="0"/>
              <w:pageBreakBefore w:val="0"/>
              <w:widowControl w:val="0"/>
              <w:kinsoku/>
              <w:wordWrap/>
              <w:overflowPunct/>
              <w:topLinePunct w:val="0"/>
              <w:autoSpaceDE/>
              <w:autoSpaceDN/>
              <w:bidi w:val="0"/>
              <w:adjustRightInd/>
              <w:snapToGrid/>
              <w:spacing w:after="0" w:line="360" w:lineRule="auto"/>
              <w:ind w:left="2"/>
              <w:textAlignment w:val="auto"/>
              <w:rPr>
                <w:rFonts w:hint="eastAsia" w:ascii="宋体" w:hAnsi="宋体" w:eastAsia="宋体" w:cs="宋体"/>
                <w:sz w:val="21"/>
                <w:szCs w:val="21"/>
              </w:rPr>
            </w:pPr>
            <w:r>
              <w:rPr>
                <w:rFonts w:hint="eastAsia" w:ascii="宋体" w:hAnsi="宋体" w:eastAsia="宋体" w:cs="宋体"/>
                <w:sz w:val="21"/>
                <w:szCs w:val="21"/>
              </w:rPr>
              <w:t>15、石墨炉自动进样器样品杯　</w:t>
            </w:r>
            <w:r>
              <w:rPr>
                <w:rFonts w:hint="eastAsia" w:ascii="宋体" w:hAnsi="宋体" w:eastAsia="宋体" w:cs="宋体"/>
                <w:sz w:val="21"/>
                <w:szCs w:val="21"/>
                <w:lang w:val="en-US" w:eastAsia="zh-CN"/>
              </w:rPr>
              <w:t>500</w:t>
            </w:r>
            <w:r>
              <w:rPr>
                <w:rFonts w:hint="eastAsia" w:ascii="宋体" w:hAnsi="宋体" w:eastAsia="宋体" w:cs="宋体"/>
                <w:sz w:val="21"/>
                <w:szCs w:val="21"/>
              </w:rPr>
              <w:t>个</w:t>
            </w:r>
          </w:p>
          <w:p w14:paraId="32B1710A">
            <w:pPr>
              <w:keepNext w:val="0"/>
              <w:keepLines w:val="0"/>
              <w:pageBreakBefore w:val="0"/>
              <w:widowControl w:val="0"/>
              <w:kinsoku/>
              <w:wordWrap/>
              <w:overflowPunct/>
              <w:topLinePunct w:val="0"/>
              <w:autoSpaceDE/>
              <w:autoSpaceDN/>
              <w:bidi w:val="0"/>
              <w:adjustRightInd/>
              <w:snapToGrid/>
              <w:spacing w:after="0" w:line="360" w:lineRule="auto"/>
              <w:ind w:left="2"/>
              <w:textAlignment w:val="auto"/>
              <w:rPr>
                <w:rFonts w:hint="eastAsia" w:ascii="宋体" w:hAnsi="宋体" w:eastAsia="宋体" w:cs="宋体"/>
                <w:sz w:val="21"/>
                <w:szCs w:val="21"/>
              </w:rPr>
            </w:pPr>
            <w:r>
              <w:rPr>
                <w:rFonts w:hint="eastAsia" w:ascii="宋体" w:hAnsi="宋体" w:eastAsia="宋体" w:cs="宋体"/>
                <w:sz w:val="21"/>
                <w:szCs w:val="21"/>
              </w:rPr>
              <w:t>16、火焰自动进样器样品管　</w:t>
            </w:r>
            <w:r>
              <w:rPr>
                <w:rFonts w:hint="eastAsia" w:ascii="宋体" w:hAnsi="宋体" w:eastAsia="宋体" w:cs="宋体"/>
                <w:sz w:val="21"/>
                <w:szCs w:val="21"/>
                <w:lang w:val="en-US" w:eastAsia="zh-CN"/>
              </w:rPr>
              <w:t>6</w:t>
            </w:r>
            <w:r>
              <w:rPr>
                <w:rFonts w:hint="eastAsia" w:ascii="宋体" w:hAnsi="宋体" w:eastAsia="宋体" w:cs="宋体"/>
                <w:sz w:val="21"/>
                <w:szCs w:val="21"/>
              </w:rPr>
              <w:t>00个</w:t>
            </w:r>
          </w:p>
          <w:p w14:paraId="07DEAE7A">
            <w:pPr>
              <w:keepNext w:val="0"/>
              <w:keepLines w:val="0"/>
              <w:pageBreakBefore w:val="0"/>
              <w:widowControl w:val="0"/>
              <w:kinsoku/>
              <w:wordWrap/>
              <w:overflowPunct/>
              <w:topLinePunct w:val="0"/>
              <w:autoSpaceDE/>
              <w:autoSpaceDN/>
              <w:bidi w:val="0"/>
              <w:adjustRightInd/>
              <w:snapToGrid/>
              <w:spacing w:after="0" w:line="360" w:lineRule="auto"/>
              <w:ind w:left="2"/>
              <w:textAlignment w:val="auto"/>
              <w:rPr>
                <w:rFonts w:hint="eastAsia" w:ascii="宋体" w:hAnsi="宋体" w:eastAsia="宋体" w:cs="宋体"/>
                <w:sz w:val="21"/>
                <w:szCs w:val="21"/>
              </w:rPr>
            </w:pPr>
            <w:r>
              <w:rPr>
                <w:rFonts w:hint="eastAsia" w:ascii="宋体" w:hAnsi="宋体" w:eastAsia="宋体" w:cs="宋体"/>
                <w:sz w:val="21"/>
                <w:szCs w:val="21"/>
              </w:rPr>
              <w:t>17、控制工作站（配置优于CPU： 4核3.2GHZ；内存：32G；硬盘：500GB</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专用显示器≥24寸</w:t>
            </w:r>
            <w:r>
              <w:rPr>
                <w:rFonts w:hint="eastAsia" w:ascii="宋体" w:hAnsi="宋体" w:eastAsia="宋体" w:cs="宋体"/>
                <w:sz w:val="21"/>
                <w:szCs w:val="21"/>
              </w:rPr>
              <w:t>）　1台</w:t>
            </w:r>
          </w:p>
          <w:p w14:paraId="360F0360">
            <w:pPr>
              <w:keepNext w:val="0"/>
              <w:keepLines w:val="0"/>
              <w:pageBreakBefore w:val="0"/>
              <w:widowControl w:val="0"/>
              <w:kinsoku/>
              <w:wordWrap/>
              <w:overflowPunct/>
              <w:topLinePunct w:val="0"/>
              <w:autoSpaceDE/>
              <w:autoSpaceDN/>
              <w:bidi w:val="0"/>
              <w:adjustRightInd/>
              <w:snapToGrid/>
              <w:spacing w:after="0" w:line="360" w:lineRule="auto"/>
              <w:ind w:left="2"/>
              <w:textAlignment w:val="auto"/>
              <w:rPr>
                <w:rFonts w:hint="eastAsia" w:ascii="宋体" w:hAnsi="宋体" w:eastAsia="宋体" w:cs="宋体"/>
                <w:sz w:val="21"/>
                <w:szCs w:val="21"/>
              </w:rPr>
            </w:pPr>
            <w:r>
              <w:rPr>
                <w:rFonts w:hint="eastAsia" w:ascii="宋体" w:hAnsi="宋体" w:eastAsia="宋体" w:cs="宋体"/>
                <w:sz w:val="21"/>
                <w:szCs w:val="21"/>
              </w:rPr>
              <w:t>18、</w:t>
            </w:r>
            <w:r>
              <w:rPr>
                <w:rFonts w:hint="eastAsia" w:ascii="宋体" w:hAnsi="宋体" w:eastAsia="宋体" w:cs="宋体"/>
                <w:sz w:val="21"/>
                <w:szCs w:val="21"/>
                <w:lang w:val="en-US" w:eastAsia="zh-CN"/>
              </w:rPr>
              <w:t>A4激光打印机</w:t>
            </w:r>
            <w:r>
              <w:rPr>
                <w:rFonts w:hint="eastAsia" w:ascii="宋体" w:hAnsi="宋体" w:eastAsia="宋体" w:cs="宋体"/>
                <w:sz w:val="21"/>
                <w:szCs w:val="21"/>
              </w:rPr>
              <w:t xml:space="preserve"> 1台</w:t>
            </w:r>
          </w:p>
          <w:p w14:paraId="4F78B990">
            <w:pPr>
              <w:keepNext w:val="0"/>
              <w:keepLines w:val="0"/>
              <w:pageBreakBefore w:val="0"/>
              <w:widowControl w:val="0"/>
              <w:kinsoku/>
              <w:wordWrap/>
              <w:overflowPunct/>
              <w:topLinePunct w:val="0"/>
              <w:autoSpaceDE/>
              <w:autoSpaceDN/>
              <w:bidi w:val="0"/>
              <w:adjustRightInd/>
              <w:snapToGrid/>
              <w:spacing w:after="0" w:line="360" w:lineRule="auto"/>
              <w:ind w:left="2"/>
              <w:textAlignment w:val="auto"/>
              <w:rPr>
                <w:rFonts w:hint="eastAsia" w:ascii="宋体" w:hAnsi="宋体" w:eastAsia="宋体" w:cs="宋体"/>
                <w:sz w:val="21"/>
                <w:szCs w:val="21"/>
              </w:rPr>
            </w:pPr>
            <w:r>
              <w:rPr>
                <w:rFonts w:hint="eastAsia" w:ascii="宋体" w:hAnsi="宋体" w:eastAsia="宋体" w:cs="宋体"/>
                <w:sz w:val="21"/>
                <w:szCs w:val="21"/>
              </w:rPr>
              <w:t>19、高纯氩气钢瓶（含气、减压阀） 1套</w:t>
            </w:r>
          </w:p>
          <w:p w14:paraId="0FB249B3">
            <w:pPr>
              <w:keepNext w:val="0"/>
              <w:keepLines w:val="0"/>
              <w:pageBreakBefore w:val="0"/>
              <w:widowControl w:val="0"/>
              <w:kinsoku/>
              <w:wordWrap/>
              <w:overflowPunct/>
              <w:topLinePunct w:val="0"/>
              <w:autoSpaceDE/>
              <w:autoSpaceDN/>
              <w:bidi w:val="0"/>
              <w:adjustRightInd/>
              <w:snapToGrid/>
              <w:spacing w:after="0" w:line="360" w:lineRule="auto"/>
              <w:ind w:left="2"/>
              <w:textAlignment w:val="auto"/>
              <w:rPr>
                <w:rFonts w:hint="eastAsia" w:ascii="宋体" w:hAnsi="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sz w:val="21"/>
                <w:szCs w:val="21"/>
              </w:rPr>
              <w:t>20、乙炔气钢瓶（含气、减压阀） 1套</w:t>
            </w:r>
          </w:p>
        </w:tc>
      </w:tr>
      <w:tr w14:paraId="09B3E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14:paraId="0B26EA6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cs="宋体"/>
                <w:b/>
                <w:bCs/>
                <w:color w:val="000000" w:themeColor="text1"/>
                <w:kern w:val="2"/>
                <w:sz w:val="24"/>
                <w:szCs w:val="24"/>
                <w:vertAlign w:val="baseline"/>
                <w:lang w:val="en-US" w:eastAsia="zh-CN" w:bidi="ar-SA"/>
                <w14:textFill>
                  <w14:solidFill>
                    <w14:schemeClr w14:val="tx1"/>
                  </w14:solidFill>
                </w14:textFill>
              </w:rPr>
              <w:t>2</w:t>
            </w:r>
          </w:p>
        </w:tc>
        <w:tc>
          <w:tcPr>
            <w:tcW w:w="2050" w:type="dxa"/>
            <w:vAlign w:val="center"/>
          </w:tcPr>
          <w:p w14:paraId="4618DA9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宋体"/>
                <w:b/>
                <w:bCs/>
                <w:color w:val="000000" w:themeColor="text1"/>
                <w:kern w:val="2"/>
                <w:sz w:val="24"/>
                <w:szCs w:val="24"/>
                <w:vertAlign w:val="baseline"/>
                <w:lang w:val="en-US" w:eastAsia="zh-CN" w:bidi="ar-SA"/>
                <w14:textFill>
                  <w14:solidFill>
                    <w14:schemeClr w14:val="tx1"/>
                  </w14:solidFill>
                </w14:textFill>
              </w:rPr>
            </w:pPr>
            <w:r>
              <w:rPr>
                <w:rFonts w:hint="eastAsia"/>
                <w:b/>
                <w:bCs/>
                <w:sz w:val="24"/>
                <w:szCs w:val="24"/>
              </w:rPr>
              <w:t>原子荧光分光光度计</w:t>
            </w:r>
          </w:p>
        </w:tc>
        <w:tc>
          <w:tcPr>
            <w:tcW w:w="10625" w:type="dxa"/>
            <w:vAlign w:val="center"/>
          </w:tcPr>
          <w:p w14:paraId="13969B0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一、适用领域:</w:t>
            </w:r>
          </w:p>
          <w:p w14:paraId="6C2EA09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对样品中的As、Sb、Bi、Hg、Se、Te、Sn、Ge、Pb、Zn、Cd、Au等十二种元素的痕量分析及升级后对As、Hg、Se等元素的形态、价态测定</w:t>
            </w:r>
          </w:p>
          <w:p w14:paraId="5E349EC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 xml:space="preserve">二、工作条件: </w:t>
            </w:r>
          </w:p>
          <w:p w14:paraId="3C02330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1、电源: 220V±10%, 50Hz</w:t>
            </w:r>
          </w:p>
          <w:p w14:paraId="462FB57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2、环境温度: 0-45</w:t>
            </w:r>
            <w:r>
              <w:rPr>
                <w:rFonts w:hint="eastAsia" w:ascii="宋体" w:hAnsi="宋体" w:eastAsia="宋体" w:cs="宋体"/>
                <w:sz w:val="21"/>
                <w:szCs w:val="21"/>
              </w:rPr>
              <w:sym w:font="Courier New" w:char="00B0"/>
            </w:r>
            <w:r>
              <w:rPr>
                <w:rFonts w:hint="eastAsia" w:ascii="宋体" w:hAnsi="宋体" w:eastAsia="宋体" w:cs="宋体"/>
                <w:sz w:val="21"/>
                <w:szCs w:val="21"/>
              </w:rPr>
              <w:t>C</w:t>
            </w:r>
          </w:p>
          <w:p w14:paraId="79483A6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3、相对湿度: ≤90%</w:t>
            </w:r>
          </w:p>
          <w:p w14:paraId="487D53D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三、仪器技术参数要求:</w:t>
            </w:r>
          </w:p>
          <w:p w14:paraId="5B7B734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1、检出限(D.L.): As、Pb、Se、Bi、Sn、Sb、Te＜ 0.01µg/L ;Hg、Cd＜0.001µg/L Ge＜0.05µg/L Zn＜1.0µg/L Au＜3.0µg/L</w:t>
            </w:r>
          </w:p>
          <w:p w14:paraId="304B1D8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sz w:val="21"/>
                <w:szCs w:val="21"/>
              </w:rPr>
            </w:pPr>
            <w:r>
              <w:rPr>
                <w:rFonts w:hint="eastAsia" w:ascii="宋体" w:hAnsi="宋体" w:eastAsia="宋体" w:cs="宋体"/>
                <w:sz w:val="21"/>
                <w:szCs w:val="21"/>
              </w:rPr>
              <w:t>■2、</w:t>
            </w:r>
            <w:r>
              <w:rPr>
                <w:rFonts w:hint="eastAsia" w:ascii="宋体" w:hAnsi="宋体" w:eastAsia="宋体" w:cs="宋体"/>
                <w:sz w:val="21"/>
                <w:szCs w:val="21"/>
                <w:lang w:val="zh-CN"/>
              </w:rPr>
              <w:t>精密度</w:t>
            </w:r>
            <w:r>
              <w:rPr>
                <w:rFonts w:hint="eastAsia" w:ascii="宋体" w:hAnsi="宋体" w:eastAsia="宋体" w:cs="宋体"/>
                <w:sz w:val="21"/>
                <w:szCs w:val="21"/>
              </w:rPr>
              <w:t>（RSD）＜ 0.6％</w:t>
            </w:r>
          </w:p>
          <w:p w14:paraId="69552E3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3、线性范围: 大于三个数量级</w:t>
            </w:r>
          </w:p>
          <w:p w14:paraId="515CF09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sz w:val="21"/>
                <w:szCs w:val="21"/>
              </w:rPr>
              <w:t>4、样品测量速度：＜50秒/样（顺序注射泵进样）</w:t>
            </w:r>
          </w:p>
          <w:p w14:paraId="17FFBF2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四、仪器性能要求:</w:t>
            </w:r>
          </w:p>
          <w:p w14:paraId="375CB0C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lang w:val="zh-CN"/>
              </w:rPr>
            </w:pPr>
            <w:r>
              <w:rPr>
                <w:rFonts w:hint="eastAsia" w:ascii="宋体" w:hAnsi="宋体" w:eastAsia="宋体" w:cs="宋体"/>
                <w:sz w:val="21"/>
                <w:szCs w:val="21"/>
              </w:rPr>
              <w:t>1、</w:t>
            </w:r>
            <w:r>
              <w:rPr>
                <w:rFonts w:hint="eastAsia" w:ascii="宋体" w:hAnsi="宋体" w:eastAsia="宋体" w:cs="宋体"/>
                <w:sz w:val="21"/>
                <w:szCs w:val="21"/>
                <w:lang w:val="zh-CN"/>
              </w:rPr>
              <w:t>检测通道：双通道，可单元素测定，也可双元素同时测定；</w:t>
            </w:r>
          </w:p>
          <w:p w14:paraId="5773C27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lang w:val="zh-CN"/>
              </w:rPr>
            </w:pPr>
            <w:r>
              <w:rPr>
                <w:rFonts w:hint="eastAsia" w:ascii="宋体" w:hAnsi="宋体" w:eastAsia="宋体" w:cs="宋体"/>
                <w:sz w:val="21"/>
                <w:szCs w:val="21"/>
              </w:rPr>
              <w:t>2、配有多通道合并光谱化学分析装置和模块，用于超低含量的微量样品的测定</w:t>
            </w:r>
          </w:p>
          <w:p w14:paraId="0F49ED0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zh-CN"/>
              </w:rPr>
              <w:t>3</w:t>
            </w:r>
            <w:r>
              <w:rPr>
                <w:rFonts w:hint="eastAsia" w:ascii="宋体" w:hAnsi="宋体" w:eastAsia="宋体" w:cs="宋体"/>
                <w:sz w:val="21"/>
                <w:szCs w:val="21"/>
              </w:rPr>
              <w:t>、</w:t>
            </w:r>
            <w:r>
              <w:rPr>
                <w:rFonts w:hint="eastAsia" w:ascii="宋体" w:hAnsi="宋体" w:eastAsia="宋体" w:cs="宋体"/>
                <w:sz w:val="21"/>
                <w:szCs w:val="21"/>
                <w:lang w:val="zh-CN"/>
              </w:rPr>
              <w:t>光源系统：智能高强度空芯阴极灯，内置存储芯片，元素类型自动识别，支持元素灯使用寿命计时；高强度</w:t>
            </w:r>
            <w:r>
              <w:rPr>
                <w:rFonts w:hint="eastAsia" w:ascii="宋体" w:hAnsi="宋体" w:eastAsia="宋体" w:cs="宋体"/>
                <w:sz w:val="21"/>
                <w:szCs w:val="21"/>
              </w:rPr>
              <w:t>空芯阴极</w:t>
            </w:r>
            <w:r>
              <w:rPr>
                <w:rFonts w:hint="eastAsia" w:ascii="宋体" w:hAnsi="宋体" w:eastAsia="宋体" w:cs="宋体"/>
                <w:sz w:val="21"/>
                <w:szCs w:val="21"/>
                <w:u w:val="wave"/>
              </w:rPr>
              <w:t>灯采</w:t>
            </w:r>
            <w:r>
              <w:rPr>
                <w:rFonts w:hint="eastAsia" w:ascii="宋体" w:hAnsi="宋体" w:eastAsia="宋体" w:cs="宋体"/>
                <w:sz w:val="21"/>
                <w:szCs w:val="21"/>
              </w:rPr>
              <w:t>用新式恒流驱动-脉冲调制供电方式，双道自动激发启辉，</w:t>
            </w:r>
          </w:p>
          <w:p w14:paraId="4DC0ECD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■4、具有通道间干扰及空芯阴极</w:t>
            </w:r>
            <w:r>
              <w:rPr>
                <w:rFonts w:hint="eastAsia" w:ascii="宋体" w:hAnsi="宋体" w:eastAsia="宋体" w:cs="宋体"/>
                <w:sz w:val="21"/>
                <w:szCs w:val="21"/>
                <w:u w:val="wave"/>
              </w:rPr>
              <w:t>灯</w:t>
            </w:r>
            <w:r>
              <w:rPr>
                <w:rFonts w:hint="eastAsia" w:ascii="宋体" w:hAnsi="宋体" w:eastAsia="宋体" w:cs="宋体"/>
                <w:sz w:val="21"/>
                <w:szCs w:val="21"/>
              </w:rPr>
              <w:t>漂移脉动实时自动扣除功能</w:t>
            </w:r>
          </w:p>
          <w:p w14:paraId="778BC51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sz w:val="21"/>
                <w:szCs w:val="21"/>
              </w:rPr>
            </w:pPr>
            <w:r>
              <w:rPr>
                <w:rFonts w:hint="eastAsia" w:ascii="宋体" w:hAnsi="宋体" w:eastAsia="宋体" w:cs="宋体"/>
                <w:sz w:val="21"/>
                <w:szCs w:val="21"/>
              </w:rPr>
              <w:t>5、光学系统：短焦距透镜聚光，</w:t>
            </w:r>
            <w:r>
              <w:rPr>
                <w:rFonts w:hint="eastAsia" w:ascii="宋体" w:hAnsi="宋体" w:eastAsia="宋体" w:cs="宋体"/>
                <w:color w:val="000000"/>
                <w:sz w:val="21"/>
                <w:szCs w:val="21"/>
              </w:rPr>
              <w:t>新型</w:t>
            </w:r>
            <w:r>
              <w:rPr>
                <w:rFonts w:hint="eastAsia" w:ascii="宋体" w:hAnsi="宋体" w:eastAsia="宋体" w:cs="宋体"/>
                <w:sz w:val="21"/>
                <w:szCs w:val="21"/>
              </w:rPr>
              <w:t>无色散</w:t>
            </w:r>
            <w:r>
              <w:rPr>
                <w:rFonts w:hint="eastAsia" w:ascii="宋体" w:hAnsi="宋体" w:eastAsia="宋体" w:cs="宋体"/>
                <w:color w:val="000000"/>
                <w:sz w:val="21"/>
                <w:szCs w:val="21"/>
              </w:rPr>
              <w:t>全密闭避光调光系统</w:t>
            </w:r>
          </w:p>
          <w:p w14:paraId="4BAD397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000000"/>
                <w:sz w:val="21"/>
                <w:szCs w:val="21"/>
              </w:rPr>
              <w:t>6、具有</w:t>
            </w:r>
            <w:r>
              <w:rPr>
                <w:rFonts w:hint="eastAsia" w:ascii="宋体" w:hAnsi="宋体" w:eastAsia="宋体" w:cs="宋体"/>
                <w:sz w:val="21"/>
                <w:szCs w:val="21"/>
              </w:rPr>
              <w:t>双光束双检测器光源漂移校准功能，光源能量实时校准并动态调节；</w:t>
            </w:r>
          </w:p>
          <w:p w14:paraId="15DAAA8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■7、汞灯光源自动控制模式，精确量化并自动调节汞灯能量。</w:t>
            </w:r>
          </w:p>
          <w:p w14:paraId="6183635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8</w:t>
            </w:r>
            <w:r>
              <w:rPr>
                <w:rFonts w:hint="eastAsia" w:ascii="宋体" w:hAnsi="宋体" w:eastAsia="宋体" w:cs="宋体"/>
                <w:sz w:val="21"/>
                <w:szCs w:val="21"/>
                <w:lang w:val="zh-CN"/>
              </w:rPr>
              <w:t>、原子化系统：</w:t>
            </w:r>
            <w:r>
              <w:rPr>
                <w:rFonts w:hint="eastAsia" w:ascii="宋体" w:hAnsi="宋体" w:eastAsia="宋体" w:cs="宋体"/>
                <w:sz w:val="21"/>
                <w:szCs w:val="21"/>
              </w:rPr>
              <w:t>采用新型高效屏蔽式低温点火石英原子化器，根据所测不同元素设定最佳炉高。</w:t>
            </w:r>
          </w:p>
          <w:p w14:paraId="61AE2D7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b w:val="0"/>
                <w:bCs w:val="0"/>
                <w:color w:val="auto"/>
                <w:sz w:val="21"/>
                <w:szCs w:val="21"/>
                <w:highlight w:val="none"/>
                <w:lang w:val="en-US" w:eastAsia="zh-CN"/>
              </w:rPr>
              <w:t>▲</w:t>
            </w:r>
            <w:r>
              <w:rPr>
                <w:rStyle w:val="27"/>
                <w:rFonts w:hint="eastAsia" w:ascii="宋体" w:hAnsi="宋体" w:eastAsia="宋体" w:cs="宋体"/>
                <w:sz w:val="21"/>
                <w:szCs w:val="21"/>
              </w:rPr>
              <w:t>9、</w:t>
            </w:r>
            <w:r>
              <w:rPr>
                <w:rFonts w:hint="eastAsia" w:ascii="宋体" w:hAnsi="宋体" w:eastAsia="宋体" w:cs="宋体"/>
                <w:sz w:val="21"/>
                <w:szCs w:val="21"/>
              </w:rPr>
              <w:t>进样系统：采用全自动顺序注射和全自动断续流动双模式进样系统，采用进口注射泵，进样精度达到µl级精确进样，重复性精度优于0.05%；顺序注射和断续流动两种进样模式可相互切换并兼容。</w:t>
            </w:r>
          </w:p>
          <w:p w14:paraId="42F5871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w:t>
            </w:r>
            <w:r>
              <w:rPr>
                <w:rStyle w:val="27"/>
                <w:rFonts w:hint="eastAsia" w:ascii="宋体" w:hAnsi="宋体" w:eastAsia="宋体" w:cs="宋体"/>
                <w:sz w:val="21"/>
                <w:szCs w:val="21"/>
              </w:rPr>
              <w:t>10、</w:t>
            </w:r>
            <w:r>
              <w:rPr>
                <w:rFonts w:hint="eastAsia" w:ascii="宋体" w:hAnsi="宋体" w:eastAsia="宋体" w:cs="宋体"/>
                <w:sz w:val="21"/>
                <w:szCs w:val="21"/>
              </w:rPr>
              <w:t>采用隔膜阀</w:t>
            </w:r>
            <w:r>
              <w:rPr>
                <w:rFonts w:hint="eastAsia" w:ascii="宋体" w:hAnsi="宋体" w:eastAsia="宋体" w:cs="宋体"/>
                <w:sz w:val="21"/>
                <w:szCs w:val="21"/>
                <w:lang w:val="en-US" w:eastAsia="zh-CN"/>
              </w:rPr>
              <w:t>或</w:t>
            </w:r>
            <w:r>
              <w:rPr>
                <w:rFonts w:hint="eastAsia" w:ascii="宋体" w:hAnsi="宋体" w:eastAsia="宋体" w:cs="宋体"/>
                <w:b w:val="0"/>
                <w:bCs w:val="0"/>
                <w:sz w:val="21"/>
                <w:szCs w:val="21"/>
                <w:lang w:val="en-US" w:eastAsia="zh-CN"/>
              </w:rPr>
              <w:t>电磁阀</w:t>
            </w:r>
            <w:r>
              <w:rPr>
                <w:rFonts w:hint="eastAsia" w:ascii="宋体" w:hAnsi="宋体" w:eastAsia="宋体" w:cs="宋体"/>
                <w:sz w:val="21"/>
                <w:szCs w:val="21"/>
              </w:rPr>
              <w:t>控制流路。</w:t>
            </w:r>
          </w:p>
          <w:p w14:paraId="0FF04DD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lang w:val="zh-CN"/>
              </w:rPr>
            </w:pPr>
            <w:r>
              <w:rPr>
                <w:rFonts w:hint="eastAsia" w:ascii="宋体" w:hAnsi="宋体" w:eastAsia="宋体" w:cs="宋体"/>
                <w:sz w:val="21"/>
                <w:szCs w:val="21"/>
              </w:rPr>
              <w:t>11、</w:t>
            </w:r>
            <w:r>
              <w:rPr>
                <w:rFonts w:hint="eastAsia" w:ascii="宋体" w:hAnsi="宋体" w:eastAsia="宋体" w:cs="宋体"/>
                <w:sz w:val="21"/>
                <w:szCs w:val="21"/>
                <w:lang w:val="zh-CN"/>
              </w:rPr>
              <w:t>自动进样器：</w:t>
            </w:r>
          </w:p>
          <w:p w14:paraId="58953C6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11.1</w:t>
            </w:r>
            <w:r>
              <w:rPr>
                <w:rFonts w:hint="eastAsia" w:ascii="宋体" w:hAnsi="宋体" w:eastAsia="宋体" w:cs="宋体"/>
                <w:color w:val="000000"/>
                <w:sz w:val="21"/>
                <w:szCs w:val="21"/>
              </w:rPr>
              <w:t>采用</w:t>
            </w:r>
            <w:r>
              <w:rPr>
                <w:rFonts w:hint="eastAsia" w:ascii="宋体" w:hAnsi="宋体" w:eastAsia="宋体" w:cs="宋体"/>
                <w:sz w:val="21"/>
                <w:szCs w:val="21"/>
              </w:rPr>
              <w:t>极坐标式不低于180位（单盘）自动进样器，可实现全自动运行和半自动运行测量方式，可自动在线稀释、清洗、单标自动配置标准曲线（R＞0.999）；支持样品快速检测，自动在线补充载流，实现无人值守检测</w:t>
            </w:r>
          </w:p>
          <w:p w14:paraId="1218239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■11.2</w:t>
            </w:r>
            <w:r>
              <w:rPr>
                <w:rFonts w:hint="eastAsia" w:ascii="宋体" w:hAnsi="宋体" w:eastAsia="宋体" w:cs="宋体"/>
                <w:kern w:val="0"/>
                <w:sz w:val="21"/>
                <w:szCs w:val="21"/>
              </w:rPr>
              <w:t>具有进样针自动清洗功能</w:t>
            </w:r>
          </w:p>
          <w:p w14:paraId="250E812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sz w:val="21"/>
                <w:szCs w:val="21"/>
              </w:rPr>
            </w:pPr>
            <w:r>
              <w:rPr>
                <w:rFonts w:hint="eastAsia" w:ascii="宋体" w:hAnsi="宋体" w:eastAsia="宋体" w:cs="宋体"/>
                <w:sz w:val="21"/>
                <w:szCs w:val="21"/>
              </w:rPr>
              <w:t>11.3</w:t>
            </w:r>
            <w:r>
              <w:rPr>
                <w:rFonts w:hint="eastAsia" w:ascii="宋体" w:hAnsi="宋体" w:eastAsia="宋体" w:cs="宋体"/>
                <w:sz w:val="21"/>
                <w:szCs w:val="21"/>
                <w:lang w:val="zh-CN"/>
              </w:rPr>
              <w:t>自动进样器具有进样臂升降调节装置</w:t>
            </w:r>
            <w:r>
              <w:rPr>
                <w:rFonts w:hint="eastAsia" w:ascii="宋体" w:hAnsi="宋体" w:eastAsia="宋体" w:cs="宋体"/>
                <w:kern w:val="0"/>
                <w:sz w:val="21"/>
                <w:szCs w:val="21"/>
              </w:rPr>
              <w:t>。</w:t>
            </w:r>
          </w:p>
          <w:p w14:paraId="3C4FDDA5">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采用高效涌流式</w:t>
            </w:r>
            <w:r>
              <w:rPr>
                <w:rFonts w:hint="eastAsia" w:ascii="宋体" w:hAnsi="宋体" w:eastAsia="宋体" w:cs="宋体"/>
                <w:sz w:val="21"/>
                <w:szCs w:val="21"/>
                <w:lang w:val="zh-CN"/>
              </w:rPr>
              <w:t>化学气相发生气液分离装置及去除水蒸气的装置，</w:t>
            </w:r>
            <w:r>
              <w:rPr>
                <w:rFonts w:hint="eastAsia" w:ascii="宋体" w:hAnsi="宋体" w:eastAsia="宋体" w:cs="宋体"/>
                <w:sz w:val="21"/>
                <w:szCs w:val="21"/>
              </w:rPr>
              <w:t>反应更平稳更完全，分离效果好，提高测量稳定性；</w:t>
            </w:r>
          </w:p>
          <w:p w14:paraId="5FF4025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13、采用封闭式二级气液分离器，无需液封</w:t>
            </w:r>
          </w:p>
          <w:p w14:paraId="4142A90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14、配有的泵阀专用分离富集装置 ，具有既可在线消除硼氢化钾产生的气泡，又可降低试剂间扩散效应的双重功能，提高仪器稳定性</w:t>
            </w:r>
          </w:p>
          <w:p w14:paraId="2C70447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■15、具备气泡间隔技术，有效降低样品在毛细管中的扩散效应；</w:t>
            </w:r>
          </w:p>
          <w:p w14:paraId="32C251E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16、气路系统: 开机自检、气路自动控制、自动保护、自动报警，并配有节气装置，节约氩气消耗量，减少仪器运行成本</w:t>
            </w:r>
          </w:p>
          <w:p w14:paraId="0C8570B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17、主机电路板采用高集成度数字电路设计，强、弱电分离，消除相互之间的干扰，保证在潮湿地区仪器平稳运行；</w:t>
            </w:r>
          </w:p>
          <w:p w14:paraId="5641CEA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■18、</w:t>
            </w:r>
            <w:r>
              <w:rPr>
                <w:rFonts w:hint="eastAsia" w:ascii="宋体" w:hAnsi="宋体" w:eastAsia="宋体" w:cs="宋体"/>
                <w:sz w:val="21"/>
                <w:szCs w:val="21"/>
                <w:lang w:val="zh-CN"/>
              </w:rPr>
              <w:t>具有外置滤光氩氢火焰实时观察窗，</w:t>
            </w:r>
            <w:r>
              <w:rPr>
                <w:rFonts w:hint="eastAsia" w:ascii="宋体" w:hAnsi="宋体" w:eastAsia="宋体" w:cs="宋体"/>
                <w:sz w:val="21"/>
                <w:szCs w:val="21"/>
              </w:rPr>
              <w:t>可实时监控火焰状态</w:t>
            </w:r>
          </w:p>
          <w:p w14:paraId="57DBFDA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lang w:val="zh-CN"/>
              </w:rPr>
            </w:pPr>
            <w:r>
              <w:rPr>
                <w:rFonts w:hint="eastAsia" w:ascii="宋体" w:hAnsi="宋体" w:cs="宋体"/>
                <w:sz w:val="21"/>
                <w:szCs w:val="21"/>
                <w:lang w:val="en-US" w:eastAsia="zh-CN"/>
              </w:rPr>
              <w:t>19</w:t>
            </w:r>
            <w:r>
              <w:rPr>
                <w:rFonts w:hint="eastAsia" w:ascii="宋体" w:hAnsi="宋体" w:eastAsia="宋体" w:cs="宋体"/>
                <w:sz w:val="21"/>
                <w:szCs w:val="21"/>
              </w:rPr>
              <w:t>、配有特有技术的</w:t>
            </w:r>
            <w:r>
              <w:rPr>
                <w:rFonts w:hint="eastAsia" w:ascii="宋体" w:hAnsi="宋体" w:eastAsia="宋体" w:cs="宋体"/>
                <w:sz w:val="21"/>
                <w:szCs w:val="21"/>
                <w:lang w:val="zh-CN"/>
              </w:rPr>
              <w:t>氢化物发生原子荧光测量尾气中的有害元素捕集阱装置</w:t>
            </w:r>
          </w:p>
          <w:p w14:paraId="73C8EF5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五、仪器配置及耗材;</w:t>
            </w:r>
          </w:p>
          <w:p w14:paraId="2A3F078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1、原子荧光光度计主机1台</w:t>
            </w:r>
          </w:p>
          <w:p w14:paraId="27160D6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2、双光束光源漂移校准系统1套</w:t>
            </w:r>
          </w:p>
          <w:p w14:paraId="1F2C41F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3、全自动顺序注射泵进样系统 1套</w:t>
            </w:r>
          </w:p>
          <w:p w14:paraId="37BD87C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4、全自动断续流动进样系统1套</w:t>
            </w:r>
          </w:p>
          <w:p w14:paraId="3F25A5F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sz w:val="21"/>
                <w:szCs w:val="21"/>
              </w:rPr>
            </w:pPr>
            <w:r>
              <w:rPr>
                <w:rFonts w:hint="eastAsia" w:ascii="宋体" w:hAnsi="宋体" w:eastAsia="宋体" w:cs="宋体"/>
                <w:sz w:val="21"/>
                <w:szCs w:val="21"/>
              </w:rPr>
              <w:t>5、不低于180位（单盘）</w:t>
            </w:r>
            <w:r>
              <w:rPr>
                <w:rFonts w:hint="eastAsia" w:ascii="宋体" w:hAnsi="宋体" w:eastAsia="宋体" w:cs="宋体"/>
                <w:color w:val="000000"/>
                <w:sz w:val="21"/>
                <w:szCs w:val="21"/>
              </w:rPr>
              <w:t>自动进样器1台</w:t>
            </w:r>
          </w:p>
          <w:p w14:paraId="61C52F8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6、高效涌流式</w:t>
            </w:r>
            <w:r>
              <w:rPr>
                <w:rFonts w:hint="eastAsia" w:ascii="宋体" w:hAnsi="宋体" w:eastAsia="宋体" w:cs="宋体"/>
                <w:sz w:val="21"/>
                <w:szCs w:val="21"/>
                <w:lang w:val="zh-CN"/>
              </w:rPr>
              <w:t>化学气相发生气液分离装置1套</w:t>
            </w:r>
          </w:p>
          <w:p w14:paraId="7235D19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7、配有用于形态分析接口1套</w:t>
            </w:r>
          </w:p>
          <w:p w14:paraId="3B40190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8、仪器操作及数据处理软件1套</w:t>
            </w:r>
          </w:p>
          <w:p w14:paraId="58E8EF8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9、数据输出和输入系统1套（品牌电脑，I5及以上， 内存16G以上， DVD刻录， 硬盘1T以上， 22液晶显示器，中文正版Win10 64位专业系统；激光打印机1套。）</w:t>
            </w:r>
          </w:p>
          <w:p w14:paraId="4E49837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FF0000"/>
                <w:sz w:val="21"/>
                <w:szCs w:val="21"/>
              </w:rPr>
            </w:pPr>
            <w:r>
              <w:rPr>
                <w:rFonts w:hint="eastAsia" w:ascii="宋体" w:hAnsi="宋体" w:eastAsia="宋体" w:cs="宋体"/>
                <w:sz w:val="21"/>
                <w:szCs w:val="21"/>
              </w:rPr>
              <w:t>10、高强度空芯阴极灯3支（汞、砷、硒各1支）</w:t>
            </w:r>
          </w:p>
          <w:p w14:paraId="4779B59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11、进样管不少于180个</w:t>
            </w:r>
          </w:p>
          <w:p w14:paraId="6AF0CD6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sz w:val="21"/>
                <w:szCs w:val="21"/>
              </w:rPr>
              <w:t>12、配套通风设备改造1套</w:t>
            </w:r>
          </w:p>
        </w:tc>
      </w:tr>
      <w:tr w14:paraId="14047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14:paraId="1B71495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vertAlign w:val="baseline"/>
                <w:lang w:val="en-US" w:eastAsia="zh-CN" w:bidi="ar-SA"/>
                <w14:textFill>
                  <w14:solidFill>
                    <w14:schemeClr w14:val="tx1"/>
                  </w14:solidFill>
                </w14:textFill>
              </w:rPr>
              <w:t>3</w:t>
            </w:r>
          </w:p>
        </w:tc>
        <w:tc>
          <w:tcPr>
            <w:tcW w:w="2050" w:type="dxa"/>
            <w:vAlign w:val="center"/>
          </w:tcPr>
          <w:p w14:paraId="5B14E17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vertAlign w:val="baseline"/>
                <w:lang w:val="en-US" w:eastAsia="zh-CN" w:bidi="ar-SA"/>
                <w14:textFill>
                  <w14:solidFill>
                    <w14:schemeClr w14:val="tx1"/>
                  </w14:solidFill>
                </w14:textFill>
              </w:rPr>
              <w:t>全自动高锰酸盐指数分析仪</w:t>
            </w:r>
          </w:p>
        </w:tc>
        <w:tc>
          <w:tcPr>
            <w:tcW w:w="10625" w:type="dxa"/>
            <w:vAlign w:val="center"/>
          </w:tcPr>
          <w:p w14:paraId="45409DA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3"/>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1.主机配置和备件耗材</w:t>
            </w:r>
          </w:p>
          <w:p w14:paraId="2FF86ED7">
            <w:pPr>
              <w:keepNext w:val="0"/>
              <w:keepLines w:val="0"/>
              <w:pageBreakBefore w:val="0"/>
              <w:widowControl w:val="0"/>
              <w:tabs>
                <w:tab w:val="left" w:pos="3000"/>
              </w:tabs>
              <w:kinsoku/>
              <w:wordWrap/>
              <w:overflowPunct/>
              <w:topLinePunct w:val="0"/>
              <w:autoSpaceDE/>
              <w:autoSpaceDN/>
              <w:bidi w:val="0"/>
              <w:adjustRightInd/>
              <w:snapToGrid/>
              <w:spacing w:line="360" w:lineRule="auto"/>
              <w:ind w:firstLine="422" w:firstLineChars="200"/>
              <w:textAlignment w:val="auto"/>
              <w:outlineLvl w:val="3"/>
              <w:rPr>
                <w:rFonts w:hint="eastAsia"/>
                <w:sz w:val="21"/>
                <w:szCs w:val="21"/>
                <w:lang w:val="en-US" w:eastAsia="zh-CN"/>
              </w:rPr>
            </w:pPr>
            <w:r>
              <w:rPr>
                <w:rFonts w:hint="eastAsia" w:ascii="宋体" w:hAnsi="宋体" w:cs="宋体"/>
                <w:b/>
                <w:color w:val="auto"/>
                <w:sz w:val="21"/>
                <w:szCs w:val="21"/>
                <w:highlight w:val="none"/>
                <w:lang w:val="en-US" w:eastAsia="zh-CN"/>
              </w:rPr>
              <w:t>（采购数量按招标清单为准，这里只表示每台采购设备应配置的备件或耗材数量）</w:t>
            </w:r>
          </w:p>
          <w:tbl>
            <w:tblPr>
              <w:tblStyle w:val="23"/>
              <w:tblW w:w="50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0"/>
              <w:gridCol w:w="3691"/>
              <w:gridCol w:w="3862"/>
              <w:gridCol w:w="1553"/>
            </w:tblGrid>
            <w:tr w14:paraId="1EBCB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629" w:type="pct"/>
                  <w:noWrap w:val="0"/>
                  <w:vAlign w:val="center"/>
                </w:tcPr>
                <w:p w14:paraId="2400C8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771" w:type="pct"/>
                  <w:noWrap w:val="0"/>
                  <w:vAlign w:val="center"/>
                </w:tcPr>
                <w:p w14:paraId="0955E42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1853" w:type="pct"/>
                  <w:noWrap w:val="0"/>
                  <w:vAlign w:val="center"/>
                </w:tcPr>
                <w:p w14:paraId="20FC8F4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c>
                <w:tcPr>
                  <w:tcW w:w="745" w:type="pct"/>
                  <w:noWrap w:val="0"/>
                  <w:vAlign w:val="center"/>
                </w:tcPr>
                <w:p w14:paraId="60009F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p w14:paraId="79261BC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（台/套）</w:t>
                  </w:r>
                </w:p>
              </w:tc>
            </w:tr>
            <w:tr w14:paraId="48BEF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29" w:type="pct"/>
                  <w:noWrap w:val="0"/>
                  <w:vAlign w:val="center"/>
                </w:tcPr>
                <w:p w14:paraId="372C125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主机</w:t>
                  </w:r>
                </w:p>
              </w:tc>
              <w:tc>
                <w:tcPr>
                  <w:tcW w:w="1771" w:type="pct"/>
                  <w:noWrap w:val="0"/>
                  <w:vAlign w:val="center"/>
                </w:tcPr>
                <w:p w14:paraId="61C5357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全自动高锰酸盐指数分析仪</w:t>
                  </w:r>
                </w:p>
              </w:tc>
              <w:tc>
                <w:tcPr>
                  <w:tcW w:w="1853" w:type="pct"/>
                  <w:noWrap w:val="0"/>
                  <w:vAlign w:val="center"/>
                </w:tcPr>
                <w:p w14:paraId="1CD23E0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包括加液系统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消解系统、滴定系统、温控系统、检测系统和数据处理系统（含工作站软件）</w:t>
                  </w:r>
                  <w:r>
                    <w:rPr>
                      <w:rFonts w:hint="eastAsia" w:ascii="宋体" w:hAnsi="宋体" w:eastAsia="宋体" w:cs="宋体"/>
                      <w:color w:val="auto"/>
                      <w:sz w:val="21"/>
                      <w:szCs w:val="21"/>
                      <w:highlight w:val="none"/>
                    </w:rPr>
                    <w:t>等</w:t>
                  </w:r>
                </w:p>
              </w:tc>
              <w:tc>
                <w:tcPr>
                  <w:tcW w:w="745" w:type="pct"/>
                  <w:noWrap w:val="0"/>
                  <w:vAlign w:val="center"/>
                </w:tcPr>
                <w:p w14:paraId="65E999B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p>
              </w:tc>
            </w:tr>
            <w:tr w14:paraId="036C5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29" w:type="pct"/>
                  <w:noWrap w:val="0"/>
                  <w:vAlign w:val="center"/>
                </w:tcPr>
                <w:p w14:paraId="399D0C1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备件/耗材</w:t>
                  </w:r>
                </w:p>
              </w:tc>
              <w:tc>
                <w:tcPr>
                  <w:tcW w:w="1771" w:type="pct"/>
                  <w:noWrap w:val="0"/>
                  <w:vAlign w:val="center"/>
                </w:tcPr>
                <w:p w14:paraId="5CEB1F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样品杯</w:t>
                  </w:r>
                  <w:r>
                    <w:rPr>
                      <w:rFonts w:hint="eastAsia" w:ascii="宋体" w:hAnsi="宋体" w:eastAsia="宋体" w:cs="宋体"/>
                      <w:color w:val="auto"/>
                      <w:sz w:val="21"/>
                      <w:szCs w:val="21"/>
                      <w:highlight w:val="none"/>
                      <w:lang w:val="en-US" w:eastAsia="zh-CN"/>
                    </w:rPr>
                    <w:t>及磁力搅拌子</w:t>
                  </w:r>
                </w:p>
              </w:tc>
              <w:tc>
                <w:tcPr>
                  <w:tcW w:w="1853" w:type="pct"/>
                  <w:noWrap w:val="0"/>
                  <w:vAlign w:val="center"/>
                </w:tcPr>
                <w:p w14:paraId="4116550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须与主机匹配</w:t>
                  </w:r>
                </w:p>
              </w:tc>
              <w:tc>
                <w:tcPr>
                  <w:tcW w:w="745" w:type="pct"/>
                  <w:noWrap w:val="0"/>
                  <w:vAlign w:val="center"/>
                </w:tcPr>
                <w:p w14:paraId="0568CE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60</w:t>
                  </w:r>
                </w:p>
              </w:tc>
            </w:tr>
          </w:tbl>
          <w:p w14:paraId="5793BE8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3"/>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2.工作条件</w:t>
            </w:r>
          </w:p>
          <w:p w14:paraId="5391331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GB" w:eastAsia="zh-CN"/>
              </w:rPr>
            </w:pPr>
            <w:r>
              <w:rPr>
                <w:rFonts w:hint="eastAsia" w:ascii="宋体" w:hAnsi="宋体" w:eastAsia="宋体" w:cs="宋体"/>
                <w:b w:val="0"/>
                <w:bCs w:val="0"/>
                <w:color w:val="auto"/>
                <w:sz w:val="21"/>
                <w:szCs w:val="21"/>
                <w:highlight w:val="none"/>
                <w:lang w:val="en-GB" w:eastAsia="zh-CN"/>
              </w:rPr>
              <w:t>2.1工作环境温度：10</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GB" w:eastAsia="zh-CN"/>
              </w:rPr>
              <w:t>40℃。</w:t>
            </w:r>
          </w:p>
          <w:p w14:paraId="126BAB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GB" w:eastAsia="zh-CN"/>
              </w:rPr>
            </w:pPr>
            <w:r>
              <w:rPr>
                <w:rFonts w:hint="eastAsia" w:ascii="宋体" w:hAnsi="宋体" w:eastAsia="宋体" w:cs="宋体"/>
                <w:b w:val="0"/>
                <w:bCs w:val="0"/>
                <w:color w:val="auto"/>
                <w:sz w:val="21"/>
                <w:szCs w:val="21"/>
                <w:highlight w:val="none"/>
                <w:lang w:val="en-GB" w:eastAsia="zh-CN"/>
              </w:rPr>
              <w:t>2.2工作环境</w:t>
            </w:r>
            <w:r>
              <w:rPr>
                <w:rFonts w:hint="eastAsia" w:ascii="宋体" w:hAnsi="宋体" w:eastAsia="宋体" w:cs="宋体"/>
                <w:b w:val="0"/>
                <w:bCs w:val="0"/>
                <w:color w:val="auto"/>
                <w:sz w:val="21"/>
                <w:szCs w:val="21"/>
                <w:highlight w:val="none"/>
                <w:lang w:val="en-US" w:eastAsia="zh-CN"/>
              </w:rPr>
              <w:t>相对</w:t>
            </w:r>
            <w:r>
              <w:rPr>
                <w:rFonts w:hint="eastAsia" w:ascii="宋体" w:hAnsi="宋体" w:eastAsia="宋体" w:cs="宋体"/>
                <w:b w:val="0"/>
                <w:bCs w:val="0"/>
                <w:color w:val="auto"/>
                <w:sz w:val="21"/>
                <w:szCs w:val="21"/>
                <w:highlight w:val="none"/>
                <w:lang w:val="en-GB" w:eastAsia="zh-CN"/>
              </w:rPr>
              <w:t>湿度：20%～80%。</w:t>
            </w:r>
          </w:p>
          <w:p w14:paraId="50CDE4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GB" w:eastAsia="zh-CN"/>
              </w:rPr>
            </w:pPr>
            <w:r>
              <w:rPr>
                <w:rFonts w:hint="eastAsia" w:ascii="宋体" w:hAnsi="宋体" w:eastAsia="宋体" w:cs="宋体"/>
                <w:b w:val="0"/>
                <w:bCs w:val="0"/>
                <w:color w:val="auto"/>
                <w:sz w:val="21"/>
                <w:szCs w:val="21"/>
                <w:highlight w:val="none"/>
                <w:lang w:val="en-GB" w:eastAsia="zh-CN"/>
              </w:rPr>
              <w:t>2.3电源：</w:t>
            </w:r>
            <w:r>
              <w:rPr>
                <w:rFonts w:hint="eastAsia" w:ascii="宋体" w:hAnsi="宋体" w:eastAsia="宋体" w:cs="宋体"/>
                <w:b w:val="0"/>
                <w:bCs w:val="0"/>
                <w:color w:val="auto"/>
                <w:sz w:val="21"/>
                <w:szCs w:val="21"/>
                <w:highlight w:val="none"/>
                <w:lang w:val="en-US" w:eastAsia="zh-CN"/>
              </w:rPr>
              <w:t>AC 2</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lang w:val="en-US" w:eastAsia="zh-CN"/>
              </w:rPr>
              <w:t>0</w:t>
            </w:r>
            <w:r>
              <w:rPr>
                <w:rFonts w:hint="eastAsia" w:ascii="宋体" w:hAnsi="宋体" w:cs="宋体"/>
                <w:b w:val="0"/>
                <w:bCs w:val="0"/>
                <w:color w:val="auto"/>
                <w:sz w:val="21"/>
                <w:szCs w:val="21"/>
                <w:highlight w:val="none"/>
                <w:lang w:val="en-US" w:eastAsia="zh-CN"/>
              </w:rPr>
              <w:t>V～240V,50Hz</w:t>
            </w:r>
            <w:r>
              <w:rPr>
                <w:rFonts w:hint="eastAsia" w:ascii="宋体" w:hAnsi="宋体" w:eastAsia="宋体" w:cs="宋体"/>
                <w:b w:val="0"/>
                <w:bCs w:val="0"/>
                <w:color w:val="auto"/>
                <w:sz w:val="21"/>
                <w:szCs w:val="21"/>
                <w:highlight w:val="none"/>
                <w:lang w:val="en-GB" w:eastAsia="zh-CN"/>
              </w:rPr>
              <w:t>。</w:t>
            </w:r>
          </w:p>
          <w:p w14:paraId="2064D06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3"/>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3.仪器用途</w:t>
            </w:r>
          </w:p>
          <w:p w14:paraId="58ADE2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3.1符合《水质高锰酸盐指数的测定 草酸钠还原酸性滴定法》（HJ 1445—2026）、《水质高锰酸盐指数的测定 草酸钠还原碱性滴定法》（HJ 1446—2026）、《生活饮用水标准检验方法 第7部分：有机物综合指标》（GB/T 5750.7-2023）中高锰酸盐指数的测定要求。</w:t>
            </w:r>
          </w:p>
          <w:p w14:paraId="6E8D6A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3.2支持酸性法与碱性法自主切换，默认采用酸性法，当样品氯离子含量高于300mg/L时可切换至碱性法，适配不同水质场景检测需求。</w:t>
            </w:r>
          </w:p>
          <w:p w14:paraId="037F58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3.3适用范围覆盖地表水、生活饮用水、水源水等各类水样中高锰酸盐指数的测定，可扩展总硬度、盐碘等指标检测功能。</w:t>
            </w:r>
          </w:p>
          <w:p w14:paraId="31D31CD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3"/>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4.技术参数</w:t>
            </w:r>
          </w:p>
          <w:p w14:paraId="77C45D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4.1样品处理与进样系统</w:t>
            </w:r>
          </w:p>
          <w:p w14:paraId="3680CE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▲4.1.1样品位配置：样品位数量不少于54个，样品盘采用可独立取放的模块化设计，单次连续检测能力不低于54个水样。</w:t>
            </w:r>
          </w:p>
          <w:p w14:paraId="705FBB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4.1.2进样方式：采用自动定量进样装置，进样体积</w:t>
            </w:r>
            <w:r>
              <w:rPr>
                <w:rFonts w:hint="eastAsia" w:ascii="宋体" w:hAnsi="宋体" w:cs="宋体"/>
                <w:b w:val="0"/>
                <w:bCs w:val="0"/>
                <w:color w:val="auto"/>
                <w:sz w:val="21"/>
                <w:szCs w:val="21"/>
                <w:highlight w:val="none"/>
                <w:lang w:val="en-US" w:eastAsia="zh-CN"/>
              </w:rPr>
              <w:t>最大</w:t>
            </w:r>
            <w:r>
              <w:rPr>
                <w:rFonts w:hint="eastAsia" w:ascii="宋体" w:hAnsi="宋体" w:eastAsia="宋体" w:cs="宋体"/>
                <w:b w:val="0"/>
                <w:bCs w:val="0"/>
                <w:color w:val="auto"/>
                <w:sz w:val="21"/>
                <w:szCs w:val="21"/>
                <w:highlight w:val="none"/>
                <w:lang w:val="en-US" w:eastAsia="zh-CN"/>
              </w:rPr>
              <w:t>为100mL，误差≤±1</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，具备自动混匀、管路清洗功能，无需人工干预。</w:t>
            </w:r>
          </w:p>
          <w:p w14:paraId="7866D7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■4.1.3稀释功能：具备高浓度样品自动稀释功能，可手动设定稀释比例或自动适配稀释倍数，稀释误差控制在合理范围（2倍以内误差≤2.0%，2</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5倍误差≤3.0%）。</w:t>
            </w:r>
          </w:p>
          <w:p w14:paraId="2E7C0B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4.2消解系统</w:t>
            </w:r>
          </w:p>
          <w:p w14:paraId="6120F6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■4.2.1消解方式：采用沸水浴加热，消解通道数量≥</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个，支持多样品同时消解。</w:t>
            </w:r>
          </w:p>
          <w:p w14:paraId="4DF837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▲4.2.2温控与计时：水浴温度可在 0-100℃范围内设定，精度≤1℃，消解时间可调。</w:t>
            </w:r>
          </w:p>
          <w:p w14:paraId="36008E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4.2.3补水功能：具备缺水自动补水功能，补充水与消解区温度一致，避免温度波动影响检测结果。</w:t>
            </w:r>
          </w:p>
          <w:p w14:paraId="7FAF36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4.3滴定系统</w:t>
            </w:r>
          </w:p>
          <w:p w14:paraId="7DE2F0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▲4.3.1滴定方式：采用高精度注射泵滴定，配备三轴</w:t>
            </w:r>
            <w:r>
              <w:rPr>
                <w:rFonts w:hint="eastAsia" w:ascii="宋体" w:hAnsi="宋体" w:cs="宋体"/>
                <w:b w:val="0"/>
                <w:bCs w:val="0"/>
                <w:color w:val="auto"/>
                <w:sz w:val="21"/>
                <w:szCs w:val="21"/>
                <w:highlight w:val="none"/>
                <w:lang w:val="en-US" w:eastAsia="zh-CN"/>
              </w:rPr>
              <w:t>或四轴</w:t>
            </w:r>
            <w:r>
              <w:rPr>
                <w:rFonts w:hint="eastAsia" w:ascii="宋体" w:hAnsi="宋体" w:eastAsia="宋体" w:cs="宋体"/>
                <w:b w:val="0"/>
                <w:bCs w:val="0"/>
                <w:color w:val="auto"/>
                <w:sz w:val="21"/>
                <w:szCs w:val="21"/>
                <w:highlight w:val="none"/>
                <w:lang w:val="en-US" w:eastAsia="zh-CN"/>
              </w:rPr>
              <w:t>电驱动机械臂或</w:t>
            </w:r>
            <w:r>
              <w:rPr>
                <w:rFonts w:hint="eastAsia" w:ascii="宋体" w:hAnsi="宋体" w:cs="宋体"/>
                <w:b w:val="0"/>
                <w:bCs w:val="0"/>
                <w:color w:val="auto"/>
                <w:sz w:val="21"/>
                <w:szCs w:val="21"/>
                <w:highlight w:val="none"/>
                <w:lang w:val="en-US" w:eastAsia="zh-CN"/>
              </w:rPr>
              <w:t>机器人</w:t>
            </w:r>
            <w:r>
              <w:rPr>
                <w:rFonts w:hint="eastAsia" w:ascii="宋体" w:hAnsi="宋体" w:eastAsia="宋体" w:cs="宋体"/>
                <w:b w:val="0"/>
                <w:bCs w:val="0"/>
                <w:color w:val="auto"/>
                <w:sz w:val="21"/>
                <w:szCs w:val="21"/>
                <w:highlight w:val="none"/>
                <w:lang w:val="en-US" w:eastAsia="zh-CN"/>
              </w:rPr>
              <w:t>，</w:t>
            </w:r>
            <w:r>
              <w:rPr>
                <w:rFonts w:ascii="宋体" w:hAnsi="宋体" w:eastAsia="宋体" w:cs="宋体"/>
                <w:sz w:val="21"/>
                <w:szCs w:val="21"/>
              </w:rPr>
              <w:t>自动抓杯</w:t>
            </w:r>
            <w:r>
              <w:rPr>
                <w:rFonts w:hint="eastAsia" w:ascii="宋体" w:hAnsi="宋体" w:eastAsia="宋体" w:cs="宋体"/>
                <w:sz w:val="21"/>
                <w:szCs w:val="21"/>
                <w:lang w:val="en-US" w:eastAsia="zh-CN"/>
              </w:rPr>
              <w:t>转移</w:t>
            </w:r>
            <w:r>
              <w:rPr>
                <w:rFonts w:hint="eastAsia" w:ascii="宋体" w:hAnsi="宋体" w:eastAsia="宋体" w:cs="宋体"/>
                <w:b w:val="0"/>
                <w:bCs w:val="0"/>
                <w:color w:val="auto"/>
                <w:sz w:val="21"/>
                <w:szCs w:val="21"/>
                <w:highlight w:val="none"/>
                <w:lang w:val="en-US" w:eastAsia="zh-CN"/>
              </w:rPr>
              <w:t>。</w:t>
            </w:r>
          </w:p>
          <w:p w14:paraId="7916F0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4.3.2滴定精度：高锰酸钾与草酸钠泵精度≤1.0%（10.0mL量程），滴定最小体积可达 0.02mL，确保滴定准确性。</w:t>
            </w:r>
          </w:p>
          <w:p w14:paraId="0E044A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4.3.3终点识别：采用高分辨率视觉传感器技术，通过溶液颜色变化自动识别滴定终点，不受水体浊度、色度干扰（150NTU 浊度、1.0mg/L 色度条件下误差≤5.0%），要求样品滴定完成后，仪器</w:t>
            </w:r>
            <w:r>
              <w:rPr>
                <w:rFonts w:hint="eastAsia" w:ascii="宋体" w:hAnsi="宋体" w:cs="宋体"/>
                <w:b w:val="0"/>
                <w:bCs w:val="0"/>
                <w:color w:val="auto"/>
                <w:sz w:val="21"/>
                <w:szCs w:val="21"/>
                <w:highlight w:val="none"/>
                <w:lang w:val="en-US" w:eastAsia="zh-CN"/>
              </w:rPr>
              <w:t>具有终点</w:t>
            </w:r>
            <w:r>
              <w:rPr>
                <w:rFonts w:hint="eastAsia" w:ascii="宋体" w:hAnsi="宋体" w:eastAsia="宋体" w:cs="宋体"/>
                <w:i w:val="0"/>
                <w:iCs w:val="0"/>
                <w:color w:val="auto"/>
                <w:kern w:val="2"/>
                <w:sz w:val="21"/>
                <w:szCs w:val="21"/>
                <w:highlight w:val="none"/>
                <w:u w:val="none"/>
                <w:lang w:val="en-US" w:eastAsia="zh-CN" w:bidi="ar"/>
              </w:rPr>
              <w:t>视频溯源</w:t>
            </w:r>
            <w:r>
              <w:rPr>
                <w:rFonts w:hint="eastAsia" w:ascii="宋体" w:hAnsi="宋体" w:cs="宋体"/>
                <w:i w:val="0"/>
                <w:iCs w:val="0"/>
                <w:color w:val="auto"/>
                <w:kern w:val="2"/>
                <w:sz w:val="21"/>
                <w:szCs w:val="21"/>
                <w:highlight w:val="none"/>
                <w:u w:val="none"/>
                <w:lang w:val="en-US" w:eastAsia="zh-CN" w:bidi="ar"/>
              </w:rPr>
              <w:t>功能，并</w:t>
            </w:r>
            <w:r>
              <w:rPr>
                <w:rFonts w:hint="eastAsia" w:ascii="宋体" w:hAnsi="宋体" w:eastAsia="宋体" w:cs="宋体"/>
                <w:b w:val="0"/>
                <w:bCs w:val="0"/>
                <w:color w:val="auto"/>
                <w:sz w:val="21"/>
                <w:szCs w:val="21"/>
                <w:highlight w:val="none"/>
                <w:lang w:val="en-US" w:eastAsia="zh-CN"/>
              </w:rPr>
              <w:t>可自动保存滴定前和滴定后水样的照片或视频，方便溯源。</w:t>
            </w:r>
          </w:p>
          <w:p w14:paraId="7AA4C7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■4.3.4滴定效率：具有不少于2个样品滴定通道，单个样品分析时间≤5min；</w:t>
            </w:r>
          </w:p>
          <w:p w14:paraId="22871A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4.4安全与辅助功能</w:t>
            </w:r>
          </w:p>
          <w:p w14:paraId="546D57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4.4.1安全防护：具备漏电防护、加热过温防护、电源 EMI 防护、漏液防护等多项安全技术，保障操作人员安全。</w:t>
            </w:r>
          </w:p>
          <w:p w14:paraId="5E6E4B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4.4.2试剂管理：设有不少于 4 组试剂瓶存放区，</w:t>
            </w:r>
            <w:r>
              <w:rPr>
                <w:rFonts w:hint="eastAsia" w:ascii="宋体" w:hAnsi="宋体" w:eastAsia="宋体" w:cs="宋体"/>
                <w:i w:val="0"/>
                <w:iCs w:val="0"/>
                <w:color w:val="auto"/>
                <w:kern w:val="2"/>
                <w:sz w:val="21"/>
                <w:szCs w:val="21"/>
                <w:highlight w:val="none"/>
                <w:u w:val="none"/>
                <w:lang w:val="en-US" w:eastAsia="zh-CN" w:bidi="ar"/>
              </w:rPr>
              <w:t>多通道试剂并行注入，没有试剂间的交叉污染，</w:t>
            </w:r>
            <w:r>
              <w:rPr>
                <w:rFonts w:hint="eastAsia" w:ascii="宋体" w:hAnsi="宋体" w:eastAsia="宋体" w:cs="宋体"/>
                <w:b w:val="0"/>
                <w:bCs w:val="0"/>
                <w:color w:val="auto"/>
                <w:sz w:val="21"/>
                <w:szCs w:val="21"/>
                <w:highlight w:val="none"/>
                <w:lang w:val="en-US" w:eastAsia="zh-CN"/>
              </w:rPr>
              <w:t>具备试剂液位实时监控与低液位预警功能，避免实验中断。</w:t>
            </w:r>
          </w:p>
          <w:p w14:paraId="25734E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4.4.3自检与诊断：开机自动检测水浴液位、运动系统、加样系统等运行状态，具备故障诊断与提示功能，配备散热系统确保仪器长期稳定运行。</w:t>
            </w:r>
          </w:p>
          <w:p w14:paraId="7322A1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■4.5精密度：RSD≤3.0%（4.0mg/L左右葡萄糖标准溶液，n≥5次）。</w:t>
            </w:r>
          </w:p>
          <w:p w14:paraId="402A19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4.6测量准确度：高中低三种不同浓度质控样允许误差范围内。</w:t>
            </w:r>
          </w:p>
          <w:p w14:paraId="6242A78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3"/>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5.数据处理系统</w:t>
            </w:r>
          </w:p>
          <w:p w14:paraId="6CF371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宋体" w:hAnsi="宋体" w:cs="宋体"/>
                <w:b/>
                <w:bCs/>
                <w:color w:val="000000" w:themeColor="text1"/>
                <w:kern w:val="2"/>
                <w:sz w:val="21"/>
                <w:szCs w:val="21"/>
                <w:vertAlign w:val="baseline"/>
                <w:lang w:val="en-US" w:eastAsia="zh-CN" w:bidi="ar-SA"/>
                <w14:textFill>
                  <w14:solidFill>
                    <w14:schemeClr w14:val="tx1"/>
                  </w14:solidFill>
                </w14:textFill>
              </w:rPr>
            </w:pPr>
            <w:r>
              <w:rPr>
                <w:rFonts w:hint="eastAsia" w:ascii="宋体" w:hAnsi="宋体" w:cs="宋体"/>
                <w:b w:val="0"/>
                <w:bCs w:val="0"/>
                <w:color w:val="auto"/>
                <w:sz w:val="21"/>
                <w:szCs w:val="21"/>
                <w:highlight w:val="none"/>
                <w:lang w:val="en-US" w:eastAsia="zh-CN"/>
              </w:rPr>
              <w:t xml:space="preserve">数据输出和输入系统1套（品牌计算机，I5十二代及以上， 内存16G及以上， DVD刻录， 固态硬盘1T以上， </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22液晶专用显示器，中文正版Win10 64位专业系统；A4黑白激光打印机1套。）</w:t>
            </w:r>
          </w:p>
        </w:tc>
      </w:tr>
      <w:tr w14:paraId="0A370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14:paraId="4178BC2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vertAlign w:val="baseline"/>
                <w:lang w:val="en-US" w:eastAsia="zh-CN" w:bidi="ar-SA"/>
                <w14:textFill>
                  <w14:solidFill>
                    <w14:schemeClr w14:val="tx1"/>
                  </w14:solidFill>
                </w14:textFill>
              </w:rPr>
              <w:t>4</w:t>
            </w:r>
          </w:p>
        </w:tc>
        <w:tc>
          <w:tcPr>
            <w:tcW w:w="2050" w:type="dxa"/>
            <w:vAlign w:val="center"/>
          </w:tcPr>
          <w:p w14:paraId="1227B57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vertAlign w:val="baseline"/>
                <w:lang w:val="en-US" w:eastAsia="zh-CN" w:bidi="ar-SA"/>
                <w14:textFill>
                  <w14:solidFill>
                    <w14:schemeClr w14:val="tx1"/>
                  </w14:solidFill>
                </w14:textFill>
              </w:rPr>
              <w:t>全自动COD分析仪</w:t>
            </w:r>
          </w:p>
        </w:tc>
        <w:tc>
          <w:tcPr>
            <w:tcW w:w="10625" w:type="dxa"/>
            <w:vAlign w:val="center"/>
          </w:tcPr>
          <w:p w14:paraId="074125EE">
            <w:pPr>
              <w:pageBreakBefore w:val="0"/>
              <w:widowControl w:val="0"/>
              <w:kinsoku/>
              <w:wordWrap/>
              <w:overflowPunct/>
              <w:topLinePunct w:val="0"/>
              <w:autoSpaceDE/>
              <w:autoSpaceDN/>
              <w:bidi w:val="0"/>
              <w:adjustRightInd/>
              <w:snapToGrid/>
              <w:spacing w:line="360" w:lineRule="auto"/>
              <w:ind w:firstLine="422" w:firstLineChars="200"/>
              <w:textAlignment w:val="auto"/>
              <w:outlineLvl w:val="3"/>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1.主机配置及备件耗材</w:t>
            </w:r>
          </w:p>
          <w:p w14:paraId="5ACABCA2">
            <w:pPr>
              <w:keepNext w:val="0"/>
              <w:keepLines w:val="0"/>
              <w:pageBreakBefore w:val="0"/>
              <w:tabs>
                <w:tab w:val="left" w:pos="3000"/>
              </w:tabs>
              <w:kinsoku/>
              <w:wordWrap/>
              <w:overflowPunct/>
              <w:topLinePunct w:val="0"/>
              <w:autoSpaceDE/>
              <w:autoSpaceDN/>
              <w:bidi w:val="0"/>
              <w:adjustRightInd/>
              <w:snapToGrid/>
              <w:spacing w:line="360" w:lineRule="auto"/>
              <w:ind w:firstLine="422" w:firstLineChars="200"/>
              <w:textAlignment w:val="auto"/>
              <w:outlineLvl w:val="3"/>
              <w:rPr>
                <w:rFonts w:hint="eastAsia" w:ascii="宋体" w:hAnsi="宋体" w:eastAsia="宋体" w:cs="宋体"/>
                <w:b/>
                <w:bCs/>
                <w:color w:val="auto"/>
                <w:sz w:val="21"/>
                <w:szCs w:val="21"/>
                <w:highlight w:val="none"/>
                <w:lang w:val="en-US" w:eastAsia="zh-CN"/>
              </w:rPr>
            </w:pPr>
            <w:r>
              <w:rPr>
                <w:rFonts w:hint="eastAsia" w:ascii="宋体" w:hAnsi="宋体" w:cs="宋体"/>
                <w:b/>
                <w:color w:val="auto"/>
                <w:sz w:val="21"/>
                <w:szCs w:val="21"/>
                <w:highlight w:val="none"/>
                <w:lang w:val="en-US" w:eastAsia="zh-CN"/>
              </w:rPr>
              <w:t>（采购数量按招标清单为准，这里只表示每台采购设备应配置的备件或耗材数量）</w:t>
            </w:r>
          </w:p>
          <w:tbl>
            <w:tblPr>
              <w:tblStyle w:val="23"/>
              <w:tblW w:w="49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3"/>
              <w:gridCol w:w="2703"/>
              <w:gridCol w:w="5125"/>
              <w:gridCol w:w="1318"/>
            </w:tblGrid>
            <w:tr w14:paraId="249CA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516" w:type="pct"/>
                  <w:noWrap w:val="0"/>
                  <w:vAlign w:val="center"/>
                </w:tcPr>
                <w:p w14:paraId="50397606">
                  <w:pPr>
                    <w:pageBreakBefore w:val="0"/>
                    <w:kinsoku/>
                    <w:overflowPunct/>
                    <w:bidi w:val="0"/>
                    <w:spacing w:line="360" w:lineRule="auto"/>
                    <w:jc w:val="center"/>
                    <w:rPr>
                      <w:rFonts w:hint="eastAsia" w:ascii="宋体" w:hAnsi="宋体" w:eastAsia="宋体" w:cs="宋体"/>
                      <w:b/>
                      <w:bCs/>
                      <w:color w:val="auto"/>
                      <w:szCs w:val="21"/>
                      <w:highlight w:val="none"/>
                    </w:rPr>
                  </w:pPr>
                </w:p>
              </w:tc>
              <w:tc>
                <w:tcPr>
                  <w:tcW w:w="1325" w:type="pct"/>
                  <w:noWrap w:val="0"/>
                  <w:vAlign w:val="center"/>
                </w:tcPr>
                <w:p w14:paraId="6454DD61">
                  <w:pPr>
                    <w:pageBreakBefore w:val="0"/>
                    <w:kinsoku/>
                    <w:overflowPunct/>
                    <w:bidi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名称</w:t>
                  </w:r>
                </w:p>
              </w:tc>
              <w:tc>
                <w:tcPr>
                  <w:tcW w:w="2512" w:type="pct"/>
                  <w:noWrap w:val="0"/>
                  <w:vAlign w:val="center"/>
                </w:tcPr>
                <w:p w14:paraId="704A338A">
                  <w:pPr>
                    <w:pageBreakBefore w:val="0"/>
                    <w:kinsoku/>
                    <w:overflowPunct/>
                    <w:bidi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说明</w:t>
                  </w:r>
                </w:p>
              </w:tc>
              <w:tc>
                <w:tcPr>
                  <w:tcW w:w="646" w:type="pct"/>
                  <w:noWrap w:val="0"/>
                  <w:vAlign w:val="center"/>
                </w:tcPr>
                <w:p w14:paraId="7727506A">
                  <w:pPr>
                    <w:pageBreakBefore w:val="0"/>
                    <w:kinsoku/>
                    <w:overflowPunct/>
                    <w:bidi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p w14:paraId="141E42AB">
                  <w:pPr>
                    <w:pageBreakBefore w:val="0"/>
                    <w:kinsoku/>
                    <w:overflowPunct/>
                    <w:bidi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（台/套）</w:t>
                  </w:r>
                </w:p>
              </w:tc>
            </w:tr>
            <w:tr w14:paraId="68BC2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516" w:type="pct"/>
                  <w:noWrap w:val="0"/>
                  <w:vAlign w:val="center"/>
                </w:tcPr>
                <w:p w14:paraId="0390F1C8">
                  <w:pPr>
                    <w:pageBreakBefore w:val="0"/>
                    <w:kinsoku/>
                    <w:overflowPunct/>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主机</w:t>
                  </w:r>
                </w:p>
              </w:tc>
              <w:tc>
                <w:tcPr>
                  <w:tcW w:w="1325" w:type="pct"/>
                  <w:noWrap w:val="0"/>
                  <w:vAlign w:val="center"/>
                </w:tcPr>
                <w:p w14:paraId="417E8760">
                  <w:pPr>
                    <w:pageBreakBefore w:val="0"/>
                    <w:kinsoku/>
                    <w:overflowPunct/>
                    <w:bidi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全自动COD分析仪</w:t>
                  </w:r>
                </w:p>
              </w:tc>
              <w:tc>
                <w:tcPr>
                  <w:tcW w:w="2512" w:type="pct"/>
                  <w:noWrap w:val="0"/>
                  <w:vAlign w:val="center"/>
                </w:tcPr>
                <w:p w14:paraId="45E9939B">
                  <w:pPr>
                    <w:pageBreakBefore w:val="0"/>
                    <w:kinsoku/>
                    <w:overflowPunct/>
                    <w:bidi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包括加液系统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消解系统、滴定系统、温控系统、检测系统和数据处理系统（含工作站软件）</w:t>
                  </w:r>
                  <w:r>
                    <w:rPr>
                      <w:rFonts w:hint="eastAsia" w:ascii="宋体" w:hAnsi="宋体" w:eastAsia="宋体" w:cs="宋体"/>
                      <w:color w:val="auto"/>
                      <w:szCs w:val="21"/>
                      <w:highlight w:val="none"/>
                    </w:rPr>
                    <w:t>等</w:t>
                  </w:r>
                </w:p>
              </w:tc>
              <w:tc>
                <w:tcPr>
                  <w:tcW w:w="646" w:type="pct"/>
                  <w:noWrap w:val="0"/>
                  <w:vAlign w:val="center"/>
                </w:tcPr>
                <w:p w14:paraId="0337256B">
                  <w:pPr>
                    <w:pageBreakBefore w:val="0"/>
                    <w:kinsoku/>
                    <w:overflowPunct/>
                    <w:bidi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w:t>
                  </w:r>
                </w:p>
              </w:tc>
            </w:tr>
            <w:tr w14:paraId="7368E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pct"/>
                  <w:vMerge w:val="restart"/>
                  <w:noWrap w:val="0"/>
                  <w:vAlign w:val="center"/>
                </w:tcPr>
                <w:p w14:paraId="69C81673">
                  <w:pPr>
                    <w:pageBreakBefore w:val="0"/>
                    <w:kinsoku/>
                    <w:overflowPunct/>
                    <w:bidi w:val="0"/>
                    <w:spacing w:line="360" w:lineRule="auto"/>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备件/</w:t>
                  </w:r>
                </w:p>
                <w:p w14:paraId="5919B4F7">
                  <w:pPr>
                    <w:pageBreakBefore w:val="0"/>
                    <w:kinsoku/>
                    <w:overflowPunct/>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耗材</w:t>
                  </w:r>
                </w:p>
              </w:tc>
              <w:tc>
                <w:tcPr>
                  <w:tcW w:w="1325" w:type="pct"/>
                  <w:noWrap w:val="0"/>
                  <w:vAlign w:val="center"/>
                </w:tcPr>
                <w:p w14:paraId="14EE17B2">
                  <w:pPr>
                    <w:pageBreakBefore w:val="0"/>
                    <w:kinsoku/>
                    <w:overflowPunct/>
                    <w:bidi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冷却循环水机</w:t>
                  </w:r>
                </w:p>
              </w:tc>
              <w:tc>
                <w:tcPr>
                  <w:tcW w:w="2512" w:type="pct"/>
                  <w:noWrap w:val="0"/>
                  <w:vAlign w:val="center"/>
                </w:tcPr>
                <w:p w14:paraId="02081D15">
                  <w:pPr>
                    <w:pageBreakBefore w:val="0"/>
                    <w:kinsoku/>
                    <w:overflowPunct/>
                    <w:bidi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c>
                <w:tcPr>
                  <w:tcW w:w="646" w:type="pct"/>
                  <w:noWrap w:val="0"/>
                  <w:vAlign w:val="center"/>
                </w:tcPr>
                <w:p w14:paraId="4D99957A">
                  <w:pPr>
                    <w:pageBreakBefore w:val="0"/>
                    <w:kinsoku/>
                    <w:overflowPunct/>
                    <w:bidi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r>
            <w:tr w14:paraId="0E444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pct"/>
                  <w:vMerge w:val="continue"/>
                  <w:noWrap w:val="0"/>
                  <w:vAlign w:val="center"/>
                </w:tcPr>
                <w:p w14:paraId="37B9D7A3">
                  <w:pPr>
                    <w:pageBreakBefore w:val="0"/>
                    <w:kinsoku/>
                    <w:overflowPunct/>
                    <w:bidi w:val="0"/>
                    <w:spacing w:line="360" w:lineRule="auto"/>
                    <w:jc w:val="center"/>
                    <w:rPr>
                      <w:rFonts w:hint="eastAsia" w:ascii="宋体" w:hAnsi="宋体" w:eastAsia="宋体" w:cs="宋体"/>
                      <w:b/>
                      <w:bCs/>
                      <w:color w:val="auto"/>
                      <w:szCs w:val="21"/>
                      <w:highlight w:val="none"/>
                      <w:lang w:val="en-US" w:eastAsia="zh-CN"/>
                    </w:rPr>
                  </w:pPr>
                </w:p>
              </w:tc>
              <w:tc>
                <w:tcPr>
                  <w:tcW w:w="1325" w:type="pct"/>
                  <w:noWrap w:val="0"/>
                  <w:vAlign w:val="center"/>
                </w:tcPr>
                <w:p w14:paraId="7F087394">
                  <w:pPr>
                    <w:pageBreakBefore w:val="0"/>
                    <w:kinsoku/>
                    <w:overflowPunct/>
                    <w:bidi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COD智能回流消解器</w:t>
                  </w:r>
                </w:p>
              </w:tc>
              <w:tc>
                <w:tcPr>
                  <w:tcW w:w="2512" w:type="pct"/>
                  <w:noWrap w:val="0"/>
                  <w:vAlign w:val="center"/>
                </w:tcPr>
                <w:p w14:paraId="0A4C9CB6">
                  <w:pPr>
                    <w:pageBreakBefore w:val="0"/>
                    <w:kinsoku/>
                    <w:overflowPunct/>
                    <w:bidi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12位，控温范围：室温～350℃，冷却方式：风冷/水冷，带液晶显示屏</w:t>
                  </w:r>
                </w:p>
              </w:tc>
              <w:tc>
                <w:tcPr>
                  <w:tcW w:w="646" w:type="pct"/>
                  <w:noWrap w:val="0"/>
                  <w:vAlign w:val="center"/>
                </w:tcPr>
                <w:p w14:paraId="1AC5052B">
                  <w:pPr>
                    <w:pageBreakBefore w:val="0"/>
                    <w:kinsoku/>
                    <w:overflowPunct/>
                    <w:bidi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r>
            <w:tr w14:paraId="08B6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pct"/>
                  <w:vMerge w:val="continue"/>
                  <w:noWrap w:val="0"/>
                  <w:vAlign w:val="center"/>
                </w:tcPr>
                <w:p w14:paraId="5C5C8843">
                  <w:pPr>
                    <w:pageBreakBefore w:val="0"/>
                    <w:kinsoku/>
                    <w:overflowPunct/>
                    <w:bidi w:val="0"/>
                    <w:spacing w:line="360" w:lineRule="auto"/>
                    <w:jc w:val="center"/>
                    <w:rPr>
                      <w:rFonts w:hint="eastAsia" w:ascii="宋体" w:hAnsi="宋体" w:eastAsia="宋体" w:cs="宋体"/>
                      <w:b/>
                      <w:bCs/>
                      <w:color w:val="auto"/>
                      <w:szCs w:val="21"/>
                      <w:highlight w:val="none"/>
                      <w:lang w:val="en-US" w:eastAsia="zh-CN"/>
                    </w:rPr>
                  </w:pPr>
                </w:p>
              </w:tc>
              <w:tc>
                <w:tcPr>
                  <w:tcW w:w="1325" w:type="pct"/>
                  <w:noWrap w:val="0"/>
                  <w:vAlign w:val="center"/>
                </w:tcPr>
                <w:p w14:paraId="4446F000">
                  <w:pPr>
                    <w:pageBreakBefore w:val="0"/>
                    <w:kinsoku/>
                    <w:overflowPunct/>
                    <w:bidi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样品杯及磁力搅拌子</w:t>
                  </w:r>
                </w:p>
              </w:tc>
              <w:tc>
                <w:tcPr>
                  <w:tcW w:w="2512" w:type="pct"/>
                  <w:noWrap w:val="0"/>
                  <w:vAlign w:val="center"/>
                </w:tcPr>
                <w:p w14:paraId="451B1377">
                  <w:pPr>
                    <w:pageBreakBefore w:val="0"/>
                    <w:kinsoku/>
                    <w:overflowPunct/>
                    <w:bidi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与样品位数一致为1套</w:t>
                  </w:r>
                </w:p>
              </w:tc>
              <w:tc>
                <w:tcPr>
                  <w:tcW w:w="646" w:type="pct"/>
                  <w:noWrap w:val="0"/>
                  <w:vAlign w:val="center"/>
                </w:tcPr>
                <w:p w14:paraId="64BCCC1A">
                  <w:pPr>
                    <w:pageBreakBefore w:val="0"/>
                    <w:kinsoku/>
                    <w:overflowPunct/>
                    <w:bidi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2套</w:t>
                  </w:r>
                </w:p>
              </w:tc>
            </w:tr>
            <w:tr w14:paraId="0B220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pct"/>
                  <w:vMerge w:val="continue"/>
                  <w:noWrap w:val="0"/>
                  <w:vAlign w:val="center"/>
                </w:tcPr>
                <w:p w14:paraId="7EB16978">
                  <w:pPr>
                    <w:pageBreakBefore w:val="0"/>
                    <w:kinsoku/>
                    <w:overflowPunct/>
                    <w:bidi w:val="0"/>
                    <w:spacing w:line="360" w:lineRule="auto"/>
                    <w:jc w:val="center"/>
                    <w:rPr>
                      <w:rFonts w:hint="eastAsia" w:ascii="宋体" w:hAnsi="宋体" w:eastAsia="宋体" w:cs="宋体"/>
                      <w:b/>
                      <w:bCs/>
                      <w:color w:val="auto"/>
                      <w:szCs w:val="21"/>
                      <w:highlight w:val="none"/>
                    </w:rPr>
                  </w:pPr>
                </w:p>
              </w:tc>
              <w:tc>
                <w:tcPr>
                  <w:tcW w:w="1325" w:type="pct"/>
                  <w:noWrap w:val="0"/>
                  <w:vAlign w:val="center"/>
                </w:tcPr>
                <w:p w14:paraId="7E880753">
                  <w:pPr>
                    <w:pageBreakBefore w:val="0"/>
                    <w:kinsoku/>
                    <w:overflowPunct/>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试剂瓶架及试剂瓶</w:t>
                  </w:r>
                </w:p>
              </w:tc>
              <w:tc>
                <w:tcPr>
                  <w:tcW w:w="2512" w:type="pct"/>
                  <w:noWrap w:val="0"/>
                  <w:vAlign w:val="center"/>
                </w:tcPr>
                <w:p w14:paraId="6FC7C0D7">
                  <w:pPr>
                    <w:pageBreakBefore w:val="0"/>
                    <w:kinsoku/>
                    <w:overflowPunct/>
                    <w:bidi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c>
                <w:tcPr>
                  <w:tcW w:w="646" w:type="pct"/>
                  <w:noWrap w:val="0"/>
                  <w:vAlign w:val="center"/>
                </w:tcPr>
                <w:p w14:paraId="193DA0AB">
                  <w:pPr>
                    <w:pageBreakBefore w:val="0"/>
                    <w:kinsoku/>
                    <w:overflowPunct/>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1套</w:t>
                  </w:r>
                </w:p>
              </w:tc>
            </w:tr>
            <w:tr w14:paraId="63AD4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pct"/>
                  <w:vMerge w:val="continue"/>
                  <w:noWrap w:val="0"/>
                  <w:vAlign w:val="center"/>
                </w:tcPr>
                <w:p w14:paraId="05C3DB67">
                  <w:pPr>
                    <w:pageBreakBefore w:val="0"/>
                    <w:kinsoku/>
                    <w:overflowPunct/>
                    <w:bidi w:val="0"/>
                    <w:spacing w:line="360" w:lineRule="auto"/>
                    <w:jc w:val="center"/>
                    <w:rPr>
                      <w:rFonts w:hint="eastAsia" w:ascii="宋体" w:hAnsi="宋体" w:eastAsia="宋体" w:cs="宋体"/>
                      <w:color w:val="auto"/>
                      <w:szCs w:val="21"/>
                      <w:highlight w:val="none"/>
                    </w:rPr>
                  </w:pPr>
                </w:p>
              </w:tc>
              <w:tc>
                <w:tcPr>
                  <w:tcW w:w="1325" w:type="pct"/>
                  <w:noWrap w:val="0"/>
                  <w:vAlign w:val="center"/>
                </w:tcPr>
                <w:p w14:paraId="18184DC0">
                  <w:pPr>
                    <w:pageBreakBefore w:val="0"/>
                    <w:kinsoku/>
                    <w:overflowPunct/>
                    <w:bidi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纯水桶</w:t>
                  </w:r>
                </w:p>
              </w:tc>
              <w:tc>
                <w:tcPr>
                  <w:tcW w:w="2512" w:type="pct"/>
                  <w:noWrap w:val="0"/>
                  <w:vAlign w:val="center"/>
                </w:tcPr>
                <w:p w14:paraId="72C271AA">
                  <w:pPr>
                    <w:pageBreakBefore w:val="0"/>
                    <w:kinsoku/>
                    <w:overflowPunct/>
                    <w:bidi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c>
                <w:tcPr>
                  <w:tcW w:w="646" w:type="pct"/>
                  <w:noWrap w:val="0"/>
                  <w:vAlign w:val="center"/>
                </w:tcPr>
                <w:p w14:paraId="080D9E01">
                  <w:pPr>
                    <w:pageBreakBefore w:val="0"/>
                    <w:kinsoku/>
                    <w:overflowPunct/>
                    <w:bidi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1个</w:t>
                  </w:r>
                </w:p>
              </w:tc>
            </w:tr>
            <w:tr w14:paraId="41AA6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pct"/>
                  <w:vMerge w:val="continue"/>
                  <w:noWrap w:val="0"/>
                  <w:vAlign w:val="center"/>
                </w:tcPr>
                <w:p w14:paraId="4C7B8A3C">
                  <w:pPr>
                    <w:pageBreakBefore w:val="0"/>
                    <w:kinsoku/>
                    <w:overflowPunct/>
                    <w:bidi w:val="0"/>
                    <w:spacing w:line="360" w:lineRule="auto"/>
                    <w:jc w:val="center"/>
                    <w:rPr>
                      <w:rFonts w:hint="eastAsia" w:ascii="宋体" w:hAnsi="宋体" w:eastAsia="宋体" w:cs="宋体"/>
                      <w:color w:val="auto"/>
                      <w:szCs w:val="21"/>
                      <w:highlight w:val="none"/>
                    </w:rPr>
                  </w:pPr>
                </w:p>
              </w:tc>
              <w:tc>
                <w:tcPr>
                  <w:tcW w:w="1325" w:type="pct"/>
                  <w:noWrap w:val="0"/>
                  <w:vAlign w:val="center"/>
                </w:tcPr>
                <w:p w14:paraId="37E9E37E">
                  <w:pPr>
                    <w:pageBreakBefore w:val="0"/>
                    <w:kinsoku/>
                    <w:overflowPunct/>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废液桶</w:t>
                  </w:r>
                </w:p>
              </w:tc>
              <w:tc>
                <w:tcPr>
                  <w:tcW w:w="2512" w:type="pct"/>
                  <w:noWrap w:val="0"/>
                  <w:vAlign w:val="center"/>
                </w:tcPr>
                <w:p w14:paraId="11754308">
                  <w:pPr>
                    <w:pageBreakBefore w:val="0"/>
                    <w:kinsoku/>
                    <w:overflowPunct/>
                    <w:bidi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c>
                <w:tcPr>
                  <w:tcW w:w="646" w:type="pct"/>
                  <w:noWrap w:val="0"/>
                  <w:vAlign w:val="center"/>
                </w:tcPr>
                <w:p w14:paraId="1F151A23">
                  <w:pPr>
                    <w:pageBreakBefore w:val="0"/>
                    <w:kinsoku/>
                    <w:overflowPunct/>
                    <w:bidi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1个</w:t>
                  </w:r>
                </w:p>
              </w:tc>
            </w:tr>
            <w:tr w14:paraId="5C44A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pct"/>
                  <w:vMerge w:val="continue"/>
                  <w:noWrap w:val="0"/>
                  <w:vAlign w:val="center"/>
                </w:tcPr>
                <w:p w14:paraId="2E94D1D4">
                  <w:pPr>
                    <w:pageBreakBefore w:val="0"/>
                    <w:kinsoku/>
                    <w:overflowPunct/>
                    <w:bidi w:val="0"/>
                    <w:spacing w:line="360" w:lineRule="auto"/>
                    <w:jc w:val="center"/>
                    <w:rPr>
                      <w:rFonts w:hint="eastAsia" w:ascii="宋体" w:hAnsi="宋体" w:eastAsia="宋体" w:cs="宋体"/>
                      <w:color w:val="auto"/>
                      <w:szCs w:val="21"/>
                      <w:highlight w:val="none"/>
                    </w:rPr>
                  </w:pPr>
                </w:p>
              </w:tc>
              <w:tc>
                <w:tcPr>
                  <w:tcW w:w="1325" w:type="pct"/>
                  <w:noWrap w:val="0"/>
                  <w:vAlign w:val="center"/>
                </w:tcPr>
                <w:p w14:paraId="12E3C707">
                  <w:pPr>
                    <w:pageBreakBefore w:val="0"/>
                    <w:kinsoku/>
                    <w:overflowPunct/>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维修（护）工具包</w:t>
                  </w:r>
                </w:p>
              </w:tc>
              <w:tc>
                <w:tcPr>
                  <w:tcW w:w="2512" w:type="pct"/>
                  <w:noWrap w:val="0"/>
                  <w:vAlign w:val="center"/>
                </w:tcPr>
                <w:p w14:paraId="6BF07F2A">
                  <w:pPr>
                    <w:pageBreakBefore w:val="0"/>
                    <w:kinsoku/>
                    <w:overflowPunct/>
                    <w:bidi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c>
                <w:tcPr>
                  <w:tcW w:w="646" w:type="pct"/>
                  <w:noWrap w:val="0"/>
                  <w:vAlign w:val="center"/>
                </w:tcPr>
                <w:p w14:paraId="749150CF">
                  <w:pPr>
                    <w:pageBreakBefore w:val="0"/>
                    <w:kinsoku/>
                    <w:overflowPunct/>
                    <w:bidi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r>
          </w:tbl>
          <w:p w14:paraId="581247D8">
            <w:pPr>
              <w:pageBreakBefore w:val="0"/>
              <w:widowControl w:val="0"/>
              <w:kinsoku/>
              <w:wordWrap/>
              <w:overflowPunct/>
              <w:topLinePunct w:val="0"/>
              <w:autoSpaceDE/>
              <w:autoSpaceDN/>
              <w:bidi w:val="0"/>
              <w:adjustRightInd/>
              <w:snapToGrid/>
              <w:spacing w:line="360" w:lineRule="auto"/>
              <w:ind w:firstLine="422" w:firstLineChars="200"/>
              <w:textAlignment w:val="auto"/>
              <w:outlineLvl w:val="3"/>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2.仪器用途</w:t>
            </w:r>
          </w:p>
          <w:p w14:paraId="33E65DF8">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用于全自动测定环境水体中的化学需氧量（COD），整个实验过程全自动完成，无需人工值守，符合《水质化学需氧量的测定重铬酸盐法》（HJ828-2017）中化学需氧量的测定要求。</w:t>
            </w:r>
          </w:p>
          <w:p w14:paraId="06AF597B">
            <w:pPr>
              <w:pageBreakBefore w:val="0"/>
              <w:widowControl w:val="0"/>
              <w:kinsoku/>
              <w:wordWrap/>
              <w:overflowPunct/>
              <w:topLinePunct w:val="0"/>
              <w:autoSpaceDE/>
              <w:autoSpaceDN/>
              <w:bidi w:val="0"/>
              <w:adjustRightInd/>
              <w:snapToGrid/>
              <w:spacing w:line="360" w:lineRule="auto"/>
              <w:ind w:firstLine="422" w:firstLineChars="200"/>
              <w:textAlignment w:val="auto"/>
              <w:outlineLvl w:val="3"/>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3.技术参数</w:t>
            </w:r>
          </w:p>
          <w:p w14:paraId="4D5DFBA7">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3.1样品位数：≥</w:t>
            </w:r>
            <w:r>
              <w:rPr>
                <w:rFonts w:hint="eastAsia" w:ascii="宋体" w:hAnsi="宋体" w:cs="宋体"/>
                <w:b w:val="0"/>
                <w:bCs w:val="0"/>
                <w:color w:val="auto"/>
                <w:sz w:val="21"/>
                <w:szCs w:val="21"/>
                <w:highlight w:val="none"/>
                <w:lang w:val="en-US" w:eastAsia="zh-CN"/>
              </w:rPr>
              <w:t>24</w:t>
            </w:r>
            <w:r>
              <w:rPr>
                <w:rFonts w:hint="eastAsia" w:ascii="宋体" w:hAnsi="宋体" w:eastAsia="宋体" w:cs="宋体"/>
                <w:b w:val="0"/>
                <w:bCs w:val="0"/>
                <w:color w:val="auto"/>
                <w:sz w:val="21"/>
                <w:szCs w:val="21"/>
                <w:highlight w:val="none"/>
                <w:lang w:val="en-US" w:eastAsia="zh-CN"/>
              </w:rPr>
              <w:t>位。</w:t>
            </w:r>
          </w:p>
          <w:p w14:paraId="0C24AB2F">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■3.2 消解位：≥</w:t>
            </w:r>
            <w:r>
              <w:rPr>
                <w:rFonts w:hint="eastAsia" w:ascii="宋体" w:hAnsi="宋体" w:cs="宋体"/>
                <w:b w:val="0"/>
                <w:bCs w:val="0"/>
                <w:color w:val="auto"/>
                <w:sz w:val="21"/>
                <w:szCs w:val="21"/>
                <w:highlight w:val="none"/>
                <w:lang w:val="en-US" w:eastAsia="zh-CN"/>
              </w:rPr>
              <w:t>24</w:t>
            </w:r>
            <w:r>
              <w:rPr>
                <w:rFonts w:hint="eastAsia" w:ascii="宋体" w:hAnsi="宋体" w:eastAsia="宋体" w:cs="宋体"/>
                <w:b w:val="0"/>
                <w:bCs w:val="0"/>
                <w:color w:val="auto"/>
                <w:sz w:val="21"/>
                <w:szCs w:val="21"/>
                <w:highlight w:val="none"/>
                <w:lang w:val="en-US" w:eastAsia="zh-CN"/>
              </w:rPr>
              <w:t>位，所有位可同时消解，消解方式：加热回流；消解时间可自由设定。</w:t>
            </w:r>
          </w:p>
          <w:p w14:paraId="5A20C40D">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▲3.3 滴定位：≥20位，单次滴定量：10-1000µL（任选）</w:t>
            </w:r>
            <w:r>
              <w:rPr>
                <w:rFonts w:hint="eastAsia" w:ascii="宋体" w:hAnsi="宋体" w:cs="宋体"/>
                <w:b w:val="0"/>
                <w:bCs w:val="0"/>
                <w:color w:val="auto"/>
                <w:sz w:val="21"/>
                <w:szCs w:val="21"/>
                <w:highlight w:val="none"/>
                <w:lang w:val="en-US" w:eastAsia="zh-CN"/>
              </w:rPr>
              <w:t>；具有在样品杯内消解、样品杯内滴定分析，无需转移样品的功能</w:t>
            </w:r>
            <w:r>
              <w:rPr>
                <w:rFonts w:hint="eastAsia" w:ascii="宋体" w:hAnsi="宋体" w:eastAsia="宋体" w:cs="宋体"/>
                <w:b w:val="0"/>
                <w:bCs w:val="0"/>
                <w:color w:val="auto"/>
                <w:sz w:val="21"/>
                <w:szCs w:val="21"/>
                <w:highlight w:val="none"/>
                <w:lang w:val="en-US" w:eastAsia="zh-CN"/>
              </w:rPr>
              <w:t>。</w:t>
            </w:r>
          </w:p>
          <w:p w14:paraId="3EE19782">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3.3 冷凝管和样品杯通过磨砂口直接对接（样品杯和冷凝管均有磨砂口），不接受冷凝管和样品杯之间带有密封圈的密封方式，防止密封圈老化造成数据不稳定。</w:t>
            </w:r>
          </w:p>
          <w:p w14:paraId="3E62F996">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 w:val="21"/>
                <w:szCs w:val="21"/>
                <w:highlight w:val="none"/>
              </w:rPr>
              <w:t>■3.4 硫酸银-硫酸和硫酸用两个独立的加液泵加液，</w:t>
            </w:r>
            <w:r>
              <w:rPr>
                <w:rFonts w:hint="eastAsia" w:ascii="宋体" w:hAnsi="宋体" w:cs="宋体"/>
                <w:color w:val="auto"/>
                <w:sz w:val="21"/>
                <w:szCs w:val="21"/>
                <w:highlight w:val="none"/>
                <w:lang w:val="en-US" w:eastAsia="zh-CN"/>
              </w:rPr>
              <w:t>或者</w:t>
            </w:r>
            <w:r>
              <w:rPr>
                <w:rFonts w:hint="eastAsia" w:ascii="宋体" w:hAnsi="宋体" w:cs="宋体"/>
                <w:b/>
                <w:bCs/>
                <w:color w:val="auto"/>
                <w:sz w:val="21"/>
                <w:szCs w:val="21"/>
                <w:highlight w:val="none"/>
              </w:rPr>
              <w:t>硫酸-硫酸银使用单独通道进样</w:t>
            </w:r>
            <w:r>
              <w:rPr>
                <w:rFonts w:hint="eastAsia" w:ascii="宋体" w:hAnsi="宋体" w:cs="宋体"/>
                <w:b/>
                <w:bCs/>
                <w:color w:val="auto"/>
                <w:sz w:val="21"/>
                <w:szCs w:val="21"/>
                <w:highlight w:val="none"/>
                <w:lang w:eastAsia="zh-CN"/>
              </w:rPr>
              <w:t>。</w:t>
            </w:r>
          </w:p>
          <w:p w14:paraId="72A17F83">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 w:val="21"/>
                <w:szCs w:val="21"/>
                <w:highlight w:val="none"/>
              </w:rPr>
              <w:t>■</w:t>
            </w:r>
            <w:r>
              <w:rPr>
                <w:rFonts w:hint="eastAsia" w:ascii="宋体" w:hAnsi="宋体" w:eastAsia="宋体" w:cs="宋体"/>
                <w:b w:val="0"/>
                <w:bCs w:val="0"/>
                <w:color w:val="auto"/>
                <w:sz w:val="21"/>
                <w:szCs w:val="21"/>
                <w:highlight w:val="none"/>
                <w:lang w:val="en-US" w:eastAsia="zh-CN"/>
              </w:rPr>
              <w:t>3.5 可移动式滴定传感器，用于进行颜色判定，滴定过程中仪器可根据样品的颜色自动调整滴定速度，单个高/低浓度样品滴定时间平均小于2.5分钟。</w:t>
            </w:r>
          </w:p>
          <w:p w14:paraId="4337FD25">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3.6 检测范围：16～700mg/L。</w:t>
            </w:r>
          </w:p>
          <w:p w14:paraId="0A338CB9">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3.7 具有样品自动稀释功能，可对高浓度样品进行不同倍数的稀释；做空白试验时，10mL纯水由仪器自动加入。</w:t>
            </w:r>
          </w:p>
          <w:p w14:paraId="5870709B">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3.8 仪器主机上能实时显示加热器的温度和滴定的温度（滴定温度可以设置）。</w:t>
            </w:r>
          </w:p>
          <w:p w14:paraId="3F920527">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3.9 试剂添加方式：高精度进口注射泵加液，注射泵安装位置应便于观察、维护和更换。</w:t>
            </w:r>
          </w:p>
          <w:p w14:paraId="7069F71D">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■3.10 具有双机械臂加液系统，可以实现硫酸汞、重铬酸钾标准溶液在样品杯内添加，硫酸银-硫酸溶液和纯净水在冷凝管瓶口上端添加，完全符合HJ828-2017中规定试剂添加方式。</w:t>
            </w:r>
          </w:p>
          <w:p w14:paraId="2582D9DB">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■3.11 采用仿生视觉系统或</w:t>
            </w:r>
            <w:r>
              <w:rPr>
                <w:rFonts w:hint="eastAsia" w:ascii="宋体" w:hAnsi="宋体" w:eastAsia="宋体" w:cs="宋体"/>
                <w:i w:val="0"/>
                <w:iCs w:val="0"/>
                <w:color w:val="auto"/>
                <w:kern w:val="2"/>
                <w:sz w:val="21"/>
                <w:szCs w:val="21"/>
                <w:highlight w:val="none"/>
                <w:u w:val="none"/>
                <w:lang w:val="en-US" w:eastAsia="zh-CN" w:bidi="ar"/>
              </w:rPr>
              <w:t>智能的颜色传感器</w:t>
            </w:r>
            <w:r>
              <w:rPr>
                <w:rFonts w:hint="eastAsia" w:ascii="宋体" w:hAnsi="宋体" w:eastAsia="宋体" w:cs="宋体"/>
                <w:b w:val="0"/>
                <w:bCs w:val="0"/>
                <w:color w:val="auto"/>
                <w:sz w:val="21"/>
                <w:szCs w:val="21"/>
                <w:highlight w:val="none"/>
                <w:lang w:val="en-US" w:eastAsia="zh-CN"/>
              </w:rPr>
              <w:t>系统判定滴定终点，软件界面上可以以视频方式实时显示整个滴定过程，能观察滴定过程中样品的颜色变化</w:t>
            </w:r>
            <w:r>
              <w:rPr>
                <w:rFonts w:hint="eastAsia" w:ascii="宋体" w:hAnsi="宋体" w:cs="宋体"/>
                <w:b w:val="0"/>
                <w:bCs w:val="0"/>
                <w:color w:val="auto"/>
                <w:sz w:val="21"/>
                <w:szCs w:val="21"/>
                <w:highlight w:val="none"/>
                <w:lang w:val="en-US" w:eastAsia="zh-CN"/>
              </w:rPr>
              <w:t>和</w:t>
            </w:r>
            <w:r>
              <w:rPr>
                <w:rFonts w:hint="eastAsia" w:ascii="宋体" w:hAnsi="宋体" w:eastAsia="宋体" w:cs="宋体"/>
                <w:b w:val="0"/>
                <w:bCs w:val="0"/>
                <w:color w:val="auto"/>
                <w:sz w:val="21"/>
                <w:szCs w:val="21"/>
                <w:highlight w:val="none"/>
                <w:lang w:val="en-US" w:eastAsia="zh-CN"/>
              </w:rPr>
              <w:t>保存滴定前</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后</w:t>
            </w:r>
            <w:r>
              <w:rPr>
                <w:rFonts w:hint="eastAsia" w:ascii="宋体" w:hAnsi="宋体" w:cs="宋体"/>
                <w:b w:val="0"/>
                <w:bCs w:val="0"/>
                <w:color w:val="auto"/>
                <w:sz w:val="21"/>
                <w:szCs w:val="21"/>
                <w:highlight w:val="none"/>
                <w:lang w:val="en-US" w:eastAsia="zh-CN"/>
              </w:rPr>
              <w:t>的</w:t>
            </w:r>
            <w:r>
              <w:rPr>
                <w:rFonts w:hint="eastAsia" w:ascii="宋体" w:hAnsi="宋体" w:eastAsia="宋体" w:cs="宋体"/>
                <w:b w:val="0"/>
                <w:bCs w:val="0"/>
                <w:color w:val="auto"/>
                <w:sz w:val="21"/>
                <w:szCs w:val="21"/>
                <w:highlight w:val="none"/>
                <w:lang w:val="en-US" w:eastAsia="zh-CN"/>
              </w:rPr>
              <w:t>水样照片或视频，方便溯源。</w:t>
            </w:r>
          </w:p>
          <w:p w14:paraId="0F522721">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3.12 具备冷凝管自动清洗、自动排废功能；具备机械臂故障报警并停止运行功能；具备管路堵塞报警并停止运行功能；注射器上具有液位传感器，具备未抽取到试剂报警并停止运行功能。</w:t>
            </w:r>
          </w:p>
          <w:p w14:paraId="66689735">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3.13 仪器可自动判别待测样品位上是否放置样品杯，如有不匹配，仪器会自动报警。</w:t>
            </w:r>
          </w:p>
          <w:p w14:paraId="672FCCAC">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3.14 检出限：≤4.0mg/L。</w:t>
            </w:r>
          </w:p>
          <w:p w14:paraId="77B1D465">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■3.15 仪器测量精密度：（1）高浓度样品：标定10次重复性 RSD≤1%，最大偏差≤0.2mL（标定体积 25mL±1mL 时）； 空白10次，重复性 RSD≤1%，最大偏差≤0.2mL；100mg/L左右样品测定6次结果重复性RSD≤2%。（2）低浓度样品：标定10次重复性RSD≤1.5%，最大偏差≤0.3mL（标定体积 25mL±1mL 时 ）；空白10次，重复性 RSD≤1%，最大偏差≤0.3mL； 20mg/L左右样品测定6次结果重复性 RSD≤2%。</w:t>
            </w:r>
          </w:p>
          <w:p w14:paraId="1903BF4F">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3.16 仪器滴定精密度：RSD＜0.5%（连续6次滴定20µL，称重）。</w:t>
            </w:r>
          </w:p>
          <w:p w14:paraId="5D46B468">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■3.17 仪器测量正确度：误差±5%（高低两种不同浓度COD标准溶液测定）。</w:t>
            </w:r>
          </w:p>
          <w:p w14:paraId="662A1FA6">
            <w:pPr>
              <w:pageBreakBefore w:val="0"/>
              <w:widowControl w:val="0"/>
              <w:kinsoku/>
              <w:wordWrap/>
              <w:overflowPunct/>
              <w:topLinePunct w:val="0"/>
              <w:autoSpaceDE/>
              <w:autoSpaceDN/>
              <w:bidi w:val="0"/>
              <w:adjustRightInd/>
              <w:snapToGrid/>
              <w:spacing w:line="360" w:lineRule="auto"/>
              <w:ind w:firstLine="422" w:firstLineChars="200"/>
              <w:textAlignment w:val="auto"/>
              <w:outlineLvl w:val="3"/>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4.数据处理系统</w:t>
            </w:r>
          </w:p>
          <w:p w14:paraId="22C3A4E8">
            <w:pPr>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宋体" w:hAnsi="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cs="宋体"/>
                <w:b w:val="0"/>
                <w:bCs w:val="0"/>
                <w:color w:val="auto"/>
                <w:sz w:val="21"/>
                <w:szCs w:val="21"/>
                <w:highlight w:val="none"/>
                <w:lang w:val="en-US" w:eastAsia="zh-CN"/>
              </w:rPr>
              <w:t xml:space="preserve">数据输出和输入系统1套（品牌计算机，I5十二代及以上， 内存16G及以上， DVD刻录， 固态硬盘1T以上， </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22液晶专用显示器，中文正版Win10 64位专业系统；A4黑白激光打印机1套。）</w:t>
            </w:r>
          </w:p>
        </w:tc>
      </w:tr>
      <w:tr w14:paraId="4C8D9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14:paraId="0A4D04C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vertAlign w:val="baseline"/>
                <w:lang w:val="en-US" w:eastAsia="zh-CN" w:bidi="ar-SA"/>
                <w14:textFill>
                  <w14:solidFill>
                    <w14:schemeClr w14:val="tx1"/>
                  </w14:solidFill>
                </w14:textFill>
              </w:rPr>
              <w:t>5</w:t>
            </w:r>
          </w:p>
        </w:tc>
        <w:tc>
          <w:tcPr>
            <w:tcW w:w="2050" w:type="dxa"/>
            <w:vAlign w:val="center"/>
          </w:tcPr>
          <w:p w14:paraId="3DB10B8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vertAlign w:val="baseline"/>
                <w:lang w:val="en-US" w:eastAsia="zh-CN" w:bidi="ar-SA"/>
                <w14:textFill>
                  <w14:solidFill>
                    <w14:schemeClr w14:val="tx1"/>
                  </w14:solidFill>
                </w14:textFill>
              </w:rPr>
              <w:t>便携式溶解氧测定仪</w:t>
            </w:r>
          </w:p>
        </w:tc>
        <w:tc>
          <w:tcPr>
            <w:tcW w:w="10625" w:type="dxa"/>
            <w:vAlign w:val="center"/>
          </w:tcPr>
          <w:p w14:paraId="26B20347">
            <w:pPr>
              <w:pageBreakBefore w:val="0"/>
              <w:numPr>
                <w:ilvl w:val="0"/>
                <w:numId w:val="3"/>
              </w:numPr>
              <w:kinsoku/>
              <w:overflowPunct/>
              <w:bidi w:val="0"/>
              <w:spacing w:after="0" w:line="360" w:lineRule="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检测方法符合</w:t>
            </w:r>
            <w:r>
              <w:rPr>
                <w:rFonts w:hint="eastAsia" w:ascii="宋体" w:hAnsi="宋体" w:eastAsia="宋体" w:cs="宋体"/>
                <w:sz w:val="21"/>
                <w:szCs w:val="21"/>
              </w:rPr>
              <w:t>HJ 506-2009 水质 溶解氧的测定 电化学探头法</w:t>
            </w:r>
            <w:r>
              <w:rPr>
                <w:rFonts w:hint="eastAsia" w:ascii="宋体" w:hAnsi="宋体" w:eastAsia="宋体" w:cs="宋体"/>
                <w:sz w:val="21"/>
                <w:szCs w:val="21"/>
                <w:lang w:eastAsia="zh-CN"/>
              </w:rPr>
              <w:t>；</w:t>
            </w:r>
          </w:p>
          <w:p w14:paraId="78F782EF">
            <w:pPr>
              <w:pageBreakBefore w:val="0"/>
              <w:numPr>
                <w:ilvl w:val="0"/>
                <w:numId w:val="3"/>
              </w:numPr>
              <w:kinsoku/>
              <w:overflowPunct/>
              <w:bidi w:val="0"/>
              <w:spacing w:after="0" w:line="360" w:lineRule="auto"/>
              <w:rPr>
                <w:rFonts w:hint="eastAsia" w:ascii="宋体" w:hAnsi="宋体" w:eastAsia="宋体" w:cs="宋体"/>
                <w:sz w:val="21"/>
                <w:szCs w:val="21"/>
                <w:lang w:eastAsia="zh-CN"/>
              </w:rPr>
            </w:pPr>
            <w:r>
              <w:rPr>
                <w:rFonts w:hint="eastAsia" w:ascii="宋体" w:hAnsi="宋体" w:eastAsia="宋体" w:cs="宋体"/>
                <w:sz w:val="21"/>
                <w:szCs w:val="21"/>
              </w:rPr>
              <w:t>屏幕</w:t>
            </w:r>
            <w:r>
              <w:rPr>
                <w:rFonts w:hint="eastAsia" w:ascii="宋体" w:hAnsi="宋体" w:cs="宋体"/>
                <w:sz w:val="21"/>
                <w:szCs w:val="21"/>
                <w:lang w:val="en-US" w:eastAsia="zh-CN"/>
              </w:rPr>
              <w:t>清晰</w:t>
            </w:r>
            <w:r>
              <w:rPr>
                <w:rFonts w:hint="eastAsia" w:ascii="宋体" w:hAnsi="宋体" w:eastAsia="宋体" w:cs="宋体"/>
                <w:sz w:val="21"/>
                <w:szCs w:val="21"/>
                <w:lang w:eastAsia="zh-CN"/>
              </w:rPr>
              <w:t>；</w:t>
            </w:r>
            <w:r>
              <w:rPr>
                <w:rFonts w:hint="eastAsia" w:ascii="宋体" w:hAnsi="宋体" w:eastAsia="宋体" w:cs="宋体"/>
                <w:sz w:val="21"/>
                <w:szCs w:val="21"/>
              </w:rPr>
              <w:t>温度单位可选：℃ 和 °F</w:t>
            </w:r>
            <w:r>
              <w:rPr>
                <w:rFonts w:hint="eastAsia" w:ascii="宋体" w:hAnsi="宋体" w:eastAsia="宋体" w:cs="宋体"/>
                <w:sz w:val="21"/>
                <w:szCs w:val="21"/>
                <w:lang w:eastAsia="zh-CN"/>
              </w:rPr>
              <w:t>；</w:t>
            </w:r>
          </w:p>
          <w:p w14:paraId="66A46D7A">
            <w:pPr>
              <w:pageBreakBefore w:val="0"/>
              <w:kinsoku/>
              <w:overflowPunct/>
              <w:bidi w:val="0"/>
              <w:spacing w:after="0" w:line="360" w:lineRule="auto"/>
              <w:rPr>
                <w:rFonts w:hint="eastAsia" w:ascii="宋体" w:hAnsi="宋体" w:eastAsia="宋体" w:cs="宋体"/>
                <w:sz w:val="21"/>
                <w:szCs w:val="21"/>
                <w:lang w:eastAsia="zh-CN"/>
              </w:rPr>
            </w:pPr>
            <w:r>
              <w:rPr>
                <w:rFonts w:hint="eastAsia" w:ascii="宋体" w:hAnsi="宋体" w:eastAsia="宋体" w:cs="宋体"/>
                <w:sz w:val="21"/>
                <w:szCs w:val="21"/>
              </w:rPr>
              <w:t>3、支持开机自诊断、自动关机、断电保护和恢复出厂设置等功能</w:t>
            </w:r>
            <w:r>
              <w:rPr>
                <w:rFonts w:hint="eastAsia" w:ascii="宋体" w:hAnsi="宋体" w:eastAsia="宋体" w:cs="宋体"/>
                <w:sz w:val="21"/>
                <w:szCs w:val="21"/>
                <w:lang w:eastAsia="zh-CN"/>
              </w:rPr>
              <w:t>；</w:t>
            </w:r>
          </w:p>
          <w:p w14:paraId="27F48DAB">
            <w:pPr>
              <w:pageBreakBefore w:val="0"/>
              <w:kinsoku/>
              <w:overflowPunct/>
              <w:bidi w:val="0"/>
              <w:spacing w:after="0" w:line="360" w:lineRule="auto"/>
              <w:rPr>
                <w:rFonts w:hint="eastAsia" w:ascii="宋体" w:hAnsi="宋体" w:eastAsia="宋体" w:cs="宋体"/>
                <w:sz w:val="21"/>
                <w:szCs w:val="21"/>
                <w:lang w:eastAsia="zh-CN"/>
              </w:rPr>
            </w:pPr>
            <w:r>
              <w:rPr>
                <w:rFonts w:hint="eastAsia" w:ascii="宋体" w:hAnsi="宋体" w:eastAsia="宋体" w:cs="宋体"/>
                <w:sz w:val="21"/>
                <w:szCs w:val="21"/>
              </w:rPr>
              <w:t>4、支持固件升级功能，允许功能扩展和个性化要求</w:t>
            </w:r>
            <w:r>
              <w:rPr>
                <w:rFonts w:hint="eastAsia" w:ascii="宋体" w:hAnsi="宋体" w:eastAsia="宋体" w:cs="宋体"/>
                <w:sz w:val="21"/>
                <w:szCs w:val="21"/>
                <w:lang w:eastAsia="zh-CN"/>
              </w:rPr>
              <w:t>；</w:t>
            </w:r>
          </w:p>
          <w:p w14:paraId="4F45CBF6">
            <w:pPr>
              <w:pageBreakBefore w:val="0"/>
              <w:kinsoku/>
              <w:overflowPunct/>
              <w:bidi w:val="0"/>
              <w:spacing w:after="0" w:line="360" w:lineRule="auto"/>
              <w:rPr>
                <w:rFonts w:hint="eastAsia" w:ascii="宋体" w:hAnsi="宋体" w:eastAsia="宋体" w:cs="宋体"/>
                <w:sz w:val="21"/>
                <w:szCs w:val="21"/>
                <w:lang w:eastAsia="zh-CN"/>
              </w:rPr>
            </w:pPr>
            <w:r>
              <w:rPr>
                <w:rFonts w:hint="eastAsia" w:ascii="宋体" w:hAnsi="宋体" w:eastAsia="宋体" w:cs="宋体"/>
                <w:sz w:val="21"/>
                <w:szCs w:val="21"/>
              </w:rPr>
              <w:t>5、支持IP65</w:t>
            </w:r>
            <w:r>
              <w:rPr>
                <w:rFonts w:hint="eastAsia" w:ascii="宋体" w:hAnsi="宋体" w:cs="宋体"/>
                <w:sz w:val="21"/>
                <w:szCs w:val="21"/>
                <w:lang w:val="en-US" w:eastAsia="zh-CN"/>
              </w:rPr>
              <w:t>及以上</w:t>
            </w:r>
            <w:r>
              <w:rPr>
                <w:rFonts w:hint="eastAsia" w:ascii="宋体" w:hAnsi="宋体" w:eastAsia="宋体" w:cs="宋体"/>
                <w:sz w:val="21"/>
                <w:szCs w:val="21"/>
              </w:rPr>
              <w:t>防护等级</w:t>
            </w:r>
            <w:r>
              <w:rPr>
                <w:rFonts w:hint="eastAsia" w:ascii="宋体" w:hAnsi="宋体" w:eastAsia="宋体" w:cs="宋体"/>
                <w:sz w:val="21"/>
                <w:szCs w:val="21"/>
                <w:lang w:eastAsia="zh-CN"/>
              </w:rPr>
              <w:t>；</w:t>
            </w:r>
          </w:p>
          <w:p w14:paraId="11C10693">
            <w:pPr>
              <w:pageBreakBefore w:val="0"/>
              <w:kinsoku/>
              <w:overflowPunct/>
              <w:bidi w:val="0"/>
              <w:spacing w:after="0" w:line="360" w:lineRule="auto"/>
              <w:rPr>
                <w:rFonts w:hint="eastAsia" w:ascii="宋体" w:hAnsi="宋体" w:eastAsia="宋体" w:cs="宋体"/>
                <w:sz w:val="21"/>
                <w:szCs w:val="21"/>
                <w:lang w:eastAsia="zh-CN"/>
              </w:rPr>
            </w:pPr>
            <w:r>
              <w:rPr>
                <w:rFonts w:hint="eastAsia" w:ascii="宋体" w:hAnsi="宋体" w:eastAsia="宋体" w:cs="宋体"/>
                <w:sz w:val="21"/>
                <w:szCs w:val="21"/>
              </w:rPr>
              <w:t>6、标配极谱法溶解氧电极、电极挂架、硅胶保护套、腕带、便携式手提箱</w:t>
            </w:r>
            <w:r>
              <w:rPr>
                <w:rFonts w:hint="eastAsia" w:ascii="宋体" w:hAnsi="宋体" w:eastAsia="宋体" w:cs="宋体"/>
                <w:sz w:val="21"/>
                <w:szCs w:val="21"/>
                <w:lang w:eastAsia="zh-CN"/>
              </w:rPr>
              <w:t>；</w:t>
            </w:r>
          </w:p>
          <w:p w14:paraId="0D533B86">
            <w:pPr>
              <w:pageBreakBefore w:val="0"/>
              <w:kinsoku/>
              <w:overflowPunct/>
              <w:bidi w:val="0"/>
              <w:spacing w:after="0" w:line="360" w:lineRule="auto"/>
              <w:rPr>
                <w:rFonts w:hint="eastAsia" w:ascii="宋体" w:hAnsi="宋体" w:eastAsia="宋体" w:cs="宋体"/>
                <w:sz w:val="21"/>
                <w:szCs w:val="21"/>
                <w:lang w:eastAsia="zh-CN"/>
              </w:rPr>
            </w:pPr>
            <w:r>
              <w:rPr>
                <w:rFonts w:hint="eastAsia" w:ascii="宋体" w:hAnsi="宋体" w:eastAsia="宋体" w:cs="宋体"/>
                <w:sz w:val="21"/>
                <w:szCs w:val="21"/>
              </w:rPr>
              <w:t>7、智能判别终点，支持自动读数、定时读数、定时间隔读数、手动读数</w:t>
            </w:r>
            <w:r>
              <w:rPr>
                <w:rFonts w:hint="eastAsia" w:ascii="宋体" w:hAnsi="宋体" w:eastAsia="宋体" w:cs="宋体"/>
                <w:sz w:val="21"/>
                <w:szCs w:val="21"/>
                <w:lang w:eastAsia="zh-CN"/>
              </w:rPr>
              <w:t>；</w:t>
            </w:r>
          </w:p>
          <w:p w14:paraId="4EAA7B9E">
            <w:pPr>
              <w:pageBreakBefore w:val="0"/>
              <w:kinsoku/>
              <w:overflowPunct/>
              <w:bidi w:val="0"/>
              <w:spacing w:after="0" w:line="360" w:lineRule="auto"/>
              <w:rPr>
                <w:rFonts w:hint="eastAsia" w:ascii="宋体" w:hAnsi="宋体" w:eastAsia="宋体" w:cs="宋体"/>
                <w:sz w:val="21"/>
                <w:szCs w:val="21"/>
                <w:lang w:eastAsia="zh-CN"/>
              </w:rPr>
            </w:pPr>
            <w:r>
              <w:rPr>
                <w:rFonts w:hint="eastAsia" w:ascii="宋体" w:hAnsi="宋体" w:eastAsia="宋体" w:cs="宋体"/>
                <w:sz w:val="21"/>
                <w:szCs w:val="21"/>
              </w:rPr>
              <w:t>8、支持自动温度补偿、自动大气压补偿（kPa、mmHg、atm多种单位可选）</w:t>
            </w:r>
            <w:r>
              <w:rPr>
                <w:rFonts w:hint="eastAsia" w:ascii="宋体" w:hAnsi="宋体" w:eastAsia="宋体" w:cs="宋体"/>
                <w:sz w:val="21"/>
                <w:szCs w:val="21"/>
                <w:lang w:eastAsia="zh-CN"/>
              </w:rPr>
              <w:t>；</w:t>
            </w:r>
          </w:p>
          <w:p w14:paraId="25BB60C7">
            <w:pPr>
              <w:pageBreakBefore w:val="0"/>
              <w:kinsoku/>
              <w:overflowPunct/>
              <w:bidi w:val="0"/>
              <w:spacing w:after="0" w:line="360" w:lineRule="auto"/>
              <w:rPr>
                <w:rFonts w:hint="eastAsia" w:ascii="宋体" w:hAnsi="宋体" w:eastAsia="宋体" w:cs="宋体"/>
                <w:sz w:val="21"/>
                <w:szCs w:val="21"/>
                <w:lang w:eastAsia="zh-CN"/>
              </w:rPr>
            </w:pPr>
            <w:r>
              <w:rPr>
                <w:rFonts w:hint="eastAsia" w:ascii="宋体" w:hAnsi="宋体" w:eastAsia="宋体" w:cs="宋体"/>
                <w:sz w:val="21"/>
                <w:szCs w:val="21"/>
              </w:rPr>
              <w:t>9、自动零氧标定和满度标定</w:t>
            </w:r>
            <w:r>
              <w:rPr>
                <w:rFonts w:hint="eastAsia" w:ascii="宋体" w:hAnsi="宋体" w:eastAsia="宋体" w:cs="宋体"/>
                <w:sz w:val="21"/>
                <w:szCs w:val="21"/>
                <w:lang w:eastAsia="zh-CN"/>
              </w:rPr>
              <w:t>；</w:t>
            </w:r>
          </w:p>
          <w:p w14:paraId="64EE8D95">
            <w:pPr>
              <w:pageBreakBefore w:val="0"/>
              <w:kinsoku/>
              <w:overflowPunct/>
              <w:bidi w:val="0"/>
              <w:spacing w:after="0" w:line="360" w:lineRule="auto"/>
              <w:rPr>
                <w:rFonts w:hint="eastAsia" w:ascii="宋体" w:hAnsi="宋体" w:eastAsia="宋体" w:cs="宋体"/>
                <w:sz w:val="21"/>
                <w:szCs w:val="21"/>
                <w:lang w:eastAsia="zh-CN"/>
              </w:rPr>
            </w:pPr>
            <w:r>
              <w:rPr>
                <w:rFonts w:hint="eastAsia" w:ascii="宋体" w:hAnsi="宋体" w:eastAsia="宋体" w:cs="宋体"/>
                <w:sz w:val="21"/>
                <w:szCs w:val="21"/>
              </w:rPr>
              <w:t>10、支持手动盐度补偿</w:t>
            </w:r>
            <w:r>
              <w:rPr>
                <w:rFonts w:hint="eastAsia" w:ascii="宋体" w:hAnsi="宋体" w:eastAsia="宋体" w:cs="宋体"/>
                <w:sz w:val="21"/>
                <w:szCs w:val="21"/>
                <w:lang w:eastAsia="zh-CN"/>
              </w:rPr>
              <w:t>；</w:t>
            </w:r>
          </w:p>
          <w:p w14:paraId="28AF1EF8">
            <w:pPr>
              <w:pageBreakBefore w:val="0"/>
              <w:kinsoku/>
              <w:overflowPunct/>
              <w:bidi w:val="0"/>
              <w:spacing w:after="0" w:line="360" w:lineRule="auto"/>
              <w:rPr>
                <w:rFonts w:hint="eastAsia" w:ascii="宋体" w:hAnsi="宋体" w:eastAsia="宋体" w:cs="宋体"/>
                <w:sz w:val="21"/>
                <w:szCs w:val="21"/>
                <w:lang w:eastAsia="zh-CN"/>
              </w:rPr>
            </w:pPr>
            <w:r>
              <w:rPr>
                <w:rFonts w:hint="eastAsia" w:ascii="宋体" w:hAnsi="宋体" w:eastAsia="宋体" w:cs="宋体"/>
                <w:sz w:val="21"/>
                <w:szCs w:val="21"/>
              </w:rPr>
              <w:t>11、支持数据存储、</w:t>
            </w:r>
            <w:r>
              <w:rPr>
                <w:rFonts w:hint="eastAsia" w:ascii="宋体" w:hAnsi="宋体" w:cs="宋体"/>
                <w:sz w:val="21"/>
                <w:szCs w:val="21"/>
                <w:lang w:val="en-US" w:eastAsia="zh-CN"/>
              </w:rPr>
              <w:t>有</w:t>
            </w:r>
            <w:r>
              <w:rPr>
                <w:rFonts w:hint="eastAsia" w:ascii="宋体" w:hAnsi="宋体" w:eastAsia="宋体" w:cs="宋体"/>
                <w:sz w:val="21"/>
                <w:szCs w:val="21"/>
              </w:rPr>
              <w:t>查阅、删除、传输和打印</w:t>
            </w:r>
            <w:r>
              <w:rPr>
                <w:rFonts w:hint="eastAsia" w:ascii="宋体" w:hAnsi="宋体" w:cs="宋体"/>
                <w:sz w:val="21"/>
                <w:szCs w:val="21"/>
                <w:lang w:val="en-US" w:eastAsia="zh-CN"/>
              </w:rPr>
              <w:t>功能</w:t>
            </w:r>
            <w:r>
              <w:rPr>
                <w:rFonts w:hint="eastAsia" w:ascii="宋体" w:hAnsi="宋体" w:eastAsia="宋体" w:cs="宋体"/>
                <w:sz w:val="21"/>
                <w:szCs w:val="21"/>
                <w:lang w:eastAsia="zh-CN"/>
              </w:rPr>
              <w:t>；</w:t>
            </w:r>
          </w:p>
          <w:p w14:paraId="62C02D63">
            <w:pPr>
              <w:pageBreakBefore w:val="0"/>
              <w:kinsoku/>
              <w:overflowPunct/>
              <w:bidi w:val="0"/>
              <w:spacing w:after="0" w:line="360" w:lineRule="auto"/>
              <w:rPr>
                <w:rFonts w:hint="eastAsia" w:ascii="宋体" w:hAnsi="宋体" w:eastAsia="宋体" w:cs="宋体"/>
                <w:sz w:val="21"/>
                <w:szCs w:val="21"/>
                <w:lang w:eastAsia="zh-CN"/>
              </w:rPr>
            </w:pPr>
            <w:r>
              <w:rPr>
                <w:rFonts w:hint="eastAsia" w:ascii="宋体" w:hAnsi="宋体" w:eastAsia="宋体" w:cs="宋体"/>
                <w:i w:val="0"/>
                <w:iCs w:val="0"/>
                <w:caps w:val="0"/>
                <w:color w:val="000000"/>
                <w:spacing w:val="0"/>
                <w:sz w:val="21"/>
                <w:szCs w:val="21"/>
                <w:shd w:val="clear" w:fill="FFFFFF"/>
                <w:lang w:val="en-US" w:eastAsia="zh-CN"/>
              </w:rPr>
              <w:t>▲</w:t>
            </w:r>
            <w:r>
              <w:rPr>
                <w:rFonts w:hint="eastAsia" w:ascii="宋体" w:hAnsi="宋体" w:eastAsia="宋体" w:cs="宋体"/>
                <w:sz w:val="21"/>
                <w:szCs w:val="21"/>
              </w:rPr>
              <w:t>12、</w:t>
            </w:r>
            <w:r>
              <w:rPr>
                <w:rFonts w:hint="eastAsia" w:ascii="宋体" w:hAnsi="宋体" w:eastAsia="宋体" w:cs="宋体"/>
                <w:i w:val="0"/>
                <w:iCs w:val="0"/>
                <w:caps w:val="0"/>
                <w:color w:val="auto"/>
                <w:spacing w:val="0"/>
                <w:sz w:val="21"/>
                <w:szCs w:val="21"/>
                <w:shd w:val="clear" w:fill="auto"/>
              </w:rPr>
              <w:t>内置蓝牙</w:t>
            </w:r>
            <w:r>
              <w:rPr>
                <w:rFonts w:hint="eastAsia" w:ascii="宋体" w:hAnsi="宋体" w:cs="宋体"/>
                <w:i w:val="0"/>
                <w:iCs w:val="0"/>
                <w:caps w:val="0"/>
                <w:color w:val="auto"/>
                <w:spacing w:val="0"/>
                <w:sz w:val="21"/>
                <w:szCs w:val="21"/>
                <w:shd w:val="clear" w:fill="auto"/>
                <w:lang w:val="en-US" w:eastAsia="zh-CN"/>
              </w:rPr>
              <w:t>或</w:t>
            </w:r>
            <w:r>
              <w:rPr>
                <w:rFonts w:hint="eastAsia" w:ascii="宋体" w:hAnsi="宋体" w:eastAsia="宋体" w:cs="宋体"/>
                <w:i w:val="0"/>
                <w:iCs w:val="0"/>
                <w:caps w:val="0"/>
                <w:color w:val="auto"/>
                <w:spacing w:val="0"/>
                <w:sz w:val="21"/>
                <w:szCs w:val="21"/>
                <w:shd w:val="clear" w:fill="auto"/>
              </w:rPr>
              <w:t>支持</w:t>
            </w:r>
            <w:r>
              <w:rPr>
                <w:rFonts w:hint="eastAsia" w:ascii="宋体" w:hAnsi="宋体" w:cs="宋体"/>
                <w:i w:val="0"/>
                <w:iCs w:val="0"/>
                <w:caps w:val="0"/>
                <w:color w:val="auto"/>
                <w:spacing w:val="0"/>
                <w:sz w:val="21"/>
                <w:szCs w:val="21"/>
                <w:shd w:val="clear" w:fill="auto"/>
                <w:lang w:val="en-US" w:eastAsia="zh-CN"/>
              </w:rPr>
              <w:t>其他</w:t>
            </w:r>
            <w:r>
              <w:rPr>
                <w:rFonts w:hint="eastAsia" w:ascii="宋体" w:hAnsi="宋体" w:eastAsia="宋体" w:cs="宋体"/>
                <w:i w:val="0"/>
                <w:iCs w:val="0"/>
                <w:caps w:val="0"/>
                <w:color w:val="auto"/>
                <w:spacing w:val="0"/>
                <w:sz w:val="21"/>
                <w:szCs w:val="21"/>
                <w:shd w:val="clear" w:fill="auto"/>
              </w:rPr>
              <w:t>无线传输</w:t>
            </w:r>
            <w:r>
              <w:rPr>
                <w:rFonts w:hint="eastAsia" w:ascii="宋体" w:hAnsi="宋体" w:cs="宋体"/>
                <w:i w:val="0"/>
                <w:iCs w:val="0"/>
                <w:caps w:val="0"/>
                <w:color w:val="auto"/>
                <w:spacing w:val="0"/>
                <w:sz w:val="21"/>
                <w:szCs w:val="21"/>
                <w:shd w:val="clear" w:fill="auto"/>
                <w:lang w:val="en-US" w:eastAsia="zh-CN"/>
              </w:rPr>
              <w:t>方式或</w:t>
            </w:r>
            <w:r>
              <w:rPr>
                <w:rFonts w:hint="eastAsia" w:ascii="宋体" w:hAnsi="宋体" w:eastAsia="宋体" w:cs="宋体"/>
                <w:sz w:val="21"/>
                <w:szCs w:val="21"/>
              </w:rPr>
              <w:t>具有USB</w:t>
            </w:r>
            <w:r>
              <w:rPr>
                <w:rFonts w:hint="eastAsia" w:ascii="宋体" w:hAnsi="宋体" w:cs="宋体"/>
                <w:sz w:val="21"/>
                <w:szCs w:val="21"/>
                <w:lang w:val="en-US" w:eastAsia="zh-CN"/>
              </w:rPr>
              <w:t>等</w:t>
            </w:r>
            <w:r>
              <w:rPr>
                <w:rFonts w:hint="eastAsia" w:ascii="宋体" w:hAnsi="宋体" w:eastAsia="宋体" w:cs="宋体"/>
                <w:sz w:val="21"/>
                <w:szCs w:val="21"/>
              </w:rPr>
              <w:t>接口，</w:t>
            </w:r>
            <w:r>
              <w:rPr>
                <w:rFonts w:hint="eastAsia" w:ascii="宋体" w:hAnsi="宋体" w:cs="宋体"/>
                <w:sz w:val="21"/>
                <w:szCs w:val="21"/>
                <w:lang w:val="en-US" w:eastAsia="zh-CN"/>
              </w:rPr>
              <w:t>能</w:t>
            </w:r>
            <w:r>
              <w:rPr>
                <w:rFonts w:hint="eastAsia" w:ascii="宋体" w:hAnsi="宋体" w:eastAsia="宋体" w:cs="宋体"/>
                <w:sz w:val="21"/>
                <w:szCs w:val="21"/>
              </w:rPr>
              <w:t>实现数据传输</w:t>
            </w:r>
            <w:r>
              <w:rPr>
                <w:rFonts w:hint="eastAsia" w:ascii="宋体" w:hAnsi="宋体" w:eastAsia="宋体" w:cs="宋体"/>
                <w:sz w:val="21"/>
                <w:szCs w:val="21"/>
                <w:lang w:eastAsia="zh-CN"/>
              </w:rPr>
              <w:t>；</w:t>
            </w:r>
          </w:p>
          <w:p w14:paraId="078A5B15">
            <w:pPr>
              <w:pageBreakBefore w:val="0"/>
              <w:kinsoku/>
              <w:overflowPunct/>
              <w:bidi w:val="0"/>
              <w:spacing w:after="0" w:line="360" w:lineRule="auto"/>
              <w:rPr>
                <w:rFonts w:hint="eastAsia" w:ascii="宋体" w:hAnsi="宋体" w:eastAsia="宋体" w:cs="宋体"/>
                <w:sz w:val="21"/>
                <w:szCs w:val="21"/>
              </w:rPr>
            </w:pPr>
            <w:r>
              <w:rPr>
                <w:rFonts w:hint="eastAsia" w:ascii="宋体" w:hAnsi="宋体" w:eastAsia="宋体" w:cs="宋体"/>
                <w:sz w:val="21"/>
                <w:szCs w:val="21"/>
              </w:rPr>
              <w:t>13、大容量锂电池供电，支持连接PC和移动电源充电，支持背光调节</w:t>
            </w:r>
          </w:p>
          <w:tbl>
            <w:tblPr>
              <w:tblStyle w:val="23"/>
              <w:tblW w:w="5000" w:type="pct"/>
              <w:tblInd w:w="0" w:type="dxa"/>
              <w:tblLayout w:type="autofit"/>
              <w:tblCellMar>
                <w:top w:w="0" w:type="dxa"/>
                <w:left w:w="0" w:type="dxa"/>
                <w:bottom w:w="0" w:type="dxa"/>
                <w:right w:w="0" w:type="dxa"/>
              </w:tblCellMar>
            </w:tblPr>
            <w:tblGrid>
              <w:gridCol w:w="1671"/>
              <w:gridCol w:w="3658"/>
              <w:gridCol w:w="5080"/>
            </w:tblGrid>
            <w:tr w14:paraId="40026A10">
              <w:tblPrEx>
                <w:tblCellMar>
                  <w:top w:w="0" w:type="dxa"/>
                  <w:left w:w="0" w:type="dxa"/>
                  <w:bottom w:w="0" w:type="dxa"/>
                  <w:right w:w="0" w:type="dxa"/>
                </w:tblCellMar>
              </w:tblPrEx>
              <w:trPr>
                <w:trHeight w:val="23" w:hRule="atLeast"/>
              </w:trPr>
              <w:tc>
                <w:tcPr>
                  <w:tcW w:w="803"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669559">
                  <w:pPr>
                    <w:pageBreakBefore w:val="0"/>
                    <w:widowControl/>
                    <w:kinsoku/>
                    <w:overflowPunct/>
                    <w:bidi w:val="0"/>
                    <w:spacing w:after="0"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溶解氧</w:t>
                  </w:r>
                </w:p>
              </w:tc>
              <w:tc>
                <w:tcPr>
                  <w:tcW w:w="175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405140F">
                  <w:pPr>
                    <w:pageBreakBefore w:val="0"/>
                    <w:widowControl/>
                    <w:kinsoku/>
                    <w:overflowPunct/>
                    <w:bidi w:val="0"/>
                    <w:spacing w:after="0"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范围</w:t>
                  </w:r>
                </w:p>
              </w:tc>
              <w:tc>
                <w:tcPr>
                  <w:tcW w:w="244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278770D8">
                  <w:pPr>
                    <w:pageBreakBefore w:val="0"/>
                    <w:widowControl/>
                    <w:kinsoku/>
                    <w:overflowPunct/>
                    <w:bidi w:val="0"/>
                    <w:spacing w:after="0" w:line="360" w:lineRule="auto"/>
                    <w:jc w:val="center"/>
                    <w:textAlignment w:val="bottom"/>
                    <w:rPr>
                      <w:rFonts w:hint="eastAsia" w:ascii="宋体" w:hAnsi="宋体" w:eastAsia="宋体" w:cs="宋体"/>
                      <w:sz w:val="21"/>
                      <w:szCs w:val="21"/>
                    </w:rPr>
                  </w:pPr>
                  <w:r>
                    <w:rPr>
                      <w:rFonts w:hint="eastAsia" w:ascii="宋体" w:hAnsi="宋体" w:eastAsia="宋体" w:cs="宋体"/>
                      <w:sz w:val="21"/>
                      <w:szCs w:val="21"/>
                    </w:rPr>
                    <w:t>(0.00～</w:t>
                  </w:r>
                  <w:r>
                    <w:rPr>
                      <w:rFonts w:hint="eastAsia" w:ascii="宋体" w:hAnsi="宋体" w:eastAsia="宋体" w:cs="宋体"/>
                      <w:sz w:val="21"/>
                      <w:szCs w:val="21"/>
                      <w:lang w:val="en-US" w:eastAsia="zh-CN"/>
                    </w:rPr>
                    <w:t>20</w:t>
                  </w:r>
                  <w:r>
                    <w:rPr>
                      <w:rFonts w:hint="eastAsia" w:ascii="宋体" w:hAnsi="宋体" w:eastAsia="宋体" w:cs="宋体"/>
                      <w:sz w:val="21"/>
                      <w:szCs w:val="21"/>
                    </w:rPr>
                    <w:t>.00)mg/L</w:t>
                  </w:r>
                </w:p>
              </w:tc>
            </w:tr>
            <w:tr w14:paraId="7ACCE90B">
              <w:tblPrEx>
                <w:tblCellMar>
                  <w:top w:w="0" w:type="dxa"/>
                  <w:left w:w="0" w:type="dxa"/>
                  <w:bottom w:w="0" w:type="dxa"/>
                  <w:right w:w="0" w:type="dxa"/>
                </w:tblCellMar>
              </w:tblPrEx>
              <w:trPr>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289B308">
                  <w:pPr>
                    <w:pageBreakBefore w:val="0"/>
                    <w:widowControl/>
                    <w:kinsoku/>
                    <w:overflowPunct/>
                    <w:bidi w:val="0"/>
                    <w:spacing w:after="0" w:line="360" w:lineRule="auto"/>
                    <w:rPr>
                      <w:rFonts w:hint="eastAsia" w:ascii="宋体" w:hAnsi="宋体" w:eastAsia="宋体" w:cs="宋体"/>
                      <w:sz w:val="21"/>
                      <w:szCs w:val="21"/>
                    </w:rPr>
                  </w:pPr>
                </w:p>
              </w:tc>
              <w:tc>
                <w:tcPr>
                  <w:tcW w:w="175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4153BF">
                  <w:pPr>
                    <w:pageBreakBefore w:val="0"/>
                    <w:widowControl/>
                    <w:kinsoku/>
                    <w:overflowPunct/>
                    <w:bidi w:val="0"/>
                    <w:spacing w:after="0"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■最小分辨率</w:t>
                  </w:r>
                </w:p>
              </w:tc>
              <w:tc>
                <w:tcPr>
                  <w:tcW w:w="244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35CADAFC">
                  <w:pPr>
                    <w:pageBreakBefore w:val="0"/>
                    <w:widowControl/>
                    <w:kinsoku/>
                    <w:overflowPunct/>
                    <w:bidi w:val="0"/>
                    <w:spacing w:after="0" w:line="360" w:lineRule="auto"/>
                    <w:jc w:val="center"/>
                    <w:textAlignment w:val="bottom"/>
                    <w:rPr>
                      <w:rFonts w:hint="eastAsia" w:ascii="宋体" w:hAnsi="宋体" w:eastAsia="宋体" w:cs="宋体"/>
                      <w:sz w:val="21"/>
                      <w:szCs w:val="21"/>
                    </w:rPr>
                  </w:pPr>
                  <w:r>
                    <w:rPr>
                      <w:rFonts w:hint="eastAsia" w:ascii="宋体" w:hAnsi="宋体" w:eastAsia="宋体" w:cs="宋体"/>
                      <w:sz w:val="21"/>
                      <w:szCs w:val="21"/>
                    </w:rPr>
                    <w:t>0.01 mg/L</w:t>
                  </w:r>
                </w:p>
              </w:tc>
            </w:tr>
            <w:tr w14:paraId="3FEC9A05">
              <w:tblPrEx>
                <w:tblCellMar>
                  <w:top w:w="0" w:type="dxa"/>
                  <w:left w:w="0" w:type="dxa"/>
                  <w:bottom w:w="0" w:type="dxa"/>
                  <w:right w:w="0" w:type="dxa"/>
                </w:tblCellMar>
              </w:tblPrEx>
              <w:trPr>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792E2B2">
                  <w:pPr>
                    <w:pageBreakBefore w:val="0"/>
                    <w:widowControl/>
                    <w:kinsoku/>
                    <w:overflowPunct/>
                    <w:bidi w:val="0"/>
                    <w:spacing w:after="0" w:line="360" w:lineRule="auto"/>
                    <w:rPr>
                      <w:rFonts w:hint="eastAsia" w:ascii="宋体" w:hAnsi="宋体" w:eastAsia="宋体" w:cs="宋体"/>
                      <w:sz w:val="21"/>
                      <w:szCs w:val="21"/>
                    </w:rPr>
                  </w:pPr>
                </w:p>
              </w:tc>
              <w:tc>
                <w:tcPr>
                  <w:tcW w:w="175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DCEA07">
                  <w:pPr>
                    <w:pageBreakBefore w:val="0"/>
                    <w:widowControl/>
                    <w:kinsoku/>
                    <w:overflowPunct/>
                    <w:bidi w:val="0"/>
                    <w:spacing w:after="0"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电子单元示值误差</w:t>
                  </w:r>
                </w:p>
              </w:tc>
              <w:tc>
                <w:tcPr>
                  <w:tcW w:w="244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730E9AD4">
                  <w:pPr>
                    <w:pageBreakBefore w:val="0"/>
                    <w:widowControl/>
                    <w:kinsoku/>
                    <w:overflowPunct/>
                    <w:bidi w:val="0"/>
                    <w:spacing w:after="0" w:line="360" w:lineRule="auto"/>
                    <w:jc w:val="center"/>
                    <w:textAlignment w:val="bottom"/>
                    <w:rPr>
                      <w:rFonts w:hint="eastAsia" w:ascii="宋体" w:hAnsi="宋体" w:eastAsia="宋体" w:cs="宋体"/>
                      <w:sz w:val="21"/>
                      <w:szCs w:val="21"/>
                    </w:rPr>
                  </w:pPr>
                  <w:r>
                    <w:rPr>
                      <w:rFonts w:hint="eastAsia" w:ascii="宋体" w:hAnsi="宋体" w:eastAsia="宋体" w:cs="宋体"/>
                      <w:sz w:val="21"/>
                      <w:szCs w:val="21"/>
                    </w:rPr>
                    <w:t>±0.10mg/L</w:t>
                  </w:r>
                </w:p>
              </w:tc>
            </w:tr>
            <w:tr w14:paraId="4E8ACD71">
              <w:tblPrEx>
                <w:tblCellMar>
                  <w:top w:w="0" w:type="dxa"/>
                  <w:left w:w="0" w:type="dxa"/>
                  <w:bottom w:w="0" w:type="dxa"/>
                  <w:right w:w="0" w:type="dxa"/>
                </w:tblCellMar>
              </w:tblPrEx>
              <w:trPr>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73DAC6C">
                  <w:pPr>
                    <w:pageBreakBefore w:val="0"/>
                    <w:widowControl/>
                    <w:kinsoku/>
                    <w:overflowPunct/>
                    <w:bidi w:val="0"/>
                    <w:spacing w:after="0" w:line="360" w:lineRule="auto"/>
                    <w:rPr>
                      <w:rFonts w:hint="eastAsia" w:ascii="宋体" w:hAnsi="宋体" w:eastAsia="宋体" w:cs="宋体"/>
                      <w:sz w:val="21"/>
                      <w:szCs w:val="21"/>
                    </w:rPr>
                  </w:pPr>
                </w:p>
              </w:tc>
              <w:tc>
                <w:tcPr>
                  <w:tcW w:w="175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79F64F">
                  <w:pPr>
                    <w:pageBreakBefore w:val="0"/>
                    <w:widowControl/>
                    <w:kinsoku/>
                    <w:overflowPunct/>
                    <w:bidi w:val="0"/>
                    <w:spacing w:after="0"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仪器示值误差</w:t>
                  </w:r>
                </w:p>
              </w:tc>
              <w:tc>
                <w:tcPr>
                  <w:tcW w:w="244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0A1B0DEF">
                  <w:pPr>
                    <w:pageBreakBefore w:val="0"/>
                    <w:widowControl/>
                    <w:kinsoku/>
                    <w:overflowPunct/>
                    <w:bidi w:val="0"/>
                    <w:spacing w:after="0" w:line="360" w:lineRule="auto"/>
                    <w:jc w:val="center"/>
                    <w:textAlignment w:val="bottom"/>
                    <w:rPr>
                      <w:rFonts w:hint="eastAsia" w:ascii="宋体" w:hAnsi="宋体" w:eastAsia="宋体" w:cs="宋体"/>
                      <w:sz w:val="21"/>
                      <w:szCs w:val="21"/>
                    </w:rPr>
                  </w:pPr>
                  <w:r>
                    <w:rPr>
                      <w:rFonts w:hint="eastAsia" w:ascii="宋体" w:hAnsi="宋体" w:eastAsia="宋体" w:cs="宋体"/>
                      <w:sz w:val="21"/>
                      <w:szCs w:val="21"/>
                    </w:rPr>
                    <w:t>±0.30mg/L</w:t>
                  </w:r>
                </w:p>
              </w:tc>
            </w:tr>
            <w:tr w14:paraId="0918ED16">
              <w:tblPrEx>
                <w:tblCellMar>
                  <w:top w:w="0" w:type="dxa"/>
                  <w:left w:w="0" w:type="dxa"/>
                  <w:bottom w:w="0" w:type="dxa"/>
                  <w:right w:w="0" w:type="dxa"/>
                </w:tblCellMar>
              </w:tblPrEx>
              <w:trPr>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6F574E8">
                  <w:pPr>
                    <w:pageBreakBefore w:val="0"/>
                    <w:widowControl/>
                    <w:kinsoku/>
                    <w:overflowPunct/>
                    <w:bidi w:val="0"/>
                    <w:spacing w:after="0" w:line="360" w:lineRule="auto"/>
                    <w:rPr>
                      <w:rFonts w:hint="eastAsia" w:ascii="宋体" w:hAnsi="宋体" w:eastAsia="宋体" w:cs="宋体"/>
                      <w:sz w:val="21"/>
                      <w:szCs w:val="21"/>
                    </w:rPr>
                  </w:pPr>
                </w:p>
              </w:tc>
              <w:tc>
                <w:tcPr>
                  <w:tcW w:w="175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2EF795">
                  <w:pPr>
                    <w:pageBreakBefore w:val="0"/>
                    <w:widowControl/>
                    <w:kinsoku/>
                    <w:overflowPunct/>
                    <w:bidi w:val="0"/>
                    <w:spacing w:after="0"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响应时间</w:t>
                  </w:r>
                </w:p>
              </w:tc>
              <w:tc>
                <w:tcPr>
                  <w:tcW w:w="244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5255023E">
                  <w:pPr>
                    <w:pageBreakBefore w:val="0"/>
                    <w:widowControl/>
                    <w:kinsoku/>
                    <w:overflowPunct/>
                    <w:bidi w:val="0"/>
                    <w:spacing w:after="0" w:line="360" w:lineRule="auto"/>
                    <w:jc w:val="center"/>
                    <w:textAlignment w:val="bottom"/>
                    <w:rPr>
                      <w:rFonts w:hint="eastAsia" w:ascii="宋体" w:hAnsi="宋体" w:eastAsia="宋体" w:cs="宋体"/>
                      <w:sz w:val="21"/>
                      <w:szCs w:val="21"/>
                    </w:rPr>
                  </w:pPr>
                  <w:r>
                    <w:rPr>
                      <w:rFonts w:hint="eastAsia" w:ascii="宋体" w:hAnsi="宋体" w:eastAsia="宋体" w:cs="宋体"/>
                      <w:sz w:val="21"/>
                      <w:szCs w:val="21"/>
                    </w:rPr>
                    <w:t>≤45s(20.0 ℃时90%响应)</w:t>
                  </w:r>
                </w:p>
              </w:tc>
            </w:tr>
            <w:tr w14:paraId="41940ED3">
              <w:tblPrEx>
                <w:tblCellMar>
                  <w:top w:w="0" w:type="dxa"/>
                  <w:left w:w="0" w:type="dxa"/>
                  <w:bottom w:w="0" w:type="dxa"/>
                  <w:right w:w="0" w:type="dxa"/>
                </w:tblCellMar>
              </w:tblPrEx>
              <w:trPr>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010E1DB">
                  <w:pPr>
                    <w:pageBreakBefore w:val="0"/>
                    <w:widowControl/>
                    <w:kinsoku/>
                    <w:overflowPunct/>
                    <w:bidi w:val="0"/>
                    <w:spacing w:after="0" w:line="360" w:lineRule="auto"/>
                    <w:rPr>
                      <w:rFonts w:hint="eastAsia" w:ascii="宋体" w:hAnsi="宋体" w:eastAsia="宋体" w:cs="宋体"/>
                      <w:sz w:val="21"/>
                      <w:szCs w:val="21"/>
                    </w:rPr>
                  </w:pPr>
                </w:p>
              </w:tc>
              <w:tc>
                <w:tcPr>
                  <w:tcW w:w="175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BC8BA0">
                  <w:pPr>
                    <w:pageBreakBefore w:val="0"/>
                    <w:widowControl/>
                    <w:kinsoku/>
                    <w:overflowPunct/>
                    <w:bidi w:val="0"/>
                    <w:spacing w:after="0"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盐度补偿误差</w:t>
                  </w:r>
                </w:p>
              </w:tc>
              <w:tc>
                <w:tcPr>
                  <w:tcW w:w="244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7859B0ED">
                  <w:pPr>
                    <w:pageBreakBefore w:val="0"/>
                    <w:widowControl/>
                    <w:kinsoku/>
                    <w:overflowPunct/>
                    <w:bidi w:val="0"/>
                    <w:spacing w:after="0" w:line="360" w:lineRule="auto"/>
                    <w:jc w:val="center"/>
                    <w:textAlignment w:val="bottom"/>
                    <w:rPr>
                      <w:rFonts w:hint="eastAsia" w:ascii="宋体" w:hAnsi="宋体" w:eastAsia="宋体" w:cs="宋体"/>
                      <w:sz w:val="21"/>
                      <w:szCs w:val="21"/>
                    </w:rPr>
                  </w:pPr>
                  <w:r>
                    <w:rPr>
                      <w:rFonts w:hint="eastAsia" w:ascii="宋体" w:hAnsi="宋体" w:eastAsia="宋体" w:cs="宋体"/>
                      <w:sz w:val="21"/>
                      <w:szCs w:val="21"/>
                    </w:rPr>
                    <w:t>±2%</w:t>
                  </w:r>
                </w:p>
              </w:tc>
            </w:tr>
            <w:tr w14:paraId="4D372FFA">
              <w:tblPrEx>
                <w:tblCellMar>
                  <w:top w:w="0" w:type="dxa"/>
                  <w:left w:w="0" w:type="dxa"/>
                  <w:bottom w:w="0" w:type="dxa"/>
                  <w:right w:w="0" w:type="dxa"/>
                </w:tblCellMar>
              </w:tblPrEx>
              <w:trPr>
                <w:trHeight w:val="23" w:hRule="atLeast"/>
              </w:trPr>
              <w:tc>
                <w:tcPr>
                  <w:tcW w:w="803"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3CBF22">
                  <w:pPr>
                    <w:pageBreakBefore w:val="0"/>
                    <w:widowControl/>
                    <w:kinsoku/>
                    <w:overflowPunct/>
                    <w:bidi w:val="0"/>
                    <w:spacing w:after="0"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饱和度</w:t>
                  </w:r>
                </w:p>
              </w:tc>
              <w:tc>
                <w:tcPr>
                  <w:tcW w:w="175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19AC90">
                  <w:pPr>
                    <w:pageBreakBefore w:val="0"/>
                    <w:widowControl/>
                    <w:kinsoku/>
                    <w:overflowPunct/>
                    <w:bidi w:val="0"/>
                    <w:spacing w:after="0"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范围</w:t>
                  </w:r>
                </w:p>
              </w:tc>
              <w:tc>
                <w:tcPr>
                  <w:tcW w:w="244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14BF2196">
                  <w:pPr>
                    <w:pageBreakBefore w:val="0"/>
                    <w:widowControl/>
                    <w:kinsoku/>
                    <w:overflowPunct/>
                    <w:bidi w:val="0"/>
                    <w:spacing w:after="0" w:line="360" w:lineRule="auto"/>
                    <w:jc w:val="center"/>
                    <w:textAlignment w:val="bottom"/>
                    <w:rPr>
                      <w:rFonts w:hint="eastAsia" w:ascii="宋体" w:hAnsi="宋体" w:eastAsia="宋体" w:cs="宋体"/>
                      <w:sz w:val="21"/>
                      <w:szCs w:val="21"/>
                    </w:rPr>
                  </w:pPr>
                  <w:r>
                    <w:rPr>
                      <w:rFonts w:hint="eastAsia" w:ascii="宋体" w:hAnsi="宋体" w:eastAsia="宋体" w:cs="宋体"/>
                      <w:sz w:val="21"/>
                      <w:szCs w:val="21"/>
                    </w:rPr>
                    <w:t>(0.0～300.0)%</w:t>
                  </w:r>
                </w:p>
              </w:tc>
            </w:tr>
            <w:tr w14:paraId="01E6C736">
              <w:tblPrEx>
                <w:tblCellMar>
                  <w:top w:w="0" w:type="dxa"/>
                  <w:left w:w="0" w:type="dxa"/>
                  <w:bottom w:w="0" w:type="dxa"/>
                  <w:right w:w="0" w:type="dxa"/>
                </w:tblCellMar>
              </w:tblPrEx>
              <w:trPr>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5D4A708">
                  <w:pPr>
                    <w:pageBreakBefore w:val="0"/>
                    <w:widowControl/>
                    <w:kinsoku/>
                    <w:overflowPunct/>
                    <w:bidi w:val="0"/>
                    <w:spacing w:after="0" w:line="360" w:lineRule="auto"/>
                    <w:rPr>
                      <w:rFonts w:hint="eastAsia" w:ascii="宋体" w:hAnsi="宋体" w:eastAsia="宋体" w:cs="宋体"/>
                      <w:sz w:val="21"/>
                      <w:szCs w:val="21"/>
                    </w:rPr>
                  </w:pPr>
                </w:p>
              </w:tc>
              <w:tc>
                <w:tcPr>
                  <w:tcW w:w="175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854BDC">
                  <w:pPr>
                    <w:pageBreakBefore w:val="0"/>
                    <w:widowControl/>
                    <w:kinsoku/>
                    <w:overflowPunct/>
                    <w:bidi w:val="0"/>
                    <w:spacing w:after="0"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最小分辨率</w:t>
                  </w:r>
                </w:p>
              </w:tc>
              <w:tc>
                <w:tcPr>
                  <w:tcW w:w="244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623FC2E4">
                  <w:pPr>
                    <w:pageBreakBefore w:val="0"/>
                    <w:widowControl/>
                    <w:kinsoku/>
                    <w:overflowPunct/>
                    <w:bidi w:val="0"/>
                    <w:spacing w:after="0" w:line="360" w:lineRule="auto"/>
                    <w:jc w:val="center"/>
                    <w:textAlignment w:val="bottom"/>
                    <w:rPr>
                      <w:rFonts w:hint="eastAsia" w:ascii="宋体" w:hAnsi="宋体" w:eastAsia="宋体" w:cs="宋体"/>
                      <w:sz w:val="21"/>
                      <w:szCs w:val="21"/>
                    </w:rPr>
                  </w:pPr>
                  <w:r>
                    <w:rPr>
                      <w:rFonts w:hint="eastAsia" w:ascii="宋体" w:hAnsi="宋体" w:eastAsia="宋体" w:cs="宋体"/>
                      <w:sz w:val="21"/>
                      <w:szCs w:val="21"/>
                    </w:rPr>
                    <w:t>0.1%</w:t>
                  </w:r>
                </w:p>
              </w:tc>
            </w:tr>
            <w:tr w14:paraId="4FD788EA">
              <w:tblPrEx>
                <w:tblCellMar>
                  <w:top w:w="0" w:type="dxa"/>
                  <w:left w:w="0" w:type="dxa"/>
                  <w:bottom w:w="0" w:type="dxa"/>
                  <w:right w:w="0" w:type="dxa"/>
                </w:tblCellMar>
              </w:tblPrEx>
              <w:trPr>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92FBF7A">
                  <w:pPr>
                    <w:pageBreakBefore w:val="0"/>
                    <w:widowControl/>
                    <w:kinsoku/>
                    <w:overflowPunct/>
                    <w:bidi w:val="0"/>
                    <w:spacing w:after="0" w:line="360" w:lineRule="auto"/>
                    <w:rPr>
                      <w:rFonts w:hint="eastAsia" w:ascii="宋体" w:hAnsi="宋体" w:eastAsia="宋体" w:cs="宋体"/>
                      <w:sz w:val="21"/>
                      <w:szCs w:val="21"/>
                    </w:rPr>
                  </w:pPr>
                </w:p>
              </w:tc>
              <w:tc>
                <w:tcPr>
                  <w:tcW w:w="175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B6A8C9">
                  <w:pPr>
                    <w:pageBreakBefore w:val="0"/>
                    <w:widowControl/>
                    <w:kinsoku/>
                    <w:overflowPunct/>
                    <w:bidi w:val="0"/>
                    <w:spacing w:after="0"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电子单元示值误差</w:t>
                  </w:r>
                </w:p>
              </w:tc>
              <w:tc>
                <w:tcPr>
                  <w:tcW w:w="244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2756FE96">
                  <w:pPr>
                    <w:pageBreakBefore w:val="0"/>
                    <w:widowControl/>
                    <w:kinsoku/>
                    <w:overflowPunct/>
                    <w:bidi w:val="0"/>
                    <w:spacing w:after="0" w:line="360" w:lineRule="auto"/>
                    <w:jc w:val="center"/>
                    <w:textAlignment w:val="bottom"/>
                    <w:rPr>
                      <w:rFonts w:hint="eastAsia" w:ascii="宋体" w:hAnsi="宋体" w:eastAsia="宋体" w:cs="宋体"/>
                      <w:sz w:val="21"/>
                      <w:szCs w:val="21"/>
                    </w:rPr>
                  </w:pPr>
                  <w:r>
                    <w:rPr>
                      <w:rFonts w:hint="eastAsia" w:ascii="宋体" w:hAnsi="宋体" w:eastAsia="宋体" w:cs="宋体"/>
                      <w:sz w:val="21"/>
                      <w:szCs w:val="21"/>
                    </w:rPr>
                    <w:t>±2.0%</w:t>
                  </w:r>
                </w:p>
              </w:tc>
            </w:tr>
            <w:tr w14:paraId="00D79863">
              <w:tblPrEx>
                <w:tblCellMar>
                  <w:top w:w="0" w:type="dxa"/>
                  <w:left w:w="0" w:type="dxa"/>
                  <w:bottom w:w="0" w:type="dxa"/>
                  <w:right w:w="0" w:type="dxa"/>
                </w:tblCellMar>
              </w:tblPrEx>
              <w:trPr>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980AB1C">
                  <w:pPr>
                    <w:pageBreakBefore w:val="0"/>
                    <w:widowControl/>
                    <w:kinsoku/>
                    <w:overflowPunct/>
                    <w:bidi w:val="0"/>
                    <w:spacing w:after="0" w:line="360" w:lineRule="auto"/>
                    <w:rPr>
                      <w:rFonts w:hint="eastAsia" w:ascii="宋体" w:hAnsi="宋体" w:eastAsia="宋体" w:cs="宋体"/>
                      <w:sz w:val="21"/>
                      <w:szCs w:val="21"/>
                    </w:rPr>
                  </w:pPr>
                </w:p>
              </w:tc>
              <w:tc>
                <w:tcPr>
                  <w:tcW w:w="175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D528B5C">
                  <w:pPr>
                    <w:pageBreakBefore w:val="0"/>
                    <w:widowControl/>
                    <w:kinsoku/>
                    <w:overflowPunct/>
                    <w:bidi w:val="0"/>
                    <w:spacing w:after="0"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仪器示值误差</w:t>
                  </w:r>
                </w:p>
              </w:tc>
              <w:tc>
                <w:tcPr>
                  <w:tcW w:w="244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7E1C9A75">
                  <w:pPr>
                    <w:pageBreakBefore w:val="0"/>
                    <w:widowControl/>
                    <w:kinsoku/>
                    <w:overflowPunct/>
                    <w:bidi w:val="0"/>
                    <w:spacing w:after="0" w:line="360" w:lineRule="auto"/>
                    <w:jc w:val="center"/>
                    <w:textAlignment w:val="bottom"/>
                    <w:rPr>
                      <w:rFonts w:hint="eastAsia" w:ascii="宋体" w:hAnsi="宋体" w:eastAsia="宋体" w:cs="宋体"/>
                      <w:sz w:val="21"/>
                      <w:szCs w:val="21"/>
                    </w:rPr>
                  </w:pPr>
                  <w:r>
                    <w:rPr>
                      <w:rFonts w:hint="eastAsia" w:ascii="宋体" w:hAnsi="宋体" w:eastAsia="宋体" w:cs="宋体"/>
                      <w:sz w:val="21"/>
                      <w:szCs w:val="21"/>
                    </w:rPr>
                    <w:t>±10.0%</w:t>
                  </w:r>
                </w:p>
              </w:tc>
            </w:tr>
            <w:tr w14:paraId="7BFC3C3B">
              <w:tblPrEx>
                <w:tblCellMar>
                  <w:top w:w="0" w:type="dxa"/>
                  <w:left w:w="0" w:type="dxa"/>
                  <w:bottom w:w="0" w:type="dxa"/>
                  <w:right w:w="0" w:type="dxa"/>
                </w:tblCellMar>
              </w:tblPrEx>
              <w:trPr>
                <w:trHeight w:val="23" w:hRule="atLeast"/>
              </w:trPr>
              <w:tc>
                <w:tcPr>
                  <w:tcW w:w="803"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9BD79D5">
                  <w:pPr>
                    <w:pageBreakBefore w:val="0"/>
                    <w:widowControl/>
                    <w:kinsoku/>
                    <w:overflowPunct/>
                    <w:bidi w:val="0"/>
                    <w:spacing w:after="0"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温度</w:t>
                  </w:r>
                </w:p>
              </w:tc>
              <w:tc>
                <w:tcPr>
                  <w:tcW w:w="175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6E70C4">
                  <w:pPr>
                    <w:pageBreakBefore w:val="0"/>
                    <w:widowControl/>
                    <w:kinsoku/>
                    <w:overflowPunct/>
                    <w:bidi w:val="0"/>
                    <w:spacing w:after="0"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■范围</w:t>
                  </w:r>
                </w:p>
              </w:tc>
              <w:tc>
                <w:tcPr>
                  <w:tcW w:w="244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1ED4DBF5">
                  <w:pPr>
                    <w:pageBreakBefore w:val="0"/>
                    <w:widowControl/>
                    <w:kinsoku/>
                    <w:overflowPunct/>
                    <w:bidi w:val="0"/>
                    <w:spacing w:after="0" w:line="360" w:lineRule="auto"/>
                    <w:jc w:val="center"/>
                    <w:textAlignment w:val="bottom"/>
                    <w:rPr>
                      <w:rFonts w:hint="eastAsia" w:ascii="宋体" w:hAnsi="宋体" w:eastAsia="宋体" w:cs="宋体"/>
                      <w:sz w:val="21"/>
                      <w:szCs w:val="21"/>
                    </w:rPr>
                  </w:pPr>
                  <w:r>
                    <w:rPr>
                      <w:rFonts w:hint="eastAsia" w:ascii="宋体" w:hAnsi="宋体" w:eastAsia="宋体" w:cs="宋体"/>
                      <w:sz w:val="21"/>
                      <w:szCs w:val="21"/>
                    </w:rPr>
                    <w:t>(-5.0～110.0)℃ /(23.0-230.0)℉</w:t>
                  </w:r>
                </w:p>
              </w:tc>
            </w:tr>
            <w:tr w14:paraId="597A2B3E">
              <w:tblPrEx>
                <w:tblCellMar>
                  <w:top w:w="0" w:type="dxa"/>
                  <w:left w:w="0" w:type="dxa"/>
                  <w:bottom w:w="0" w:type="dxa"/>
                  <w:right w:w="0" w:type="dxa"/>
                </w:tblCellMar>
              </w:tblPrEx>
              <w:trPr>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C5AE1A5">
                  <w:pPr>
                    <w:pageBreakBefore w:val="0"/>
                    <w:widowControl/>
                    <w:kinsoku/>
                    <w:overflowPunct/>
                    <w:bidi w:val="0"/>
                    <w:spacing w:after="0" w:line="360" w:lineRule="auto"/>
                    <w:rPr>
                      <w:rFonts w:hint="eastAsia" w:ascii="宋体" w:hAnsi="宋体" w:eastAsia="宋体" w:cs="宋体"/>
                      <w:sz w:val="21"/>
                      <w:szCs w:val="21"/>
                    </w:rPr>
                  </w:pPr>
                </w:p>
              </w:tc>
              <w:tc>
                <w:tcPr>
                  <w:tcW w:w="175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62FCD2">
                  <w:pPr>
                    <w:pageBreakBefore w:val="0"/>
                    <w:widowControl/>
                    <w:kinsoku/>
                    <w:overflowPunct/>
                    <w:bidi w:val="0"/>
                    <w:spacing w:after="0"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最小分辨率</w:t>
                  </w:r>
                </w:p>
              </w:tc>
              <w:tc>
                <w:tcPr>
                  <w:tcW w:w="244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12DFD72D">
                  <w:pPr>
                    <w:pageBreakBefore w:val="0"/>
                    <w:widowControl/>
                    <w:kinsoku/>
                    <w:overflowPunct/>
                    <w:bidi w:val="0"/>
                    <w:spacing w:after="0" w:line="360" w:lineRule="auto"/>
                    <w:jc w:val="center"/>
                    <w:textAlignment w:val="bottom"/>
                    <w:rPr>
                      <w:rFonts w:hint="eastAsia" w:ascii="宋体" w:hAnsi="宋体" w:eastAsia="宋体" w:cs="宋体"/>
                      <w:sz w:val="21"/>
                      <w:szCs w:val="21"/>
                    </w:rPr>
                  </w:pPr>
                  <w:r>
                    <w:rPr>
                      <w:rFonts w:hint="eastAsia" w:ascii="宋体" w:hAnsi="宋体" w:eastAsia="宋体" w:cs="宋体"/>
                      <w:sz w:val="21"/>
                      <w:szCs w:val="21"/>
                    </w:rPr>
                    <w:t>0.1℃/0.1℉</w:t>
                  </w:r>
                </w:p>
              </w:tc>
            </w:tr>
            <w:tr w14:paraId="5668C936">
              <w:tblPrEx>
                <w:tblCellMar>
                  <w:top w:w="0" w:type="dxa"/>
                  <w:left w:w="0" w:type="dxa"/>
                  <w:bottom w:w="0" w:type="dxa"/>
                  <w:right w:w="0" w:type="dxa"/>
                </w:tblCellMar>
              </w:tblPrEx>
              <w:trPr>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2B30597">
                  <w:pPr>
                    <w:pageBreakBefore w:val="0"/>
                    <w:widowControl/>
                    <w:kinsoku/>
                    <w:overflowPunct/>
                    <w:bidi w:val="0"/>
                    <w:spacing w:after="0" w:line="360" w:lineRule="auto"/>
                    <w:rPr>
                      <w:rFonts w:hint="eastAsia" w:ascii="宋体" w:hAnsi="宋体" w:eastAsia="宋体" w:cs="宋体"/>
                      <w:sz w:val="21"/>
                      <w:szCs w:val="21"/>
                    </w:rPr>
                  </w:pPr>
                </w:p>
              </w:tc>
              <w:tc>
                <w:tcPr>
                  <w:tcW w:w="175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86E9A2">
                  <w:pPr>
                    <w:pageBreakBefore w:val="0"/>
                    <w:widowControl/>
                    <w:kinsoku/>
                    <w:overflowPunct/>
                    <w:bidi w:val="0"/>
                    <w:spacing w:after="0"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电子单元示值误差</w:t>
                  </w:r>
                </w:p>
              </w:tc>
              <w:tc>
                <w:tcPr>
                  <w:tcW w:w="244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1D03CD9D">
                  <w:pPr>
                    <w:pageBreakBefore w:val="0"/>
                    <w:widowControl/>
                    <w:kinsoku/>
                    <w:overflowPunct/>
                    <w:bidi w:val="0"/>
                    <w:spacing w:after="0" w:line="360" w:lineRule="auto"/>
                    <w:jc w:val="center"/>
                    <w:textAlignment w:val="bottom"/>
                    <w:rPr>
                      <w:rFonts w:hint="eastAsia" w:ascii="宋体" w:hAnsi="宋体" w:eastAsia="宋体" w:cs="宋体"/>
                      <w:sz w:val="21"/>
                      <w:szCs w:val="21"/>
                    </w:rPr>
                  </w:pPr>
                  <w:r>
                    <w:rPr>
                      <w:rFonts w:hint="eastAsia" w:ascii="宋体" w:hAnsi="宋体" w:eastAsia="宋体" w:cs="宋体"/>
                      <w:sz w:val="21"/>
                      <w:szCs w:val="21"/>
                    </w:rPr>
                    <w:t>±0.2 ℃</w:t>
                  </w:r>
                </w:p>
              </w:tc>
            </w:tr>
            <w:tr w14:paraId="7E195FF8">
              <w:tblPrEx>
                <w:tblCellMar>
                  <w:top w:w="0" w:type="dxa"/>
                  <w:left w:w="0" w:type="dxa"/>
                  <w:bottom w:w="0" w:type="dxa"/>
                  <w:right w:w="0" w:type="dxa"/>
                </w:tblCellMar>
              </w:tblPrEx>
              <w:trPr>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8DC227A">
                  <w:pPr>
                    <w:pageBreakBefore w:val="0"/>
                    <w:widowControl/>
                    <w:kinsoku/>
                    <w:overflowPunct/>
                    <w:bidi w:val="0"/>
                    <w:spacing w:after="0" w:line="360" w:lineRule="auto"/>
                    <w:rPr>
                      <w:rFonts w:hint="eastAsia" w:ascii="宋体" w:hAnsi="宋体" w:eastAsia="宋体" w:cs="宋体"/>
                      <w:sz w:val="21"/>
                      <w:szCs w:val="21"/>
                    </w:rPr>
                  </w:pPr>
                </w:p>
              </w:tc>
              <w:tc>
                <w:tcPr>
                  <w:tcW w:w="175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A72201A">
                  <w:pPr>
                    <w:pageBreakBefore w:val="0"/>
                    <w:widowControl/>
                    <w:kinsoku/>
                    <w:overflowPunct/>
                    <w:bidi w:val="0"/>
                    <w:spacing w:after="0"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仪器示值误差</w:t>
                  </w:r>
                </w:p>
              </w:tc>
              <w:tc>
                <w:tcPr>
                  <w:tcW w:w="244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040836C9">
                  <w:pPr>
                    <w:pageBreakBefore w:val="0"/>
                    <w:widowControl/>
                    <w:kinsoku/>
                    <w:overflowPunct/>
                    <w:bidi w:val="0"/>
                    <w:spacing w:after="0" w:line="360" w:lineRule="auto"/>
                    <w:jc w:val="center"/>
                    <w:textAlignment w:val="bottom"/>
                    <w:rPr>
                      <w:rFonts w:hint="eastAsia" w:ascii="宋体" w:hAnsi="宋体" w:eastAsia="宋体" w:cs="宋体"/>
                      <w:sz w:val="21"/>
                      <w:szCs w:val="21"/>
                    </w:rPr>
                  </w:pPr>
                  <w:r>
                    <w:rPr>
                      <w:rFonts w:hint="eastAsia" w:ascii="宋体" w:hAnsi="宋体" w:eastAsia="宋体" w:cs="宋体"/>
                      <w:sz w:val="21"/>
                      <w:szCs w:val="21"/>
                    </w:rPr>
                    <w:t>±0.4 ℃（0.0℃-60.0℃）；±1.0 ℃（其他范围）</w:t>
                  </w:r>
                </w:p>
              </w:tc>
            </w:tr>
          </w:tbl>
          <w:p w14:paraId="6F976E7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宋体"/>
                <w:b/>
                <w:bCs/>
                <w:color w:val="000000" w:themeColor="text1"/>
                <w:kern w:val="2"/>
                <w:sz w:val="24"/>
                <w:szCs w:val="24"/>
                <w:vertAlign w:val="baseline"/>
                <w:lang w:val="en-US" w:eastAsia="zh-CN" w:bidi="ar-SA"/>
                <w14:textFill>
                  <w14:solidFill>
                    <w14:schemeClr w14:val="tx1"/>
                  </w14:solidFill>
                </w14:textFill>
              </w:rPr>
            </w:pPr>
          </w:p>
        </w:tc>
      </w:tr>
      <w:tr w14:paraId="4306D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14:paraId="0E3427F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cs="宋体"/>
                <w:b/>
                <w:bCs/>
                <w:color w:val="000000" w:themeColor="text1"/>
                <w:kern w:val="2"/>
                <w:sz w:val="24"/>
                <w:szCs w:val="24"/>
                <w:vertAlign w:val="baseline"/>
                <w:lang w:val="en-US" w:eastAsia="zh-CN" w:bidi="ar-SA"/>
                <w14:textFill>
                  <w14:solidFill>
                    <w14:schemeClr w14:val="tx1"/>
                  </w14:solidFill>
                </w14:textFill>
              </w:rPr>
              <w:t>6</w:t>
            </w:r>
          </w:p>
        </w:tc>
        <w:tc>
          <w:tcPr>
            <w:tcW w:w="2050" w:type="dxa"/>
            <w:vAlign w:val="center"/>
          </w:tcPr>
          <w:p w14:paraId="2D6BB39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宋体"/>
                <w:b/>
                <w:bCs/>
                <w:color w:val="000000" w:themeColor="text1"/>
                <w:kern w:val="2"/>
                <w:sz w:val="24"/>
                <w:szCs w:val="24"/>
                <w:vertAlign w:val="baseline"/>
                <w:lang w:val="en-US" w:eastAsia="zh-CN" w:bidi="ar-SA"/>
                <w14:textFill>
                  <w14:solidFill>
                    <w14:schemeClr w14:val="tx1"/>
                  </w14:solidFill>
                </w14:textFill>
              </w:rPr>
            </w:pPr>
            <w:r>
              <w:rPr>
                <w:rFonts w:hint="eastAsia" w:asciiTheme="minorHAnsi" w:hAnsiTheme="minorHAnsi" w:eastAsiaTheme="minorEastAsia" w:cstheme="minorBidi"/>
                <w:b/>
                <w:bCs/>
                <w:kern w:val="2"/>
                <w:sz w:val="24"/>
                <w:szCs w:val="24"/>
                <w:lang w:val="en-US" w:eastAsia="zh-CN" w:bidi="ar-SA"/>
              </w:rPr>
              <w:t>便携式抽滤装置</w:t>
            </w:r>
          </w:p>
        </w:tc>
        <w:tc>
          <w:tcPr>
            <w:tcW w:w="10625" w:type="dxa"/>
            <w:vAlign w:val="center"/>
          </w:tcPr>
          <w:p w14:paraId="730C702A">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 xml:space="preserve">.参数及功能要求： </w:t>
            </w:r>
          </w:p>
          <w:p w14:paraId="39205D1C">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rPr>
              <w:t>.1 采用一体化设计方式，</w:t>
            </w:r>
            <w:r>
              <w:rPr>
                <w:rFonts w:hint="eastAsia" w:ascii="宋体" w:hAnsi="宋体" w:eastAsia="宋体" w:cs="宋体"/>
                <w:i w:val="0"/>
                <w:iCs w:val="0"/>
                <w:kern w:val="2"/>
                <w:sz w:val="21"/>
                <w:szCs w:val="21"/>
                <w:u w:val="none"/>
                <w:lang w:val="en-US" w:eastAsia="zh-CN" w:bidi="ar"/>
              </w:rPr>
              <w:t>整机重量≤5kg，</w:t>
            </w:r>
            <w:r>
              <w:rPr>
                <w:rFonts w:hint="eastAsia" w:ascii="宋体" w:hAnsi="宋体" w:eastAsia="宋体" w:cs="宋体"/>
                <w:sz w:val="21"/>
                <w:szCs w:val="21"/>
              </w:rPr>
              <w:t xml:space="preserve">方便携带，便于现场使用。 </w:t>
            </w:r>
          </w:p>
          <w:p w14:paraId="5B1C8AE5">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 xml:space="preserve">.2 采用快开式抽滤杯，滤膜更换方便;机身开关按钮采用防水设计，通风口配备防沙防尘网，更适合野外作业。 </w:t>
            </w:r>
          </w:p>
          <w:p w14:paraId="109DC3E6">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 xml:space="preserve">.3 机身放置直径100mm 的微孔滤膜。 </w:t>
            </w:r>
          </w:p>
          <w:p w14:paraId="1E3313C3">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rPr>
              <w:t>.4 自带大容量锂电池，带过流保护，短路保护，续航时间</w:t>
            </w:r>
            <w:r>
              <w:rPr>
                <w:rFonts w:hint="eastAsia" w:ascii="宋体" w:hAnsi="宋体" w:eastAsia="宋体" w:cs="宋体"/>
                <w:sz w:val="21"/>
                <w:szCs w:val="21"/>
                <w:lang w:val="en-US" w:eastAsia="zh-CN"/>
              </w:rPr>
              <w:t>≥</w:t>
            </w:r>
            <w:r>
              <w:rPr>
                <w:rFonts w:hint="eastAsia" w:ascii="宋体" w:hAnsi="宋体" w:eastAsia="宋体" w:cs="宋体"/>
                <w:sz w:val="21"/>
                <w:szCs w:val="21"/>
              </w:rPr>
              <w:t xml:space="preserve">15小时。 </w:t>
            </w:r>
          </w:p>
          <w:p w14:paraId="478F4831">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 xml:space="preserve">.5 电池余量实时液晶显示;设有调节旋钮实现抽滤速度或抽滤负压的无级调节。 </w:t>
            </w:r>
          </w:p>
          <w:p w14:paraId="2D09EA1F">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.6 高性能无刷电机隔膜真空泵带阻水空气过滤器，防水耐酸碱腐蚀，高负压，强吸力，负压大于 65kPa;不需要额外的备压瓶或隔水瓶。</w:t>
            </w:r>
          </w:p>
          <w:p w14:paraId="4403CDF9">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.7 集液瓶和样品瓶合二为一，抽滤下一个水样时无需清洗集液瓶;材质符合国家标准及作业指导书要求，不含金属离子。</w:t>
            </w:r>
          </w:p>
          <w:p w14:paraId="74D00D84">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2</w:t>
            </w:r>
            <w:r>
              <w:rPr>
                <w:rFonts w:hint="eastAsia" w:ascii="宋体" w:hAnsi="宋体" w:eastAsia="宋体" w:cs="宋体"/>
                <w:b/>
                <w:bCs/>
                <w:sz w:val="21"/>
                <w:szCs w:val="21"/>
              </w:rPr>
              <w:t>.技术参数：</w:t>
            </w:r>
          </w:p>
          <w:p w14:paraId="38153DD6">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sz w:val="21"/>
                <w:szCs w:val="21"/>
              </w:rPr>
              <w:t>1 采样流量:≥</w:t>
            </w:r>
            <w:r>
              <w:rPr>
                <w:rFonts w:hint="eastAsia" w:ascii="宋体" w:hAnsi="宋体" w:eastAsia="宋体" w:cs="宋体"/>
                <w:sz w:val="21"/>
                <w:szCs w:val="21"/>
                <w:lang w:val="en-US" w:eastAsia="zh-CN"/>
              </w:rPr>
              <w:t>10</w:t>
            </w:r>
            <w:r>
              <w:rPr>
                <w:rFonts w:hint="eastAsia" w:ascii="宋体" w:hAnsi="宋体" w:eastAsia="宋体" w:cs="宋体"/>
                <w:sz w:val="21"/>
                <w:szCs w:val="21"/>
              </w:rPr>
              <w:t>L/min(空载)。</w:t>
            </w:r>
          </w:p>
          <w:p w14:paraId="759DA85C">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.2 负载能力:≥-65kPa。</w:t>
            </w:r>
          </w:p>
          <w:p w14:paraId="3AD079C9">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.3 电池电量:满足仪器续航时间。</w:t>
            </w:r>
          </w:p>
          <w:p w14:paraId="31567110">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sz w:val="21"/>
                <w:szCs w:val="21"/>
              </w:rPr>
              <w:t>.4 滤膜尺寸:直径≥100mm/0.45μm 水系滤膜。</w:t>
            </w:r>
          </w:p>
          <w:p w14:paraId="245DD1ED">
            <w:pPr>
              <w:keepNext w:val="0"/>
              <w:keepLines w:val="0"/>
              <w:pageBreakBefore w:val="0"/>
              <w:widowControl w:val="0"/>
              <w:numPr>
                <w:ilvl w:val="-1"/>
                <w:numId w:val="0"/>
              </w:numPr>
              <w:kinsoku/>
              <w:wordWrap/>
              <w:overflowPunct/>
              <w:topLinePunct w:val="0"/>
              <w:autoSpaceDE/>
              <w:autoSpaceDN/>
              <w:bidi w:val="0"/>
              <w:adjustRightInd/>
              <w:snapToGrid/>
              <w:spacing w:after="0" w:line="360" w:lineRule="auto"/>
              <w:textAlignment w:val="auto"/>
              <w:rPr>
                <w:rFonts w:hint="default" w:ascii="宋体" w:hAnsi="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sz w:val="21"/>
                <w:szCs w:val="21"/>
                <w:lang w:val="en-US" w:eastAsia="zh-CN"/>
              </w:rPr>
              <w:t>3.</w:t>
            </w:r>
            <w:r>
              <w:rPr>
                <w:rFonts w:hint="eastAsia" w:ascii="宋体" w:hAnsi="宋体" w:eastAsia="宋体" w:cs="宋体"/>
                <w:sz w:val="21"/>
                <w:szCs w:val="21"/>
              </w:rPr>
              <w:t>配置(每套):主机 1 套;</w:t>
            </w:r>
            <w:r>
              <w:rPr>
                <w:rFonts w:hint="eastAsia" w:ascii="宋体" w:hAnsi="宋体" w:eastAsia="宋体" w:cs="宋体"/>
                <w:sz w:val="21"/>
                <w:szCs w:val="21"/>
                <w:lang w:val="en-US" w:eastAsia="zh-CN"/>
              </w:rPr>
              <w:t>集液</w:t>
            </w:r>
            <w:r>
              <w:rPr>
                <w:rFonts w:hint="eastAsia" w:ascii="宋体" w:hAnsi="宋体" w:eastAsia="宋体" w:cs="宋体"/>
                <w:sz w:val="21"/>
                <w:szCs w:val="21"/>
              </w:rPr>
              <w:t xml:space="preserve">瓶 </w:t>
            </w:r>
            <w:r>
              <w:rPr>
                <w:rFonts w:hint="eastAsia" w:ascii="宋体" w:hAnsi="宋体" w:eastAsia="宋体" w:cs="宋体"/>
                <w:sz w:val="21"/>
                <w:szCs w:val="21"/>
                <w:lang w:val="en-US" w:eastAsia="zh-CN"/>
              </w:rPr>
              <w:t>3</w:t>
            </w:r>
            <w:r>
              <w:rPr>
                <w:rFonts w:hint="eastAsia" w:ascii="宋体" w:hAnsi="宋体" w:eastAsia="宋体" w:cs="宋体"/>
                <w:sz w:val="21"/>
                <w:szCs w:val="21"/>
              </w:rPr>
              <w:t>个;0.45</w:t>
            </w:r>
            <w:r>
              <w:rPr>
                <w:rFonts w:hint="eastAsia" w:ascii="宋体" w:hAnsi="宋体" w:eastAsia="宋体" w:cs="宋体"/>
                <w:sz w:val="21"/>
                <w:szCs w:val="21"/>
                <w:lang w:val="en-US" w:eastAsia="zh-CN"/>
              </w:rPr>
              <w:t>μ</w:t>
            </w:r>
            <w:r>
              <w:rPr>
                <w:rFonts w:hint="eastAsia" w:ascii="宋体" w:hAnsi="宋体" w:eastAsia="宋体" w:cs="宋体"/>
                <w:sz w:val="21"/>
                <w:szCs w:val="21"/>
              </w:rPr>
              <w:t>m 水系微孔滤膜</w:t>
            </w: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 盒;内置高容量锂电池 1 套;</w:t>
            </w:r>
            <w:r>
              <w:rPr>
                <w:rFonts w:hint="eastAsia" w:ascii="宋体" w:hAnsi="宋体" w:eastAsia="宋体" w:cs="宋体"/>
                <w:sz w:val="21"/>
                <w:szCs w:val="21"/>
                <w:lang w:val="en-US" w:eastAsia="zh-CN"/>
              </w:rPr>
              <w:t>充电器1套；</w:t>
            </w:r>
            <w:r>
              <w:rPr>
                <w:rFonts w:hint="eastAsia" w:ascii="宋体" w:hAnsi="宋体" w:eastAsia="宋体" w:cs="宋体"/>
                <w:sz w:val="21"/>
                <w:szCs w:val="21"/>
              </w:rPr>
              <w:t>使用说明书和合格证 1 套。</w:t>
            </w:r>
          </w:p>
        </w:tc>
      </w:tr>
      <w:tr w14:paraId="17B72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14:paraId="1EB7064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vertAlign w:val="baseline"/>
                <w:lang w:val="en-US" w:eastAsia="zh-CN" w:bidi="ar-SA"/>
                <w14:textFill>
                  <w14:solidFill>
                    <w14:schemeClr w14:val="tx1"/>
                  </w14:solidFill>
                </w14:textFill>
              </w:rPr>
              <w:t>7</w:t>
            </w:r>
          </w:p>
        </w:tc>
        <w:tc>
          <w:tcPr>
            <w:tcW w:w="2050" w:type="dxa"/>
            <w:vAlign w:val="center"/>
          </w:tcPr>
          <w:p w14:paraId="543CC22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vertAlign w:val="baseline"/>
                <w:lang w:val="en-US" w:eastAsia="zh-CN" w:bidi="ar-SA"/>
                <w14:textFill>
                  <w14:solidFill>
                    <w14:schemeClr w14:val="tx1"/>
                  </w14:solidFill>
                </w14:textFill>
              </w:rPr>
              <w:t>全自动流动注射分析仪（阴离子模块1个）</w:t>
            </w:r>
          </w:p>
        </w:tc>
        <w:tc>
          <w:tcPr>
            <w:tcW w:w="10625" w:type="dxa"/>
            <w:vAlign w:val="center"/>
          </w:tcPr>
          <w:p w14:paraId="356B341D">
            <w:pPr>
              <w:pStyle w:val="12"/>
              <w:pageBreakBefore w:val="0"/>
              <w:numPr>
                <w:ilvl w:val="0"/>
                <w:numId w:val="4"/>
              </w:numPr>
              <w:tabs>
                <w:tab w:val="left" w:pos="828"/>
              </w:tabs>
              <w:kinsoku/>
              <w:overflowPunct/>
              <w:bidi w:val="0"/>
              <w:spacing w:line="360" w:lineRule="auto"/>
              <w:jc w:val="left"/>
              <w:rPr>
                <w:rFonts w:hint="eastAsia" w:ascii="宋体" w:hAnsi="宋体" w:eastAsia="宋体" w:cs="宋体"/>
                <w:sz w:val="21"/>
                <w:szCs w:val="21"/>
              </w:rPr>
            </w:pPr>
            <w:r>
              <w:rPr>
                <w:rFonts w:hint="eastAsia" w:ascii="宋体" w:hAnsi="宋体" w:eastAsia="宋体" w:cs="宋体"/>
                <w:b/>
                <w:bCs/>
                <w:sz w:val="21"/>
                <w:szCs w:val="21"/>
              </w:rPr>
              <w:t>用途</w:t>
            </w:r>
            <w:r>
              <w:rPr>
                <w:rFonts w:hint="eastAsia" w:ascii="宋体" w:hAnsi="宋体" w:eastAsia="宋体" w:cs="宋体"/>
                <w:sz w:val="21"/>
                <w:szCs w:val="21"/>
              </w:rPr>
              <w:t>：主要用于地下水、地表水、饮用水、生活污水、工业废水、土壤等样品中阴离子表面活性剂等项目的全自动痕量分析。</w:t>
            </w:r>
          </w:p>
          <w:p w14:paraId="2BF644E4">
            <w:pPr>
              <w:pStyle w:val="12"/>
              <w:pageBreakBefore w:val="0"/>
              <w:tabs>
                <w:tab w:val="left" w:pos="828"/>
              </w:tabs>
              <w:kinsoku/>
              <w:overflowPunct/>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b/>
                <w:bCs/>
                <w:sz w:val="21"/>
                <w:szCs w:val="21"/>
              </w:rPr>
              <w:t>2仪器检测项目为全自动独立一体机，通道由自动进样装置、蠕动泵、化学分析流路、检测器、内置在线稀释模块构成一个整体。</w:t>
            </w:r>
          </w:p>
          <w:p w14:paraId="302E2106">
            <w:pPr>
              <w:pStyle w:val="12"/>
              <w:pageBreakBefore w:val="0"/>
              <w:tabs>
                <w:tab w:val="left" w:pos="828"/>
              </w:tabs>
              <w:kinsoku/>
              <w:overflowPunct/>
              <w:bidi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3.主要系统技术参数</w:t>
            </w:r>
          </w:p>
          <w:p w14:paraId="1F01B24C">
            <w:pPr>
              <w:pStyle w:val="12"/>
              <w:pageBreakBefore w:val="0"/>
              <w:tabs>
                <w:tab w:val="left" w:pos="828"/>
              </w:tabs>
              <w:kinsoku/>
              <w:overflowPunct/>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3.1、自动进样器</w:t>
            </w:r>
          </w:p>
          <w:p w14:paraId="5CA1817D">
            <w:pPr>
              <w:pStyle w:val="12"/>
              <w:pageBreakBefore w:val="0"/>
              <w:tabs>
                <w:tab w:val="left" w:pos="828"/>
              </w:tabs>
              <w:kinsoku/>
              <w:overflowPunct/>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■3.1.1、主机一体式自动进样器：主机一体式</w:t>
            </w:r>
            <w:r>
              <w:rPr>
                <w:rFonts w:hint="eastAsia" w:ascii="宋体" w:hAnsi="宋体" w:eastAsia="宋体" w:cs="宋体"/>
                <w:sz w:val="21"/>
                <w:szCs w:val="21"/>
                <w:lang w:val="en-US" w:eastAsia="zh-CN"/>
              </w:rPr>
              <w:t>60</w:t>
            </w:r>
            <w:r>
              <w:rPr>
                <w:rFonts w:hint="eastAsia" w:ascii="宋体" w:hAnsi="宋体" w:eastAsia="宋体" w:cs="宋体"/>
                <w:sz w:val="21"/>
                <w:szCs w:val="21"/>
              </w:rPr>
              <w:t>位以上进样器，且具有2个独立清洗的载流槽。</w:t>
            </w:r>
          </w:p>
          <w:p w14:paraId="3B858504">
            <w:pPr>
              <w:pStyle w:val="12"/>
              <w:pageBreakBefore w:val="0"/>
              <w:tabs>
                <w:tab w:val="left" w:pos="828"/>
              </w:tabs>
              <w:kinsoku/>
              <w:overflowPunct/>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3.1.2、具有进样针自动清洗功能。</w:t>
            </w:r>
          </w:p>
          <w:p w14:paraId="1BEF9A5C">
            <w:pPr>
              <w:pStyle w:val="12"/>
              <w:pageBreakBefore w:val="0"/>
              <w:tabs>
                <w:tab w:val="left" w:pos="828"/>
              </w:tabs>
              <w:kinsoku/>
              <w:overflowPunct/>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3.2、蠕动泵</w:t>
            </w:r>
          </w:p>
          <w:p w14:paraId="3800F9F0">
            <w:pPr>
              <w:pStyle w:val="12"/>
              <w:pageBreakBefore w:val="0"/>
              <w:tabs>
                <w:tab w:val="left" w:pos="828"/>
              </w:tabs>
              <w:kinsoku/>
              <w:overflowPunct/>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3.2.1蠕动泵：蠕动泵进样方向和化学反应流路方向一致，蠕动泵为无需调节整体压块式设计，该压块可分为2个不同压力的区域，可应对一个测试方法使用不同材质规格泵管时的压力偏差。</w:t>
            </w:r>
          </w:p>
          <w:p w14:paraId="383D1CA4">
            <w:pPr>
              <w:pStyle w:val="12"/>
              <w:pageBreakBefore w:val="0"/>
              <w:tabs>
                <w:tab w:val="left" w:pos="828"/>
              </w:tabs>
              <w:kinsoku/>
              <w:overflowPunct/>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3.2.2、蠕动泵的泵盖具备自动开合功能，清洗程序完成后，蠕动泵会自动执行泵盖松开指令，使泵管从受压状态中释放出来，从而延长泵管的使用寿命。</w:t>
            </w:r>
          </w:p>
          <w:p w14:paraId="61036205">
            <w:pPr>
              <w:pStyle w:val="12"/>
              <w:pageBreakBefore w:val="0"/>
              <w:tabs>
                <w:tab w:val="left" w:pos="828"/>
              </w:tabs>
              <w:kinsoku/>
              <w:overflowPunct/>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3.2.3、进口三卡头泵管，通过调换泵管的不同卡头位置来延长泵管的使用寿命，降低运行成本。</w:t>
            </w:r>
          </w:p>
          <w:p w14:paraId="13F12D47">
            <w:pPr>
              <w:pStyle w:val="12"/>
              <w:pageBreakBefore w:val="0"/>
              <w:tabs>
                <w:tab w:val="left" w:pos="828"/>
              </w:tabs>
              <w:kinsoku/>
              <w:overflowPunct/>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3.4、检测器</w:t>
            </w:r>
          </w:p>
          <w:p w14:paraId="1911428D">
            <w:pPr>
              <w:pStyle w:val="12"/>
              <w:pageBreakBefore w:val="0"/>
              <w:tabs>
                <w:tab w:val="left" w:pos="828"/>
              </w:tabs>
              <w:kinsoku/>
              <w:overflowPunct/>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▲3.4.1双光束设计，通过窄带滤光片分光，不同的系列分析仪可以使用相同的滤光片，也可使用不同的滤光片，滤光片更换方便。</w:t>
            </w:r>
          </w:p>
          <w:p w14:paraId="4A1CEF05">
            <w:pPr>
              <w:pStyle w:val="12"/>
              <w:pageBreakBefore w:val="0"/>
              <w:tabs>
                <w:tab w:val="left" w:pos="828"/>
              </w:tabs>
              <w:kinsoku/>
              <w:overflowPunct/>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3.4.2波长范围： 400-1100nm。</w:t>
            </w:r>
          </w:p>
          <w:p w14:paraId="10725248">
            <w:pPr>
              <w:pStyle w:val="12"/>
              <w:pageBreakBefore w:val="0"/>
              <w:tabs>
                <w:tab w:val="left" w:pos="828"/>
              </w:tabs>
              <w:kinsoku/>
              <w:overflowPunct/>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3.4.3流通式比色皿：光程10mm。</w:t>
            </w:r>
          </w:p>
          <w:p w14:paraId="0851D52F">
            <w:pPr>
              <w:pStyle w:val="12"/>
              <w:pageBreakBefore w:val="0"/>
              <w:tabs>
                <w:tab w:val="left" w:pos="828"/>
              </w:tabs>
              <w:kinsoku/>
              <w:overflowPunct/>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3.5数据处理工作站(含计算机及打印机)</w:t>
            </w:r>
          </w:p>
          <w:p w14:paraId="355C772F">
            <w:pPr>
              <w:pStyle w:val="12"/>
              <w:pageBreakBefore w:val="0"/>
              <w:tabs>
                <w:tab w:val="left" w:pos="828"/>
              </w:tabs>
              <w:kinsoku/>
              <w:overflowPunct/>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操作：可同时显示所有同系列分析仪的实时谱图及过往图谱，可一边进行测试一边进行以往数据的查看及处理，能够进行多窗口同时操作。控制功能：可对自动进样器，蠕动泵、在线比例稀释、在线前处理等功能模块进行控制，方便设置参数、观察图谱和处理数据；</w:t>
            </w:r>
          </w:p>
          <w:p w14:paraId="006B89D7">
            <w:pPr>
              <w:pStyle w:val="12"/>
              <w:pageBreakBefore w:val="0"/>
              <w:tabs>
                <w:tab w:val="left" w:pos="828"/>
              </w:tabs>
              <w:kinsoku/>
              <w:overflowPunct/>
              <w:bidi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4.测试项目技术要求：</w:t>
            </w:r>
          </w:p>
          <w:p w14:paraId="745F36E5">
            <w:pPr>
              <w:pStyle w:val="12"/>
              <w:pageBreakBefore w:val="0"/>
              <w:tabs>
                <w:tab w:val="left" w:pos="828"/>
              </w:tabs>
              <w:kinsoku/>
              <w:overflowPunct/>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4.1阴离子表面活性剂技术指标</w:t>
            </w:r>
          </w:p>
          <w:p w14:paraId="6CD95C70">
            <w:pPr>
              <w:pStyle w:val="12"/>
              <w:pageBreakBefore w:val="0"/>
              <w:tabs>
                <w:tab w:val="left" w:pos="828"/>
              </w:tabs>
              <w:kinsoku/>
              <w:overflowPunct/>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4.1.1方法原理：亚甲基蓝光度法</w:t>
            </w:r>
          </w:p>
          <w:p w14:paraId="51C16E97">
            <w:pPr>
              <w:pStyle w:val="12"/>
              <w:pageBreakBefore w:val="0"/>
              <w:tabs>
                <w:tab w:val="left" w:pos="828"/>
              </w:tabs>
              <w:kinsoku/>
              <w:overflowPunct/>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 xml:space="preserve">4.1.2线性范围：0.02-2mg/L </w:t>
            </w:r>
          </w:p>
          <w:p w14:paraId="59112E78">
            <w:pPr>
              <w:pStyle w:val="12"/>
              <w:pageBreakBefore w:val="0"/>
              <w:tabs>
                <w:tab w:val="left" w:pos="828"/>
              </w:tabs>
              <w:kinsoku/>
              <w:overflowPunct/>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 xml:space="preserve">4.1.3检出限：≤0.010 mg/L </w:t>
            </w:r>
          </w:p>
          <w:p w14:paraId="1050F8BE">
            <w:pPr>
              <w:pStyle w:val="12"/>
              <w:pageBreakBefore w:val="0"/>
              <w:tabs>
                <w:tab w:val="left" w:pos="828"/>
              </w:tabs>
              <w:kinsoku/>
              <w:overflowPunct/>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4.1.4样品分析频率：20样/小时</w:t>
            </w:r>
          </w:p>
          <w:p w14:paraId="16639426">
            <w:pPr>
              <w:pStyle w:val="12"/>
              <w:pageBreakBefore w:val="0"/>
              <w:tabs>
                <w:tab w:val="left" w:pos="828"/>
              </w:tabs>
              <w:kinsoku/>
              <w:overflowPunct/>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4.1.5精密度：≤1%</w:t>
            </w:r>
          </w:p>
          <w:p w14:paraId="1031589D">
            <w:pPr>
              <w:pStyle w:val="12"/>
              <w:pageBreakBefore w:val="0"/>
              <w:tabs>
                <w:tab w:val="left" w:pos="828"/>
              </w:tabs>
              <w:kinsoku/>
              <w:overflowPunct/>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4.1.6准确度：误差在±3%以内</w:t>
            </w:r>
          </w:p>
          <w:p w14:paraId="234DB51E">
            <w:pPr>
              <w:pStyle w:val="12"/>
              <w:pageBreakBefore w:val="0"/>
              <w:tabs>
                <w:tab w:val="left" w:pos="828"/>
              </w:tabs>
              <w:kinsoku/>
              <w:overflowPunct/>
              <w:bidi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5、检测项目采用方法</w:t>
            </w:r>
          </w:p>
          <w:p w14:paraId="5CDD9398">
            <w:pPr>
              <w:pStyle w:val="12"/>
              <w:pageBreakBefore w:val="0"/>
              <w:tabs>
                <w:tab w:val="left" w:pos="828"/>
              </w:tabs>
              <w:kinsoku/>
              <w:overflowPunct/>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阴离子表面活性剂：亚甲基蓝光度法；</w:t>
            </w:r>
          </w:p>
          <w:p w14:paraId="1EAFF0AE">
            <w:pPr>
              <w:pStyle w:val="12"/>
              <w:pageBreakBefore w:val="0"/>
              <w:numPr>
                <w:ilvl w:val="0"/>
                <w:numId w:val="5"/>
              </w:numPr>
              <w:tabs>
                <w:tab w:val="left" w:pos="828"/>
              </w:tabs>
              <w:kinsoku/>
              <w:overflowPunct/>
              <w:bidi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主要配置:</w:t>
            </w:r>
          </w:p>
          <w:p w14:paraId="68FB6F97">
            <w:pPr>
              <w:pStyle w:val="12"/>
              <w:pageBreakBefore w:val="0"/>
              <w:tabs>
                <w:tab w:val="left" w:pos="828"/>
              </w:tabs>
              <w:kinsoku/>
              <w:overflowPunct/>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6.1全自动阴离子表面活性剂分析一体机1台</w:t>
            </w:r>
          </w:p>
          <w:p w14:paraId="503791FE">
            <w:pPr>
              <w:pStyle w:val="12"/>
              <w:pageBreakBefore w:val="0"/>
              <w:tabs>
                <w:tab w:val="left" w:pos="828"/>
              </w:tabs>
              <w:kinsoku/>
              <w:overflowPunct/>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6.</w:t>
            </w:r>
            <w:r>
              <w:rPr>
                <w:rFonts w:hint="eastAsia" w:hAnsi="宋体" w:cs="宋体"/>
                <w:sz w:val="21"/>
                <w:szCs w:val="21"/>
                <w:lang w:val="en-US" w:eastAsia="zh-CN"/>
              </w:rPr>
              <w:t>2</w:t>
            </w:r>
            <w:r>
              <w:rPr>
                <w:rFonts w:hint="eastAsia" w:ascii="宋体" w:hAnsi="宋体" w:eastAsia="宋体" w:cs="宋体"/>
                <w:sz w:val="21"/>
                <w:szCs w:val="21"/>
              </w:rPr>
              <w:t>路由器1台</w:t>
            </w:r>
          </w:p>
          <w:p w14:paraId="0291ED06">
            <w:pPr>
              <w:pStyle w:val="12"/>
              <w:pageBreakBefore w:val="0"/>
              <w:tabs>
                <w:tab w:val="left" w:pos="828"/>
              </w:tabs>
              <w:kinsoku/>
              <w:overflowPunct/>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6.</w:t>
            </w:r>
            <w:r>
              <w:rPr>
                <w:rFonts w:hint="eastAsia" w:hAnsi="宋体" w:cs="宋体"/>
                <w:sz w:val="21"/>
                <w:szCs w:val="21"/>
                <w:lang w:val="en-US" w:eastAsia="zh-CN"/>
              </w:rPr>
              <w:t>3</w:t>
            </w:r>
            <w:r>
              <w:rPr>
                <w:rFonts w:hint="eastAsia" w:ascii="宋体" w:hAnsi="宋体" w:eastAsia="宋体" w:cs="宋体"/>
                <w:sz w:val="21"/>
                <w:szCs w:val="21"/>
              </w:rPr>
              <w:t>配件套包（泵管、接头、进样针等）1套</w:t>
            </w:r>
          </w:p>
          <w:p w14:paraId="33D8CA7B">
            <w:pPr>
              <w:pStyle w:val="12"/>
              <w:pageBreakBefore w:val="0"/>
              <w:tabs>
                <w:tab w:val="left" w:pos="828"/>
              </w:tabs>
              <w:kinsoku/>
              <w:overflowPunct/>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6.</w:t>
            </w:r>
            <w:r>
              <w:rPr>
                <w:rFonts w:hint="eastAsia" w:hAnsi="宋体" w:cs="宋体"/>
                <w:sz w:val="21"/>
                <w:szCs w:val="21"/>
                <w:lang w:val="en-US" w:eastAsia="zh-CN"/>
              </w:rPr>
              <w:t>4</w:t>
            </w:r>
            <w:r>
              <w:rPr>
                <w:rFonts w:hint="eastAsia" w:ascii="宋体" w:hAnsi="宋体" w:eastAsia="宋体" w:cs="宋体"/>
                <w:sz w:val="21"/>
                <w:szCs w:val="21"/>
              </w:rPr>
              <w:t>说明书：软件、仪器及方法说明1套</w:t>
            </w:r>
          </w:p>
          <w:p w14:paraId="52BE65E7">
            <w:pPr>
              <w:pStyle w:val="12"/>
              <w:pageBreakBefore w:val="0"/>
              <w:tabs>
                <w:tab w:val="left" w:pos="828"/>
              </w:tabs>
              <w:kinsoku/>
              <w:overflowPunct/>
              <w:bidi w:val="0"/>
              <w:spacing w:line="360" w:lineRule="auto"/>
              <w:jc w:val="left"/>
              <w:rPr>
                <w:rFonts w:hint="eastAsia" w:ascii="宋体" w:hAnsi="宋体" w:eastAsia="宋体" w:cs="宋体"/>
                <w:b w:val="0"/>
                <w:bCs w:val="0"/>
                <w:sz w:val="21"/>
                <w:szCs w:val="21"/>
                <w:lang w:val="en-US" w:eastAsia="zh-CN"/>
              </w:rPr>
            </w:pPr>
            <w:r>
              <w:rPr>
                <w:rFonts w:hint="eastAsia" w:ascii="宋体" w:hAnsi="宋体" w:eastAsia="宋体" w:cs="宋体"/>
                <w:sz w:val="21"/>
                <w:szCs w:val="21"/>
              </w:rPr>
              <w:t>6.</w:t>
            </w:r>
            <w:r>
              <w:rPr>
                <w:rFonts w:hint="eastAsia" w:hAnsi="宋体" w:cs="宋体"/>
                <w:sz w:val="21"/>
                <w:szCs w:val="21"/>
                <w:lang w:val="en-US" w:eastAsia="zh-CN"/>
              </w:rPr>
              <w:t>5</w:t>
            </w:r>
            <w:r>
              <w:rPr>
                <w:rFonts w:hint="eastAsia" w:ascii="宋体" w:hAnsi="宋体" w:eastAsia="宋体" w:cs="宋体"/>
                <w:sz w:val="21"/>
                <w:szCs w:val="21"/>
              </w:rPr>
              <w:t>电脑、打印机1套</w:t>
            </w:r>
            <w:r>
              <w:rPr>
                <w:rFonts w:hint="eastAsia" w:ascii="宋体" w:hAnsi="宋体" w:eastAsia="宋体" w:cs="宋体"/>
                <w:b w:val="0"/>
                <w:bCs w:val="0"/>
                <w:sz w:val="21"/>
                <w:szCs w:val="21"/>
                <w:lang w:val="en-US" w:eastAsia="zh-CN"/>
              </w:rPr>
              <w:t>（品牌计算机，I5十二代及以上， 内存16G及以上， DVD刻录， 固态硬盘1T以上， ≥22液晶专用显示器，中文正版Win10 64位专业系统；A4黑白激光打印机1套。）</w:t>
            </w:r>
          </w:p>
          <w:p w14:paraId="4B89377C">
            <w:pPr>
              <w:pStyle w:val="12"/>
              <w:pageBreakBefore w:val="0"/>
              <w:tabs>
                <w:tab w:val="left" w:pos="828"/>
              </w:tabs>
              <w:kinsoku/>
              <w:overflowPunct/>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6.</w:t>
            </w:r>
            <w:r>
              <w:rPr>
                <w:rFonts w:hint="eastAsia" w:hAnsi="宋体" w:cs="宋体"/>
                <w:sz w:val="21"/>
                <w:szCs w:val="21"/>
                <w:lang w:val="en-US" w:eastAsia="zh-CN"/>
              </w:rPr>
              <w:t>6</w:t>
            </w:r>
            <w:r>
              <w:rPr>
                <w:rFonts w:hint="eastAsia" w:ascii="宋体" w:hAnsi="宋体" w:eastAsia="宋体" w:cs="宋体"/>
                <w:sz w:val="21"/>
                <w:szCs w:val="21"/>
              </w:rPr>
              <w:t>大于50位极坐标自动进样器1套</w:t>
            </w:r>
          </w:p>
          <w:p w14:paraId="3E57729C">
            <w:pPr>
              <w:pStyle w:val="12"/>
              <w:pageBreakBefore w:val="0"/>
              <w:tabs>
                <w:tab w:val="left" w:pos="828"/>
              </w:tabs>
              <w:kinsoku/>
              <w:overflowPunct/>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6.</w:t>
            </w:r>
            <w:r>
              <w:rPr>
                <w:rFonts w:hint="eastAsia" w:hAnsi="宋体" w:cs="宋体"/>
                <w:sz w:val="21"/>
                <w:szCs w:val="21"/>
                <w:lang w:val="en-US" w:eastAsia="zh-CN"/>
              </w:rPr>
              <w:t>7</w:t>
            </w:r>
            <w:r>
              <w:rPr>
                <w:rFonts w:hint="eastAsia" w:ascii="宋体" w:hAnsi="宋体" w:eastAsia="宋体" w:cs="宋体"/>
                <w:sz w:val="21"/>
                <w:szCs w:val="21"/>
              </w:rPr>
              <w:t>检测器1套</w:t>
            </w:r>
          </w:p>
          <w:p w14:paraId="1F0BF1CC">
            <w:pPr>
              <w:pStyle w:val="12"/>
              <w:pageBreakBefore w:val="0"/>
              <w:tabs>
                <w:tab w:val="left" w:pos="828"/>
              </w:tabs>
              <w:kinsoku/>
              <w:overflowPunct/>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6.</w:t>
            </w:r>
            <w:r>
              <w:rPr>
                <w:rFonts w:hint="eastAsia" w:hAnsi="宋体" w:cs="宋体"/>
                <w:sz w:val="21"/>
                <w:szCs w:val="21"/>
                <w:lang w:val="en-US" w:eastAsia="zh-CN"/>
              </w:rPr>
              <w:t>8</w:t>
            </w:r>
            <w:r>
              <w:rPr>
                <w:rFonts w:hint="eastAsia" w:ascii="宋体" w:hAnsi="宋体" w:eastAsia="宋体" w:cs="宋体"/>
                <w:sz w:val="21"/>
                <w:szCs w:val="21"/>
              </w:rPr>
              <w:t>主机1套</w:t>
            </w:r>
          </w:p>
          <w:p w14:paraId="433DA929">
            <w:pPr>
              <w:pStyle w:val="12"/>
              <w:pageBreakBefore w:val="0"/>
              <w:tabs>
                <w:tab w:val="left" w:pos="828"/>
              </w:tabs>
              <w:kinsoku/>
              <w:overflowPunct/>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6.</w:t>
            </w:r>
            <w:r>
              <w:rPr>
                <w:rFonts w:hint="eastAsia" w:hAnsi="宋体" w:cs="宋体"/>
                <w:sz w:val="21"/>
                <w:szCs w:val="21"/>
                <w:lang w:val="en-US" w:eastAsia="zh-CN"/>
              </w:rPr>
              <w:t>9</w:t>
            </w:r>
            <w:r>
              <w:rPr>
                <w:rFonts w:hint="eastAsia" w:ascii="宋体" w:hAnsi="宋体" w:eastAsia="宋体" w:cs="宋体"/>
                <w:sz w:val="21"/>
                <w:szCs w:val="21"/>
              </w:rPr>
              <w:t>超声波清洗器1套</w:t>
            </w:r>
          </w:p>
          <w:p w14:paraId="70F26A6B">
            <w:pPr>
              <w:pStyle w:val="12"/>
              <w:pageBreakBefore w:val="0"/>
              <w:tabs>
                <w:tab w:val="left" w:pos="828"/>
              </w:tabs>
              <w:kinsoku/>
              <w:overflowPunct/>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6.1</w:t>
            </w:r>
            <w:r>
              <w:rPr>
                <w:rFonts w:hint="eastAsia" w:hAnsi="宋体" w:cs="宋体"/>
                <w:sz w:val="21"/>
                <w:szCs w:val="21"/>
                <w:lang w:val="en-US" w:eastAsia="zh-CN"/>
              </w:rPr>
              <w:t>0</w:t>
            </w:r>
            <w:r>
              <w:rPr>
                <w:rFonts w:hint="eastAsia" w:ascii="宋体" w:hAnsi="宋体" w:eastAsia="宋体" w:cs="宋体"/>
                <w:sz w:val="21"/>
                <w:szCs w:val="21"/>
              </w:rPr>
              <w:t>溶剂过滤器（与阴离子项目配合使用）1套</w:t>
            </w:r>
          </w:p>
          <w:p w14:paraId="70B17192">
            <w:pPr>
              <w:pStyle w:val="12"/>
              <w:pageBreakBefore w:val="0"/>
              <w:tabs>
                <w:tab w:val="left" w:pos="828"/>
              </w:tabs>
              <w:kinsoku/>
              <w:overflowPunct/>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6.</w:t>
            </w:r>
            <w:r>
              <w:rPr>
                <w:rFonts w:hint="eastAsia" w:hAnsi="宋体" w:cs="宋体"/>
                <w:sz w:val="21"/>
                <w:szCs w:val="21"/>
                <w:lang w:val="en-US" w:eastAsia="zh-CN"/>
              </w:rPr>
              <w:t>11</w:t>
            </w:r>
            <w:r>
              <w:rPr>
                <w:rFonts w:hint="eastAsia" w:ascii="宋体" w:hAnsi="宋体" w:eastAsia="宋体" w:cs="宋体"/>
                <w:sz w:val="21"/>
                <w:szCs w:val="21"/>
              </w:rPr>
              <w:t>真空循环水泵1套</w:t>
            </w:r>
          </w:p>
          <w:p w14:paraId="0F546905">
            <w:pPr>
              <w:pStyle w:val="12"/>
              <w:pageBreakBefore w:val="0"/>
              <w:tabs>
                <w:tab w:val="left" w:pos="828"/>
              </w:tabs>
              <w:kinsoku/>
              <w:overflowPunct/>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6.</w:t>
            </w:r>
            <w:r>
              <w:rPr>
                <w:rFonts w:hint="eastAsia" w:hAnsi="宋体" w:cs="宋体"/>
                <w:sz w:val="21"/>
                <w:szCs w:val="21"/>
                <w:lang w:val="en-US" w:eastAsia="zh-CN"/>
              </w:rPr>
              <w:t>12</w:t>
            </w:r>
            <w:r>
              <w:rPr>
                <w:rFonts w:hint="eastAsia" w:ascii="宋体" w:hAnsi="宋体" w:eastAsia="宋体" w:cs="宋体"/>
                <w:sz w:val="21"/>
                <w:szCs w:val="21"/>
              </w:rPr>
              <w:t>滤膜20张</w:t>
            </w:r>
          </w:p>
          <w:p w14:paraId="542E8581">
            <w:pPr>
              <w:pStyle w:val="12"/>
              <w:pageBreakBefore w:val="0"/>
              <w:tabs>
                <w:tab w:val="left" w:pos="828"/>
              </w:tabs>
              <w:kinsoku/>
              <w:overflowPunct/>
              <w:bidi w:val="0"/>
              <w:spacing w:line="360" w:lineRule="auto"/>
              <w:jc w:val="left"/>
              <w:rPr>
                <w:rFonts w:hint="eastAsia" w:ascii="宋体" w:hAnsi="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sz w:val="21"/>
                <w:szCs w:val="21"/>
              </w:rPr>
              <w:t>6.</w:t>
            </w:r>
            <w:r>
              <w:rPr>
                <w:rFonts w:hint="eastAsia" w:hAnsi="宋体" w:cs="宋体"/>
                <w:sz w:val="21"/>
                <w:szCs w:val="21"/>
                <w:lang w:val="en-US" w:eastAsia="zh-CN"/>
              </w:rPr>
              <w:t>13</w:t>
            </w:r>
            <w:r>
              <w:rPr>
                <w:rFonts w:hint="eastAsia" w:ascii="宋体" w:hAnsi="宋体" w:eastAsia="宋体" w:cs="宋体"/>
                <w:sz w:val="21"/>
                <w:szCs w:val="21"/>
              </w:rPr>
              <w:t>试剂包2套</w:t>
            </w:r>
          </w:p>
        </w:tc>
      </w:tr>
      <w:tr w14:paraId="7C7BB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14:paraId="6EEA504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vertAlign w:val="baseline"/>
                <w:lang w:val="en-US" w:eastAsia="zh-CN" w:bidi="ar-SA"/>
                <w14:textFill>
                  <w14:solidFill>
                    <w14:schemeClr w14:val="tx1"/>
                  </w14:solidFill>
                </w14:textFill>
              </w:rPr>
              <w:t>8</w:t>
            </w:r>
          </w:p>
        </w:tc>
        <w:tc>
          <w:tcPr>
            <w:tcW w:w="2050" w:type="dxa"/>
            <w:vAlign w:val="center"/>
          </w:tcPr>
          <w:p w14:paraId="4EDB189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vertAlign w:val="baseline"/>
                <w:lang w:val="en-US" w:eastAsia="zh-CN" w:bidi="ar-SA"/>
                <w14:textFill>
                  <w14:solidFill>
                    <w14:schemeClr w14:val="tx1"/>
                  </w14:solidFill>
                </w14:textFill>
              </w:rPr>
              <w:t>便携式浊度仪</w:t>
            </w:r>
          </w:p>
        </w:tc>
        <w:tc>
          <w:tcPr>
            <w:tcW w:w="10625" w:type="dxa"/>
            <w:vAlign w:val="center"/>
          </w:tcPr>
          <w:p w14:paraId="7EC8DE2F">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b/>
                <w:bCs/>
                <w:spacing w:val="-2"/>
                <w:sz w:val="21"/>
                <w:szCs w:val="21"/>
              </w:rPr>
            </w:pPr>
            <w:r>
              <w:rPr>
                <w:rFonts w:hint="eastAsia" w:ascii="宋体" w:hAnsi="宋体" w:eastAsia="宋体" w:cs="宋体"/>
                <w:b/>
                <w:bCs/>
                <w:spacing w:val="-2"/>
                <w:sz w:val="21"/>
                <w:szCs w:val="21"/>
              </w:rPr>
              <w:t>1、用途：</w:t>
            </w:r>
          </w:p>
          <w:p w14:paraId="335CDBFC">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pacing w:val="-2"/>
                <w:sz w:val="21"/>
                <w:szCs w:val="21"/>
              </w:rPr>
            </w:pPr>
            <w:r>
              <w:rPr>
                <w:rFonts w:hint="eastAsia" w:ascii="宋体" w:hAnsi="宋体" w:eastAsia="宋体" w:cs="宋体"/>
                <w:sz w:val="21"/>
                <w:szCs w:val="21"/>
              </w:rPr>
              <w:t>便携式浊度仪，具有实验室浊度仪的优越性能，既可用于野外测试，又可用于实验室的水质分析，可广泛应用于饮用水、废水、纯水、工业水及环境水的浊度值测量。</w:t>
            </w:r>
            <w:r>
              <w:rPr>
                <w:rFonts w:hint="eastAsia" w:ascii="宋体" w:hAnsi="宋体" w:eastAsia="宋体" w:cs="宋体"/>
                <w:spacing w:val="-2"/>
                <w:sz w:val="21"/>
                <w:szCs w:val="21"/>
              </w:rPr>
              <w:t xml:space="preserve"> </w:t>
            </w:r>
          </w:p>
          <w:p w14:paraId="2C8066B7">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b/>
                <w:bCs/>
                <w:spacing w:val="-2"/>
                <w:sz w:val="21"/>
                <w:szCs w:val="21"/>
              </w:rPr>
            </w:pPr>
            <w:r>
              <w:rPr>
                <w:rFonts w:hint="eastAsia" w:ascii="宋体" w:hAnsi="宋体" w:eastAsia="宋体" w:cs="宋体"/>
                <w:b/>
                <w:bCs/>
                <w:spacing w:val="-2"/>
                <w:sz w:val="21"/>
                <w:szCs w:val="21"/>
              </w:rPr>
              <w:t>2、技术性能指标：</w:t>
            </w:r>
          </w:p>
          <w:p w14:paraId="40413752">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2.1光源：钨灯</w:t>
            </w:r>
          </w:p>
          <w:p w14:paraId="7B69C124">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2.2 检测器：硅光电检测器</w:t>
            </w:r>
          </w:p>
          <w:p w14:paraId="098D7B69">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2.3 测量范围：0~1000 NTU</w:t>
            </w:r>
          </w:p>
          <w:p w14:paraId="33A59524">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2.4 准确度：读数的±2%+杂散光</w:t>
            </w:r>
          </w:p>
          <w:p w14:paraId="73D4E683">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2.5 可重复性：读数的±1%或者0.01NTU，取大者</w:t>
            </w:r>
          </w:p>
          <w:p w14:paraId="27474729">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■2.6 分辨率：0.01NTU</w:t>
            </w:r>
          </w:p>
          <w:p w14:paraId="7FF58797">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■2.7 杂散光：&lt;0.02NTU</w:t>
            </w:r>
          </w:p>
          <w:p w14:paraId="0CFAEAF1">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▲2.8 双检测器光学系统，可消除色度、光波动、杂散光等的干扰</w:t>
            </w:r>
          </w:p>
          <w:p w14:paraId="74BB22C4">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b/>
                <w:bCs/>
                <w:spacing w:val="-2"/>
                <w:sz w:val="21"/>
                <w:szCs w:val="21"/>
              </w:rPr>
            </w:pPr>
            <w:r>
              <w:rPr>
                <w:rFonts w:hint="eastAsia" w:ascii="宋体" w:hAnsi="宋体" w:eastAsia="宋体" w:cs="宋体"/>
                <w:b/>
                <w:bCs/>
                <w:spacing w:val="-2"/>
                <w:sz w:val="21"/>
                <w:szCs w:val="21"/>
              </w:rPr>
              <w:t>3、配置要求：</w:t>
            </w:r>
          </w:p>
          <w:p w14:paraId="2FD6869A">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rPr>
            </w:pPr>
            <w:r>
              <w:rPr>
                <w:rFonts w:hint="eastAsia" w:ascii="宋体" w:hAnsi="宋体" w:eastAsia="宋体" w:cs="宋体"/>
                <w:spacing w:val="-2"/>
                <w:sz w:val="21"/>
                <w:szCs w:val="21"/>
              </w:rPr>
              <w:t>▲</w:t>
            </w:r>
            <w:r>
              <w:rPr>
                <w:rFonts w:hint="eastAsia" w:ascii="宋体" w:hAnsi="宋体" w:eastAsia="宋体" w:cs="宋体"/>
                <w:sz w:val="21"/>
                <w:szCs w:val="21"/>
              </w:rPr>
              <w:t xml:space="preserve">3.1 </w:t>
            </w:r>
            <w:r>
              <w:rPr>
                <w:rFonts w:hint="eastAsia" w:ascii="宋体" w:hAnsi="宋体" w:eastAsia="宋体" w:cs="宋体"/>
                <w:i w:val="0"/>
                <w:iCs w:val="0"/>
                <w:caps w:val="0"/>
                <w:color w:val="000000"/>
                <w:spacing w:val="0"/>
                <w:sz w:val="21"/>
                <w:szCs w:val="21"/>
                <w:shd w:val="clear" w:fill="FFFFFF"/>
              </w:rPr>
              <w:t>内置蓝牙</w:t>
            </w:r>
            <w:r>
              <w:rPr>
                <w:rFonts w:hint="eastAsia" w:ascii="宋体" w:hAnsi="宋体" w:cs="宋体"/>
                <w:i w:val="0"/>
                <w:iCs w:val="0"/>
                <w:caps w:val="0"/>
                <w:color w:val="000000"/>
                <w:spacing w:val="0"/>
                <w:sz w:val="21"/>
                <w:szCs w:val="21"/>
                <w:shd w:val="clear" w:fill="FFFFFF"/>
                <w:lang w:val="en-US" w:eastAsia="zh-CN"/>
              </w:rPr>
              <w:t>或</w:t>
            </w:r>
            <w:r>
              <w:rPr>
                <w:rFonts w:hint="eastAsia" w:ascii="宋体" w:hAnsi="宋体" w:eastAsia="宋体" w:cs="宋体"/>
                <w:i w:val="0"/>
                <w:iCs w:val="0"/>
                <w:caps w:val="0"/>
                <w:color w:val="000000"/>
                <w:spacing w:val="0"/>
                <w:sz w:val="21"/>
                <w:szCs w:val="21"/>
                <w:shd w:val="clear" w:fill="FFFFFF"/>
              </w:rPr>
              <w:t>支持无线传输</w:t>
            </w:r>
            <w:r>
              <w:rPr>
                <w:rFonts w:hint="eastAsia" w:ascii="宋体" w:hAnsi="宋体" w:cs="宋体"/>
                <w:i w:val="0"/>
                <w:iCs w:val="0"/>
                <w:caps w:val="0"/>
                <w:color w:val="000000"/>
                <w:spacing w:val="0"/>
                <w:sz w:val="21"/>
                <w:szCs w:val="21"/>
                <w:shd w:val="clear" w:fill="FFFFFF"/>
                <w:lang w:val="en-US" w:eastAsia="zh-CN"/>
              </w:rPr>
              <w:t>功能</w:t>
            </w:r>
            <w:r>
              <w:rPr>
                <w:rFonts w:hint="eastAsia" w:ascii="宋体" w:hAnsi="宋体" w:eastAsia="宋体" w:cs="宋体"/>
                <w:i w:val="0"/>
                <w:iCs w:val="0"/>
                <w:caps w:val="0"/>
                <w:color w:val="000000"/>
                <w:spacing w:val="0"/>
                <w:sz w:val="21"/>
                <w:szCs w:val="21"/>
                <w:shd w:val="clear" w:fill="FFFFFF"/>
                <w:lang w:val="en-US" w:eastAsia="zh-CN"/>
              </w:rPr>
              <w:t>。</w:t>
            </w:r>
          </w:p>
          <w:p w14:paraId="4F7F2634">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spacing w:val="-2"/>
                <w:sz w:val="21"/>
                <w:szCs w:val="21"/>
                <w:lang w:val="en-US" w:eastAsia="zh-CN"/>
              </w:rPr>
              <w:t>3.2</w:t>
            </w:r>
            <w:r>
              <w:rPr>
                <w:rFonts w:hint="eastAsia" w:ascii="宋体" w:hAnsi="宋体" w:eastAsia="宋体" w:cs="宋体"/>
                <w:spacing w:val="-2"/>
                <w:sz w:val="21"/>
                <w:szCs w:val="21"/>
              </w:rPr>
              <w:t>便携式浊度仪主机，6个样品池、标准液、验证标准液、硅油、电池、用户手册</w:t>
            </w:r>
            <w:r>
              <w:rPr>
                <w:rFonts w:hint="eastAsia" w:ascii="宋体" w:hAnsi="宋体" w:eastAsia="宋体" w:cs="宋体"/>
                <w:spacing w:val="-2"/>
                <w:sz w:val="21"/>
                <w:szCs w:val="21"/>
                <w:lang w:eastAsia="zh-CN"/>
              </w:rPr>
              <w:t>、</w:t>
            </w:r>
            <w:r>
              <w:rPr>
                <w:rFonts w:hint="eastAsia" w:ascii="宋体" w:hAnsi="宋体" w:eastAsia="宋体" w:cs="宋体"/>
                <w:b w:val="0"/>
                <w:bCs w:val="0"/>
                <w:spacing w:val="-2"/>
                <w:sz w:val="21"/>
                <w:szCs w:val="21"/>
              </w:rPr>
              <w:t>质量合格证明文件、保修卡</w:t>
            </w:r>
            <w:r>
              <w:rPr>
                <w:rFonts w:hint="eastAsia" w:ascii="宋体" w:hAnsi="宋体" w:eastAsia="宋体" w:cs="宋体"/>
                <w:spacing w:val="-2"/>
                <w:sz w:val="21"/>
                <w:szCs w:val="21"/>
                <w:lang w:val="en-US" w:eastAsia="zh-CN"/>
              </w:rPr>
              <w:t>等标准配置。</w:t>
            </w:r>
          </w:p>
        </w:tc>
      </w:tr>
      <w:tr w14:paraId="0F660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14:paraId="280B565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vertAlign w:val="baseline"/>
                <w:lang w:val="en-US" w:eastAsia="zh-CN" w:bidi="ar-SA"/>
                <w14:textFill>
                  <w14:solidFill>
                    <w14:schemeClr w14:val="tx1"/>
                  </w14:solidFill>
                </w14:textFill>
              </w:rPr>
              <w:t>9</w:t>
            </w:r>
          </w:p>
        </w:tc>
        <w:tc>
          <w:tcPr>
            <w:tcW w:w="2050" w:type="dxa"/>
            <w:vAlign w:val="center"/>
          </w:tcPr>
          <w:p w14:paraId="55ABA2D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vertAlign w:val="baseline"/>
                <w:lang w:val="en-US" w:eastAsia="zh-CN" w:bidi="ar-SA"/>
                <w14:textFill>
                  <w14:solidFill>
                    <w14:schemeClr w14:val="tx1"/>
                  </w14:solidFill>
                </w14:textFill>
              </w:rPr>
              <w:t>实验室叶绿素荧光测定仪</w:t>
            </w:r>
          </w:p>
        </w:tc>
        <w:tc>
          <w:tcPr>
            <w:tcW w:w="10625" w:type="dxa"/>
            <w:vAlign w:val="center"/>
          </w:tcPr>
          <w:p w14:paraId="622DADDA">
            <w:pPr>
              <w:pStyle w:val="5"/>
              <w:pageBreakBefore w:val="0"/>
              <w:numPr>
                <w:ilvl w:val="0"/>
                <w:numId w:val="0"/>
              </w:numPr>
              <w:kinsoku/>
              <w:overflowPunct/>
              <w:bidi w:val="0"/>
              <w:adjustRightInd w:val="0"/>
              <w:snapToGrid w:val="0"/>
              <w:spacing w:line="360" w:lineRule="auto"/>
              <w:ind w:left="425" w:leftChars="0" w:hanging="425" w:firstLineChars="0"/>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SA"/>
              </w:rPr>
              <w:t>1.</w:t>
            </w:r>
            <w:r>
              <w:rPr>
                <w:rFonts w:hint="eastAsia" w:ascii="宋体" w:hAnsi="宋体" w:eastAsia="宋体" w:cs="宋体"/>
                <w:b/>
                <w:bCs/>
                <w:sz w:val="21"/>
                <w:szCs w:val="21"/>
              </w:rPr>
              <w:t>主机配置及配件</w:t>
            </w:r>
          </w:p>
          <w:p w14:paraId="64C160F8">
            <w:pPr>
              <w:keepNext w:val="0"/>
              <w:keepLines w:val="0"/>
              <w:pageBreakBefore w:val="0"/>
              <w:tabs>
                <w:tab w:val="left" w:pos="3000"/>
              </w:tabs>
              <w:kinsoku/>
              <w:wordWrap/>
              <w:overflowPunct/>
              <w:topLinePunct w:val="0"/>
              <w:autoSpaceDE/>
              <w:autoSpaceDN/>
              <w:bidi w:val="0"/>
              <w:adjustRightInd/>
              <w:snapToGrid/>
              <w:spacing w:line="360" w:lineRule="auto"/>
              <w:ind w:firstLine="422" w:firstLineChars="200"/>
              <w:textAlignment w:val="auto"/>
              <w:outlineLvl w:val="3"/>
              <w:rPr>
                <w:rFonts w:hint="eastAsia" w:ascii="宋体" w:hAnsi="宋体" w:eastAsia="宋体" w:cs="宋体"/>
                <w:szCs w:val="21"/>
              </w:rPr>
            </w:pPr>
            <w:r>
              <w:rPr>
                <w:rFonts w:hint="eastAsia" w:ascii="宋体" w:hAnsi="宋体" w:eastAsia="宋体" w:cs="宋体"/>
                <w:b/>
                <w:color w:val="auto"/>
                <w:sz w:val="21"/>
                <w:szCs w:val="21"/>
                <w:highlight w:val="none"/>
                <w:lang w:val="en-US" w:eastAsia="zh-CN"/>
              </w:rPr>
              <w:t>（采购数量按招标清单为准，这里只表示每台采购设备应配置的备件或耗材数量）</w:t>
            </w:r>
          </w:p>
          <w:tbl>
            <w:tblPr>
              <w:tblStyle w:val="23"/>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3072"/>
              <w:gridCol w:w="2351"/>
              <w:gridCol w:w="2210"/>
            </w:tblGrid>
            <w:tr w14:paraId="32A6D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86" w:type="dxa"/>
                  <w:noWrap w:val="0"/>
                  <w:vAlign w:val="center"/>
                </w:tcPr>
                <w:p w14:paraId="71FA172D">
                  <w:pPr>
                    <w:pageBreakBefore w:val="0"/>
                    <w:kinsoku/>
                    <w:overflowPunct/>
                    <w:bidi w:val="0"/>
                    <w:snapToGrid w:val="0"/>
                    <w:spacing w:line="360" w:lineRule="auto"/>
                    <w:ind w:left="0" w:leftChars="0" w:right="0" w:rightChars="0" w:firstLine="0" w:firstLineChars="0"/>
                    <w:jc w:val="center"/>
                    <w:rPr>
                      <w:rFonts w:hint="eastAsia" w:ascii="宋体" w:hAnsi="宋体" w:eastAsia="宋体" w:cs="宋体"/>
                      <w:b/>
                      <w:bCs/>
                      <w:sz w:val="21"/>
                      <w:szCs w:val="21"/>
                    </w:rPr>
                  </w:pPr>
                </w:p>
              </w:tc>
              <w:tc>
                <w:tcPr>
                  <w:tcW w:w="3072" w:type="dxa"/>
                  <w:noWrap w:val="0"/>
                  <w:vAlign w:val="center"/>
                </w:tcPr>
                <w:p w14:paraId="7636479F">
                  <w:pPr>
                    <w:pageBreakBefore w:val="0"/>
                    <w:kinsoku/>
                    <w:overflowPunct/>
                    <w:bidi w:val="0"/>
                    <w:snapToGrid w:val="0"/>
                    <w:spacing w:line="360" w:lineRule="auto"/>
                    <w:ind w:left="0" w:leftChars="0" w:right="0" w:rightChars="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名称</w:t>
                  </w:r>
                </w:p>
              </w:tc>
              <w:tc>
                <w:tcPr>
                  <w:tcW w:w="2351" w:type="dxa"/>
                  <w:noWrap w:val="0"/>
                  <w:vAlign w:val="center"/>
                </w:tcPr>
                <w:p w14:paraId="097729D3">
                  <w:pPr>
                    <w:pageBreakBefore w:val="0"/>
                    <w:kinsoku/>
                    <w:overflowPunct/>
                    <w:bidi w:val="0"/>
                    <w:snapToGrid w:val="0"/>
                    <w:spacing w:line="360" w:lineRule="auto"/>
                    <w:ind w:left="0" w:leftChars="0" w:right="0" w:rightChars="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说明</w:t>
                  </w:r>
                </w:p>
              </w:tc>
              <w:tc>
                <w:tcPr>
                  <w:tcW w:w="2210" w:type="dxa"/>
                  <w:noWrap w:val="0"/>
                  <w:vAlign w:val="center"/>
                </w:tcPr>
                <w:p w14:paraId="13B0DC81">
                  <w:pPr>
                    <w:pageBreakBefore w:val="0"/>
                    <w:kinsoku/>
                    <w:overflowPunct/>
                    <w:bidi w:val="0"/>
                    <w:snapToGrid w:val="0"/>
                    <w:spacing w:line="360" w:lineRule="auto"/>
                    <w:ind w:left="0" w:leftChars="0" w:right="0" w:rightChars="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数量（台/套）</w:t>
                  </w:r>
                </w:p>
              </w:tc>
            </w:tr>
            <w:tr w14:paraId="0AB84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noWrap w:val="0"/>
                  <w:vAlign w:val="center"/>
                </w:tcPr>
                <w:p w14:paraId="0BDA39EC">
                  <w:pPr>
                    <w:pageBreakBefore w:val="0"/>
                    <w:kinsoku/>
                    <w:overflowPunct/>
                    <w:bidi w:val="0"/>
                    <w:snapToGrid w:val="0"/>
                    <w:spacing w:line="360" w:lineRule="auto"/>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b/>
                      <w:bCs/>
                      <w:sz w:val="21"/>
                      <w:szCs w:val="21"/>
                    </w:rPr>
                    <w:t>主机</w:t>
                  </w:r>
                </w:p>
              </w:tc>
              <w:tc>
                <w:tcPr>
                  <w:tcW w:w="3072" w:type="dxa"/>
                  <w:noWrap w:val="0"/>
                  <w:vAlign w:val="center"/>
                </w:tcPr>
                <w:p w14:paraId="54B2703E">
                  <w:pPr>
                    <w:pageBreakBefore w:val="0"/>
                    <w:kinsoku/>
                    <w:overflowPunct/>
                    <w:bidi w:val="0"/>
                    <w:snapToGrid w:val="0"/>
                    <w:spacing w:line="360" w:lineRule="auto"/>
                    <w:ind w:left="0" w:leftChars="0" w:right="0" w:righ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台式主机</w:t>
                  </w:r>
                </w:p>
              </w:tc>
              <w:tc>
                <w:tcPr>
                  <w:tcW w:w="2351" w:type="dxa"/>
                  <w:noWrap w:val="0"/>
                  <w:vAlign w:val="center"/>
                </w:tcPr>
                <w:p w14:paraId="37DB6497">
                  <w:pPr>
                    <w:pageBreakBefore w:val="0"/>
                    <w:kinsoku/>
                    <w:overflowPunct/>
                    <w:bidi w:val="0"/>
                    <w:snapToGrid w:val="0"/>
                    <w:spacing w:line="360" w:lineRule="auto"/>
                    <w:ind w:left="0" w:leftChars="0" w:right="0" w:righ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标准配置</w:t>
                  </w:r>
                </w:p>
              </w:tc>
              <w:tc>
                <w:tcPr>
                  <w:tcW w:w="2210" w:type="dxa"/>
                  <w:noWrap w:val="0"/>
                  <w:vAlign w:val="center"/>
                </w:tcPr>
                <w:p w14:paraId="624E0A7B">
                  <w:pPr>
                    <w:pageBreakBefore w:val="0"/>
                    <w:kinsoku/>
                    <w:overflowPunct/>
                    <w:bidi w:val="0"/>
                    <w:snapToGrid w:val="0"/>
                    <w:spacing w:line="360" w:lineRule="auto"/>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14:paraId="134AD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vMerge w:val="restart"/>
                  <w:noWrap w:val="0"/>
                  <w:vAlign w:val="center"/>
                </w:tcPr>
                <w:p w14:paraId="16D704E0">
                  <w:pPr>
                    <w:pageBreakBefore w:val="0"/>
                    <w:kinsoku/>
                    <w:overflowPunct/>
                    <w:bidi w:val="0"/>
                    <w:snapToGrid w:val="0"/>
                    <w:spacing w:line="360" w:lineRule="auto"/>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b/>
                      <w:bCs/>
                      <w:sz w:val="21"/>
                      <w:szCs w:val="21"/>
                    </w:rPr>
                    <w:t>配件</w:t>
                  </w:r>
                </w:p>
              </w:tc>
              <w:tc>
                <w:tcPr>
                  <w:tcW w:w="3072" w:type="dxa"/>
                  <w:noWrap w:val="0"/>
                  <w:vAlign w:val="center"/>
                </w:tcPr>
                <w:p w14:paraId="522BA35C">
                  <w:pPr>
                    <w:pageBreakBefore w:val="0"/>
                    <w:kinsoku/>
                    <w:overflowPunct/>
                    <w:bidi w:val="0"/>
                    <w:snapToGrid w:val="0"/>
                    <w:spacing w:line="360" w:lineRule="auto"/>
                    <w:ind w:left="0" w:leftChars="0" w:right="0" w:righ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微量移液器</w:t>
                  </w:r>
                </w:p>
              </w:tc>
              <w:tc>
                <w:tcPr>
                  <w:tcW w:w="2351" w:type="dxa"/>
                  <w:noWrap w:val="0"/>
                  <w:vAlign w:val="center"/>
                </w:tcPr>
                <w:p w14:paraId="21B253E5">
                  <w:pPr>
                    <w:pageBreakBefore w:val="0"/>
                    <w:kinsoku/>
                    <w:overflowPunct/>
                    <w:bidi w:val="0"/>
                    <w:snapToGrid w:val="0"/>
                    <w:spacing w:line="360" w:lineRule="auto"/>
                    <w:ind w:left="0" w:leftChars="0" w:right="0" w:righ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100-1000μL</w:t>
                  </w:r>
                </w:p>
              </w:tc>
              <w:tc>
                <w:tcPr>
                  <w:tcW w:w="2210" w:type="dxa"/>
                  <w:noWrap w:val="0"/>
                  <w:vAlign w:val="center"/>
                </w:tcPr>
                <w:p w14:paraId="7740AFAA">
                  <w:pPr>
                    <w:pageBreakBefore w:val="0"/>
                    <w:kinsoku/>
                    <w:overflowPunct/>
                    <w:bidi w:val="0"/>
                    <w:snapToGrid w:val="0"/>
                    <w:spacing w:line="360" w:lineRule="auto"/>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1支</w:t>
                  </w:r>
                </w:p>
              </w:tc>
            </w:tr>
            <w:tr w14:paraId="237E0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vMerge w:val="continue"/>
                  <w:noWrap w:val="0"/>
                  <w:vAlign w:val="center"/>
                </w:tcPr>
                <w:p w14:paraId="3679F232">
                  <w:pPr>
                    <w:pageBreakBefore w:val="0"/>
                    <w:kinsoku/>
                    <w:overflowPunct/>
                    <w:bidi w:val="0"/>
                    <w:snapToGrid w:val="0"/>
                    <w:spacing w:line="360" w:lineRule="auto"/>
                    <w:ind w:left="0" w:leftChars="0" w:right="0" w:rightChars="0" w:firstLine="0" w:firstLineChars="0"/>
                    <w:jc w:val="center"/>
                    <w:rPr>
                      <w:rFonts w:hint="eastAsia" w:ascii="宋体" w:hAnsi="宋体" w:eastAsia="宋体" w:cs="宋体"/>
                      <w:sz w:val="21"/>
                      <w:szCs w:val="21"/>
                    </w:rPr>
                  </w:pPr>
                </w:p>
              </w:tc>
              <w:tc>
                <w:tcPr>
                  <w:tcW w:w="3072" w:type="dxa"/>
                  <w:noWrap w:val="0"/>
                  <w:vAlign w:val="center"/>
                </w:tcPr>
                <w:p w14:paraId="439C3362">
                  <w:pPr>
                    <w:pageBreakBefore w:val="0"/>
                    <w:kinsoku/>
                    <w:overflowPunct/>
                    <w:bidi w:val="0"/>
                    <w:snapToGrid w:val="0"/>
                    <w:spacing w:line="360" w:lineRule="auto"/>
                    <w:ind w:left="0" w:leftChars="0" w:right="0" w:righ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石英荧光比色皿四通光</w:t>
                  </w:r>
                </w:p>
              </w:tc>
              <w:tc>
                <w:tcPr>
                  <w:tcW w:w="2351" w:type="dxa"/>
                  <w:noWrap w:val="0"/>
                  <w:vAlign w:val="center"/>
                </w:tcPr>
                <w:p w14:paraId="75E9072A">
                  <w:pPr>
                    <w:pageBreakBefore w:val="0"/>
                    <w:kinsoku/>
                    <w:overflowPunct/>
                    <w:bidi w:val="0"/>
                    <w:snapToGrid w:val="0"/>
                    <w:spacing w:line="360" w:lineRule="auto"/>
                    <w:ind w:left="0" w:leftChars="0" w:right="0" w:righ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10mm～50mm方型/2支</w:t>
                  </w:r>
                </w:p>
              </w:tc>
              <w:tc>
                <w:tcPr>
                  <w:tcW w:w="2210" w:type="dxa"/>
                  <w:noWrap w:val="0"/>
                  <w:vAlign w:val="center"/>
                </w:tcPr>
                <w:p w14:paraId="49C7DA07">
                  <w:pPr>
                    <w:pageBreakBefore w:val="0"/>
                    <w:kinsoku/>
                    <w:overflowPunct/>
                    <w:bidi w:val="0"/>
                    <w:snapToGrid w:val="0"/>
                    <w:spacing w:line="360" w:lineRule="auto"/>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1盒</w:t>
                  </w:r>
                </w:p>
              </w:tc>
            </w:tr>
            <w:tr w14:paraId="7974F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vMerge w:val="continue"/>
                  <w:noWrap w:val="0"/>
                  <w:vAlign w:val="center"/>
                </w:tcPr>
                <w:p w14:paraId="4546A47D">
                  <w:pPr>
                    <w:pageBreakBefore w:val="0"/>
                    <w:kinsoku/>
                    <w:overflowPunct/>
                    <w:bidi w:val="0"/>
                    <w:snapToGrid w:val="0"/>
                    <w:spacing w:line="360" w:lineRule="auto"/>
                    <w:ind w:left="0" w:leftChars="0" w:right="0" w:rightChars="0" w:firstLine="0" w:firstLineChars="0"/>
                    <w:jc w:val="center"/>
                    <w:rPr>
                      <w:rFonts w:hint="eastAsia" w:ascii="宋体" w:hAnsi="宋体" w:eastAsia="宋体" w:cs="宋体"/>
                      <w:sz w:val="21"/>
                      <w:szCs w:val="21"/>
                    </w:rPr>
                  </w:pPr>
                </w:p>
              </w:tc>
              <w:tc>
                <w:tcPr>
                  <w:tcW w:w="3072" w:type="dxa"/>
                  <w:noWrap w:val="0"/>
                  <w:vAlign w:val="center"/>
                </w:tcPr>
                <w:p w14:paraId="7A0E2CF1">
                  <w:pPr>
                    <w:pageBreakBefore w:val="0"/>
                    <w:kinsoku/>
                    <w:overflowPunct/>
                    <w:bidi w:val="0"/>
                    <w:snapToGrid w:val="0"/>
                    <w:spacing w:line="360" w:lineRule="auto"/>
                    <w:ind w:left="0" w:leftChars="0" w:right="0" w:righ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擦镜纸</w:t>
                  </w:r>
                </w:p>
              </w:tc>
              <w:tc>
                <w:tcPr>
                  <w:tcW w:w="2351" w:type="dxa"/>
                  <w:noWrap w:val="0"/>
                  <w:vAlign w:val="center"/>
                </w:tcPr>
                <w:p w14:paraId="1DC2BB65">
                  <w:pPr>
                    <w:pageBreakBefore w:val="0"/>
                    <w:kinsoku/>
                    <w:overflowPunct/>
                    <w:bidi w:val="0"/>
                    <w:snapToGrid w:val="0"/>
                    <w:spacing w:line="360" w:lineRule="auto"/>
                    <w:ind w:left="0" w:leftChars="0" w:right="0" w:righ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2210" w:type="dxa"/>
                  <w:noWrap w:val="0"/>
                  <w:vAlign w:val="center"/>
                </w:tcPr>
                <w:p w14:paraId="7F4734BA">
                  <w:pPr>
                    <w:pageBreakBefore w:val="0"/>
                    <w:kinsoku/>
                    <w:overflowPunct/>
                    <w:bidi w:val="0"/>
                    <w:snapToGrid w:val="0"/>
                    <w:spacing w:line="360" w:lineRule="auto"/>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1本</w:t>
                  </w:r>
                </w:p>
              </w:tc>
            </w:tr>
            <w:tr w14:paraId="0705C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vMerge w:val="continue"/>
                  <w:noWrap w:val="0"/>
                  <w:vAlign w:val="center"/>
                </w:tcPr>
                <w:p w14:paraId="70C89C00">
                  <w:pPr>
                    <w:pageBreakBefore w:val="0"/>
                    <w:kinsoku/>
                    <w:overflowPunct/>
                    <w:bidi w:val="0"/>
                    <w:snapToGrid w:val="0"/>
                    <w:spacing w:line="360" w:lineRule="auto"/>
                    <w:ind w:left="0" w:leftChars="0" w:right="0" w:rightChars="0" w:firstLine="0" w:firstLineChars="0"/>
                    <w:jc w:val="center"/>
                    <w:rPr>
                      <w:rFonts w:hint="eastAsia" w:ascii="宋体" w:hAnsi="宋体" w:eastAsia="宋体" w:cs="宋体"/>
                      <w:bCs/>
                      <w:sz w:val="21"/>
                      <w:szCs w:val="21"/>
                    </w:rPr>
                  </w:pPr>
                </w:p>
              </w:tc>
              <w:tc>
                <w:tcPr>
                  <w:tcW w:w="3072" w:type="dxa"/>
                  <w:noWrap w:val="0"/>
                  <w:vAlign w:val="center"/>
                </w:tcPr>
                <w:p w14:paraId="5C62D3C4">
                  <w:pPr>
                    <w:pageBreakBefore w:val="0"/>
                    <w:kinsoku/>
                    <w:overflowPunct/>
                    <w:bidi w:val="0"/>
                    <w:snapToGrid w:val="0"/>
                    <w:spacing w:line="360" w:lineRule="auto"/>
                    <w:ind w:left="0" w:leftChars="0" w:right="0" w:righ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样品瓶</w:t>
                  </w:r>
                </w:p>
              </w:tc>
              <w:tc>
                <w:tcPr>
                  <w:tcW w:w="2351" w:type="dxa"/>
                  <w:noWrap w:val="0"/>
                  <w:vAlign w:val="center"/>
                </w:tcPr>
                <w:p w14:paraId="70173A15">
                  <w:pPr>
                    <w:pageBreakBefore w:val="0"/>
                    <w:kinsoku/>
                    <w:overflowPunct/>
                    <w:bidi w:val="0"/>
                    <w:snapToGrid w:val="0"/>
                    <w:spacing w:line="360" w:lineRule="auto"/>
                    <w:ind w:left="0" w:leftChars="0" w:right="0" w:righ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与主匹配机      </w:t>
                  </w:r>
                </w:p>
              </w:tc>
              <w:tc>
                <w:tcPr>
                  <w:tcW w:w="2210" w:type="dxa"/>
                  <w:noWrap w:val="0"/>
                  <w:vAlign w:val="center"/>
                </w:tcPr>
                <w:p w14:paraId="1AA15512">
                  <w:pPr>
                    <w:pageBreakBefore w:val="0"/>
                    <w:kinsoku/>
                    <w:overflowPunct/>
                    <w:bidi w:val="0"/>
                    <w:snapToGrid w:val="0"/>
                    <w:spacing w:line="360" w:lineRule="auto"/>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≥3个</w:t>
                  </w:r>
                </w:p>
              </w:tc>
            </w:tr>
            <w:tr w14:paraId="738E4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vMerge w:val="continue"/>
                  <w:noWrap w:val="0"/>
                  <w:vAlign w:val="center"/>
                </w:tcPr>
                <w:p w14:paraId="6953858D">
                  <w:pPr>
                    <w:pageBreakBefore w:val="0"/>
                    <w:kinsoku/>
                    <w:overflowPunct/>
                    <w:bidi w:val="0"/>
                    <w:snapToGrid w:val="0"/>
                    <w:spacing w:line="360" w:lineRule="auto"/>
                    <w:ind w:left="0" w:leftChars="0" w:right="0" w:rightChars="0" w:firstLine="0" w:firstLineChars="0"/>
                    <w:jc w:val="center"/>
                    <w:rPr>
                      <w:rFonts w:hint="eastAsia" w:ascii="宋体" w:hAnsi="宋体" w:eastAsia="宋体" w:cs="宋体"/>
                      <w:bCs/>
                      <w:sz w:val="21"/>
                      <w:szCs w:val="21"/>
                    </w:rPr>
                  </w:pPr>
                </w:p>
              </w:tc>
              <w:tc>
                <w:tcPr>
                  <w:tcW w:w="3072" w:type="dxa"/>
                  <w:noWrap w:val="0"/>
                  <w:vAlign w:val="center"/>
                </w:tcPr>
                <w:p w14:paraId="3DE80B11">
                  <w:pPr>
                    <w:pageBreakBefore w:val="0"/>
                    <w:kinsoku/>
                    <w:overflowPunct/>
                    <w:bidi w:val="0"/>
                    <w:snapToGrid w:val="0"/>
                    <w:spacing w:line="360" w:lineRule="auto"/>
                    <w:ind w:left="0" w:leftChars="0" w:right="0" w:righ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打印纸</w:t>
                  </w:r>
                </w:p>
              </w:tc>
              <w:tc>
                <w:tcPr>
                  <w:tcW w:w="2351" w:type="dxa"/>
                  <w:noWrap w:val="0"/>
                  <w:vAlign w:val="center"/>
                </w:tcPr>
                <w:p w14:paraId="3E6D798B">
                  <w:pPr>
                    <w:pageBreakBefore w:val="0"/>
                    <w:kinsoku/>
                    <w:overflowPunct/>
                    <w:bidi w:val="0"/>
                    <w:snapToGrid w:val="0"/>
                    <w:spacing w:line="360" w:lineRule="auto"/>
                    <w:ind w:left="0" w:leftChars="0" w:right="0" w:righ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热敏打印纸</w:t>
                  </w:r>
                </w:p>
              </w:tc>
              <w:tc>
                <w:tcPr>
                  <w:tcW w:w="2210" w:type="dxa"/>
                  <w:noWrap w:val="0"/>
                  <w:vAlign w:val="center"/>
                </w:tcPr>
                <w:p w14:paraId="0F152DB6">
                  <w:pPr>
                    <w:pageBreakBefore w:val="0"/>
                    <w:kinsoku/>
                    <w:overflowPunct/>
                    <w:bidi w:val="0"/>
                    <w:snapToGrid w:val="0"/>
                    <w:spacing w:line="360" w:lineRule="auto"/>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1卷</w:t>
                  </w:r>
                </w:p>
              </w:tc>
            </w:tr>
            <w:tr w14:paraId="3C962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vMerge w:val="continue"/>
                  <w:noWrap w:val="0"/>
                  <w:vAlign w:val="center"/>
                </w:tcPr>
                <w:p w14:paraId="28DFA93D">
                  <w:pPr>
                    <w:pageBreakBefore w:val="0"/>
                    <w:kinsoku/>
                    <w:overflowPunct/>
                    <w:bidi w:val="0"/>
                    <w:snapToGrid w:val="0"/>
                    <w:spacing w:line="360" w:lineRule="auto"/>
                    <w:ind w:left="0" w:leftChars="0" w:right="0" w:rightChars="0" w:firstLine="0" w:firstLineChars="0"/>
                    <w:jc w:val="center"/>
                    <w:rPr>
                      <w:rFonts w:hint="eastAsia" w:ascii="宋体" w:hAnsi="宋体" w:eastAsia="宋体" w:cs="宋体"/>
                      <w:bCs/>
                      <w:sz w:val="21"/>
                      <w:szCs w:val="21"/>
                    </w:rPr>
                  </w:pPr>
                </w:p>
              </w:tc>
              <w:tc>
                <w:tcPr>
                  <w:tcW w:w="3072" w:type="dxa"/>
                  <w:noWrap w:val="0"/>
                  <w:vAlign w:val="center"/>
                </w:tcPr>
                <w:p w14:paraId="327FA984">
                  <w:pPr>
                    <w:pageBreakBefore w:val="0"/>
                    <w:kinsoku/>
                    <w:overflowPunct/>
                    <w:bidi w:val="0"/>
                    <w:snapToGrid w:val="0"/>
                    <w:spacing w:line="360" w:lineRule="auto"/>
                    <w:ind w:left="0" w:leftChars="0" w:right="0" w:righ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触屏笔</w:t>
                  </w:r>
                </w:p>
              </w:tc>
              <w:tc>
                <w:tcPr>
                  <w:tcW w:w="2351" w:type="dxa"/>
                  <w:noWrap w:val="0"/>
                  <w:vAlign w:val="center"/>
                </w:tcPr>
                <w:p w14:paraId="041599E2">
                  <w:pPr>
                    <w:pageBreakBefore w:val="0"/>
                    <w:kinsoku/>
                    <w:overflowPunct/>
                    <w:bidi w:val="0"/>
                    <w:snapToGrid w:val="0"/>
                    <w:spacing w:line="360" w:lineRule="auto"/>
                    <w:ind w:left="0" w:leftChars="0" w:right="0" w:righ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适用时</w:t>
                  </w:r>
                </w:p>
              </w:tc>
              <w:tc>
                <w:tcPr>
                  <w:tcW w:w="2210" w:type="dxa"/>
                  <w:noWrap w:val="0"/>
                  <w:vAlign w:val="center"/>
                </w:tcPr>
                <w:p w14:paraId="4AA0ED47">
                  <w:pPr>
                    <w:pageBreakBefore w:val="0"/>
                    <w:kinsoku/>
                    <w:overflowPunct/>
                    <w:bidi w:val="0"/>
                    <w:snapToGrid w:val="0"/>
                    <w:spacing w:line="360" w:lineRule="auto"/>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1支</w:t>
                  </w:r>
                </w:p>
              </w:tc>
            </w:tr>
          </w:tbl>
          <w:p w14:paraId="040079F3">
            <w:pPr>
              <w:pageBreakBefore w:val="0"/>
              <w:numPr>
                <w:ilvl w:val="0"/>
                <w:numId w:val="0"/>
              </w:numPr>
              <w:kinsoku/>
              <w:overflowPunct/>
              <w:bidi w:val="0"/>
              <w:spacing w:line="360" w:lineRule="auto"/>
              <w:ind w:left="425" w:leftChars="0" w:hanging="425" w:firstLineChars="0"/>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2.技术参数：</w:t>
            </w:r>
          </w:p>
          <w:p w14:paraId="30610C1A">
            <w:pPr>
              <w:pageBreakBefore w:val="0"/>
              <w:widowControl w:val="0"/>
              <w:numPr>
                <w:ilvl w:val="1"/>
                <w:numId w:val="0"/>
              </w:numPr>
              <w:kinsoku/>
              <w:overflowPunct/>
              <w:bidi w:val="0"/>
              <w:spacing w:line="360" w:lineRule="auto"/>
              <w:ind w:left="567" w:leftChars="0" w:hanging="567" w:firstLineChars="0"/>
              <w:jc w:val="both"/>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2.1.</w:t>
            </w:r>
            <w:r>
              <w:rPr>
                <w:rFonts w:hint="eastAsia" w:ascii="宋体" w:hAnsi="宋体" w:eastAsia="宋体" w:cs="宋体"/>
                <w:sz w:val="21"/>
                <w:szCs w:val="21"/>
                <w:lang w:val="en-US" w:eastAsia="zh-CN"/>
              </w:rPr>
              <w:t xml:space="preserve">测量项目：叶绿素 </w:t>
            </w:r>
          </w:p>
          <w:p w14:paraId="70FD693B">
            <w:pPr>
              <w:pageBreakBefore w:val="0"/>
              <w:widowControl w:val="0"/>
              <w:numPr>
                <w:ilvl w:val="1"/>
                <w:numId w:val="0"/>
              </w:numPr>
              <w:kinsoku/>
              <w:overflowPunct/>
              <w:bidi w:val="0"/>
              <w:spacing w:line="360" w:lineRule="auto"/>
              <w:ind w:left="567" w:leftChars="0" w:hanging="567" w:firstLineChars="0"/>
              <w:jc w:val="both"/>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2.2.</w:t>
            </w:r>
            <w:r>
              <w:rPr>
                <w:rFonts w:hint="eastAsia" w:ascii="宋体" w:hAnsi="宋体" w:eastAsia="宋体" w:cs="宋体"/>
                <w:sz w:val="21"/>
                <w:szCs w:val="21"/>
                <w:lang w:val="en-US" w:eastAsia="zh-CN"/>
              </w:rPr>
              <w:t>测量范围：叶绿素（0.01-500</w:t>
            </w:r>
            <w:r>
              <w:rPr>
                <w:rFonts w:hint="eastAsia" w:ascii="宋体" w:hAnsi="宋体" w:eastAsia="宋体" w:cs="宋体"/>
                <w:color w:val="000000" w:themeColor="text1"/>
                <w:sz w:val="21"/>
                <w:szCs w:val="21"/>
                <w:lang w:val="en-US" w:eastAsia="zh-CN"/>
                <w14:textFill>
                  <w14:solidFill>
                    <w14:schemeClr w14:val="tx1"/>
                  </w14:solidFill>
                </w14:textFill>
              </w:rPr>
              <w:t>μg/L</w:t>
            </w:r>
            <w:r>
              <w:rPr>
                <w:rFonts w:hint="eastAsia" w:ascii="宋体" w:hAnsi="宋体" w:eastAsia="宋体" w:cs="宋体"/>
                <w:sz w:val="21"/>
                <w:szCs w:val="21"/>
                <w:lang w:val="en-US" w:eastAsia="zh-CN"/>
              </w:rPr>
              <w:t>）</w:t>
            </w:r>
          </w:p>
          <w:p w14:paraId="155CA676">
            <w:pPr>
              <w:pageBreakBefore w:val="0"/>
              <w:widowControl w:val="0"/>
              <w:numPr>
                <w:ilvl w:val="1"/>
                <w:numId w:val="0"/>
              </w:numPr>
              <w:kinsoku/>
              <w:overflowPunct/>
              <w:bidi w:val="0"/>
              <w:spacing w:line="360" w:lineRule="auto"/>
              <w:ind w:left="567" w:leftChars="0" w:hanging="567" w:firstLineChars="0"/>
              <w:jc w:val="both"/>
              <w:rPr>
                <w:rFonts w:hint="eastAsia" w:ascii="宋体" w:hAnsi="宋体" w:eastAsia="宋体" w:cs="宋体"/>
                <w:sz w:val="21"/>
                <w:szCs w:val="21"/>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kern w:val="2"/>
                <w:sz w:val="21"/>
                <w:szCs w:val="21"/>
                <w:lang w:val="en-US" w:eastAsia="zh-CN" w:bidi="ar-SA"/>
              </w:rPr>
              <w:t>2.3.</w:t>
            </w:r>
            <w:r>
              <w:rPr>
                <w:rFonts w:hint="eastAsia" w:ascii="宋体" w:hAnsi="宋体" w:eastAsia="宋体" w:cs="宋体"/>
                <w:sz w:val="21"/>
                <w:szCs w:val="21"/>
                <w:lang w:val="en-US" w:eastAsia="zh-CN"/>
              </w:rPr>
              <w:t>检测准确度：≤5%，线性度R²≥0.999</w:t>
            </w:r>
          </w:p>
          <w:p w14:paraId="618FEE8A">
            <w:pPr>
              <w:pageBreakBefore w:val="0"/>
              <w:widowControl w:val="0"/>
              <w:numPr>
                <w:ilvl w:val="1"/>
                <w:numId w:val="0"/>
              </w:numPr>
              <w:kinsoku/>
              <w:overflowPunct/>
              <w:bidi w:val="0"/>
              <w:spacing w:line="360" w:lineRule="auto"/>
              <w:ind w:left="567" w:leftChars="0" w:hanging="567" w:firstLineChars="0"/>
              <w:jc w:val="both"/>
              <w:rPr>
                <w:rFonts w:hint="eastAsia" w:ascii="宋体" w:hAnsi="宋体" w:eastAsia="宋体" w:cs="宋体"/>
                <w:sz w:val="21"/>
                <w:szCs w:val="21"/>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kern w:val="2"/>
                <w:sz w:val="21"/>
                <w:szCs w:val="21"/>
                <w:lang w:val="en-US" w:eastAsia="zh-CN" w:bidi="ar-SA"/>
              </w:rPr>
              <w:t>2.4.</w:t>
            </w:r>
            <w:r>
              <w:rPr>
                <w:rFonts w:hint="eastAsia" w:ascii="宋体" w:hAnsi="宋体" w:eastAsia="宋体" w:cs="宋体"/>
                <w:b w:val="0"/>
                <w:bCs w:val="0"/>
                <w:color w:val="000000" w:themeColor="text1"/>
                <w:sz w:val="21"/>
                <w:szCs w:val="21"/>
                <w:lang w:val="en-US" w:eastAsia="zh-CN"/>
                <w14:textFill>
                  <w14:solidFill>
                    <w14:schemeClr w14:val="tx1"/>
                  </w14:solidFill>
                </w14:textFill>
              </w:rPr>
              <w:t>分辨率：</w:t>
            </w:r>
            <w:r>
              <w:rPr>
                <w:rFonts w:hint="eastAsia" w:ascii="宋体" w:hAnsi="宋体" w:eastAsia="宋体" w:cs="宋体"/>
                <w:color w:val="000000" w:themeColor="text1"/>
                <w:sz w:val="21"/>
                <w:szCs w:val="21"/>
                <w:lang w:val="en-US" w:eastAsia="zh-CN"/>
                <w14:textFill>
                  <w14:solidFill>
                    <w14:schemeClr w14:val="tx1"/>
                  </w14:solidFill>
                </w14:textFill>
              </w:rPr>
              <w:t>叶绿素：0.01μg/L</w:t>
            </w:r>
          </w:p>
          <w:p w14:paraId="5BBA2E3E">
            <w:pPr>
              <w:pageBreakBefore w:val="0"/>
              <w:widowControl w:val="0"/>
              <w:numPr>
                <w:ilvl w:val="1"/>
                <w:numId w:val="0"/>
              </w:numPr>
              <w:kinsoku/>
              <w:overflowPunct/>
              <w:bidi w:val="0"/>
              <w:spacing w:line="360" w:lineRule="auto"/>
              <w:ind w:left="567" w:leftChars="0" w:hanging="567" w:firstLineChars="0"/>
              <w:jc w:val="both"/>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2.5.</w:t>
            </w:r>
            <w:r>
              <w:rPr>
                <w:rFonts w:hint="eastAsia" w:ascii="宋体" w:hAnsi="宋体" w:eastAsia="宋体" w:cs="宋体"/>
                <w:sz w:val="21"/>
                <w:szCs w:val="21"/>
                <w:lang w:val="en-US" w:eastAsia="zh-CN"/>
              </w:rPr>
              <w:t xml:space="preserve">测量时间: ≤20秒 </w:t>
            </w:r>
          </w:p>
          <w:p w14:paraId="7D019B8C">
            <w:pPr>
              <w:pageBreakBefore w:val="0"/>
              <w:widowControl w:val="0"/>
              <w:numPr>
                <w:ilvl w:val="1"/>
                <w:numId w:val="0"/>
              </w:numPr>
              <w:kinsoku/>
              <w:overflowPunct/>
              <w:bidi w:val="0"/>
              <w:spacing w:line="360" w:lineRule="auto"/>
              <w:ind w:left="567" w:leftChars="0" w:hanging="567" w:firstLineChars="0"/>
              <w:jc w:val="both"/>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2.6.</w:t>
            </w:r>
            <w:r>
              <w:rPr>
                <w:rFonts w:hint="eastAsia" w:ascii="宋体" w:hAnsi="宋体" w:eastAsia="宋体" w:cs="宋体"/>
                <w:sz w:val="21"/>
                <w:szCs w:val="21"/>
                <w:lang w:val="en-US" w:eastAsia="zh-CN"/>
              </w:rPr>
              <w:t>屏幕显示：≥</w:t>
            </w:r>
            <w:r>
              <w:rPr>
                <w:rFonts w:hint="eastAsia" w:ascii="宋体" w:hAnsi="宋体" w:eastAsia="宋体" w:cs="宋体"/>
                <w:color w:val="000000" w:themeColor="text1"/>
                <w:sz w:val="21"/>
                <w:szCs w:val="21"/>
                <w:lang w:val="en-US" w:eastAsia="zh-CN"/>
                <w14:textFill>
                  <w14:solidFill>
                    <w14:schemeClr w14:val="tx1"/>
                  </w14:solidFill>
                </w14:textFill>
              </w:rPr>
              <w:t>6英寸高清触摸显示屏</w:t>
            </w:r>
          </w:p>
          <w:p w14:paraId="69CEFE83">
            <w:pPr>
              <w:pageBreakBefore w:val="0"/>
              <w:widowControl w:val="0"/>
              <w:numPr>
                <w:ilvl w:val="1"/>
                <w:numId w:val="0"/>
              </w:numPr>
              <w:kinsoku/>
              <w:overflowPunct/>
              <w:bidi w:val="0"/>
              <w:spacing w:line="360" w:lineRule="auto"/>
              <w:ind w:left="567" w:leftChars="0" w:hanging="567" w:firstLineChars="0"/>
              <w:jc w:val="both"/>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2.7.</w:t>
            </w:r>
            <w:r>
              <w:rPr>
                <w:rFonts w:hint="eastAsia" w:ascii="宋体" w:hAnsi="宋体" w:eastAsia="宋体" w:cs="宋体"/>
                <w:b w:val="0"/>
                <w:bCs w:val="0"/>
                <w:sz w:val="21"/>
                <w:szCs w:val="21"/>
                <w:lang w:val="en-US" w:eastAsia="zh-CN"/>
              </w:rPr>
              <w:t>操作界面：全中文显示</w:t>
            </w:r>
          </w:p>
          <w:p w14:paraId="19E395C5">
            <w:pPr>
              <w:pageBreakBefore w:val="0"/>
              <w:widowControl w:val="0"/>
              <w:numPr>
                <w:ilvl w:val="1"/>
                <w:numId w:val="0"/>
              </w:numPr>
              <w:kinsoku/>
              <w:overflowPunct/>
              <w:bidi w:val="0"/>
              <w:spacing w:line="360" w:lineRule="auto"/>
              <w:ind w:left="567" w:leftChars="0" w:hanging="567" w:firstLineChars="0"/>
              <w:jc w:val="both"/>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2.8.</w:t>
            </w:r>
            <w:r>
              <w:rPr>
                <w:rFonts w:hint="eastAsia" w:ascii="宋体" w:hAnsi="宋体" w:eastAsia="宋体" w:cs="宋体"/>
                <w:sz w:val="21"/>
                <w:szCs w:val="21"/>
                <w:lang w:val="en-US" w:eastAsia="zh-CN"/>
              </w:rPr>
              <w:t>具有指示灯带；</w:t>
            </w:r>
          </w:p>
          <w:p w14:paraId="13245072">
            <w:pPr>
              <w:pageBreakBefore w:val="0"/>
              <w:widowControl w:val="0"/>
              <w:numPr>
                <w:ilvl w:val="1"/>
                <w:numId w:val="0"/>
              </w:numPr>
              <w:kinsoku/>
              <w:overflowPunct/>
              <w:bidi w:val="0"/>
              <w:spacing w:line="360" w:lineRule="auto"/>
              <w:ind w:left="567" w:leftChars="0" w:hanging="567" w:firstLineChars="0"/>
              <w:jc w:val="both"/>
              <w:rPr>
                <w:rFonts w:hint="eastAsia" w:ascii="宋体" w:hAnsi="宋体" w:eastAsia="宋体" w:cs="宋体"/>
                <w:sz w:val="21"/>
                <w:szCs w:val="21"/>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kern w:val="2"/>
                <w:sz w:val="21"/>
                <w:szCs w:val="21"/>
                <w:lang w:val="en-US" w:eastAsia="zh-CN" w:bidi="ar-SA"/>
              </w:rPr>
              <w:t>2.9.</w:t>
            </w:r>
            <w:r>
              <w:rPr>
                <w:rFonts w:hint="eastAsia" w:ascii="宋体" w:hAnsi="宋体" w:eastAsia="宋体" w:cs="宋体"/>
                <w:sz w:val="21"/>
                <w:szCs w:val="21"/>
                <w:lang w:val="en-US" w:eastAsia="zh-CN"/>
              </w:rPr>
              <w:t>检测器：荧光检测器</w:t>
            </w:r>
          </w:p>
          <w:p w14:paraId="0FFDE5B5">
            <w:pPr>
              <w:pageBreakBefore w:val="0"/>
              <w:widowControl w:val="0"/>
              <w:numPr>
                <w:ilvl w:val="1"/>
                <w:numId w:val="0"/>
              </w:numPr>
              <w:kinsoku/>
              <w:overflowPunct/>
              <w:bidi w:val="0"/>
              <w:spacing w:line="360" w:lineRule="auto"/>
              <w:ind w:left="567" w:leftChars="0" w:hanging="567" w:firstLineChars="0"/>
              <w:jc w:val="both"/>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2.10.</w:t>
            </w:r>
            <w:r>
              <w:rPr>
                <w:rFonts w:hint="eastAsia" w:ascii="宋体" w:hAnsi="宋体" w:eastAsia="宋体" w:cs="宋体"/>
                <w:sz w:val="21"/>
                <w:szCs w:val="21"/>
                <w:lang w:val="en-US" w:eastAsia="zh-CN"/>
              </w:rPr>
              <w:t>样品管：专用10mm或≤50m的方型测试管，</w:t>
            </w:r>
            <w:r>
              <w:rPr>
                <w:rFonts w:hint="eastAsia" w:ascii="宋体" w:hAnsi="宋体" w:eastAsia="宋体" w:cs="宋体"/>
                <w:b w:val="0"/>
                <w:bCs w:val="0"/>
                <w:sz w:val="21"/>
                <w:szCs w:val="21"/>
              </w:rPr>
              <w:t>无样品管</w:t>
            </w:r>
            <w:r>
              <w:rPr>
                <w:rFonts w:hint="eastAsia" w:ascii="宋体" w:hAnsi="宋体" w:eastAsia="宋体" w:cs="宋体"/>
                <w:b w:val="0"/>
                <w:bCs w:val="0"/>
                <w:sz w:val="21"/>
                <w:szCs w:val="21"/>
                <w:lang w:val="en-US" w:eastAsia="zh-CN"/>
              </w:rPr>
              <w:t>的仪器应配样品杯+</w:t>
            </w:r>
            <w:r>
              <w:rPr>
                <w:rFonts w:hint="eastAsia" w:ascii="宋体" w:hAnsi="宋体" w:eastAsia="宋体" w:cs="宋体"/>
                <w:b w:val="0"/>
                <w:bCs w:val="0"/>
                <w:sz w:val="21"/>
                <w:szCs w:val="21"/>
              </w:rPr>
              <w:t>浸入式荧光传感器</w:t>
            </w:r>
            <w:r>
              <w:rPr>
                <w:rFonts w:hint="eastAsia" w:ascii="宋体" w:hAnsi="宋体" w:eastAsia="宋体" w:cs="宋体"/>
                <w:b w:val="0"/>
                <w:bCs w:val="0"/>
                <w:sz w:val="21"/>
                <w:szCs w:val="21"/>
                <w:lang w:val="en-US" w:eastAsia="zh-CN"/>
              </w:rPr>
              <w:t>或</w:t>
            </w:r>
            <w:r>
              <w:rPr>
                <w:rFonts w:hint="eastAsia" w:ascii="宋体" w:hAnsi="宋体" w:eastAsia="宋体" w:cs="宋体"/>
                <w:sz w:val="21"/>
                <w:szCs w:val="21"/>
              </w:rPr>
              <w:t>浸入式数字电极</w:t>
            </w:r>
          </w:p>
          <w:p w14:paraId="043A9120">
            <w:pPr>
              <w:pageBreakBefore w:val="0"/>
              <w:widowControl w:val="0"/>
              <w:numPr>
                <w:ilvl w:val="1"/>
                <w:numId w:val="0"/>
              </w:numPr>
              <w:kinsoku/>
              <w:overflowPunct/>
              <w:bidi w:val="0"/>
              <w:spacing w:line="360" w:lineRule="auto"/>
              <w:ind w:left="567" w:leftChars="0" w:hanging="567" w:firstLineChars="0"/>
              <w:jc w:val="both"/>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2.11.</w:t>
            </w:r>
            <w:r>
              <w:rPr>
                <w:rFonts w:hint="eastAsia" w:ascii="宋体" w:hAnsi="宋体" w:eastAsia="宋体" w:cs="宋体"/>
                <w:b w:val="0"/>
                <w:bCs w:val="0"/>
                <w:sz w:val="21"/>
                <w:szCs w:val="21"/>
                <w:lang w:val="en-US" w:eastAsia="zh-CN"/>
              </w:rPr>
              <w:t>仪器内置倒计时模块，检测过程中可根据实际需要随时调整倒计时的时长</w:t>
            </w:r>
          </w:p>
          <w:p w14:paraId="2672FBB4">
            <w:pPr>
              <w:pageBreakBefore w:val="0"/>
              <w:widowControl w:val="0"/>
              <w:numPr>
                <w:ilvl w:val="1"/>
                <w:numId w:val="0"/>
              </w:numPr>
              <w:kinsoku/>
              <w:overflowPunct/>
              <w:bidi w:val="0"/>
              <w:spacing w:line="360" w:lineRule="auto"/>
              <w:ind w:left="567" w:leftChars="0" w:hanging="567" w:firstLineChars="0"/>
              <w:jc w:val="both"/>
              <w:rPr>
                <w:rFonts w:hint="eastAsia" w:ascii="宋体" w:hAnsi="宋体" w:eastAsia="宋体" w:cs="宋体"/>
                <w:sz w:val="21"/>
                <w:szCs w:val="21"/>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kern w:val="2"/>
                <w:sz w:val="21"/>
                <w:szCs w:val="21"/>
                <w:lang w:val="en-US" w:eastAsia="zh-CN" w:bidi="ar-SA"/>
              </w:rPr>
              <w:t>2.12.</w:t>
            </w:r>
            <w:r>
              <w:rPr>
                <w:rFonts w:hint="eastAsia" w:ascii="宋体" w:hAnsi="宋体" w:eastAsia="宋体" w:cs="宋体"/>
                <w:sz w:val="21"/>
                <w:szCs w:val="21"/>
                <w:lang w:val="en-US" w:eastAsia="zh-CN"/>
              </w:rPr>
              <w:t>打印：内置热敏打印机</w:t>
            </w:r>
          </w:p>
          <w:p w14:paraId="1E74A2A0">
            <w:pPr>
              <w:pageBreakBefore w:val="0"/>
              <w:widowControl w:val="0"/>
              <w:numPr>
                <w:ilvl w:val="1"/>
                <w:numId w:val="0"/>
              </w:numPr>
              <w:kinsoku/>
              <w:overflowPunct/>
              <w:bidi w:val="0"/>
              <w:spacing w:line="360" w:lineRule="auto"/>
              <w:ind w:left="567" w:leftChars="0" w:hanging="567"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kern w:val="2"/>
                <w:sz w:val="21"/>
                <w:szCs w:val="21"/>
                <w:lang w:val="en-US" w:eastAsia="zh-CN" w:bidi="ar-SA"/>
              </w:rPr>
              <w:t>2.13.</w:t>
            </w:r>
            <w:r>
              <w:rPr>
                <w:rFonts w:hint="eastAsia" w:ascii="宋体" w:hAnsi="宋体" w:eastAsia="宋体" w:cs="宋体"/>
                <w:color w:val="auto"/>
                <w:sz w:val="21"/>
                <w:szCs w:val="21"/>
                <w:lang w:val="en-US" w:eastAsia="zh-CN"/>
              </w:rPr>
              <w:t>存储：≥50万组数据，可实时查看</w:t>
            </w:r>
          </w:p>
          <w:p w14:paraId="1937132C">
            <w:pPr>
              <w:pageBreakBefore w:val="0"/>
              <w:widowControl w:val="0"/>
              <w:numPr>
                <w:ilvl w:val="1"/>
                <w:numId w:val="0"/>
              </w:numPr>
              <w:kinsoku/>
              <w:overflowPunct/>
              <w:bidi w:val="0"/>
              <w:spacing w:line="360" w:lineRule="auto"/>
              <w:ind w:left="567" w:leftChars="0" w:hanging="567" w:firstLineChars="0"/>
              <w:jc w:val="left"/>
              <w:rPr>
                <w:rFonts w:hint="eastAsia" w:ascii="宋体" w:hAnsi="宋体" w:eastAsia="宋体" w:cs="宋体"/>
                <w:color w:val="auto"/>
                <w:sz w:val="21"/>
                <w:szCs w:val="21"/>
                <w:lang w:val="en-US" w:eastAsia="zh-CN"/>
              </w:rPr>
            </w:pPr>
            <w:r>
              <w:rPr>
                <w:rFonts w:hint="eastAsia" w:ascii="宋体" w:hAnsi="宋体" w:eastAsia="宋体" w:cs="宋体"/>
                <w:color w:val="auto"/>
                <w:kern w:val="2"/>
                <w:sz w:val="21"/>
                <w:szCs w:val="21"/>
                <w:lang w:val="en-US" w:eastAsia="zh-CN" w:bidi="ar-SA"/>
              </w:rPr>
              <w:t>2.14.</w:t>
            </w:r>
            <w:r>
              <w:rPr>
                <w:rFonts w:hint="eastAsia" w:ascii="宋体" w:hAnsi="宋体" w:eastAsia="宋体" w:cs="宋体"/>
                <w:color w:val="auto"/>
                <w:sz w:val="21"/>
                <w:szCs w:val="21"/>
                <w:lang w:val="en-US" w:eastAsia="zh-CN"/>
              </w:rPr>
              <w:t>使用环境：</w:t>
            </w:r>
            <w:r>
              <w:rPr>
                <w:rFonts w:hint="eastAsia" w:ascii="宋体" w:hAnsi="宋体" w:eastAsia="宋体" w:cs="宋体"/>
                <w:b w:val="0"/>
                <w:bCs w:val="0"/>
                <w:color w:val="000000"/>
                <w:sz w:val="21"/>
                <w:szCs w:val="21"/>
                <w:lang w:val="en-US" w:eastAsia="zh-CN"/>
              </w:rPr>
              <w:t>温度:（5-40）℃，湿度：相对湿度≤85%RH（无冷凝）</w:t>
            </w:r>
          </w:p>
          <w:p w14:paraId="3788E368">
            <w:pPr>
              <w:pageBreakBefore w:val="0"/>
              <w:widowControl w:val="0"/>
              <w:numPr>
                <w:ilvl w:val="1"/>
                <w:numId w:val="0"/>
              </w:numPr>
              <w:kinsoku/>
              <w:overflowPunct/>
              <w:bidi w:val="0"/>
              <w:spacing w:line="360" w:lineRule="auto"/>
              <w:ind w:left="567" w:leftChars="0" w:hanging="567" w:firstLineChars="0"/>
              <w:jc w:val="left"/>
              <w:rPr>
                <w:rFonts w:hint="eastAsia" w:ascii="宋体" w:hAnsi="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color w:val="auto"/>
                <w:kern w:val="2"/>
                <w:sz w:val="21"/>
                <w:szCs w:val="21"/>
                <w:lang w:val="en-US" w:eastAsia="zh-CN" w:bidi="ar-SA"/>
              </w:rPr>
              <w:t>2.15.</w:t>
            </w:r>
            <w:r>
              <w:rPr>
                <w:rFonts w:hint="eastAsia" w:ascii="宋体" w:hAnsi="宋体" w:eastAsia="宋体" w:cs="宋体"/>
                <w:sz w:val="21"/>
                <w:szCs w:val="21"/>
                <w:lang w:val="en-US" w:eastAsia="zh-CN"/>
              </w:rPr>
              <w:t>具有数据合理性判断功能，用户可自设检测限值，超过限值会出现红色提示，若在设定限值内则显示绿色.</w:t>
            </w:r>
          </w:p>
        </w:tc>
      </w:tr>
      <w:tr w14:paraId="749B5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14:paraId="4C73EF2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vertAlign w:val="baseline"/>
                <w:lang w:val="en-US" w:eastAsia="zh-CN" w:bidi="ar-SA"/>
                <w14:textFill>
                  <w14:solidFill>
                    <w14:schemeClr w14:val="tx1"/>
                  </w14:solidFill>
                </w14:textFill>
              </w:rPr>
              <w:t>10</w:t>
            </w:r>
          </w:p>
        </w:tc>
        <w:tc>
          <w:tcPr>
            <w:tcW w:w="2050" w:type="dxa"/>
            <w:vAlign w:val="center"/>
          </w:tcPr>
          <w:p w14:paraId="0258178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vertAlign w:val="baseline"/>
                <w:lang w:val="en-US" w:eastAsia="zh-CN" w:bidi="ar-SA"/>
                <w14:textFill>
                  <w14:solidFill>
                    <w14:schemeClr w14:val="tx1"/>
                  </w14:solidFill>
                </w14:textFill>
              </w:rPr>
              <w:t>手持叶绿素荧光测定仪</w:t>
            </w:r>
          </w:p>
        </w:tc>
        <w:tc>
          <w:tcPr>
            <w:tcW w:w="10625" w:type="dxa"/>
            <w:vAlign w:val="center"/>
          </w:tcPr>
          <w:p w14:paraId="6ED44F91">
            <w:pPr>
              <w:pStyle w:val="5"/>
              <w:keepNext w:val="0"/>
              <w:keepLines w:val="0"/>
              <w:pageBreakBefore w:val="0"/>
              <w:widowControl w:val="0"/>
              <w:numPr>
                <w:ilvl w:val="0"/>
                <w:numId w:val="0"/>
              </w:numPr>
              <w:kinsoku/>
              <w:wordWrap/>
              <w:overflowPunct/>
              <w:topLinePunct w:val="0"/>
              <w:bidi w:val="0"/>
              <w:adjustRightInd w:val="0"/>
              <w:snapToGrid w:val="0"/>
              <w:spacing w:line="360" w:lineRule="auto"/>
              <w:ind w:left="425" w:leftChars="0" w:hanging="425" w:firstLineChars="0"/>
              <w:textAlignment w:val="auto"/>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SA"/>
              </w:rPr>
              <w:t>1.</w:t>
            </w:r>
            <w:r>
              <w:rPr>
                <w:rFonts w:hint="eastAsia" w:ascii="宋体" w:hAnsi="宋体" w:eastAsia="宋体" w:cs="宋体"/>
                <w:b/>
                <w:bCs/>
                <w:sz w:val="21"/>
                <w:szCs w:val="21"/>
              </w:rPr>
              <w:t>主机配置及配件</w:t>
            </w:r>
          </w:p>
          <w:p w14:paraId="6386B778">
            <w:pPr>
              <w:keepNext w:val="0"/>
              <w:keepLines w:val="0"/>
              <w:pageBreakBefore w:val="0"/>
              <w:widowControl w:val="0"/>
              <w:tabs>
                <w:tab w:val="left" w:pos="3000"/>
              </w:tabs>
              <w:kinsoku/>
              <w:wordWrap/>
              <w:overflowPunct/>
              <w:topLinePunct w:val="0"/>
              <w:autoSpaceDE/>
              <w:autoSpaceDN/>
              <w:bidi w:val="0"/>
              <w:adjustRightInd/>
              <w:snapToGrid/>
              <w:spacing w:line="360" w:lineRule="auto"/>
              <w:ind w:firstLine="422" w:firstLineChars="200"/>
              <w:textAlignment w:val="auto"/>
              <w:outlineLvl w:val="3"/>
              <w:rPr>
                <w:rFonts w:hint="eastAsia" w:ascii="宋体" w:hAnsi="宋体" w:eastAsia="宋体" w:cs="宋体"/>
                <w:sz w:val="21"/>
                <w:szCs w:val="21"/>
              </w:rPr>
            </w:pPr>
            <w:r>
              <w:rPr>
                <w:rFonts w:hint="eastAsia" w:ascii="宋体" w:hAnsi="宋体" w:eastAsia="宋体" w:cs="宋体"/>
                <w:b/>
                <w:color w:val="auto"/>
                <w:sz w:val="21"/>
                <w:szCs w:val="21"/>
                <w:highlight w:val="none"/>
                <w:lang w:val="en-US" w:eastAsia="zh-CN"/>
              </w:rPr>
              <w:t>（采购数量按招标清单为准，这里只表示每台采购设备应配置的备件或耗材数量）</w:t>
            </w:r>
          </w:p>
          <w:tbl>
            <w:tblPr>
              <w:tblStyle w:val="23"/>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3223"/>
              <w:gridCol w:w="2200"/>
              <w:gridCol w:w="2210"/>
            </w:tblGrid>
            <w:tr w14:paraId="6963F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86" w:type="dxa"/>
                  <w:noWrap w:val="0"/>
                  <w:vAlign w:val="center"/>
                </w:tcPr>
                <w:p w14:paraId="1D1896C6">
                  <w:pPr>
                    <w:keepNext w:val="0"/>
                    <w:keepLines w:val="0"/>
                    <w:pageBreakBefore w:val="0"/>
                    <w:widowControl w:val="0"/>
                    <w:kinsoku/>
                    <w:wordWrap/>
                    <w:overflowPunct/>
                    <w:topLinePunct w:val="0"/>
                    <w:bidi w:val="0"/>
                    <w:snapToGrid w:val="0"/>
                    <w:spacing w:line="360" w:lineRule="auto"/>
                    <w:ind w:left="0" w:leftChars="0" w:right="0" w:rightChars="0" w:firstLine="0" w:firstLineChars="0"/>
                    <w:jc w:val="center"/>
                    <w:textAlignment w:val="auto"/>
                    <w:rPr>
                      <w:rFonts w:hint="eastAsia" w:ascii="宋体" w:hAnsi="宋体" w:eastAsia="宋体" w:cs="宋体"/>
                      <w:b/>
                      <w:bCs/>
                      <w:sz w:val="21"/>
                      <w:szCs w:val="21"/>
                    </w:rPr>
                  </w:pPr>
                </w:p>
              </w:tc>
              <w:tc>
                <w:tcPr>
                  <w:tcW w:w="3223" w:type="dxa"/>
                  <w:noWrap w:val="0"/>
                  <w:vAlign w:val="center"/>
                </w:tcPr>
                <w:p w14:paraId="2CCEDF18">
                  <w:pPr>
                    <w:keepNext w:val="0"/>
                    <w:keepLines w:val="0"/>
                    <w:pageBreakBefore w:val="0"/>
                    <w:widowControl w:val="0"/>
                    <w:kinsoku/>
                    <w:wordWrap/>
                    <w:overflowPunct/>
                    <w:topLinePunct w:val="0"/>
                    <w:bidi w:val="0"/>
                    <w:snapToGrid w:val="0"/>
                    <w:spacing w:line="360" w:lineRule="auto"/>
                    <w:ind w:left="0" w:leftChars="0" w:right="0" w:rightChars="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名称</w:t>
                  </w:r>
                </w:p>
              </w:tc>
              <w:tc>
                <w:tcPr>
                  <w:tcW w:w="2200" w:type="dxa"/>
                  <w:noWrap w:val="0"/>
                  <w:vAlign w:val="center"/>
                </w:tcPr>
                <w:p w14:paraId="568F3F4C">
                  <w:pPr>
                    <w:keepNext w:val="0"/>
                    <w:keepLines w:val="0"/>
                    <w:pageBreakBefore w:val="0"/>
                    <w:widowControl w:val="0"/>
                    <w:kinsoku/>
                    <w:wordWrap/>
                    <w:overflowPunct/>
                    <w:topLinePunct w:val="0"/>
                    <w:bidi w:val="0"/>
                    <w:snapToGrid w:val="0"/>
                    <w:spacing w:line="360" w:lineRule="auto"/>
                    <w:ind w:left="0" w:leftChars="0" w:right="0" w:rightChars="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说明</w:t>
                  </w:r>
                </w:p>
              </w:tc>
              <w:tc>
                <w:tcPr>
                  <w:tcW w:w="2210" w:type="dxa"/>
                  <w:noWrap w:val="0"/>
                  <w:vAlign w:val="center"/>
                </w:tcPr>
                <w:p w14:paraId="687BA195">
                  <w:pPr>
                    <w:keepNext w:val="0"/>
                    <w:keepLines w:val="0"/>
                    <w:pageBreakBefore w:val="0"/>
                    <w:widowControl w:val="0"/>
                    <w:kinsoku/>
                    <w:wordWrap/>
                    <w:overflowPunct/>
                    <w:topLinePunct w:val="0"/>
                    <w:bidi w:val="0"/>
                    <w:snapToGrid w:val="0"/>
                    <w:spacing w:line="360" w:lineRule="auto"/>
                    <w:ind w:left="0" w:leftChars="0" w:right="0" w:rightChars="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数量（台/套）</w:t>
                  </w:r>
                </w:p>
              </w:tc>
            </w:tr>
            <w:tr w14:paraId="69504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noWrap w:val="0"/>
                  <w:vAlign w:val="center"/>
                </w:tcPr>
                <w:p w14:paraId="60C7334A">
                  <w:pPr>
                    <w:keepNext w:val="0"/>
                    <w:keepLines w:val="0"/>
                    <w:pageBreakBefore w:val="0"/>
                    <w:widowControl w:val="0"/>
                    <w:kinsoku/>
                    <w:wordWrap/>
                    <w:overflowPunct/>
                    <w:topLinePunct w:val="0"/>
                    <w:bidi w:val="0"/>
                    <w:snapToGrid w:val="0"/>
                    <w:spacing w:line="360"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b/>
                      <w:bCs/>
                      <w:sz w:val="21"/>
                      <w:szCs w:val="21"/>
                    </w:rPr>
                    <w:t>主机</w:t>
                  </w:r>
                </w:p>
              </w:tc>
              <w:tc>
                <w:tcPr>
                  <w:tcW w:w="3223" w:type="dxa"/>
                  <w:noWrap w:val="0"/>
                  <w:vAlign w:val="center"/>
                </w:tcPr>
                <w:p w14:paraId="14E58804">
                  <w:pPr>
                    <w:keepNext w:val="0"/>
                    <w:keepLines w:val="0"/>
                    <w:pageBreakBefore w:val="0"/>
                    <w:widowControl w:val="0"/>
                    <w:kinsoku/>
                    <w:wordWrap/>
                    <w:overflowPunct/>
                    <w:topLinePunct w:val="0"/>
                    <w:bidi w:val="0"/>
                    <w:snapToGrid w:val="0"/>
                    <w:spacing w:line="360" w:lineRule="auto"/>
                    <w:ind w:left="0" w:leftChars="0" w:right="0" w:righ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荧光叶绿素测定仪</w:t>
                  </w:r>
                </w:p>
              </w:tc>
              <w:tc>
                <w:tcPr>
                  <w:tcW w:w="2200" w:type="dxa"/>
                  <w:noWrap w:val="0"/>
                  <w:vAlign w:val="center"/>
                </w:tcPr>
                <w:p w14:paraId="6F3E61C8">
                  <w:pPr>
                    <w:keepNext w:val="0"/>
                    <w:keepLines w:val="0"/>
                    <w:pageBreakBefore w:val="0"/>
                    <w:widowControl w:val="0"/>
                    <w:kinsoku/>
                    <w:wordWrap/>
                    <w:overflowPunct/>
                    <w:topLinePunct w:val="0"/>
                    <w:bidi w:val="0"/>
                    <w:snapToGrid w:val="0"/>
                    <w:spacing w:line="360" w:lineRule="auto"/>
                    <w:ind w:left="0" w:leftChars="0" w:right="0" w:righ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标准配置</w:t>
                  </w:r>
                </w:p>
              </w:tc>
              <w:tc>
                <w:tcPr>
                  <w:tcW w:w="2210" w:type="dxa"/>
                  <w:noWrap w:val="0"/>
                  <w:vAlign w:val="center"/>
                </w:tcPr>
                <w:p w14:paraId="1F96829A">
                  <w:pPr>
                    <w:keepNext w:val="0"/>
                    <w:keepLines w:val="0"/>
                    <w:pageBreakBefore w:val="0"/>
                    <w:widowControl w:val="0"/>
                    <w:kinsoku/>
                    <w:wordWrap/>
                    <w:overflowPunct/>
                    <w:topLinePunct w:val="0"/>
                    <w:bidi w:val="0"/>
                    <w:snapToGrid w:val="0"/>
                    <w:spacing w:line="360" w:lineRule="auto"/>
                    <w:ind w:left="0"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14:paraId="0E24A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vMerge w:val="restart"/>
                  <w:noWrap w:val="0"/>
                  <w:vAlign w:val="center"/>
                </w:tcPr>
                <w:p w14:paraId="7714D75C">
                  <w:pPr>
                    <w:keepNext w:val="0"/>
                    <w:keepLines w:val="0"/>
                    <w:pageBreakBefore w:val="0"/>
                    <w:widowControl w:val="0"/>
                    <w:kinsoku/>
                    <w:wordWrap/>
                    <w:overflowPunct/>
                    <w:topLinePunct w:val="0"/>
                    <w:bidi w:val="0"/>
                    <w:snapToGrid w:val="0"/>
                    <w:spacing w:line="360"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b/>
                      <w:bCs/>
                      <w:sz w:val="21"/>
                      <w:szCs w:val="21"/>
                    </w:rPr>
                    <w:t>配件</w:t>
                  </w:r>
                </w:p>
              </w:tc>
              <w:tc>
                <w:tcPr>
                  <w:tcW w:w="3223" w:type="dxa"/>
                  <w:noWrap w:val="0"/>
                  <w:vAlign w:val="center"/>
                </w:tcPr>
                <w:p w14:paraId="1DF6E207">
                  <w:pPr>
                    <w:keepNext w:val="0"/>
                    <w:keepLines w:val="0"/>
                    <w:pageBreakBefore w:val="0"/>
                    <w:widowControl w:val="0"/>
                    <w:kinsoku/>
                    <w:wordWrap/>
                    <w:overflowPunct/>
                    <w:topLinePunct w:val="0"/>
                    <w:bidi w:val="0"/>
                    <w:snapToGrid w:val="0"/>
                    <w:spacing w:line="360" w:lineRule="auto"/>
                    <w:ind w:left="0" w:leftChars="0" w:right="0" w:righ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微量移液器</w:t>
                  </w:r>
                </w:p>
              </w:tc>
              <w:tc>
                <w:tcPr>
                  <w:tcW w:w="2200" w:type="dxa"/>
                  <w:noWrap w:val="0"/>
                  <w:vAlign w:val="center"/>
                </w:tcPr>
                <w:p w14:paraId="0A4031A1">
                  <w:pPr>
                    <w:keepNext w:val="0"/>
                    <w:keepLines w:val="0"/>
                    <w:pageBreakBefore w:val="0"/>
                    <w:widowControl w:val="0"/>
                    <w:kinsoku/>
                    <w:wordWrap/>
                    <w:overflowPunct/>
                    <w:topLinePunct w:val="0"/>
                    <w:bidi w:val="0"/>
                    <w:snapToGrid w:val="0"/>
                    <w:spacing w:line="360" w:lineRule="auto"/>
                    <w:ind w:left="0" w:leftChars="0" w:right="0" w:righ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100-1000uL</w:t>
                  </w:r>
                </w:p>
              </w:tc>
              <w:tc>
                <w:tcPr>
                  <w:tcW w:w="2210" w:type="dxa"/>
                  <w:noWrap w:val="0"/>
                  <w:vAlign w:val="center"/>
                </w:tcPr>
                <w:p w14:paraId="31690813">
                  <w:pPr>
                    <w:keepNext w:val="0"/>
                    <w:keepLines w:val="0"/>
                    <w:pageBreakBefore w:val="0"/>
                    <w:widowControl w:val="0"/>
                    <w:kinsoku/>
                    <w:wordWrap/>
                    <w:overflowPunct/>
                    <w:topLinePunct w:val="0"/>
                    <w:bidi w:val="0"/>
                    <w:snapToGrid w:val="0"/>
                    <w:spacing w:line="360" w:lineRule="auto"/>
                    <w:ind w:left="0"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1支</w:t>
                  </w:r>
                </w:p>
              </w:tc>
            </w:tr>
            <w:tr w14:paraId="13094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vMerge w:val="continue"/>
                  <w:noWrap w:val="0"/>
                  <w:vAlign w:val="center"/>
                </w:tcPr>
                <w:p w14:paraId="55DD7B5A">
                  <w:pPr>
                    <w:keepNext w:val="0"/>
                    <w:keepLines w:val="0"/>
                    <w:pageBreakBefore w:val="0"/>
                    <w:widowControl w:val="0"/>
                    <w:kinsoku/>
                    <w:wordWrap/>
                    <w:overflowPunct/>
                    <w:topLinePunct w:val="0"/>
                    <w:bidi w:val="0"/>
                    <w:snapToGrid w:val="0"/>
                    <w:spacing w:line="360" w:lineRule="auto"/>
                    <w:ind w:left="0" w:leftChars="0" w:right="0" w:rightChars="0" w:firstLine="0" w:firstLineChars="0"/>
                    <w:jc w:val="center"/>
                    <w:textAlignment w:val="auto"/>
                    <w:rPr>
                      <w:rFonts w:hint="eastAsia" w:ascii="宋体" w:hAnsi="宋体" w:eastAsia="宋体" w:cs="宋体"/>
                      <w:sz w:val="21"/>
                      <w:szCs w:val="21"/>
                    </w:rPr>
                  </w:pPr>
                </w:p>
              </w:tc>
              <w:tc>
                <w:tcPr>
                  <w:tcW w:w="3223" w:type="dxa"/>
                  <w:noWrap w:val="0"/>
                  <w:vAlign w:val="center"/>
                </w:tcPr>
                <w:p w14:paraId="2FEEE99A">
                  <w:pPr>
                    <w:keepNext w:val="0"/>
                    <w:keepLines w:val="0"/>
                    <w:pageBreakBefore w:val="0"/>
                    <w:widowControl w:val="0"/>
                    <w:kinsoku/>
                    <w:wordWrap/>
                    <w:overflowPunct/>
                    <w:topLinePunct w:val="0"/>
                    <w:bidi w:val="0"/>
                    <w:snapToGrid w:val="0"/>
                    <w:spacing w:line="360" w:lineRule="auto"/>
                    <w:ind w:left="0" w:leftChars="0" w:right="0" w:righ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石英荧光比色皿四通光</w:t>
                  </w:r>
                </w:p>
              </w:tc>
              <w:tc>
                <w:tcPr>
                  <w:tcW w:w="2200" w:type="dxa"/>
                  <w:noWrap w:val="0"/>
                  <w:vAlign w:val="center"/>
                </w:tcPr>
                <w:p w14:paraId="361D83A0">
                  <w:pPr>
                    <w:keepNext w:val="0"/>
                    <w:keepLines w:val="0"/>
                    <w:pageBreakBefore w:val="0"/>
                    <w:widowControl w:val="0"/>
                    <w:kinsoku/>
                    <w:wordWrap/>
                    <w:overflowPunct/>
                    <w:topLinePunct w:val="0"/>
                    <w:bidi w:val="0"/>
                    <w:snapToGrid w:val="0"/>
                    <w:spacing w:line="360" w:lineRule="auto"/>
                    <w:ind w:left="0" w:leftChars="0" w:right="0" w:righ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10mm方型/2支</w:t>
                  </w:r>
                </w:p>
              </w:tc>
              <w:tc>
                <w:tcPr>
                  <w:tcW w:w="2210" w:type="dxa"/>
                  <w:noWrap w:val="0"/>
                  <w:vAlign w:val="center"/>
                </w:tcPr>
                <w:p w14:paraId="19A0BC71">
                  <w:pPr>
                    <w:keepNext w:val="0"/>
                    <w:keepLines w:val="0"/>
                    <w:pageBreakBefore w:val="0"/>
                    <w:widowControl w:val="0"/>
                    <w:kinsoku/>
                    <w:wordWrap/>
                    <w:overflowPunct/>
                    <w:topLinePunct w:val="0"/>
                    <w:bidi w:val="0"/>
                    <w:snapToGrid w:val="0"/>
                    <w:spacing w:line="360" w:lineRule="auto"/>
                    <w:ind w:left="0"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1盒</w:t>
                  </w:r>
                </w:p>
              </w:tc>
            </w:tr>
            <w:tr w14:paraId="38166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vMerge w:val="continue"/>
                  <w:noWrap w:val="0"/>
                  <w:vAlign w:val="center"/>
                </w:tcPr>
                <w:p w14:paraId="5A0EAFE9">
                  <w:pPr>
                    <w:keepNext w:val="0"/>
                    <w:keepLines w:val="0"/>
                    <w:pageBreakBefore w:val="0"/>
                    <w:widowControl w:val="0"/>
                    <w:kinsoku/>
                    <w:wordWrap/>
                    <w:overflowPunct/>
                    <w:topLinePunct w:val="0"/>
                    <w:bidi w:val="0"/>
                    <w:snapToGrid w:val="0"/>
                    <w:spacing w:line="360" w:lineRule="auto"/>
                    <w:ind w:left="0" w:leftChars="0" w:right="0" w:rightChars="0" w:firstLine="0" w:firstLineChars="0"/>
                    <w:jc w:val="center"/>
                    <w:textAlignment w:val="auto"/>
                    <w:rPr>
                      <w:rFonts w:hint="eastAsia" w:ascii="宋体" w:hAnsi="宋体" w:eastAsia="宋体" w:cs="宋体"/>
                      <w:sz w:val="21"/>
                      <w:szCs w:val="21"/>
                    </w:rPr>
                  </w:pPr>
                </w:p>
              </w:tc>
              <w:tc>
                <w:tcPr>
                  <w:tcW w:w="3223" w:type="dxa"/>
                  <w:noWrap w:val="0"/>
                  <w:vAlign w:val="center"/>
                </w:tcPr>
                <w:p w14:paraId="27E40181">
                  <w:pPr>
                    <w:keepNext w:val="0"/>
                    <w:keepLines w:val="0"/>
                    <w:pageBreakBefore w:val="0"/>
                    <w:widowControl w:val="0"/>
                    <w:kinsoku/>
                    <w:wordWrap/>
                    <w:overflowPunct/>
                    <w:topLinePunct w:val="0"/>
                    <w:bidi w:val="0"/>
                    <w:snapToGrid w:val="0"/>
                    <w:spacing w:line="360" w:lineRule="auto"/>
                    <w:ind w:left="0" w:leftChars="0" w:right="0" w:righ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擦镜纸</w:t>
                  </w:r>
                </w:p>
              </w:tc>
              <w:tc>
                <w:tcPr>
                  <w:tcW w:w="2200" w:type="dxa"/>
                  <w:noWrap w:val="0"/>
                  <w:vAlign w:val="center"/>
                </w:tcPr>
                <w:p w14:paraId="7BC66926">
                  <w:pPr>
                    <w:keepNext w:val="0"/>
                    <w:keepLines w:val="0"/>
                    <w:pageBreakBefore w:val="0"/>
                    <w:widowControl w:val="0"/>
                    <w:kinsoku/>
                    <w:wordWrap/>
                    <w:overflowPunct/>
                    <w:topLinePunct w:val="0"/>
                    <w:bidi w:val="0"/>
                    <w:snapToGrid w:val="0"/>
                    <w:spacing w:line="360" w:lineRule="auto"/>
                    <w:ind w:left="0" w:leftChars="0" w:right="0" w:righ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2210" w:type="dxa"/>
                  <w:noWrap w:val="0"/>
                  <w:vAlign w:val="center"/>
                </w:tcPr>
                <w:p w14:paraId="7D322ADC">
                  <w:pPr>
                    <w:keepNext w:val="0"/>
                    <w:keepLines w:val="0"/>
                    <w:pageBreakBefore w:val="0"/>
                    <w:widowControl w:val="0"/>
                    <w:kinsoku/>
                    <w:wordWrap/>
                    <w:overflowPunct/>
                    <w:topLinePunct w:val="0"/>
                    <w:bidi w:val="0"/>
                    <w:snapToGrid w:val="0"/>
                    <w:spacing w:line="360" w:lineRule="auto"/>
                    <w:ind w:left="0"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1本</w:t>
                  </w:r>
                </w:p>
              </w:tc>
            </w:tr>
            <w:tr w14:paraId="208D2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vMerge w:val="continue"/>
                  <w:noWrap w:val="0"/>
                  <w:vAlign w:val="center"/>
                </w:tcPr>
                <w:p w14:paraId="20B9EFC4">
                  <w:pPr>
                    <w:keepNext w:val="0"/>
                    <w:keepLines w:val="0"/>
                    <w:pageBreakBefore w:val="0"/>
                    <w:widowControl w:val="0"/>
                    <w:kinsoku/>
                    <w:wordWrap/>
                    <w:overflowPunct/>
                    <w:topLinePunct w:val="0"/>
                    <w:bidi w:val="0"/>
                    <w:snapToGrid w:val="0"/>
                    <w:spacing w:line="360" w:lineRule="auto"/>
                    <w:ind w:left="0" w:leftChars="0" w:right="0" w:rightChars="0" w:firstLine="0" w:firstLineChars="0"/>
                    <w:jc w:val="center"/>
                    <w:textAlignment w:val="auto"/>
                    <w:rPr>
                      <w:rFonts w:hint="eastAsia" w:ascii="宋体" w:hAnsi="宋体" w:eastAsia="宋体" w:cs="宋体"/>
                      <w:bCs/>
                      <w:sz w:val="21"/>
                      <w:szCs w:val="21"/>
                    </w:rPr>
                  </w:pPr>
                </w:p>
              </w:tc>
              <w:tc>
                <w:tcPr>
                  <w:tcW w:w="3223" w:type="dxa"/>
                  <w:noWrap w:val="0"/>
                  <w:vAlign w:val="center"/>
                </w:tcPr>
                <w:p w14:paraId="3DF69855">
                  <w:pPr>
                    <w:keepNext w:val="0"/>
                    <w:keepLines w:val="0"/>
                    <w:pageBreakBefore w:val="0"/>
                    <w:widowControl w:val="0"/>
                    <w:kinsoku/>
                    <w:wordWrap/>
                    <w:overflowPunct/>
                    <w:topLinePunct w:val="0"/>
                    <w:bidi w:val="0"/>
                    <w:snapToGrid w:val="0"/>
                    <w:spacing w:line="360" w:lineRule="auto"/>
                    <w:ind w:left="0" w:leftChars="0" w:right="0" w:righ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样品瓶</w:t>
                  </w:r>
                </w:p>
              </w:tc>
              <w:tc>
                <w:tcPr>
                  <w:tcW w:w="2200" w:type="dxa"/>
                  <w:noWrap w:val="0"/>
                  <w:vAlign w:val="center"/>
                </w:tcPr>
                <w:p w14:paraId="784ECF40">
                  <w:pPr>
                    <w:keepNext w:val="0"/>
                    <w:keepLines w:val="0"/>
                    <w:pageBreakBefore w:val="0"/>
                    <w:widowControl w:val="0"/>
                    <w:kinsoku/>
                    <w:wordWrap/>
                    <w:overflowPunct/>
                    <w:topLinePunct w:val="0"/>
                    <w:bidi w:val="0"/>
                    <w:snapToGrid w:val="0"/>
                    <w:spacing w:line="360" w:lineRule="auto"/>
                    <w:ind w:left="0" w:leftChars="0" w:right="0" w:righ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10mL </w:t>
                  </w:r>
                </w:p>
              </w:tc>
              <w:tc>
                <w:tcPr>
                  <w:tcW w:w="2210" w:type="dxa"/>
                  <w:noWrap w:val="0"/>
                  <w:vAlign w:val="center"/>
                </w:tcPr>
                <w:p w14:paraId="2273ED49">
                  <w:pPr>
                    <w:keepNext w:val="0"/>
                    <w:keepLines w:val="0"/>
                    <w:pageBreakBefore w:val="0"/>
                    <w:widowControl w:val="0"/>
                    <w:kinsoku/>
                    <w:wordWrap/>
                    <w:overflowPunct/>
                    <w:topLinePunct w:val="0"/>
                    <w:bidi w:val="0"/>
                    <w:snapToGrid w:val="0"/>
                    <w:spacing w:line="360" w:lineRule="auto"/>
                    <w:ind w:left="0"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3个</w:t>
                  </w:r>
                </w:p>
              </w:tc>
            </w:tr>
            <w:tr w14:paraId="23D29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vMerge w:val="continue"/>
                  <w:noWrap w:val="0"/>
                  <w:vAlign w:val="center"/>
                </w:tcPr>
                <w:p w14:paraId="1BA6D98B">
                  <w:pPr>
                    <w:keepNext w:val="0"/>
                    <w:keepLines w:val="0"/>
                    <w:pageBreakBefore w:val="0"/>
                    <w:widowControl w:val="0"/>
                    <w:kinsoku/>
                    <w:wordWrap/>
                    <w:overflowPunct/>
                    <w:topLinePunct w:val="0"/>
                    <w:bidi w:val="0"/>
                    <w:snapToGrid w:val="0"/>
                    <w:spacing w:line="360" w:lineRule="auto"/>
                    <w:ind w:left="0" w:leftChars="0" w:right="0" w:rightChars="0" w:firstLine="0" w:firstLineChars="0"/>
                    <w:jc w:val="center"/>
                    <w:textAlignment w:val="auto"/>
                    <w:rPr>
                      <w:rFonts w:hint="eastAsia" w:ascii="宋体" w:hAnsi="宋体" w:eastAsia="宋体" w:cs="宋体"/>
                      <w:bCs/>
                      <w:sz w:val="21"/>
                      <w:szCs w:val="21"/>
                    </w:rPr>
                  </w:pPr>
                </w:p>
              </w:tc>
              <w:tc>
                <w:tcPr>
                  <w:tcW w:w="3223" w:type="dxa"/>
                  <w:noWrap w:val="0"/>
                  <w:vAlign w:val="center"/>
                </w:tcPr>
                <w:p w14:paraId="2C2542BA">
                  <w:pPr>
                    <w:keepNext w:val="0"/>
                    <w:keepLines w:val="0"/>
                    <w:pageBreakBefore w:val="0"/>
                    <w:widowControl w:val="0"/>
                    <w:kinsoku/>
                    <w:wordWrap/>
                    <w:overflowPunct/>
                    <w:topLinePunct w:val="0"/>
                    <w:bidi w:val="0"/>
                    <w:snapToGrid w:val="0"/>
                    <w:spacing w:line="360" w:lineRule="auto"/>
                    <w:ind w:left="0" w:leftChars="0" w:right="0" w:righ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打印纸</w:t>
                  </w:r>
                </w:p>
              </w:tc>
              <w:tc>
                <w:tcPr>
                  <w:tcW w:w="2200" w:type="dxa"/>
                  <w:noWrap w:val="0"/>
                  <w:vAlign w:val="center"/>
                </w:tcPr>
                <w:p w14:paraId="02145415">
                  <w:pPr>
                    <w:keepNext w:val="0"/>
                    <w:keepLines w:val="0"/>
                    <w:pageBreakBefore w:val="0"/>
                    <w:widowControl w:val="0"/>
                    <w:kinsoku/>
                    <w:wordWrap/>
                    <w:overflowPunct/>
                    <w:topLinePunct w:val="0"/>
                    <w:bidi w:val="0"/>
                    <w:snapToGrid w:val="0"/>
                    <w:spacing w:line="360" w:lineRule="auto"/>
                    <w:ind w:left="0" w:leftChars="0" w:right="0" w:righ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热敏打印纸</w:t>
                  </w:r>
                </w:p>
              </w:tc>
              <w:tc>
                <w:tcPr>
                  <w:tcW w:w="2210" w:type="dxa"/>
                  <w:noWrap w:val="0"/>
                  <w:vAlign w:val="center"/>
                </w:tcPr>
                <w:p w14:paraId="4A7DCA54">
                  <w:pPr>
                    <w:keepNext w:val="0"/>
                    <w:keepLines w:val="0"/>
                    <w:pageBreakBefore w:val="0"/>
                    <w:widowControl w:val="0"/>
                    <w:kinsoku/>
                    <w:wordWrap/>
                    <w:overflowPunct/>
                    <w:topLinePunct w:val="0"/>
                    <w:bidi w:val="0"/>
                    <w:snapToGrid w:val="0"/>
                    <w:spacing w:line="360" w:lineRule="auto"/>
                    <w:ind w:left="0"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1卷</w:t>
                  </w:r>
                </w:p>
              </w:tc>
            </w:tr>
            <w:tr w14:paraId="388FB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vMerge w:val="continue"/>
                  <w:noWrap w:val="0"/>
                  <w:vAlign w:val="center"/>
                </w:tcPr>
                <w:p w14:paraId="19402206">
                  <w:pPr>
                    <w:keepNext w:val="0"/>
                    <w:keepLines w:val="0"/>
                    <w:pageBreakBefore w:val="0"/>
                    <w:widowControl w:val="0"/>
                    <w:kinsoku/>
                    <w:wordWrap/>
                    <w:overflowPunct/>
                    <w:topLinePunct w:val="0"/>
                    <w:bidi w:val="0"/>
                    <w:snapToGrid w:val="0"/>
                    <w:spacing w:line="360" w:lineRule="auto"/>
                    <w:ind w:left="0" w:leftChars="0" w:right="0" w:rightChars="0" w:firstLine="0" w:firstLineChars="0"/>
                    <w:jc w:val="center"/>
                    <w:textAlignment w:val="auto"/>
                    <w:rPr>
                      <w:rFonts w:hint="eastAsia" w:ascii="宋体" w:hAnsi="宋体" w:eastAsia="宋体" w:cs="宋体"/>
                      <w:bCs/>
                      <w:sz w:val="21"/>
                      <w:szCs w:val="21"/>
                    </w:rPr>
                  </w:pPr>
                </w:p>
              </w:tc>
              <w:tc>
                <w:tcPr>
                  <w:tcW w:w="3223" w:type="dxa"/>
                  <w:noWrap w:val="0"/>
                  <w:vAlign w:val="center"/>
                </w:tcPr>
                <w:p w14:paraId="409544DC">
                  <w:pPr>
                    <w:keepNext w:val="0"/>
                    <w:keepLines w:val="0"/>
                    <w:pageBreakBefore w:val="0"/>
                    <w:widowControl w:val="0"/>
                    <w:kinsoku/>
                    <w:wordWrap/>
                    <w:overflowPunct/>
                    <w:topLinePunct w:val="0"/>
                    <w:bidi w:val="0"/>
                    <w:snapToGrid w:val="0"/>
                    <w:spacing w:line="360" w:lineRule="auto"/>
                    <w:ind w:left="0" w:leftChars="0" w:right="0" w:righ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触屏笔</w:t>
                  </w:r>
                </w:p>
              </w:tc>
              <w:tc>
                <w:tcPr>
                  <w:tcW w:w="2200" w:type="dxa"/>
                  <w:noWrap w:val="0"/>
                  <w:vAlign w:val="center"/>
                </w:tcPr>
                <w:p w14:paraId="7E2AD587">
                  <w:pPr>
                    <w:keepNext w:val="0"/>
                    <w:keepLines w:val="0"/>
                    <w:pageBreakBefore w:val="0"/>
                    <w:widowControl w:val="0"/>
                    <w:kinsoku/>
                    <w:wordWrap/>
                    <w:overflowPunct/>
                    <w:topLinePunct w:val="0"/>
                    <w:bidi w:val="0"/>
                    <w:snapToGrid w:val="0"/>
                    <w:spacing w:line="360" w:lineRule="auto"/>
                    <w:ind w:left="0" w:leftChars="0" w:right="0" w:righ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2210" w:type="dxa"/>
                  <w:noWrap w:val="0"/>
                  <w:vAlign w:val="center"/>
                </w:tcPr>
                <w:p w14:paraId="601DA6D1">
                  <w:pPr>
                    <w:keepNext w:val="0"/>
                    <w:keepLines w:val="0"/>
                    <w:pageBreakBefore w:val="0"/>
                    <w:widowControl w:val="0"/>
                    <w:kinsoku/>
                    <w:wordWrap/>
                    <w:overflowPunct/>
                    <w:topLinePunct w:val="0"/>
                    <w:bidi w:val="0"/>
                    <w:snapToGrid w:val="0"/>
                    <w:spacing w:line="360" w:lineRule="auto"/>
                    <w:ind w:left="0"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1支</w:t>
                  </w:r>
                </w:p>
              </w:tc>
            </w:tr>
          </w:tbl>
          <w:p w14:paraId="554FD160">
            <w:pPr>
              <w:keepNext w:val="0"/>
              <w:keepLines w:val="0"/>
              <w:pageBreakBefore w:val="0"/>
              <w:widowControl w:val="0"/>
              <w:numPr>
                <w:ilvl w:val="0"/>
                <w:numId w:val="0"/>
              </w:numPr>
              <w:kinsoku/>
              <w:wordWrap/>
              <w:overflowPunct/>
              <w:topLinePunct w:val="0"/>
              <w:bidi w:val="0"/>
              <w:spacing w:line="360" w:lineRule="auto"/>
              <w:ind w:left="425" w:leftChars="0" w:hanging="425" w:firstLineChars="0"/>
              <w:textAlignment w:val="auto"/>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2.技术参数：</w:t>
            </w:r>
          </w:p>
          <w:p w14:paraId="19BEF19C">
            <w:pPr>
              <w:keepNext w:val="0"/>
              <w:keepLines w:val="0"/>
              <w:pageBreakBefore w:val="0"/>
              <w:widowControl w:val="0"/>
              <w:numPr>
                <w:ilvl w:val="1"/>
                <w:numId w:val="0"/>
              </w:numPr>
              <w:kinsoku/>
              <w:wordWrap/>
              <w:overflowPunct/>
              <w:topLinePunct w:val="0"/>
              <w:bidi w:val="0"/>
              <w:spacing w:line="360" w:lineRule="auto"/>
              <w:ind w:left="567" w:leftChars="0" w:hanging="567"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2.1.</w:t>
            </w:r>
            <w:r>
              <w:rPr>
                <w:rFonts w:hint="eastAsia" w:ascii="宋体" w:hAnsi="宋体" w:eastAsia="宋体" w:cs="宋体"/>
                <w:sz w:val="21"/>
                <w:szCs w:val="21"/>
                <w:lang w:val="en-US" w:eastAsia="zh-CN"/>
              </w:rPr>
              <w:t xml:space="preserve">测量项目：叶绿素 </w:t>
            </w:r>
          </w:p>
          <w:p w14:paraId="3F22E47B">
            <w:pPr>
              <w:keepNext w:val="0"/>
              <w:keepLines w:val="0"/>
              <w:pageBreakBefore w:val="0"/>
              <w:widowControl w:val="0"/>
              <w:numPr>
                <w:ilvl w:val="1"/>
                <w:numId w:val="0"/>
              </w:numPr>
              <w:kinsoku/>
              <w:wordWrap/>
              <w:overflowPunct/>
              <w:topLinePunct w:val="0"/>
              <w:bidi w:val="0"/>
              <w:spacing w:line="360" w:lineRule="auto"/>
              <w:ind w:left="567" w:leftChars="0" w:hanging="567"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2.2.</w:t>
            </w:r>
            <w:r>
              <w:rPr>
                <w:rFonts w:hint="eastAsia" w:ascii="宋体" w:hAnsi="宋体" w:eastAsia="宋体" w:cs="宋体"/>
                <w:sz w:val="21"/>
                <w:szCs w:val="21"/>
                <w:lang w:val="en-US" w:eastAsia="zh-CN"/>
              </w:rPr>
              <w:t>测量范围：叶绿素（0.01-400或500</w:t>
            </w:r>
            <w:r>
              <w:rPr>
                <w:rFonts w:hint="eastAsia" w:ascii="宋体" w:hAnsi="宋体" w:eastAsia="宋体" w:cs="宋体"/>
                <w:color w:val="000000" w:themeColor="text1"/>
                <w:sz w:val="21"/>
                <w:szCs w:val="21"/>
                <w:lang w:val="en-US" w:eastAsia="zh-CN"/>
                <w14:textFill>
                  <w14:solidFill>
                    <w14:schemeClr w14:val="tx1"/>
                  </w14:solidFill>
                </w14:textFill>
              </w:rPr>
              <w:t>μg/L</w:t>
            </w:r>
            <w:r>
              <w:rPr>
                <w:rFonts w:hint="eastAsia" w:ascii="宋体" w:hAnsi="宋体" w:eastAsia="宋体" w:cs="宋体"/>
                <w:sz w:val="21"/>
                <w:szCs w:val="21"/>
                <w:lang w:val="en-US" w:eastAsia="zh-CN"/>
              </w:rPr>
              <w:t>）</w:t>
            </w:r>
          </w:p>
          <w:p w14:paraId="44CAFDD8">
            <w:pPr>
              <w:keepNext w:val="0"/>
              <w:keepLines w:val="0"/>
              <w:pageBreakBefore w:val="0"/>
              <w:widowControl w:val="0"/>
              <w:numPr>
                <w:ilvl w:val="1"/>
                <w:numId w:val="0"/>
              </w:numPr>
              <w:kinsoku/>
              <w:wordWrap/>
              <w:overflowPunct/>
              <w:topLinePunct w:val="0"/>
              <w:bidi w:val="0"/>
              <w:spacing w:line="360" w:lineRule="auto"/>
              <w:ind w:left="567" w:leftChars="0" w:hanging="567"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kern w:val="2"/>
                <w:sz w:val="21"/>
                <w:szCs w:val="21"/>
                <w:lang w:val="en-US" w:eastAsia="zh-CN" w:bidi="ar-SA"/>
              </w:rPr>
              <w:t>2.3.</w:t>
            </w:r>
            <w:r>
              <w:rPr>
                <w:rFonts w:hint="eastAsia" w:ascii="宋体" w:hAnsi="宋体" w:eastAsia="宋体" w:cs="宋体"/>
                <w:sz w:val="21"/>
                <w:szCs w:val="21"/>
                <w:lang w:val="en-US" w:eastAsia="zh-CN"/>
              </w:rPr>
              <w:t>检测准确度≤5%或线性R²≥0.998</w:t>
            </w:r>
          </w:p>
          <w:p w14:paraId="62CD1A72">
            <w:pPr>
              <w:keepNext w:val="0"/>
              <w:keepLines w:val="0"/>
              <w:pageBreakBefore w:val="0"/>
              <w:widowControl w:val="0"/>
              <w:numPr>
                <w:ilvl w:val="1"/>
                <w:numId w:val="0"/>
              </w:numPr>
              <w:kinsoku/>
              <w:wordWrap/>
              <w:overflowPunct/>
              <w:topLinePunct w:val="0"/>
              <w:bidi w:val="0"/>
              <w:spacing w:line="360" w:lineRule="auto"/>
              <w:ind w:left="567" w:leftChars="0" w:hanging="567"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kern w:val="2"/>
                <w:sz w:val="21"/>
                <w:szCs w:val="21"/>
                <w:lang w:val="en-US" w:eastAsia="zh-CN" w:bidi="ar-SA"/>
              </w:rPr>
              <w:t>2.4.</w:t>
            </w:r>
            <w:r>
              <w:rPr>
                <w:rFonts w:hint="eastAsia" w:ascii="宋体" w:hAnsi="宋体" w:eastAsia="宋体" w:cs="宋体"/>
                <w:b w:val="0"/>
                <w:bCs w:val="0"/>
                <w:color w:val="000000" w:themeColor="text1"/>
                <w:sz w:val="21"/>
                <w:szCs w:val="21"/>
                <w:lang w:val="en-US" w:eastAsia="zh-CN"/>
                <w14:textFill>
                  <w14:solidFill>
                    <w14:schemeClr w14:val="tx1"/>
                  </w14:solidFill>
                </w14:textFill>
              </w:rPr>
              <w:t>分辨率：</w:t>
            </w:r>
            <w:r>
              <w:rPr>
                <w:rFonts w:hint="eastAsia" w:ascii="宋体" w:hAnsi="宋体" w:eastAsia="宋体" w:cs="宋体"/>
                <w:color w:val="000000" w:themeColor="text1"/>
                <w:sz w:val="21"/>
                <w:szCs w:val="21"/>
                <w:lang w:val="en-US" w:eastAsia="zh-CN"/>
                <w14:textFill>
                  <w14:solidFill>
                    <w14:schemeClr w14:val="tx1"/>
                  </w14:solidFill>
                </w14:textFill>
              </w:rPr>
              <w:t>叶绿素：0.01μg/L</w:t>
            </w:r>
          </w:p>
          <w:p w14:paraId="54CB70A6">
            <w:pPr>
              <w:keepNext w:val="0"/>
              <w:keepLines w:val="0"/>
              <w:pageBreakBefore w:val="0"/>
              <w:widowControl w:val="0"/>
              <w:numPr>
                <w:ilvl w:val="1"/>
                <w:numId w:val="0"/>
              </w:numPr>
              <w:kinsoku/>
              <w:wordWrap/>
              <w:overflowPunct/>
              <w:topLinePunct w:val="0"/>
              <w:bidi w:val="0"/>
              <w:spacing w:line="360" w:lineRule="auto"/>
              <w:ind w:left="567" w:leftChars="0" w:hanging="567"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2.5.</w:t>
            </w:r>
            <w:r>
              <w:rPr>
                <w:rFonts w:hint="eastAsia" w:ascii="宋体" w:hAnsi="宋体" w:eastAsia="宋体" w:cs="宋体"/>
                <w:sz w:val="21"/>
                <w:szCs w:val="21"/>
                <w:lang w:val="en-US" w:eastAsia="zh-CN"/>
              </w:rPr>
              <w:t xml:space="preserve">测量时间: ≤20秒 </w:t>
            </w:r>
          </w:p>
          <w:p w14:paraId="09B95A0B">
            <w:pPr>
              <w:keepNext w:val="0"/>
              <w:keepLines w:val="0"/>
              <w:pageBreakBefore w:val="0"/>
              <w:widowControl w:val="0"/>
              <w:numPr>
                <w:ilvl w:val="1"/>
                <w:numId w:val="0"/>
              </w:numPr>
              <w:kinsoku/>
              <w:wordWrap/>
              <w:overflowPunct/>
              <w:topLinePunct w:val="0"/>
              <w:bidi w:val="0"/>
              <w:spacing w:line="360" w:lineRule="auto"/>
              <w:ind w:left="567" w:leftChars="0" w:hanging="567"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2.6.</w:t>
            </w:r>
            <w:r>
              <w:rPr>
                <w:rFonts w:hint="eastAsia" w:ascii="宋体" w:hAnsi="宋体" w:eastAsia="宋体" w:cs="宋体"/>
                <w:sz w:val="21"/>
                <w:szCs w:val="21"/>
                <w:lang w:val="en-US" w:eastAsia="zh-CN"/>
              </w:rPr>
              <w:t>屏幕显示：≥</w:t>
            </w:r>
            <w:r>
              <w:rPr>
                <w:rFonts w:hint="eastAsia" w:ascii="宋体" w:hAnsi="宋体" w:eastAsia="宋体" w:cs="宋体"/>
                <w:color w:val="000000" w:themeColor="text1"/>
                <w:sz w:val="21"/>
                <w:szCs w:val="21"/>
                <w:lang w:val="en-US" w:eastAsia="zh-CN"/>
                <w14:textFill>
                  <w14:solidFill>
                    <w14:schemeClr w14:val="tx1"/>
                  </w14:solidFill>
                </w14:textFill>
              </w:rPr>
              <w:t>5英寸高清触摸显示屏</w:t>
            </w:r>
          </w:p>
          <w:p w14:paraId="59130874">
            <w:pPr>
              <w:keepNext w:val="0"/>
              <w:keepLines w:val="0"/>
              <w:pageBreakBefore w:val="0"/>
              <w:widowControl w:val="0"/>
              <w:numPr>
                <w:ilvl w:val="1"/>
                <w:numId w:val="0"/>
              </w:numPr>
              <w:kinsoku/>
              <w:wordWrap/>
              <w:overflowPunct/>
              <w:topLinePunct w:val="0"/>
              <w:bidi w:val="0"/>
              <w:spacing w:line="360" w:lineRule="auto"/>
              <w:ind w:left="567" w:leftChars="0" w:hanging="567"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2.7.</w:t>
            </w:r>
            <w:r>
              <w:rPr>
                <w:rFonts w:hint="eastAsia" w:ascii="宋体" w:hAnsi="宋体" w:eastAsia="宋体" w:cs="宋体"/>
                <w:b w:val="0"/>
                <w:bCs w:val="0"/>
                <w:sz w:val="21"/>
                <w:szCs w:val="21"/>
                <w:lang w:val="en-US" w:eastAsia="zh-CN"/>
              </w:rPr>
              <w:t>操作界面：全中文显示</w:t>
            </w:r>
          </w:p>
          <w:p w14:paraId="76B9848C">
            <w:pPr>
              <w:keepNext w:val="0"/>
              <w:keepLines w:val="0"/>
              <w:pageBreakBefore w:val="0"/>
              <w:widowControl w:val="0"/>
              <w:numPr>
                <w:ilvl w:val="1"/>
                <w:numId w:val="0"/>
              </w:numPr>
              <w:kinsoku/>
              <w:wordWrap/>
              <w:overflowPunct/>
              <w:topLinePunct w:val="0"/>
              <w:bidi w:val="0"/>
              <w:spacing w:line="360" w:lineRule="auto"/>
              <w:ind w:left="567" w:leftChars="0" w:hanging="567"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2.8.</w:t>
            </w:r>
            <w:r>
              <w:rPr>
                <w:rFonts w:hint="eastAsia" w:ascii="宋体" w:hAnsi="宋体" w:eastAsia="宋体" w:cs="宋体"/>
                <w:sz w:val="21"/>
                <w:szCs w:val="21"/>
                <w:lang w:val="en-US" w:eastAsia="zh-CN"/>
              </w:rPr>
              <w:t>具有指示灯带；</w:t>
            </w:r>
          </w:p>
          <w:p w14:paraId="6F3707A0">
            <w:pPr>
              <w:keepNext w:val="0"/>
              <w:keepLines w:val="0"/>
              <w:pageBreakBefore w:val="0"/>
              <w:widowControl w:val="0"/>
              <w:numPr>
                <w:ilvl w:val="1"/>
                <w:numId w:val="0"/>
              </w:numPr>
              <w:kinsoku/>
              <w:wordWrap/>
              <w:overflowPunct/>
              <w:topLinePunct w:val="0"/>
              <w:bidi w:val="0"/>
              <w:spacing w:line="360" w:lineRule="auto"/>
              <w:ind w:left="567" w:leftChars="0" w:hanging="567"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kern w:val="2"/>
                <w:sz w:val="21"/>
                <w:szCs w:val="21"/>
                <w:lang w:val="en-US" w:eastAsia="zh-CN" w:bidi="ar-SA"/>
              </w:rPr>
              <w:t>2.9.</w:t>
            </w:r>
            <w:r>
              <w:rPr>
                <w:rFonts w:hint="eastAsia" w:ascii="宋体" w:hAnsi="宋体" w:eastAsia="宋体" w:cs="宋体"/>
                <w:sz w:val="21"/>
                <w:szCs w:val="21"/>
                <w:lang w:val="en-US" w:eastAsia="zh-CN"/>
              </w:rPr>
              <w:t>检测器：荧光检测器</w:t>
            </w:r>
          </w:p>
          <w:p w14:paraId="26C1E097">
            <w:pPr>
              <w:keepNext w:val="0"/>
              <w:keepLines w:val="0"/>
              <w:pageBreakBefore w:val="0"/>
              <w:widowControl w:val="0"/>
              <w:numPr>
                <w:ilvl w:val="1"/>
                <w:numId w:val="0"/>
              </w:numPr>
              <w:kinsoku/>
              <w:wordWrap/>
              <w:overflowPunct/>
              <w:topLinePunct w:val="0"/>
              <w:bidi w:val="0"/>
              <w:spacing w:line="360" w:lineRule="auto"/>
              <w:ind w:left="567" w:leftChars="0" w:hanging="567"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2.10.</w:t>
            </w:r>
            <w:r>
              <w:rPr>
                <w:rFonts w:hint="eastAsia" w:ascii="宋体" w:hAnsi="宋体" w:eastAsia="宋体" w:cs="宋体"/>
                <w:sz w:val="21"/>
                <w:szCs w:val="21"/>
                <w:lang w:val="en-US" w:eastAsia="zh-CN"/>
              </w:rPr>
              <w:t>样品管：专用10mm方型测试管</w:t>
            </w:r>
          </w:p>
          <w:p w14:paraId="5396925C">
            <w:pPr>
              <w:keepNext w:val="0"/>
              <w:keepLines w:val="0"/>
              <w:pageBreakBefore w:val="0"/>
              <w:widowControl w:val="0"/>
              <w:numPr>
                <w:ilvl w:val="1"/>
                <w:numId w:val="0"/>
              </w:numPr>
              <w:kinsoku/>
              <w:wordWrap/>
              <w:overflowPunct/>
              <w:topLinePunct w:val="0"/>
              <w:bidi w:val="0"/>
              <w:spacing w:line="360" w:lineRule="auto"/>
              <w:ind w:left="567" w:leftChars="0" w:hanging="567"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2.11.</w:t>
            </w:r>
            <w:r>
              <w:rPr>
                <w:rFonts w:hint="eastAsia" w:ascii="宋体" w:hAnsi="宋体" w:eastAsia="宋体" w:cs="宋体"/>
                <w:b w:val="0"/>
                <w:bCs w:val="0"/>
                <w:sz w:val="21"/>
                <w:szCs w:val="21"/>
                <w:lang w:val="en-US" w:eastAsia="zh-CN"/>
              </w:rPr>
              <w:t>仪器内置倒计时模块，检测过程中可根据实际需要随时调整倒计时的时长</w:t>
            </w:r>
          </w:p>
          <w:p w14:paraId="57AB4DE5">
            <w:pPr>
              <w:keepNext w:val="0"/>
              <w:keepLines w:val="0"/>
              <w:pageBreakBefore w:val="0"/>
              <w:widowControl w:val="0"/>
              <w:numPr>
                <w:ilvl w:val="1"/>
                <w:numId w:val="0"/>
              </w:numPr>
              <w:kinsoku/>
              <w:wordWrap/>
              <w:overflowPunct/>
              <w:topLinePunct w:val="0"/>
              <w:bidi w:val="0"/>
              <w:spacing w:line="360" w:lineRule="auto"/>
              <w:ind w:left="567" w:leftChars="0" w:hanging="567"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kern w:val="2"/>
                <w:sz w:val="21"/>
                <w:szCs w:val="21"/>
                <w:highlight w:val="none"/>
                <w:lang w:val="en-US" w:eastAsia="zh-CN" w:bidi="ar-SA"/>
              </w:rPr>
              <w:t>2.12.</w:t>
            </w:r>
            <w:r>
              <w:rPr>
                <w:rFonts w:hint="eastAsia" w:ascii="宋体" w:hAnsi="宋体" w:eastAsia="宋体" w:cs="宋体"/>
                <w:sz w:val="21"/>
                <w:szCs w:val="21"/>
                <w:highlight w:val="none"/>
                <w:lang w:val="en-US" w:eastAsia="zh-CN"/>
              </w:rPr>
              <w:t>打印：配备热敏打印机</w:t>
            </w:r>
          </w:p>
          <w:p w14:paraId="477C4FF1">
            <w:pPr>
              <w:keepNext w:val="0"/>
              <w:keepLines w:val="0"/>
              <w:pageBreakBefore w:val="0"/>
              <w:widowControl w:val="0"/>
              <w:numPr>
                <w:ilvl w:val="1"/>
                <w:numId w:val="0"/>
              </w:numPr>
              <w:kinsoku/>
              <w:wordWrap/>
              <w:overflowPunct/>
              <w:topLinePunct w:val="0"/>
              <w:bidi w:val="0"/>
              <w:spacing w:line="360" w:lineRule="auto"/>
              <w:ind w:left="567" w:leftChars="0" w:hanging="567"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kern w:val="2"/>
                <w:sz w:val="21"/>
                <w:szCs w:val="21"/>
                <w:lang w:val="en-US" w:eastAsia="zh-CN" w:bidi="ar-SA"/>
              </w:rPr>
              <w:t>2.13.</w:t>
            </w:r>
            <w:r>
              <w:rPr>
                <w:rFonts w:hint="eastAsia" w:ascii="宋体" w:hAnsi="宋体" w:eastAsia="宋体" w:cs="宋体"/>
                <w:color w:val="auto"/>
                <w:sz w:val="21"/>
                <w:szCs w:val="21"/>
                <w:lang w:val="en-US" w:eastAsia="zh-CN"/>
              </w:rPr>
              <w:t>存储：≥10万组数据，可实时查看</w:t>
            </w:r>
          </w:p>
          <w:p w14:paraId="368DD7F2">
            <w:pPr>
              <w:keepNext w:val="0"/>
              <w:keepLines w:val="0"/>
              <w:pageBreakBefore w:val="0"/>
              <w:widowControl w:val="0"/>
              <w:numPr>
                <w:ilvl w:val="1"/>
                <w:numId w:val="0"/>
              </w:numPr>
              <w:kinsoku/>
              <w:wordWrap/>
              <w:overflowPunct/>
              <w:topLinePunct w:val="0"/>
              <w:bidi w:val="0"/>
              <w:spacing w:line="360" w:lineRule="auto"/>
              <w:ind w:left="567" w:leftChars="0" w:hanging="567"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kern w:val="2"/>
                <w:sz w:val="21"/>
                <w:szCs w:val="21"/>
                <w:lang w:val="en-US" w:eastAsia="zh-CN" w:bidi="ar-SA"/>
              </w:rPr>
              <w:t>2.14.</w:t>
            </w:r>
            <w:r>
              <w:rPr>
                <w:rFonts w:hint="eastAsia" w:ascii="宋体" w:hAnsi="宋体" w:eastAsia="宋体" w:cs="宋体"/>
                <w:color w:val="auto"/>
                <w:sz w:val="21"/>
                <w:szCs w:val="21"/>
                <w:lang w:val="en-US" w:eastAsia="zh-CN"/>
              </w:rPr>
              <w:t>数据传输</w:t>
            </w:r>
            <w:r>
              <w:rPr>
                <w:rFonts w:hint="eastAsia" w:ascii="宋体" w:hAnsi="宋体" w:eastAsia="宋体" w:cs="宋体"/>
                <w:color w:val="000000"/>
                <w:sz w:val="21"/>
                <w:szCs w:val="21"/>
                <w:lang w:val="en-US" w:eastAsia="zh-CN"/>
              </w:rPr>
              <w:t>：USB接口</w:t>
            </w:r>
            <w:r>
              <w:rPr>
                <w:rFonts w:hint="eastAsia" w:ascii="宋体" w:hAnsi="宋体" w:cs="宋体"/>
                <w:color w:val="000000"/>
                <w:sz w:val="21"/>
                <w:szCs w:val="21"/>
                <w:lang w:val="en-US" w:eastAsia="zh-CN"/>
              </w:rPr>
              <w:t>或</w:t>
            </w:r>
            <w:r>
              <w:rPr>
                <w:rFonts w:hint="eastAsia" w:ascii="宋体" w:hAnsi="宋体" w:eastAsia="宋体" w:cs="宋体"/>
                <w:i w:val="0"/>
                <w:iCs w:val="0"/>
                <w:caps w:val="0"/>
                <w:color w:val="000000"/>
                <w:spacing w:val="0"/>
                <w:sz w:val="21"/>
                <w:szCs w:val="21"/>
                <w:shd w:val="clear" w:fill="auto"/>
              </w:rPr>
              <w:t>内置蓝牙</w:t>
            </w:r>
            <w:r>
              <w:rPr>
                <w:rFonts w:hint="eastAsia" w:ascii="宋体" w:hAnsi="宋体" w:cs="宋体"/>
                <w:i w:val="0"/>
                <w:iCs w:val="0"/>
                <w:caps w:val="0"/>
                <w:color w:val="000000"/>
                <w:spacing w:val="0"/>
                <w:sz w:val="21"/>
                <w:szCs w:val="21"/>
                <w:shd w:val="clear" w:fill="auto"/>
                <w:lang w:val="en-US" w:eastAsia="zh-CN"/>
              </w:rPr>
              <w:t>或</w:t>
            </w:r>
            <w:r>
              <w:rPr>
                <w:rFonts w:hint="eastAsia" w:ascii="宋体" w:hAnsi="宋体" w:eastAsia="宋体" w:cs="宋体"/>
                <w:i w:val="0"/>
                <w:iCs w:val="0"/>
                <w:caps w:val="0"/>
                <w:color w:val="000000"/>
                <w:spacing w:val="0"/>
                <w:sz w:val="21"/>
                <w:szCs w:val="21"/>
                <w:shd w:val="clear" w:fill="auto"/>
              </w:rPr>
              <w:t>支持无线传输</w:t>
            </w:r>
            <w:r>
              <w:rPr>
                <w:rFonts w:hint="eastAsia" w:ascii="宋体" w:hAnsi="宋体" w:eastAsia="宋体" w:cs="宋体"/>
                <w:i w:val="0"/>
                <w:iCs w:val="0"/>
                <w:caps w:val="0"/>
                <w:color w:val="000000"/>
                <w:spacing w:val="0"/>
                <w:sz w:val="21"/>
                <w:szCs w:val="21"/>
                <w:shd w:val="clear" w:fill="auto"/>
                <w:lang w:val="en-US" w:eastAsia="zh-CN"/>
              </w:rPr>
              <w:t>功能。</w:t>
            </w:r>
          </w:p>
          <w:p w14:paraId="66653E6A">
            <w:pPr>
              <w:keepNext w:val="0"/>
              <w:keepLines w:val="0"/>
              <w:pageBreakBefore w:val="0"/>
              <w:widowControl w:val="0"/>
              <w:numPr>
                <w:ilvl w:val="1"/>
                <w:numId w:val="0"/>
              </w:numPr>
              <w:kinsoku/>
              <w:wordWrap/>
              <w:overflowPunct/>
              <w:topLinePunct w:val="0"/>
              <w:bidi w:val="0"/>
              <w:spacing w:line="360" w:lineRule="auto"/>
              <w:ind w:left="567" w:leftChars="0" w:hanging="567"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kern w:val="2"/>
                <w:sz w:val="21"/>
                <w:szCs w:val="21"/>
                <w:lang w:val="en-US" w:eastAsia="zh-CN" w:bidi="ar-SA"/>
              </w:rPr>
              <w:t>2.15.</w:t>
            </w:r>
            <w:r>
              <w:rPr>
                <w:rFonts w:hint="eastAsia" w:ascii="宋体" w:hAnsi="宋体" w:eastAsia="宋体" w:cs="宋体"/>
                <w:color w:val="auto"/>
                <w:sz w:val="21"/>
                <w:szCs w:val="21"/>
                <w:lang w:val="en-US" w:eastAsia="zh-CN"/>
              </w:rPr>
              <w:t>使用环境：</w:t>
            </w:r>
            <w:r>
              <w:rPr>
                <w:rFonts w:hint="eastAsia" w:ascii="宋体" w:hAnsi="宋体" w:eastAsia="宋体" w:cs="宋体"/>
                <w:b w:val="0"/>
                <w:bCs w:val="0"/>
                <w:color w:val="000000"/>
                <w:sz w:val="21"/>
                <w:szCs w:val="21"/>
                <w:lang w:val="en-US" w:eastAsia="zh-CN"/>
              </w:rPr>
              <w:t>温度:（5-40）℃，湿度：相对湿度≤85%RH（无冷凝）</w:t>
            </w:r>
          </w:p>
          <w:p w14:paraId="39759F19">
            <w:pPr>
              <w:keepNext w:val="0"/>
              <w:keepLines w:val="0"/>
              <w:pageBreakBefore w:val="0"/>
              <w:widowControl w:val="0"/>
              <w:numPr>
                <w:ilvl w:val="1"/>
                <w:numId w:val="0"/>
              </w:numPr>
              <w:kinsoku/>
              <w:wordWrap/>
              <w:overflowPunct/>
              <w:topLinePunct w:val="0"/>
              <w:bidi w:val="0"/>
              <w:spacing w:line="360" w:lineRule="auto"/>
              <w:ind w:left="567" w:leftChars="0" w:hanging="567" w:firstLineChars="0"/>
              <w:jc w:val="left"/>
              <w:textAlignment w:val="auto"/>
              <w:rPr>
                <w:rFonts w:hint="eastAsia" w:ascii="宋体" w:hAnsi="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color w:val="auto"/>
                <w:kern w:val="2"/>
                <w:sz w:val="21"/>
                <w:szCs w:val="21"/>
                <w:lang w:val="en-US" w:eastAsia="zh-CN" w:bidi="ar-SA"/>
              </w:rPr>
              <w:t>2.16.</w:t>
            </w:r>
            <w:r>
              <w:rPr>
                <w:rFonts w:hint="eastAsia" w:ascii="宋体" w:hAnsi="宋体" w:eastAsia="宋体" w:cs="宋体"/>
                <w:sz w:val="21"/>
                <w:szCs w:val="21"/>
                <w:lang w:val="en-US" w:eastAsia="zh-CN"/>
              </w:rPr>
              <w:t>具有数据合理性判断功能，用户可自设检测限值，超过限值会出现红色提示，若在设定限值内则显示绿色</w:t>
            </w:r>
          </w:p>
        </w:tc>
      </w:tr>
      <w:tr w14:paraId="7285C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14:paraId="3EC8F75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vertAlign w:val="baseline"/>
                <w:lang w:val="en-US" w:eastAsia="zh-CN" w:bidi="ar-SA"/>
                <w14:textFill>
                  <w14:solidFill>
                    <w14:schemeClr w14:val="tx1"/>
                  </w14:solidFill>
                </w14:textFill>
              </w:rPr>
              <w:t>11</w:t>
            </w:r>
          </w:p>
        </w:tc>
        <w:tc>
          <w:tcPr>
            <w:tcW w:w="2050" w:type="dxa"/>
            <w:vAlign w:val="center"/>
          </w:tcPr>
          <w:p w14:paraId="346CC63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vertAlign w:val="baseline"/>
                <w:lang w:val="en-US" w:eastAsia="zh-CN" w:bidi="ar-SA"/>
                <w14:textFill>
                  <w14:solidFill>
                    <w14:schemeClr w14:val="tx1"/>
                  </w14:solidFill>
                </w14:textFill>
              </w:rPr>
              <w:t>便携式多参数水质测定仪（水温、PH、电导率、溶解氧</w:t>
            </w:r>
          </w:p>
        </w:tc>
        <w:tc>
          <w:tcPr>
            <w:tcW w:w="10625" w:type="dxa"/>
            <w:vAlign w:val="center"/>
          </w:tcPr>
          <w:p w14:paraId="228E34F8">
            <w:pPr>
              <w:pageBreakBefore w:val="0"/>
              <w:kinsoku/>
              <w:overflowPunct/>
              <w:bidi w:val="0"/>
              <w:spacing w:line="360" w:lineRule="auto"/>
              <w:jc w:val="both"/>
              <w:rPr>
                <w:rFonts w:hint="eastAsia" w:ascii="宋体" w:hAnsi="宋体" w:eastAsia="宋体" w:cs="宋体"/>
                <w:b/>
                <w:bCs/>
                <w:sz w:val="21"/>
                <w:szCs w:val="21"/>
              </w:rPr>
            </w:pPr>
            <w:r>
              <w:rPr>
                <w:rFonts w:hint="eastAsia" w:ascii="宋体" w:hAnsi="宋体" w:eastAsia="宋体" w:cs="宋体"/>
                <w:b/>
                <w:bCs/>
                <w:sz w:val="21"/>
                <w:szCs w:val="21"/>
              </w:rPr>
              <w:t>1</w:t>
            </w:r>
            <w:r>
              <w:rPr>
                <w:rFonts w:hint="eastAsia" w:ascii="宋体" w:hAnsi="宋体" w:eastAsia="宋体" w:cs="宋体"/>
                <w:b/>
                <w:bCs/>
                <w:sz w:val="21"/>
                <w:szCs w:val="21"/>
                <w:lang w:eastAsia="zh-CN"/>
              </w:rPr>
              <w:t>、</w:t>
            </w:r>
            <w:r>
              <w:rPr>
                <w:rFonts w:hint="eastAsia" w:ascii="宋体" w:hAnsi="宋体" w:eastAsia="宋体" w:cs="宋体"/>
                <w:b/>
                <w:bCs/>
                <w:sz w:val="21"/>
                <w:szCs w:val="21"/>
              </w:rPr>
              <w:t>用途</w:t>
            </w:r>
          </w:p>
          <w:p w14:paraId="3051C78C">
            <w:pPr>
              <w:pageBreakBefore w:val="0"/>
              <w:kinsoku/>
              <w:overflowPunct/>
              <w:bidi w:val="0"/>
              <w:spacing w:line="360" w:lineRule="auto"/>
              <w:ind w:firstLine="412" w:firstLineChars="200"/>
              <w:jc w:val="both"/>
              <w:rPr>
                <w:rFonts w:hint="eastAsia" w:ascii="宋体" w:hAnsi="宋体" w:eastAsia="宋体" w:cs="宋体"/>
                <w:spacing w:val="-2"/>
                <w:sz w:val="21"/>
                <w:szCs w:val="21"/>
              </w:rPr>
            </w:pPr>
            <w:r>
              <w:rPr>
                <w:rFonts w:hint="eastAsia" w:ascii="宋体" w:hAnsi="宋体" w:eastAsia="宋体" w:cs="宋体"/>
                <w:spacing w:val="-2"/>
                <w:sz w:val="21"/>
                <w:szCs w:val="21"/>
              </w:rPr>
              <w:t>可用于市政污水、工业污水、饮用水、环境监测、教育、科研等领域的水质分析。可测参数有pH、电导率、TDS、DO；可在分析仪之间调换已校准的电极，可以现场使用，自动检测标准程序和校准提醒。</w:t>
            </w:r>
          </w:p>
          <w:p w14:paraId="2D67E7E3">
            <w:pPr>
              <w:pageBreakBefore w:val="0"/>
              <w:kinsoku/>
              <w:overflowPunct/>
              <w:bidi w:val="0"/>
              <w:spacing w:line="360" w:lineRule="auto"/>
              <w:jc w:val="both"/>
              <w:rPr>
                <w:rFonts w:hint="eastAsia" w:ascii="宋体" w:hAnsi="宋体" w:eastAsia="宋体" w:cs="宋体"/>
                <w:b/>
                <w:bCs/>
                <w:sz w:val="21"/>
                <w:szCs w:val="21"/>
              </w:rPr>
            </w:pPr>
            <w:r>
              <w:rPr>
                <w:rFonts w:hint="eastAsia" w:ascii="宋体" w:hAnsi="宋体" w:eastAsia="宋体" w:cs="宋体"/>
                <w:b/>
                <w:bCs/>
                <w:sz w:val="21"/>
                <w:szCs w:val="21"/>
              </w:rPr>
              <w:t>2</w:t>
            </w:r>
            <w:r>
              <w:rPr>
                <w:rFonts w:hint="eastAsia" w:ascii="宋体" w:hAnsi="宋体" w:eastAsia="宋体" w:cs="宋体"/>
                <w:b/>
                <w:bCs/>
                <w:sz w:val="21"/>
                <w:szCs w:val="21"/>
                <w:lang w:eastAsia="zh-CN"/>
              </w:rPr>
              <w:t>、</w:t>
            </w:r>
            <w:r>
              <w:rPr>
                <w:rFonts w:hint="eastAsia" w:ascii="宋体" w:hAnsi="宋体" w:eastAsia="宋体" w:cs="宋体"/>
                <w:b/>
                <w:bCs/>
                <w:sz w:val="21"/>
                <w:szCs w:val="21"/>
              </w:rPr>
              <w:t>便携式多参数分析仪</w:t>
            </w:r>
          </w:p>
          <w:p w14:paraId="2B98C6AA">
            <w:pPr>
              <w:pageBreakBefore w:val="0"/>
              <w:kinsoku/>
              <w:overflowPunct/>
              <w:bidi w:val="0"/>
              <w:spacing w:line="360" w:lineRule="auto"/>
              <w:jc w:val="both"/>
              <w:rPr>
                <w:rFonts w:hint="eastAsia" w:ascii="宋体" w:hAnsi="宋体" w:eastAsia="宋体" w:cs="宋体"/>
                <w:b/>
                <w:sz w:val="21"/>
                <w:szCs w:val="21"/>
              </w:rPr>
            </w:pPr>
            <w:r>
              <w:rPr>
                <w:rFonts w:hint="eastAsia" w:ascii="宋体" w:hAnsi="宋体" w:eastAsia="宋体" w:cs="宋体"/>
                <w:b/>
                <w:sz w:val="21"/>
                <w:szCs w:val="21"/>
              </w:rPr>
              <w:t>2.1 工作条件</w:t>
            </w:r>
          </w:p>
          <w:p w14:paraId="7A1A4BC2">
            <w:pPr>
              <w:pageBreakBefore w:val="0"/>
              <w:kinsoku/>
              <w:overflowPunct/>
              <w:bidi w:val="0"/>
              <w:spacing w:line="360" w:lineRule="auto"/>
              <w:rPr>
                <w:rFonts w:hint="eastAsia" w:ascii="宋体" w:hAnsi="宋体" w:eastAsia="宋体" w:cs="宋体"/>
                <w:spacing w:val="-2"/>
                <w:sz w:val="21"/>
                <w:szCs w:val="21"/>
              </w:rPr>
            </w:pPr>
            <w:r>
              <w:rPr>
                <w:rFonts w:hint="eastAsia" w:ascii="宋体" w:hAnsi="宋体" w:eastAsia="宋体" w:cs="宋体"/>
                <w:sz w:val="21"/>
                <w:szCs w:val="21"/>
              </w:rPr>
              <w:t xml:space="preserve">2.1.1 </w:t>
            </w:r>
            <w:r>
              <w:rPr>
                <w:rFonts w:hint="eastAsia" w:ascii="宋体" w:hAnsi="宋体" w:eastAsia="宋体" w:cs="宋体"/>
                <w:spacing w:val="-2"/>
                <w:sz w:val="21"/>
                <w:szCs w:val="21"/>
              </w:rPr>
              <w:t>电源要求 ：提供两种供电模式（1）内部的</w:t>
            </w:r>
            <w:r>
              <w:rPr>
                <w:rFonts w:hint="eastAsia" w:ascii="宋体" w:hAnsi="宋体" w:eastAsia="宋体" w:cs="宋体"/>
                <w:color w:val="000000"/>
                <w:sz w:val="21"/>
                <w:szCs w:val="21"/>
              </w:rPr>
              <w:t>可充电锂离子电池</w:t>
            </w:r>
            <w:r>
              <w:rPr>
                <w:rFonts w:hint="eastAsia" w:ascii="宋体" w:hAnsi="宋体" w:eastAsia="宋体" w:cs="宋体"/>
                <w:sz w:val="21"/>
                <w:szCs w:val="21"/>
              </w:rPr>
              <w:t>;（2）</w:t>
            </w:r>
            <w:r>
              <w:rPr>
                <w:rFonts w:hint="eastAsia" w:ascii="宋体" w:hAnsi="宋体" w:eastAsia="宋体" w:cs="宋体"/>
                <w:sz w:val="21"/>
                <w:szCs w:val="21"/>
                <w:lang w:val="en-US" w:eastAsia="zh-CN"/>
              </w:rPr>
              <w:t>可外接220V市电或</w:t>
            </w:r>
            <w:r>
              <w:rPr>
                <w:rFonts w:hint="eastAsia" w:ascii="宋体" w:hAnsi="宋体" w:eastAsia="宋体" w:cs="宋体"/>
                <w:spacing w:val="-2"/>
                <w:sz w:val="21"/>
                <w:szCs w:val="21"/>
              </w:rPr>
              <w:t xml:space="preserve">外置的 </w:t>
            </w:r>
            <w:r>
              <w:rPr>
                <w:rFonts w:hint="eastAsia" w:ascii="宋体" w:hAnsi="宋体" w:eastAsia="宋体" w:cs="宋体"/>
                <w:color w:val="000000"/>
                <w:sz w:val="21"/>
                <w:szCs w:val="21"/>
              </w:rPr>
              <w:t>USB 电源适配器。</w:t>
            </w:r>
          </w:p>
          <w:p w14:paraId="19EE669E">
            <w:pPr>
              <w:pageBreakBefore w:val="0"/>
              <w:kinsoku/>
              <w:overflowPunct/>
              <w:bidi w:val="0"/>
              <w:spacing w:line="360" w:lineRule="auto"/>
              <w:jc w:val="both"/>
              <w:rPr>
                <w:rFonts w:hint="eastAsia" w:ascii="宋体" w:hAnsi="宋体" w:eastAsia="宋体" w:cs="宋体"/>
                <w:b/>
                <w:sz w:val="21"/>
                <w:szCs w:val="21"/>
              </w:rPr>
            </w:pPr>
            <w:r>
              <w:rPr>
                <w:rFonts w:hint="eastAsia" w:ascii="宋体" w:hAnsi="宋体" w:eastAsia="宋体" w:cs="宋体"/>
                <w:b/>
                <w:sz w:val="21"/>
                <w:szCs w:val="21"/>
              </w:rPr>
              <w:t>2.2技术性能指标</w:t>
            </w:r>
          </w:p>
          <w:p w14:paraId="2B47584D">
            <w:pPr>
              <w:pageBreakBefore w:val="0"/>
              <w:kinsoku/>
              <w:overflowPunct/>
              <w:bidi w:val="0"/>
              <w:spacing w:line="360" w:lineRule="auto"/>
              <w:ind w:left="1235" w:hanging="1234" w:hangingChars="588"/>
              <w:rPr>
                <w:rFonts w:hint="eastAsia" w:ascii="宋体" w:hAnsi="宋体" w:eastAsia="宋体" w:cs="宋体"/>
                <w:b/>
                <w:sz w:val="21"/>
                <w:szCs w:val="21"/>
              </w:rPr>
            </w:pPr>
            <w:r>
              <w:rPr>
                <w:rFonts w:hint="eastAsia" w:ascii="宋体" w:hAnsi="宋体" w:eastAsia="宋体" w:cs="宋体"/>
                <w:sz w:val="21"/>
                <w:szCs w:val="21"/>
              </w:rPr>
              <w:t>2.2.1 语言：中文</w:t>
            </w:r>
          </w:p>
          <w:p w14:paraId="05941036">
            <w:pPr>
              <w:pageBreakBefore w:val="0"/>
              <w:kinsoku/>
              <w:overflowPunct/>
              <w:bidi w:val="0"/>
              <w:spacing w:line="360" w:lineRule="auto"/>
              <w:ind w:left="1155" w:hanging="1155" w:hangingChars="550"/>
              <w:jc w:val="both"/>
              <w:rPr>
                <w:rFonts w:hint="eastAsia" w:ascii="宋体" w:hAnsi="宋体" w:eastAsia="宋体" w:cs="宋体"/>
                <w:sz w:val="21"/>
                <w:szCs w:val="21"/>
              </w:rPr>
            </w:pPr>
            <w:r>
              <w:rPr>
                <w:rFonts w:hint="eastAsia" w:ascii="宋体" w:hAnsi="宋体" w:eastAsia="宋体" w:cs="宋体"/>
                <w:szCs w:val="21"/>
                <w:lang w:val="en-US" w:eastAsia="zh-CN"/>
              </w:rPr>
              <w:t>▲</w:t>
            </w:r>
            <w:r>
              <w:rPr>
                <w:rFonts w:hint="eastAsia" w:ascii="宋体" w:hAnsi="宋体" w:eastAsia="宋体" w:cs="宋体"/>
                <w:sz w:val="21"/>
                <w:szCs w:val="21"/>
              </w:rPr>
              <w:t>2.2.2显示：可同时显示如下2个电极的测量读数</w:t>
            </w:r>
          </w:p>
          <w:p w14:paraId="5FF10DCC">
            <w:pPr>
              <w:pageBreakBefore w:val="0"/>
              <w:kinsoku/>
              <w:overflowPunct/>
              <w:bidi w:val="0"/>
              <w:spacing w:line="360" w:lineRule="auto"/>
              <w:ind w:firstLine="617" w:firstLineChars="294"/>
              <w:jc w:val="both"/>
              <w:rPr>
                <w:rFonts w:hint="eastAsia" w:ascii="宋体" w:hAnsi="宋体" w:eastAsia="宋体" w:cs="宋体"/>
                <w:bCs/>
                <w:sz w:val="21"/>
                <w:szCs w:val="21"/>
              </w:rPr>
            </w:pPr>
            <w:r>
              <w:rPr>
                <w:rFonts w:hint="eastAsia" w:ascii="宋体" w:hAnsi="宋体" w:eastAsia="宋体" w:cs="宋体"/>
                <w:bCs/>
                <w:sz w:val="21"/>
                <w:szCs w:val="21"/>
              </w:rPr>
              <w:t>（1）pH电极：pH、mV、温度</w:t>
            </w:r>
          </w:p>
          <w:p w14:paraId="783691B9">
            <w:pPr>
              <w:pageBreakBefore w:val="0"/>
              <w:kinsoku/>
              <w:overflowPunct/>
              <w:bidi w:val="0"/>
              <w:spacing w:line="360" w:lineRule="auto"/>
              <w:ind w:firstLine="617" w:firstLineChars="294"/>
              <w:jc w:val="both"/>
              <w:rPr>
                <w:rFonts w:hint="eastAsia" w:ascii="宋体" w:hAnsi="宋体" w:eastAsia="宋体" w:cs="宋体"/>
                <w:bCs/>
                <w:sz w:val="21"/>
                <w:szCs w:val="21"/>
              </w:rPr>
            </w:pPr>
            <w:r>
              <w:rPr>
                <w:rFonts w:hint="eastAsia" w:ascii="宋体" w:hAnsi="宋体" w:eastAsia="宋体" w:cs="宋体"/>
                <w:bCs/>
                <w:sz w:val="21"/>
                <w:szCs w:val="21"/>
              </w:rPr>
              <w:t>（2）电导率电极：电导率、盐度、TDS总溶解固体、温度</w:t>
            </w:r>
          </w:p>
          <w:p w14:paraId="204B23B4">
            <w:pPr>
              <w:pageBreakBefore w:val="0"/>
              <w:kinsoku/>
              <w:overflowPunct/>
              <w:bidi w:val="0"/>
              <w:spacing w:line="360" w:lineRule="auto"/>
              <w:ind w:firstLine="617" w:firstLineChars="294"/>
              <w:jc w:val="both"/>
              <w:rPr>
                <w:rFonts w:hint="eastAsia" w:ascii="宋体" w:hAnsi="宋体" w:eastAsia="宋体" w:cs="宋体"/>
                <w:bCs/>
                <w:sz w:val="21"/>
                <w:szCs w:val="21"/>
                <w:lang w:eastAsia="zh-CN"/>
              </w:rPr>
            </w:pPr>
            <w:r>
              <w:rPr>
                <w:rFonts w:hint="eastAsia" w:ascii="宋体" w:hAnsi="宋体" w:eastAsia="宋体" w:cs="宋体"/>
                <w:bCs/>
                <w:sz w:val="21"/>
                <w:szCs w:val="21"/>
              </w:rPr>
              <w:t>（3）溶解氧电极：溶解氧、压力、温度</w:t>
            </w:r>
          </w:p>
          <w:p w14:paraId="35FA5722">
            <w:pPr>
              <w:pageBreakBefore w:val="0"/>
              <w:kinsoku/>
              <w:overflowPunct/>
              <w:bidi w:val="0"/>
              <w:spacing w:line="360" w:lineRule="auto"/>
              <w:ind w:left="105" w:hanging="105" w:hangingChars="50"/>
              <w:jc w:val="both"/>
              <w:rPr>
                <w:rFonts w:hint="eastAsia" w:ascii="宋体" w:hAnsi="宋体" w:eastAsia="宋体" w:cs="宋体"/>
                <w:sz w:val="21"/>
                <w:szCs w:val="21"/>
              </w:rPr>
            </w:pPr>
            <w:r>
              <w:rPr>
                <w:rFonts w:hint="eastAsia" w:ascii="宋体" w:hAnsi="宋体" w:eastAsia="宋体" w:cs="宋体"/>
                <w:sz w:val="21"/>
                <w:szCs w:val="21"/>
              </w:rPr>
              <w:t>2.2.3 数据内存：不少于 10,000 组数据</w:t>
            </w:r>
          </w:p>
          <w:p w14:paraId="234EAAF3">
            <w:pPr>
              <w:pageBreakBefore w:val="0"/>
              <w:kinsoku/>
              <w:overflowPunct/>
              <w:bidi w:val="0"/>
              <w:spacing w:line="360" w:lineRule="auto"/>
              <w:ind w:left="1890" w:hanging="1890" w:hangingChars="900"/>
              <w:rPr>
                <w:rFonts w:hint="eastAsia" w:ascii="宋体" w:hAnsi="宋体" w:eastAsia="宋体" w:cs="宋体"/>
                <w:sz w:val="21"/>
                <w:szCs w:val="21"/>
              </w:rPr>
            </w:pPr>
            <w:r>
              <w:rPr>
                <w:rFonts w:hint="eastAsia" w:ascii="宋体" w:hAnsi="宋体" w:eastAsia="宋体" w:cs="宋体"/>
                <w:sz w:val="21"/>
                <w:szCs w:val="21"/>
              </w:rPr>
              <w:t>2.2.4 数据存储： 在“按下即读”模式和间隔测量模式时可自动存储。</w:t>
            </w:r>
          </w:p>
          <w:p w14:paraId="78C644FE">
            <w:pPr>
              <w:pageBreakBefore w:val="0"/>
              <w:kinsoku/>
              <w:overflowPunct/>
              <w:bidi w:val="0"/>
              <w:spacing w:line="360" w:lineRule="auto"/>
              <w:ind w:left="105" w:hanging="105" w:hangingChars="50"/>
              <w:rPr>
                <w:rFonts w:hint="eastAsia" w:ascii="宋体" w:hAnsi="宋体" w:eastAsia="宋体" w:cs="宋体"/>
                <w:sz w:val="21"/>
                <w:szCs w:val="21"/>
                <w:highlight w:val="none"/>
              </w:rPr>
            </w:pPr>
            <w:r>
              <w:rPr>
                <w:rFonts w:hint="eastAsia" w:ascii="宋体" w:hAnsi="宋体" w:eastAsia="宋体" w:cs="宋体"/>
                <w:sz w:val="21"/>
                <w:szCs w:val="21"/>
                <w:highlight w:val="none"/>
              </w:rPr>
              <w:t>2.2.5 数据传输：</w:t>
            </w:r>
            <w:r>
              <w:rPr>
                <w:rFonts w:hint="eastAsia" w:ascii="宋体" w:hAnsi="宋体" w:eastAsia="宋体" w:cs="宋体"/>
                <w:i w:val="0"/>
                <w:iCs w:val="0"/>
                <w:caps w:val="0"/>
                <w:color w:val="auto"/>
                <w:spacing w:val="0"/>
                <w:sz w:val="21"/>
                <w:szCs w:val="21"/>
                <w:highlight w:val="none"/>
                <w:shd w:val="clear" w:fill="auto"/>
              </w:rPr>
              <w:t>蓝牙</w:t>
            </w:r>
            <w:r>
              <w:rPr>
                <w:rFonts w:hint="eastAsia" w:ascii="宋体" w:hAnsi="宋体" w:cs="宋体"/>
                <w:i w:val="0"/>
                <w:iCs w:val="0"/>
                <w:caps w:val="0"/>
                <w:color w:val="auto"/>
                <w:spacing w:val="0"/>
                <w:sz w:val="21"/>
                <w:szCs w:val="21"/>
                <w:highlight w:val="none"/>
                <w:shd w:val="clear" w:fill="auto"/>
                <w:lang w:val="en-US" w:eastAsia="zh-CN"/>
              </w:rPr>
              <w:t>或</w:t>
            </w:r>
            <w:r>
              <w:rPr>
                <w:rFonts w:hint="eastAsia" w:ascii="宋体" w:hAnsi="宋体" w:eastAsia="宋体" w:cs="宋体"/>
                <w:i w:val="0"/>
                <w:iCs w:val="0"/>
                <w:caps w:val="0"/>
                <w:color w:val="auto"/>
                <w:spacing w:val="0"/>
                <w:sz w:val="21"/>
                <w:szCs w:val="21"/>
                <w:highlight w:val="none"/>
                <w:shd w:val="clear" w:fill="auto"/>
              </w:rPr>
              <w:t>支持</w:t>
            </w:r>
            <w:r>
              <w:rPr>
                <w:rFonts w:hint="eastAsia" w:ascii="宋体" w:hAnsi="宋体" w:cs="宋体"/>
                <w:i w:val="0"/>
                <w:iCs w:val="0"/>
                <w:caps w:val="0"/>
                <w:color w:val="auto"/>
                <w:spacing w:val="0"/>
                <w:sz w:val="21"/>
                <w:szCs w:val="21"/>
                <w:highlight w:val="none"/>
                <w:shd w:val="clear" w:fill="auto"/>
                <w:lang w:val="en-US" w:eastAsia="zh-CN"/>
              </w:rPr>
              <w:t>其它</w:t>
            </w:r>
            <w:r>
              <w:rPr>
                <w:rFonts w:hint="eastAsia" w:ascii="宋体" w:hAnsi="宋体" w:eastAsia="宋体" w:cs="宋体"/>
                <w:i w:val="0"/>
                <w:iCs w:val="0"/>
                <w:caps w:val="0"/>
                <w:color w:val="auto"/>
                <w:spacing w:val="0"/>
                <w:sz w:val="21"/>
                <w:szCs w:val="21"/>
                <w:highlight w:val="none"/>
                <w:shd w:val="clear" w:fill="auto"/>
              </w:rPr>
              <w:t>无线传输</w:t>
            </w:r>
            <w:r>
              <w:rPr>
                <w:rFonts w:hint="eastAsia" w:ascii="宋体" w:hAnsi="宋体" w:cs="宋体"/>
                <w:i w:val="0"/>
                <w:iCs w:val="0"/>
                <w:caps w:val="0"/>
                <w:color w:val="auto"/>
                <w:spacing w:val="0"/>
                <w:sz w:val="21"/>
                <w:szCs w:val="21"/>
                <w:highlight w:val="none"/>
                <w:shd w:val="clear" w:fill="auto"/>
                <w:lang w:val="en-US" w:eastAsia="zh-CN"/>
              </w:rPr>
              <w:t>功能</w:t>
            </w:r>
            <w:r>
              <w:rPr>
                <w:rFonts w:hint="eastAsia" w:ascii="宋体" w:hAnsi="宋体" w:eastAsia="宋体" w:cs="宋体"/>
                <w:i w:val="0"/>
                <w:iCs w:val="0"/>
                <w:caps w:val="0"/>
                <w:color w:val="auto"/>
                <w:spacing w:val="0"/>
                <w:sz w:val="21"/>
                <w:szCs w:val="21"/>
                <w:highlight w:val="none"/>
                <w:shd w:val="clear" w:fill="auto"/>
                <w:lang w:eastAsia="zh-CN"/>
              </w:rPr>
              <w:t>，</w:t>
            </w:r>
            <w:r>
              <w:rPr>
                <w:rFonts w:hint="eastAsia" w:ascii="宋体" w:hAnsi="宋体" w:eastAsia="宋体" w:cs="宋体"/>
                <w:i w:val="0"/>
                <w:iCs w:val="0"/>
                <w:caps w:val="0"/>
                <w:color w:val="auto"/>
                <w:spacing w:val="0"/>
                <w:sz w:val="21"/>
                <w:szCs w:val="21"/>
                <w:highlight w:val="none"/>
                <w:shd w:val="clear" w:fill="auto"/>
                <w:lang w:val="en-US" w:eastAsia="zh-CN"/>
              </w:rPr>
              <w:t>可</w:t>
            </w:r>
            <w:r>
              <w:rPr>
                <w:rFonts w:hint="eastAsia" w:ascii="宋体" w:hAnsi="宋体" w:eastAsia="宋体" w:cs="宋体"/>
                <w:sz w:val="21"/>
                <w:szCs w:val="21"/>
                <w:highlight w:val="none"/>
              </w:rPr>
              <w:t>通过USB</w:t>
            </w:r>
            <w:r>
              <w:rPr>
                <w:rFonts w:hint="eastAsia" w:ascii="宋体" w:hAnsi="宋体" w:cs="宋体"/>
                <w:sz w:val="21"/>
                <w:szCs w:val="21"/>
                <w:highlight w:val="none"/>
                <w:lang w:val="en-US" w:eastAsia="zh-CN"/>
              </w:rPr>
              <w:t>等</w:t>
            </w:r>
            <w:r>
              <w:rPr>
                <w:rFonts w:hint="eastAsia" w:ascii="宋体" w:hAnsi="宋体" w:eastAsia="宋体" w:cs="宋体"/>
                <w:sz w:val="21"/>
                <w:szCs w:val="21"/>
                <w:highlight w:val="none"/>
              </w:rPr>
              <w:t>接口连接到至PC或USB</w:t>
            </w:r>
            <w:r>
              <w:rPr>
                <w:rFonts w:hint="eastAsia" w:ascii="宋体" w:hAnsi="宋体" w:cs="宋体"/>
                <w:sz w:val="21"/>
                <w:szCs w:val="21"/>
                <w:highlight w:val="none"/>
                <w:lang w:val="en-US" w:eastAsia="zh-CN"/>
              </w:rPr>
              <w:t>等</w:t>
            </w:r>
            <w:r>
              <w:rPr>
                <w:rFonts w:hint="eastAsia" w:ascii="宋体" w:hAnsi="宋体" w:eastAsia="宋体" w:cs="宋体"/>
                <w:sz w:val="21"/>
                <w:szCs w:val="21"/>
                <w:highlight w:val="none"/>
              </w:rPr>
              <w:t>存储设备。</w:t>
            </w:r>
          </w:p>
          <w:p w14:paraId="220557A6">
            <w:pPr>
              <w:pageBreakBefore w:val="0"/>
              <w:kinsoku/>
              <w:overflowPunct/>
              <w:bidi w:val="0"/>
              <w:spacing w:line="360" w:lineRule="auto"/>
              <w:ind w:left="105" w:hanging="105" w:hangingChars="50"/>
              <w:rPr>
                <w:rFonts w:hint="eastAsia" w:ascii="宋体" w:hAnsi="宋体" w:eastAsia="宋体" w:cs="宋体"/>
                <w:sz w:val="21"/>
                <w:szCs w:val="21"/>
              </w:rPr>
            </w:pPr>
            <w:r>
              <w:rPr>
                <w:rFonts w:hint="eastAsia" w:ascii="宋体" w:hAnsi="宋体" w:eastAsia="宋体" w:cs="宋体"/>
                <w:sz w:val="21"/>
                <w:szCs w:val="21"/>
              </w:rPr>
              <w:t>2.2.6 温度校正：关闭、自动和手动（取决于特定参数）</w:t>
            </w:r>
          </w:p>
          <w:p w14:paraId="13E5850F">
            <w:pPr>
              <w:pageBreakBefore w:val="0"/>
              <w:kinsoku/>
              <w:overflowPunct/>
              <w:bidi w:val="0"/>
              <w:spacing w:line="360" w:lineRule="auto"/>
              <w:ind w:left="105" w:hanging="105" w:hangingChars="50"/>
              <w:rPr>
                <w:rFonts w:hint="eastAsia" w:ascii="宋体" w:hAnsi="宋体" w:eastAsia="宋体" w:cs="宋体"/>
                <w:sz w:val="21"/>
                <w:szCs w:val="21"/>
              </w:rPr>
            </w:pPr>
            <w:r>
              <w:rPr>
                <w:rFonts w:hint="eastAsia" w:ascii="宋体" w:hAnsi="宋体" w:eastAsia="宋体" w:cs="宋体"/>
                <w:sz w:val="21"/>
                <w:szCs w:val="21"/>
              </w:rPr>
              <w:t>2.2.7外壳防护等级：IP67</w:t>
            </w:r>
          </w:p>
          <w:p w14:paraId="14E455A9">
            <w:pPr>
              <w:pageBreakBefore w:val="0"/>
              <w:kinsoku/>
              <w:overflowPunct/>
              <w:bidi w:val="0"/>
              <w:spacing w:line="360" w:lineRule="auto"/>
              <w:ind w:left="0" w:firstLine="0" w:firstLineChars="0"/>
              <w:rPr>
                <w:rFonts w:hint="eastAsia" w:ascii="宋体" w:hAnsi="宋体" w:eastAsia="宋体" w:cs="宋体"/>
                <w:sz w:val="21"/>
                <w:szCs w:val="21"/>
              </w:rPr>
            </w:pPr>
            <w:r>
              <w:rPr>
                <w:rFonts w:hint="eastAsia" w:ascii="宋体" w:hAnsi="宋体" w:eastAsia="宋体" w:cs="宋体"/>
                <w:sz w:val="21"/>
                <w:szCs w:val="21"/>
                <w:lang w:val="en-US" w:eastAsia="zh-CN"/>
              </w:rPr>
              <w:t>2.2.8</w:t>
            </w:r>
            <w:r>
              <w:rPr>
                <w:rFonts w:hint="eastAsia" w:ascii="宋体" w:hAnsi="宋体" w:eastAsia="宋体" w:cs="宋体"/>
                <w:bCs/>
                <w:sz w:val="21"/>
                <w:szCs w:val="21"/>
                <w:lang w:val="en-US" w:eastAsia="zh-CN"/>
              </w:rPr>
              <w:t>具有定位授时功能</w:t>
            </w:r>
          </w:p>
          <w:p w14:paraId="75B13DDA">
            <w:pPr>
              <w:pageBreakBefore w:val="0"/>
              <w:kinsoku/>
              <w:overflowPunct/>
              <w:bidi w:val="0"/>
              <w:spacing w:line="360" w:lineRule="auto"/>
              <w:jc w:val="both"/>
              <w:rPr>
                <w:rFonts w:hint="eastAsia" w:ascii="宋体" w:hAnsi="宋体" w:eastAsia="宋体" w:cs="宋体"/>
                <w:b/>
                <w:sz w:val="21"/>
                <w:szCs w:val="21"/>
              </w:rPr>
            </w:pPr>
            <w:r>
              <w:rPr>
                <w:rFonts w:hint="eastAsia" w:ascii="宋体" w:hAnsi="宋体" w:eastAsia="宋体" w:cs="宋体"/>
                <w:b/>
                <w:spacing w:val="-2"/>
                <w:sz w:val="21"/>
                <w:szCs w:val="21"/>
              </w:rPr>
              <w:t>3</w:t>
            </w:r>
            <w:r>
              <w:rPr>
                <w:rFonts w:hint="eastAsia" w:ascii="宋体" w:hAnsi="宋体" w:eastAsia="宋体" w:cs="宋体"/>
                <w:b/>
                <w:spacing w:val="-2"/>
                <w:sz w:val="21"/>
                <w:szCs w:val="21"/>
                <w:lang w:eastAsia="zh-CN"/>
              </w:rPr>
              <w:t>、</w:t>
            </w:r>
            <w:r>
              <w:rPr>
                <w:rFonts w:hint="eastAsia" w:ascii="宋体" w:hAnsi="宋体" w:eastAsia="宋体" w:cs="宋体"/>
                <w:b/>
                <w:spacing w:val="-2"/>
                <w:sz w:val="21"/>
                <w:szCs w:val="21"/>
              </w:rPr>
              <w:t>电极</w:t>
            </w:r>
            <w:r>
              <w:rPr>
                <w:rFonts w:hint="eastAsia" w:ascii="宋体" w:hAnsi="宋体" w:eastAsia="宋体" w:cs="宋体"/>
                <w:b/>
                <w:sz w:val="21"/>
                <w:szCs w:val="21"/>
              </w:rPr>
              <w:t>技术性能指标</w:t>
            </w:r>
          </w:p>
          <w:p w14:paraId="188223BC">
            <w:pPr>
              <w:pageBreakBefore w:val="0"/>
              <w:kinsoku/>
              <w:overflowPunct/>
              <w:bidi w:val="0"/>
              <w:spacing w:line="360" w:lineRule="auto"/>
              <w:jc w:val="both"/>
              <w:rPr>
                <w:rFonts w:hint="eastAsia" w:ascii="宋体" w:hAnsi="宋体" w:eastAsia="宋体" w:cs="宋体"/>
                <w:b/>
                <w:spacing w:val="-2"/>
                <w:sz w:val="21"/>
                <w:szCs w:val="21"/>
              </w:rPr>
            </w:pPr>
            <w:r>
              <w:rPr>
                <w:rFonts w:hint="eastAsia" w:ascii="宋体" w:hAnsi="宋体" w:eastAsia="宋体" w:cs="宋体"/>
                <w:b/>
                <w:spacing w:val="-2"/>
                <w:sz w:val="21"/>
                <w:szCs w:val="21"/>
              </w:rPr>
              <w:t>3.1温度</w:t>
            </w:r>
          </w:p>
          <w:p w14:paraId="42FD0E67">
            <w:pPr>
              <w:pageBreakBefore w:val="0"/>
              <w:kinsoku/>
              <w:overflowPunct/>
              <w:bidi w:val="0"/>
              <w:spacing w:line="360" w:lineRule="auto"/>
              <w:ind w:firstLine="412" w:firstLineChars="200"/>
              <w:jc w:val="both"/>
              <w:rPr>
                <w:rFonts w:hint="eastAsia" w:ascii="宋体" w:hAnsi="宋体" w:eastAsia="宋体" w:cs="宋体"/>
                <w:spacing w:val="-2"/>
                <w:sz w:val="21"/>
                <w:szCs w:val="21"/>
              </w:rPr>
            </w:pPr>
            <w:r>
              <w:rPr>
                <w:rFonts w:hint="eastAsia" w:ascii="宋体" w:hAnsi="宋体" w:eastAsia="宋体" w:cs="宋体"/>
                <w:spacing w:val="-2"/>
                <w:sz w:val="21"/>
                <w:szCs w:val="21"/>
              </w:rPr>
              <w:t>量程：-10.0～</w:t>
            </w:r>
            <w:r>
              <w:rPr>
                <w:rFonts w:hint="eastAsia" w:ascii="宋体" w:hAnsi="宋体" w:eastAsia="宋体" w:cs="宋体"/>
                <w:spacing w:val="-2"/>
                <w:sz w:val="21"/>
                <w:szCs w:val="21"/>
                <w:lang w:val="en-US" w:eastAsia="zh-CN"/>
              </w:rPr>
              <w:t>100</w:t>
            </w:r>
            <w:r>
              <w:rPr>
                <w:rFonts w:hint="eastAsia" w:ascii="宋体" w:hAnsi="宋体" w:eastAsia="宋体" w:cs="宋体"/>
                <w:spacing w:val="-2"/>
                <w:sz w:val="21"/>
                <w:szCs w:val="21"/>
              </w:rPr>
              <w:t>℃</w:t>
            </w:r>
          </w:p>
          <w:p w14:paraId="4ADB34C9">
            <w:pPr>
              <w:pageBreakBefore w:val="0"/>
              <w:kinsoku/>
              <w:overflowPunct/>
              <w:bidi w:val="0"/>
              <w:spacing w:line="360" w:lineRule="auto"/>
              <w:ind w:firstLine="480"/>
              <w:jc w:val="both"/>
              <w:rPr>
                <w:rFonts w:hint="eastAsia" w:ascii="宋体" w:hAnsi="宋体" w:eastAsia="宋体" w:cs="宋体"/>
                <w:spacing w:val="-2"/>
                <w:sz w:val="21"/>
                <w:szCs w:val="21"/>
              </w:rPr>
            </w:pPr>
            <w:r>
              <w:rPr>
                <w:rFonts w:hint="eastAsia" w:ascii="宋体" w:hAnsi="宋体" w:eastAsia="宋体" w:cs="宋体"/>
                <w:spacing w:val="-2"/>
                <w:sz w:val="21"/>
                <w:szCs w:val="21"/>
              </w:rPr>
              <w:t>分辨率：0.1℃</w:t>
            </w:r>
          </w:p>
          <w:p w14:paraId="3C91F059">
            <w:pPr>
              <w:pageBreakBefore w:val="0"/>
              <w:kinsoku/>
              <w:overflowPunct/>
              <w:bidi w:val="0"/>
              <w:spacing w:line="360" w:lineRule="auto"/>
              <w:ind w:firstLine="480"/>
              <w:jc w:val="both"/>
              <w:rPr>
                <w:rFonts w:hint="eastAsia" w:ascii="宋体" w:hAnsi="宋体" w:eastAsia="宋体" w:cs="宋体"/>
                <w:spacing w:val="-2"/>
                <w:sz w:val="21"/>
                <w:szCs w:val="21"/>
              </w:rPr>
            </w:pPr>
            <w:r>
              <w:rPr>
                <w:rFonts w:hint="eastAsia" w:ascii="宋体" w:hAnsi="宋体" w:eastAsia="宋体" w:cs="宋体"/>
                <w:spacing w:val="-2"/>
                <w:sz w:val="21"/>
                <w:szCs w:val="21"/>
              </w:rPr>
              <w:t>准确度：±0.3℃</w:t>
            </w:r>
          </w:p>
          <w:p w14:paraId="236FC990">
            <w:pPr>
              <w:pageBreakBefore w:val="0"/>
              <w:kinsoku/>
              <w:overflowPunct/>
              <w:bidi w:val="0"/>
              <w:spacing w:line="360" w:lineRule="auto"/>
              <w:jc w:val="both"/>
              <w:rPr>
                <w:rFonts w:hint="eastAsia" w:ascii="宋体" w:hAnsi="宋体" w:eastAsia="宋体" w:cs="宋体"/>
                <w:b/>
                <w:bCs/>
                <w:sz w:val="21"/>
                <w:szCs w:val="21"/>
              </w:rPr>
            </w:pPr>
            <w:r>
              <w:rPr>
                <w:rFonts w:hint="eastAsia" w:ascii="宋体" w:hAnsi="宋体" w:eastAsia="宋体" w:cs="宋体"/>
                <w:b/>
                <w:bCs/>
                <w:sz w:val="21"/>
                <w:szCs w:val="21"/>
              </w:rPr>
              <w:t>■3.2 pH</w:t>
            </w:r>
            <w:r>
              <w:rPr>
                <w:rFonts w:hint="eastAsia" w:ascii="宋体" w:hAnsi="宋体" w:eastAsia="宋体" w:cs="宋体"/>
                <w:b/>
                <w:spacing w:val="-2"/>
                <w:sz w:val="21"/>
                <w:szCs w:val="21"/>
              </w:rPr>
              <w:t>电极</w:t>
            </w:r>
          </w:p>
          <w:p w14:paraId="5C72B2F8">
            <w:pPr>
              <w:pageBreakBefore w:val="0"/>
              <w:kinsoku/>
              <w:overflowPunct/>
              <w:bidi w:val="0"/>
              <w:spacing w:line="360" w:lineRule="auto"/>
              <w:jc w:val="both"/>
              <w:rPr>
                <w:rFonts w:hint="eastAsia" w:ascii="宋体" w:hAnsi="宋体" w:eastAsia="宋体" w:cs="宋体"/>
                <w:spacing w:val="-2"/>
                <w:sz w:val="21"/>
                <w:szCs w:val="21"/>
              </w:rPr>
            </w:pPr>
            <w:r>
              <w:rPr>
                <w:rFonts w:hint="eastAsia" w:ascii="宋体" w:hAnsi="宋体" w:eastAsia="宋体" w:cs="宋体"/>
                <w:b/>
                <w:bCs/>
                <w:sz w:val="21"/>
                <w:szCs w:val="21"/>
              </w:rPr>
              <w:t xml:space="preserve">   </w:t>
            </w:r>
            <w:r>
              <w:rPr>
                <w:rFonts w:hint="eastAsia" w:ascii="宋体" w:hAnsi="宋体" w:eastAsia="宋体" w:cs="宋体"/>
                <w:spacing w:val="-2"/>
                <w:sz w:val="21"/>
                <w:szCs w:val="21"/>
              </w:rPr>
              <w:t>量程：  0～14（标准凝胶电极）</w:t>
            </w:r>
          </w:p>
          <w:p w14:paraId="0C5F362C">
            <w:pPr>
              <w:pageBreakBefore w:val="0"/>
              <w:kinsoku/>
              <w:overflowPunct/>
              <w:bidi w:val="0"/>
              <w:spacing w:line="360" w:lineRule="auto"/>
              <w:ind w:firstLine="309" w:firstLineChars="150"/>
              <w:jc w:val="both"/>
              <w:rPr>
                <w:rFonts w:hint="eastAsia" w:ascii="宋体" w:hAnsi="宋体" w:eastAsia="宋体" w:cs="宋体"/>
                <w:spacing w:val="-2"/>
                <w:sz w:val="21"/>
                <w:szCs w:val="21"/>
              </w:rPr>
            </w:pPr>
            <w:r>
              <w:rPr>
                <w:rFonts w:hint="eastAsia" w:ascii="宋体" w:hAnsi="宋体" w:eastAsia="宋体" w:cs="宋体"/>
                <w:spacing w:val="-2"/>
                <w:sz w:val="21"/>
                <w:szCs w:val="21"/>
              </w:rPr>
              <w:t>分辨率：0.1/0.01/0.001可选</w:t>
            </w:r>
          </w:p>
          <w:p w14:paraId="2E64BA26">
            <w:pPr>
              <w:pageBreakBefore w:val="0"/>
              <w:kinsoku/>
              <w:overflowPunct/>
              <w:bidi w:val="0"/>
              <w:spacing w:line="360" w:lineRule="auto"/>
              <w:jc w:val="both"/>
              <w:rPr>
                <w:rFonts w:hint="eastAsia" w:ascii="宋体" w:hAnsi="宋体" w:eastAsia="宋体" w:cs="宋体"/>
                <w:bCs/>
                <w:sz w:val="21"/>
                <w:szCs w:val="21"/>
              </w:rPr>
            </w:pPr>
            <w:r>
              <w:rPr>
                <w:rFonts w:hint="eastAsia" w:ascii="宋体" w:hAnsi="宋体" w:eastAsia="宋体" w:cs="宋体"/>
                <w:bCs/>
                <w:sz w:val="21"/>
                <w:szCs w:val="21"/>
              </w:rPr>
              <w:t xml:space="preserve">        pH</w:t>
            </w:r>
            <w:r>
              <w:rPr>
                <w:rFonts w:hint="eastAsia" w:ascii="宋体" w:hAnsi="宋体" w:eastAsia="宋体" w:cs="宋体"/>
                <w:spacing w:val="-2"/>
                <w:sz w:val="21"/>
                <w:szCs w:val="21"/>
              </w:rPr>
              <w:t>电极0.02</w:t>
            </w:r>
            <w:r>
              <w:rPr>
                <w:rFonts w:hint="eastAsia" w:ascii="宋体" w:hAnsi="宋体" w:eastAsia="宋体" w:cs="宋体"/>
                <w:bCs/>
                <w:sz w:val="21"/>
                <w:szCs w:val="21"/>
              </w:rPr>
              <w:t xml:space="preserve"> </w:t>
            </w:r>
          </w:p>
          <w:p w14:paraId="2889B24C">
            <w:pPr>
              <w:pageBreakBefore w:val="0"/>
              <w:kinsoku/>
              <w:overflowPunct/>
              <w:bidi w:val="0"/>
              <w:spacing w:line="360" w:lineRule="auto"/>
              <w:jc w:val="both"/>
              <w:rPr>
                <w:rFonts w:hint="eastAsia" w:ascii="宋体" w:hAnsi="宋体" w:eastAsia="宋体" w:cs="宋体"/>
                <w:b/>
                <w:spacing w:val="-2"/>
                <w:sz w:val="21"/>
                <w:szCs w:val="21"/>
              </w:rPr>
            </w:pPr>
            <w:r>
              <w:rPr>
                <w:rFonts w:hint="eastAsia" w:ascii="宋体" w:hAnsi="宋体" w:eastAsia="宋体" w:cs="宋体"/>
                <w:b/>
                <w:bCs/>
                <w:sz w:val="21"/>
                <w:szCs w:val="21"/>
              </w:rPr>
              <w:t xml:space="preserve">3.4 </w:t>
            </w:r>
            <w:r>
              <w:rPr>
                <w:rFonts w:hint="eastAsia" w:ascii="宋体" w:hAnsi="宋体" w:eastAsia="宋体" w:cs="宋体"/>
                <w:b/>
                <w:spacing w:val="-2"/>
                <w:sz w:val="21"/>
                <w:szCs w:val="21"/>
              </w:rPr>
              <w:t>电导率电极</w:t>
            </w:r>
          </w:p>
          <w:p w14:paraId="3DC2B519">
            <w:pPr>
              <w:pageBreakBefore w:val="0"/>
              <w:kinsoku/>
              <w:overflowPunct/>
              <w:bidi w:val="0"/>
              <w:spacing w:line="360" w:lineRule="auto"/>
              <w:ind w:firstLine="310" w:firstLineChars="150"/>
              <w:jc w:val="both"/>
              <w:rPr>
                <w:rFonts w:hint="eastAsia" w:ascii="宋体" w:hAnsi="宋体" w:eastAsia="宋体" w:cs="宋体"/>
                <w:spacing w:val="-2"/>
                <w:sz w:val="21"/>
                <w:szCs w:val="21"/>
              </w:rPr>
            </w:pPr>
            <w:r>
              <w:rPr>
                <w:rFonts w:hint="eastAsia" w:ascii="宋体" w:hAnsi="宋体" w:eastAsia="宋体" w:cs="宋体"/>
                <w:b/>
                <w:spacing w:val="-2"/>
                <w:sz w:val="21"/>
                <w:szCs w:val="21"/>
              </w:rPr>
              <w:t>电导率：</w:t>
            </w:r>
          </w:p>
          <w:p w14:paraId="48AECA8F">
            <w:pPr>
              <w:pageBreakBefore w:val="0"/>
              <w:kinsoku/>
              <w:overflowPunct/>
              <w:bidi w:val="0"/>
              <w:spacing w:line="360" w:lineRule="auto"/>
              <w:ind w:firstLine="515" w:firstLineChars="250"/>
              <w:jc w:val="both"/>
              <w:rPr>
                <w:rFonts w:hint="eastAsia" w:ascii="宋体" w:hAnsi="宋体" w:eastAsia="宋体" w:cs="宋体"/>
                <w:spacing w:val="-2"/>
                <w:sz w:val="21"/>
                <w:szCs w:val="21"/>
              </w:rPr>
            </w:pPr>
            <w:r>
              <w:rPr>
                <w:rFonts w:hint="eastAsia" w:ascii="宋体" w:hAnsi="宋体" w:eastAsia="宋体" w:cs="宋体"/>
                <w:spacing w:val="-2"/>
                <w:sz w:val="21"/>
                <w:szCs w:val="21"/>
              </w:rPr>
              <w:t>量程：0.01 μS/cm ～ 200.0 mS/cm</w:t>
            </w:r>
          </w:p>
          <w:p w14:paraId="4DEA2497">
            <w:pPr>
              <w:pageBreakBefore w:val="0"/>
              <w:kinsoku/>
              <w:overflowPunct/>
              <w:bidi w:val="0"/>
              <w:spacing w:line="360" w:lineRule="auto"/>
              <w:ind w:firstLine="515" w:firstLineChars="250"/>
              <w:jc w:val="both"/>
              <w:rPr>
                <w:rFonts w:hint="eastAsia" w:ascii="宋体" w:hAnsi="宋体" w:eastAsia="宋体" w:cs="宋体"/>
                <w:spacing w:val="-2"/>
                <w:sz w:val="21"/>
                <w:szCs w:val="21"/>
              </w:rPr>
            </w:pPr>
            <w:r>
              <w:rPr>
                <w:rFonts w:hint="eastAsia" w:ascii="宋体" w:hAnsi="宋体" w:eastAsia="宋体" w:cs="宋体"/>
                <w:spacing w:val="-2"/>
                <w:sz w:val="21"/>
                <w:szCs w:val="21"/>
              </w:rPr>
              <w:t>分辨率：0.01 μS/cm（最大0.05μS/cm）</w:t>
            </w:r>
          </w:p>
          <w:p w14:paraId="13F0FA56">
            <w:pPr>
              <w:pageBreakBefore w:val="0"/>
              <w:kinsoku/>
              <w:overflowPunct/>
              <w:bidi w:val="0"/>
              <w:spacing w:line="360" w:lineRule="auto"/>
              <w:ind w:firstLine="525" w:firstLineChars="250"/>
              <w:jc w:val="both"/>
              <w:rPr>
                <w:rFonts w:hint="eastAsia" w:ascii="宋体" w:hAnsi="宋体" w:eastAsia="宋体" w:cs="宋体"/>
                <w:sz w:val="21"/>
                <w:szCs w:val="21"/>
              </w:rPr>
            </w:pPr>
            <w:r>
              <w:rPr>
                <w:rFonts w:hint="eastAsia" w:ascii="宋体" w:hAnsi="宋体" w:eastAsia="宋体" w:cs="宋体"/>
                <w:sz w:val="21"/>
                <w:szCs w:val="21"/>
              </w:rPr>
              <w:t>电阻率：</w:t>
            </w:r>
          </w:p>
          <w:p w14:paraId="0C9A5F6E">
            <w:pPr>
              <w:pageBreakBefore w:val="0"/>
              <w:kinsoku/>
              <w:overflowPunct/>
              <w:bidi w:val="0"/>
              <w:spacing w:line="360" w:lineRule="auto"/>
              <w:ind w:firstLine="515" w:firstLineChars="250"/>
              <w:jc w:val="both"/>
              <w:rPr>
                <w:rFonts w:hint="eastAsia" w:ascii="宋体" w:hAnsi="宋体" w:eastAsia="宋体" w:cs="宋体"/>
                <w:spacing w:val="8"/>
                <w:sz w:val="21"/>
                <w:szCs w:val="21"/>
              </w:rPr>
            </w:pPr>
            <w:r>
              <w:rPr>
                <w:rFonts w:hint="eastAsia" w:ascii="宋体" w:hAnsi="宋体" w:eastAsia="宋体" w:cs="宋体"/>
                <w:spacing w:val="-2"/>
                <w:sz w:val="21"/>
                <w:szCs w:val="21"/>
              </w:rPr>
              <w:t>量程：</w:t>
            </w:r>
            <w:r>
              <w:rPr>
                <w:rFonts w:hint="eastAsia" w:ascii="宋体" w:hAnsi="宋体" w:eastAsia="宋体" w:cs="宋体"/>
                <w:spacing w:val="8"/>
                <w:sz w:val="21"/>
                <w:szCs w:val="21"/>
              </w:rPr>
              <w:t>2.5</w:t>
            </w:r>
            <w:r>
              <w:rPr>
                <w:rFonts w:hint="eastAsia" w:ascii="宋体" w:hAnsi="宋体" w:eastAsia="宋体" w:cs="宋体"/>
                <w:spacing w:val="-2"/>
                <w:sz w:val="21"/>
                <w:szCs w:val="21"/>
              </w:rPr>
              <w:t>～49</w:t>
            </w:r>
            <w:r>
              <w:rPr>
                <w:rFonts w:hint="eastAsia" w:ascii="宋体" w:hAnsi="宋体" w:eastAsia="宋体" w:cs="宋体"/>
                <w:spacing w:val="8"/>
                <w:sz w:val="21"/>
                <w:szCs w:val="21"/>
              </w:rPr>
              <w:t>欧姆·厘米</w:t>
            </w:r>
          </w:p>
          <w:p w14:paraId="134CE481">
            <w:pPr>
              <w:pageBreakBefore w:val="0"/>
              <w:kinsoku/>
              <w:overflowPunct/>
              <w:bidi w:val="0"/>
              <w:spacing w:line="360" w:lineRule="auto"/>
              <w:ind w:firstLine="515" w:firstLineChars="250"/>
              <w:jc w:val="both"/>
              <w:rPr>
                <w:rFonts w:hint="eastAsia" w:ascii="宋体" w:hAnsi="宋体" w:eastAsia="宋体" w:cs="宋体"/>
                <w:spacing w:val="-2"/>
                <w:sz w:val="21"/>
                <w:szCs w:val="21"/>
              </w:rPr>
            </w:pPr>
            <w:r>
              <w:rPr>
                <w:rFonts w:hint="eastAsia" w:ascii="宋体" w:hAnsi="宋体" w:eastAsia="宋体" w:cs="宋体"/>
                <w:spacing w:val="-2"/>
                <w:sz w:val="21"/>
                <w:szCs w:val="21"/>
              </w:rPr>
              <w:t>分辨率：0.1</w:t>
            </w:r>
            <w:r>
              <w:rPr>
                <w:rFonts w:hint="eastAsia" w:ascii="宋体" w:hAnsi="宋体" w:eastAsia="宋体" w:cs="宋体"/>
                <w:spacing w:val="8"/>
                <w:sz w:val="21"/>
                <w:szCs w:val="21"/>
              </w:rPr>
              <w:t>欧姆·厘米</w:t>
            </w:r>
            <w:r>
              <w:rPr>
                <w:rFonts w:hint="eastAsia" w:ascii="宋体" w:hAnsi="宋体" w:eastAsia="宋体" w:cs="宋体"/>
                <w:spacing w:val="-2"/>
                <w:sz w:val="21"/>
                <w:szCs w:val="21"/>
              </w:rPr>
              <w:t>（最大0.05</w:t>
            </w:r>
            <w:r>
              <w:rPr>
                <w:rFonts w:hint="eastAsia" w:ascii="宋体" w:hAnsi="宋体" w:eastAsia="宋体" w:cs="宋体"/>
                <w:spacing w:val="8"/>
                <w:sz w:val="21"/>
                <w:szCs w:val="21"/>
              </w:rPr>
              <w:t>欧姆·厘米</w:t>
            </w:r>
            <w:r>
              <w:rPr>
                <w:rFonts w:hint="eastAsia" w:ascii="宋体" w:hAnsi="宋体" w:eastAsia="宋体" w:cs="宋体"/>
                <w:spacing w:val="-2"/>
                <w:sz w:val="21"/>
                <w:szCs w:val="21"/>
              </w:rPr>
              <w:t>）</w:t>
            </w:r>
          </w:p>
          <w:p w14:paraId="1738BB42">
            <w:pPr>
              <w:pageBreakBefore w:val="0"/>
              <w:kinsoku/>
              <w:overflowPunct/>
              <w:bidi w:val="0"/>
              <w:spacing w:line="360" w:lineRule="auto"/>
              <w:ind w:firstLine="310" w:firstLineChars="150"/>
              <w:jc w:val="both"/>
              <w:rPr>
                <w:rFonts w:hint="eastAsia" w:ascii="宋体" w:hAnsi="宋体" w:eastAsia="宋体" w:cs="宋体"/>
                <w:b/>
                <w:spacing w:val="-2"/>
                <w:sz w:val="21"/>
                <w:szCs w:val="21"/>
              </w:rPr>
            </w:pPr>
            <w:r>
              <w:rPr>
                <w:rFonts w:hint="eastAsia" w:ascii="宋体" w:hAnsi="宋体" w:eastAsia="宋体" w:cs="宋体"/>
                <w:b/>
                <w:spacing w:val="-2"/>
                <w:sz w:val="21"/>
                <w:szCs w:val="21"/>
              </w:rPr>
              <w:t>盐度：</w:t>
            </w:r>
          </w:p>
          <w:p w14:paraId="38C7637A">
            <w:pPr>
              <w:pageBreakBefore w:val="0"/>
              <w:kinsoku/>
              <w:overflowPunct/>
              <w:bidi w:val="0"/>
              <w:spacing w:line="360" w:lineRule="auto"/>
              <w:ind w:firstLine="515" w:firstLineChars="250"/>
              <w:jc w:val="both"/>
              <w:rPr>
                <w:rFonts w:hint="eastAsia" w:ascii="宋体" w:hAnsi="宋体" w:eastAsia="宋体" w:cs="宋体"/>
                <w:spacing w:val="-2"/>
                <w:sz w:val="21"/>
                <w:szCs w:val="21"/>
              </w:rPr>
            </w:pPr>
            <w:r>
              <w:rPr>
                <w:rFonts w:hint="eastAsia" w:ascii="宋体" w:hAnsi="宋体" w:eastAsia="宋体" w:cs="宋体"/>
                <w:spacing w:val="-2"/>
                <w:sz w:val="21"/>
                <w:szCs w:val="21"/>
              </w:rPr>
              <w:t>量程：</w:t>
            </w:r>
            <w:r>
              <w:rPr>
                <w:rFonts w:hint="eastAsia" w:ascii="宋体" w:hAnsi="宋体" w:eastAsia="宋体" w:cs="宋体"/>
                <w:spacing w:val="8"/>
                <w:sz w:val="21"/>
                <w:szCs w:val="21"/>
              </w:rPr>
              <w:t>0</w:t>
            </w:r>
            <w:r>
              <w:rPr>
                <w:rFonts w:hint="eastAsia" w:ascii="宋体" w:hAnsi="宋体" w:eastAsia="宋体" w:cs="宋体"/>
                <w:spacing w:val="-2"/>
                <w:sz w:val="21"/>
                <w:szCs w:val="21"/>
              </w:rPr>
              <w:t>～42g/kg或‰</w:t>
            </w:r>
          </w:p>
          <w:p w14:paraId="7C10C769">
            <w:pPr>
              <w:pageBreakBefore w:val="0"/>
              <w:kinsoku/>
              <w:overflowPunct/>
              <w:bidi w:val="0"/>
              <w:spacing w:line="360" w:lineRule="auto"/>
              <w:ind w:firstLine="515" w:firstLineChars="250"/>
              <w:jc w:val="both"/>
              <w:rPr>
                <w:rFonts w:hint="eastAsia" w:ascii="宋体" w:hAnsi="宋体" w:eastAsia="宋体" w:cs="宋体"/>
                <w:spacing w:val="-2"/>
                <w:sz w:val="21"/>
                <w:szCs w:val="21"/>
              </w:rPr>
            </w:pPr>
            <w:r>
              <w:rPr>
                <w:rFonts w:hint="eastAsia" w:ascii="宋体" w:hAnsi="宋体" w:eastAsia="宋体" w:cs="宋体"/>
                <w:spacing w:val="-2"/>
                <w:sz w:val="21"/>
                <w:szCs w:val="21"/>
              </w:rPr>
              <w:t>分辨率：0.01ppt</w:t>
            </w:r>
          </w:p>
          <w:p w14:paraId="0204D034">
            <w:pPr>
              <w:pageBreakBefore w:val="0"/>
              <w:kinsoku/>
              <w:overflowPunct/>
              <w:bidi w:val="0"/>
              <w:spacing w:line="360" w:lineRule="auto"/>
              <w:ind w:firstLine="310" w:firstLineChars="150"/>
              <w:jc w:val="both"/>
              <w:rPr>
                <w:rFonts w:hint="eastAsia" w:ascii="宋体" w:hAnsi="宋体" w:eastAsia="宋体" w:cs="宋体"/>
                <w:b/>
                <w:spacing w:val="-2"/>
                <w:sz w:val="21"/>
                <w:szCs w:val="21"/>
              </w:rPr>
            </w:pPr>
            <w:r>
              <w:rPr>
                <w:rFonts w:hint="eastAsia" w:ascii="宋体" w:hAnsi="宋体" w:eastAsia="宋体" w:cs="宋体"/>
                <w:b/>
                <w:spacing w:val="-2"/>
                <w:sz w:val="21"/>
                <w:szCs w:val="21"/>
              </w:rPr>
              <w:t>总溶解性固体：</w:t>
            </w:r>
          </w:p>
          <w:p w14:paraId="066DB3DE">
            <w:pPr>
              <w:pageBreakBefore w:val="0"/>
              <w:kinsoku/>
              <w:overflowPunct/>
              <w:bidi w:val="0"/>
              <w:spacing w:line="360" w:lineRule="auto"/>
              <w:ind w:firstLine="515" w:firstLineChars="250"/>
              <w:jc w:val="both"/>
              <w:rPr>
                <w:rFonts w:hint="eastAsia" w:ascii="宋体" w:hAnsi="宋体" w:eastAsia="宋体" w:cs="宋体"/>
                <w:spacing w:val="-2"/>
                <w:sz w:val="21"/>
                <w:szCs w:val="21"/>
              </w:rPr>
            </w:pPr>
            <w:r>
              <w:rPr>
                <w:rFonts w:hint="eastAsia" w:ascii="宋体" w:hAnsi="宋体" w:eastAsia="宋体" w:cs="宋体"/>
                <w:spacing w:val="-2"/>
                <w:sz w:val="21"/>
                <w:szCs w:val="21"/>
              </w:rPr>
              <w:t>量程：</w:t>
            </w:r>
            <w:r>
              <w:rPr>
                <w:rFonts w:hint="eastAsia" w:ascii="宋体" w:hAnsi="宋体" w:eastAsia="宋体" w:cs="宋体"/>
                <w:spacing w:val="8"/>
                <w:sz w:val="21"/>
                <w:szCs w:val="21"/>
              </w:rPr>
              <w:t>0.0</w:t>
            </w:r>
            <w:r>
              <w:rPr>
                <w:rFonts w:hint="eastAsia" w:ascii="宋体" w:hAnsi="宋体" w:eastAsia="宋体" w:cs="宋体"/>
                <w:spacing w:val="-2"/>
                <w:sz w:val="21"/>
                <w:szCs w:val="21"/>
              </w:rPr>
              <w:t>～50.0g/L</w:t>
            </w:r>
          </w:p>
          <w:p w14:paraId="145EB8B6">
            <w:pPr>
              <w:pageBreakBefore w:val="0"/>
              <w:kinsoku/>
              <w:overflowPunct/>
              <w:bidi w:val="0"/>
              <w:spacing w:line="360" w:lineRule="auto"/>
              <w:ind w:firstLine="412" w:firstLineChars="200"/>
              <w:jc w:val="both"/>
              <w:rPr>
                <w:rFonts w:hint="eastAsia" w:ascii="宋体" w:hAnsi="宋体" w:eastAsia="宋体" w:cs="宋体"/>
                <w:spacing w:val="-2"/>
                <w:sz w:val="21"/>
                <w:szCs w:val="21"/>
              </w:rPr>
            </w:pPr>
            <w:r>
              <w:rPr>
                <w:rFonts w:hint="eastAsia" w:ascii="宋体" w:hAnsi="宋体" w:eastAsia="宋体" w:cs="宋体"/>
                <w:spacing w:val="-2"/>
                <w:sz w:val="21"/>
                <w:szCs w:val="21"/>
              </w:rPr>
              <w:t>分辨率：0.1 mg/L</w:t>
            </w:r>
          </w:p>
          <w:p w14:paraId="1CEA9E24">
            <w:pPr>
              <w:pageBreakBefore w:val="0"/>
              <w:kinsoku/>
              <w:overflowPunct/>
              <w:autoSpaceDE w:val="0"/>
              <w:autoSpaceDN w:val="0"/>
              <w:bidi w:val="0"/>
              <w:adjustRightInd w:val="0"/>
              <w:spacing w:line="360" w:lineRule="auto"/>
              <w:jc w:val="both"/>
              <w:rPr>
                <w:rFonts w:hint="eastAsia" w:ascii="宋体" w:hAnsi="宋体" w:eastAsia="宋体" w:cs="宋体"/>
                <w:b/>
                <w:spacing w:val="-2"/>
                <w:sz w:val="21"/>
                <w:szCs w:val="21"/>
              </w:rPr>
            </w:pPr>
            <w:r>
              <w:rPr>
                <w:rFonts w:hint="eastAsia" w:ascii="宋体" w:hAnsi="宋体" w:eastAsia="宋体" w:cs="宋体"/>
                <w:b/>
                <w:bCs/>
                <w:sz w:val="21"/>
                <w:szCs w:val="21"/>
              </w:rPr>
              <w:t xml:space="preserve">■3.5 </w:t>
            </w:r>
            <w:r>
              <w:rPr>
                <w:rFonts w:hint="eastAsia" w:ascii="宋体" w:hAnsi="宋体" w:eastAsia="宋体" w:cs="宋体"/>
                <w:b/>
                <w:spacing w:val="-2"/>
                <w:sz w:val="21"/>
                <w:szCs w:val="21"/>
              </w:rPr>
              <w:t>溶解氧</w:t>
            </w:r>
          </w:p>
          <w:p w14:paraId="3B525E48">
            <w:pPr>
              <w:pageBreakBefore w:val="0"/>
              <w:kinsoku/>
              <w:overflowPunct/>
              <w:autoSpaceDE w:val="0"/>
              <w:autoSpaceDN w:val="0"/>
              <w:bidi w:val="0"/>
              <w:adjustRightInd w:val="0"/>
              <w:spacing w:line="360" w:lineRule="auto"/>
              <w:ind w:firstLine="412" w:firstLineChars="200"/>
              <w:jc w:val="both"/>
              <w:rPr>
                <w:rFonts w:hint="eastAsia" w:ascii="宋体" w:hAnsi="宋体" w:eastAsia="宋体" w:cs="宋体"/>
                <w:spacing w:val="-2"/>
                <w:sz w:val="21"/>
                <w:szCs w:val="21"/>
              </w:rPr>
            </w:pPr>
            <w:r>
              <w:rPr>
                <w:rFonts w:hint="eastAsia" w:ascii="宋体" w:hAnsi="宋体" w:eastAsia="宋体" w:cs="宋体"/>
                <w:spacing w:val="-2"/>
                <w:sz w:val="21"/>
                <w:szCs w:val="21"/>
              </w:rPr>
              <w:t>量程:  0.01–20.0 mg/L</w:t>
            </w:r>
          </w:p>
          <w:p w14:paraId="71ECC197">
            <w:pPr>
              <w:pageBreakBefore w:val="0"/>
              <w:kinsoku/>
              <w:overflowPunct/>
              <w:autoSpaceDE w:val="0"/>
              <w:autoSpaceDN w:val="0"/>
              <w:bidi w:val="0"/>
              <w:adjustRightInd w:val="0"/>
              <w:spacing w:line="360" w:lineRule="auto"/>
              <w:ind w:firstLine="1030" w:firstLineChars="500"/>
              <w:jc w:val="both"/>
              <w:rPr>
                <w:rFonts w:hint="eastAsia" w:ascii="宋体" w:hAnsi="宋体" w:eastAsia="宋体" w:cs="宋体"/>
                <w:spacing w:val="-2"/>
                <w:sz w:val="21"/>
                <w:szCs w:val="21"/>
              </w:rPr>
            </w:pPr>
            <w:r>
              <w:rPr>
                <w:rFonts w:hint="eastAsia" w:ascii="宋体" w:hAnsi="宋体" w:eastAsia="宋体" w:cs="宋体"/>
                <w:spacing w:val="-2"/>
                <w:sz w:val="21"/>
                <w:szCs w:val="21"/>
              </w:rPr>
              <w:t>0–200% 饱和度</w:t>
            </w:r>
          </w:p>
          <w:p w14:paraId="7B35127D">
            <w:pPr>
              <w:pageBreakBefore w:val="0"/>
              <w:kinsoku/>
              <w:overflowPunct/>
              <w:autoSpaceDE w:val="0"/>
              <w:autoSpaceDN w:val="0"/>
              <w:bidi w:val="0"/>
              <w:adjustRightInd w:val="0"/>
              <w:spacing w:line="360" w:lineRule="auto"/>
              <w:ind w:firstLine="309" w:firstLineChars="150"/>
              <w:jc w:val="both"/>
              <w:rPr>
                <w:rFonts w:hint="eastAsia" w:ascii="宋体" w:hAnsi="宋体" w:eastAsia="宋体" w:cs="宋体"/>
                <w:spacing w:val="-2"/>
                <w:sz w:val="21"/>
                <w:szCs w:val="21"/>
              </w:rPr>
            </w:pPr>
            <w:r>
              <w:rPr>
                <w:rFonts w:hint="eastAsia" w:ascii="宋体" w:hAnsi="宋体" w:eastAsia="宋体" w:cs="宋体"/>
                <w:spacing w:val="-2"/>
                <w:sz w:val="21"/>
                <w:szCs w:val="21"/>
              </w:rPr>
              <w:t>分辨率：0.01 mg/L</w:t>
            </w:r>
          </w:p>
          <w:p w14:paraId="030066D3">
            <w:pPr>
              <w:pageBreakBefore w:val="0"/>
              <w:kinsoku/>
              <w:overflowPunct/>
              <w:autoSpaceDE w:val="0"/>
              <w:autoSpaceDN w:val="0"/>
              <w:bidi w:val="0"/>
              <w:adjustRightInd w:val="0"/>
              <w:spacing w:line="360" w:lineRule="auto"/>
              <w:ind w:firstLine="309" w:firstLineChars="150"/>
              <w:jc w:val="both"/>
              <w:rPr>
                <w:rFonts w:hint="eastAsia" w:ascii="宋体" w:hAnsi="宋体" w:eastAsia="宋体" w:cs="宋体"/>
                <w:spacing w:val="-2"/>
                <w:sz w:val="21"/>
                <w:szCs w:val="21"/>
              </w:rPr>
            </w:pPr>
            <w:r>
              <w:rPr>
                <w:rFonts w:hint="eastAsia" w:ascii="宋体" w:hAnsi="宋体" w:eastAsia="宋体" w:cs="宋体"/>
                <w:spacing w:val="-2"/>
                <w:sz w:val="21"/>
                <w:szCs w:val="21"/>
              </w:rPr>
              <w:t>溶解氧的准确度： 在 0.1–8 mg/L时，为 ±0.1 mg/L</w:t>
            </w:r>
          </w:p>
          <w:p w14:paraId="07198F36">
            <w:pPr>
              <w:pageBreakBefore w:val="0"/>
              <w:kinsoku/>
              <w:overflowPunct/>
              <w:autoSpaceDE w:val="0"/>
              <w:autoSpaceDN w:val="0"/>
              <w:bidi w:val="0"/>
              <w:adjustRightInd w:val="0"/>
              <w:spacing w:line="360" w:lineRule="auto"/>
              <w:ind w:firstLine="1751" w:firstLineChars="850"/>
              <w:jc w:val="both"/>
              <w:rPr>
                <w:rFonts w:hint="eastAsia" w:ascii="宋体" w:hAnsi="宋体" w:eastAsia="宋体" w:cs="宋体"/>
                <w:spacing w:val="-2"/>
                <w:sz w:val="21"/>
                <w:szCs w:val="21"/>
              </w:rPr>
            </w:pPr>
            <w:r>
              <w:rPr>
                <w:rFonts w:hint="eastAsia" w:ascii="宋体" w:hAnsi="宋体" w:eastAsia="宋体" w:cs="宋体"/>
                <w:spacing w:val="-2"/>
                <w:sz w:val="21"/>
                <w:szCs w:val="21"/>
              </w:rPr>
              <w:t>大于8.0 mg/L时，为 ±0.2 mg/L</w:t>
            </w:r>
          </w:p>
          <w:p w14:paraId="46D50954">
            <w:pPr>
              <w:pageBreakBefore w:val="0"/>
              <w:kinsoku/>
              <w:overflowPunct/>
              <w:bidi w:val="0"/>
              <w:spacing w:line="360" w:lineRule="auto"/>
              <w:jc w:val="both"/>
              <w:rPr>
                <w:rFonts w:hint="eastAsia" w:ascii="宋体" w:hAnsi="宋体" w:eastAsia="宋体" w:cs="宋体"/>
                <w:b/>
                <w:bCs/>
                <w:sz w:val="21"/>
                <w:szCs w:val="21"/>
              </w:rPr>
            </w:pPr>
            <w:r>
              <w:rPr>
                <w:rFonts w:hint="eastAsia" w:ascii="宋体" w:hAnsi="宋体" w:eastAsia="宋体" w:cs="宋体"/>
                <w:b/>
                <w:bCs/>
                <w:sz w:val="21"/>
                <w:szCs w:val="21"/>
              </w:rPr>
              <w:t>4</w:t>
            </w:r>
            <w:r>
              <w:rPr>
                <w:rFonts w:hint="eastAsia" w:ascii="宋体" w:hAnsi="宋体" w:eastAsia="宋体" w:cs="宋体"/>
                <w:b/>
                <w:bCs/>
                <w:sz w:val="21"/>
                <w:szCs w:val="21"/>
                <w:lang w:eastAsia="zh-CN"/>
              </w:rPr>
              <w:t>、</w:t>
            </w:r>
            <w:r>
              <w:rPr>
                <w:rFonts w:hint="eastAsia" w:ascii="宋体" w:hAnsi="宋体" w:eastAsia="宋体" w:cs="宋体"/>
                <w:b/>
                <w:bCs/>
                <w:sz w:val="21"/>
                <w:szCs w:val="21"/>
              </w:rPr>
              <w:t>仪器配置</w:t>
            </w:r>
          </w:p>
          <w:p w14:paraId="7351800A">
            <w:pPr>
              <w:pStyle w:val="37"/>
              <w:pageBreakBefore w:val="0"/>
              <w:kinsoku/>
              <w:overflowPunct/>
              <w:bidi w:val="0"/>
              <w:spacing w:line="360" w:lineRule="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（1）标准型凝胶pH电极, 1米电缆；</w:t>
            </w:r>
          </w:p>
          <w:p w14:paraId="1E43C8F4">
            <w:pPr>
              <w:pStyle w:val="37"/>
              <w:pageBreakBefore w:val="0"/>
              <w:kinsoku/>
              <w:overflowPunct/>
              <w:bidi w:val="0"/>
              <w:spacing w:line="360" w:lineRule="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（2）标准型电导电极,1  1米电缆;</w:t>
            </w:r>
          </w:p>
          <w:p w14:paraId="4611C93A">
            <w:pPr>
              <w:pStyle w:val="37"/>
              <w:pageBreakBefore w:val="0"/>
              <w:kinsoku/>
              <w:overflowPunct/>
              <w:bidi w:val="0"/>
              <w:spacing w:line="360" w:lineRule="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（3）标准溶解氧型电极, 1米电缆;</w:t>
            </w:r>
          </w:p>
          <w:p w14:paraId="4DF0DF2D">
            <w:pPr>
              <w:pStyle w:val="37"/>
              <w:pageBreakBefore w:val="0"/>
              <w:kinsoku/>
              <w:overflowPunct/>
              <w:bidi w:val="0"/>
              <w:spacing w:line="360" w:lineRule="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其他配件：</w:t>
            </w:r>
          </w:p>
          <w:p w14:paraId="0807A982">
            <w:pPr>
              <w:pStyle w:val="37"/>
              <w:pageBreakBefore w:val="0"/>
              <w:kinsoku/>
              <w:overflowPunct/>
              <w:bidi w:val="0"/>
              <w:spacing w:line="360" w:lineRule="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（1）系列pH电极校准标准液、电导率电极校准标准液、溶解氧荧光帽等</w:t>
            </w:r>
          </w:p>
          <w:p w14:paraId="6A572D5B">
            <w:pPr>
              <w:pageBreakBefore w:val="0"/>
              <w:kinsoku/>
              <w:overflowPunct/>
              <w:bidi w:val="0"/>
              <w:spacing w:line="360" w:lineRule="auto"/>
              <w:jc w:val="both"/>
              <w:rPr>
                <w:rFonts w:hint="eastAsia" w:ascii="宋体" w:hAnsi="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color w:val="auto"/>
                <w:sz w:val="21"/>
                <w:szCs w:val="21"/>
              </w:rPr>
              <w:t>（2）USB适配器及电源</w:t>
            </w:r>
          </w:p>
        </w:tc>
      </w:tr>
      <w:tr w14:paraId="5FC0F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14:paraId="418ACC6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vertAlign w:val="baseline"/>
                <w:lang w:val="en-US" w:eastAsia="zh-CN" w:bidi="ar-SA"/>
                <w14:textFill>
                  <w14:solidFill>
                    <w14:schemeClr w14:val="tx1"/>
                  </w14:solidFill>
                </w14:textFill>
              </w:rPr>
              <w:t>12</w:t>
            </w:r>
          </w:p>
        </w:tc>
        <w:tc>
          <w:tcPr>
            <w:tcW w:w="2050" w:type="dxa"/>
            <w:vAlign w:val="center"/>
          </w:tcPr>
          <w:p w14:paraId="04DB047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vertAlign w:val="baseline"/>
                <w:lang w:val="en-US" w:eastAsia="zh-CN" w:bidi="ar-SA"/>
                <w14:textFill>
                  <w14:solidFill>
                    <w14:schemeClr w14:val="tx1"/>
                  </w14:solidFill>
                </w14:textFill>
              </w:rPr>
              <w:t>酶底物法微生物快速检测系统</w:t>
            </w:r>
          </w:p>
        </w:tc>
        <w:tc>
          <w:tcPr>
            <w:tcW w:w="10625" w:type="dxa"/>
            <w:vAlign w:val="center"/>
          </w:tcPr>
          <w:p w14:paraId="44F50C41">
            <w:pPr>
              <w:pStyle w:val="4"/>
              <w:pageBreakBefore w:val="0"/>
              <w:numPr>
                <w:ilvl w:val="2"/>
                <w:numId w:val="0"/>
              </w:numPr>
              <w:tabs>
                <w:tab w:val="left" w:pos="312"/>
                <w:tab w:val="clear" w:pos="900"/>
              </w:tabs>
              <w:kinsoku/>
              <w:overflowPunct/>
              <w:bidi w:val="0"/>
              <w:spacing w:before="312" w:after="156" w:line="360" w:lineRule="auto"/>
              <w:ind w:left="0" w:leftChars="0" w:firstLine="0" w:firstLineChars="0"/>
              <w:rPr>
                <w:rFonts w:hint="eastAsia" w:ascii="宋体" w:hAnsi="宋体" w:eastAsia="宋体" w:cs="宋体"/>
                <w:sz w:val="21"/>
                <w:szCs w:val="21"/>
              </w:rPr>
            </w:pPr>
            <w:bookmarkStart w:id="105" w:name="_Toc12760"/>
            <w:r>
              <w:rPr>
                <w:rFonts w:hint="eastAsia" w:ascii="宋体" w:hAnsi="宋体" w:eastAsia="宋体" w:cs="宋体"/>
                <w:b/>
                <w:bCs/>
                <w:kern w:val="2"/>
                <w:sz w:val="21"/>
                <w:szCs w:val="21"/>
                <w:lang w:val="en-US" w:eastAsia="zh-CN" w:bidi="ar-SA"/>
              </w:rPr>
              <w:t>1．</w:t>
            </w:r>
            <w:r>
              <w:rPr>
                <w:rFonts w:hint="eastAsia" w:ascii="宋体" w:hAnsi="宋体" w:eastAsia="宋体" w:cs="宋体"/>
                <w:sz w:val="21"/>
                <w:szCs w:val="21"/>
              </w:rPr>
              <w:t>主机配置及附件</w:t>
            </w:r>
            <w:bookmarkEnd w:id="105"/>
          </w:p>
          <w:p w14:paraId="4C8FF8B8">
            <w:pPr>
              <w:pageBreakBefore w:val="0"/>
              <w:tabs>
                <w:tab w:val="left" w:pos="3000"/>
              </w:tabs>
              <w:kinsoku/>
              <w:overflowPunct/>
              <w:bidi w:val="0"/>
              <w:spacing w:line="360" w:lineRule="auto"/>
              <w:ind w:firstLine="422" w:firstLineChars="200"/>
              <w:outlineLvl w:val="3"/>
              <w:rPr>
                <w:rFonts w:hint="eastAsia" w:ascii="宋体" w:hAnsi="宋体" w:eastAsia="宋体" w:cs="宋体"/>
                <w:szCs w:val="21"/>
              </w:rPr>
            </w:pPr>
            <w:r>
              <w:rPr>
                <w:rFonts w:hint="eastAsia" w:ascii="宋体" w:hAnsi="宋体" w:eastAsia="宋体" w:cs="宋体"/>
                <w:b/>
                <w:sz w:val="21"/>
                <w:szCs w:val="21"/>
              </w:rPr>
              <w:t>（采购数量按招标清单为准，这里只表示每台采购设备应配置的备件或耗材数量）</w:t>
            </w:r>
          </w:p>
          <w:tbl>
            <w:tblPr>
              <w:tblStyle w:val="23"/>
              <w:tblW w:w="7998" w:type="dxa"/>
              <w:tblInd w:w="96" w:type="dxa"/>
              <w:tblLayout w:type="autofit"/>
              <w:tblCellMar>
                <w:top w:w="0" w:type="dxa"/>
                <w:left w:w="108" w:type="dxa"/>
                <w:bottom w:w="0" w:type="dxa"/>
                <w:right w:w="108" w:type="dxa"/>
              </w:tblCellMar>
            </w:tblPr>
            <w:tblGrid>
              <w:gridCol w:w="1333"/>
              <w:gridCol w:w="2083"/>
              <w:gridCol w:w="1333"/>
              <w:gridCol w:w="1333"/>
              <w:gridCol w:w="1916"/>
            </w:tblGrid>
            <w:tr w14:paraId="76A9B0CE">
              <w:tblPrEx>
                <w:tblCellMar>
                  <w:top w:w="0" w:type="dxa"/>
                  <w:left w:w="108" w:type="dxa"/>
                  <w:bottom w:w="0" w:type="dxa"/>
                  <w:right w:w="108" w:type="dxa"/>
                </w:tblCellMar>
              </w:tblPrEx>
              <w:trPr>
                <w:trHeight w:val="676" w:hRule="atLeast"/>
              </w:trPr>
              <w:tc>
                <w:tcPr>
                  <w:tcW w:w="1333" w:type="dxa"/>
                  <w:tcBorders>
                    <w:top w:val="single" w:color="000000" w:sz="8" w:space="0"/>
                    <w:left w:val="single" w:color="000000" w:sz="8" w:space="0"/>
                    <w:bottom w:val="single" w:color="000000" w:sz="8" w:space="0"/>
                    <w:right w:val="single" w:color="000000" w:sz="8" w:space="0"/>
                  </w:tcBorders>
                  <w:vAlign w:val="center"/>
                </w:tcPr>
                <w:p w14:paraId="0DAEB3D6">
                  <w:pPr>
                    <w:pageBreakBefore w:val="0"/>
                    <w:widowControl/>
                    <w:kinsoku/>
                    <w:overflowPunct/>
                    <w:bidi w:val="0"/>
                    <w:spacing w:line="360" w:lineRule="auto"/>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序号</w:t>
                  </w:r>
                </w:p>
              </w:tc>
              <w:tc>
                <w:tcPr>
                  <w:tcW w:w="2083" w:type="dxa"/>
                  <w:tcBorders>
                    <w:top w:val="single" w:color="000000" w:sz="8" w:space="0"/>
                    <w:left w:val="single" w:color="000000" w:sz="8" w:space="0"/>
                    <w:bottom w:val="single" w:color="000000" w:sz="8" w:space="0"/>
                    <w:right w:val="single" w:color="000000" w:sz="8" w:space="0"/>
                  </w:tcBorders>
                  <w:vAlign w:val="center"/>
                </w:tcPr>
                <w:p w14:paraId="683D4046">
                  <w:pPr>
                    <w:pageBreakBefore w:val="0"/>
                    <w:widowControl/>
                    <w:kinsoku/>
                    <w:overflowPunct/>
                    <w:bidi w:val="0"/>
                    <w:spacing w:line="360" w:lineRule="auto"/>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产品名称</w:t>
                  </w:r>
                </w:p>
              </w:tc>
              <w:tc>
                <w:tcPr>
                  <w:tcW w:w="1333" w:type="dxa"/>
                  <w:tcBorders>
                    <w:top w:val="single" w:color="000000" w:sz="8" w:space="0"/>
                    <w:left w:val="single" w:color="000000" w:sz="8" w:space="0"/>
                    <w:bottom w:val="single" w:color="000000" w:sz="8" w:space="0"/>
                    <w:right w:val="single" w:color="000000" w:sz="8" w:space="0"/>
                  </w:tcBorders>
                  <w:vAlign w:val="center"/>
                </w:tcPr>
                <w:p w14:paraId="14DE5D04">
                  <w:pPr>
                    <w:pageBreakBefore w:val="0"/>
                    <w:widowControl/>
                    <w:kinsoku/>
                    <w:overflowPunct/>
                    <w:bidi w:val="0"/>
                    <w:spacing w:line="360" w:lineRule="auto"/>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数量</w:t>
                  </w:r>
                </w:p>
              </w:tc>
              <w:tc>
                <w:tcPr>
                  <w:tcW w:w="1333" w:type="dxa"/>
                  <w:tcBorders>
                    <w:top w:val="single" w:color="000000" w:sz="8" w:space="0"/>
                    <w:left w:val="single" w:color="000000" w:sz="8" w:space="0"/>
                    <w:bottom w:val="single" w:color="000000" w:sz="8" w:space="0"/>
                    <w:right w:val="single" w:color="000000" w:sz="8" w:space="0"/>
                  </w:tcBorders>
                  <w:vAlign w:val="center"/>
                </w:tcPr>
                <w:p w14:paraId="59946494">
                  <w:pPr>
                    <w:pageBreakBefore w:val="0"/>
                    <w:widowControl/>
                    <w:kinsoku/>
                    <w:overflowPunct/>
                    <w:bidi w:val="0"/>
                    <w:spacing w:line="360" w:lineRule="auto"/>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单位</w:t>
                  </w:r>
                </w:p>
              </w:tc>
              <w:tc>
                <w:tcPr>
                  <w:tcW w:w="1916" w:type="dxa"/>
                  <w:tcBorders>
                    <w:top w:val="single" w:color="000000" w:sz="8" w:space="0"/>
                    <w:left w:val="single" w:color="000000" w:sz="8" w:space="0"/>
                    <w:bottom w:val="single" w:color="000000" w:sz="8" w:space="0"/>
                    <w:right w:val="single" w:color="000000" w:sz="8" w:space="0"/>
                  </w:tcBorders>
                  <w:vAlign w:val="center"/>
                </w:tcPr>
                <w:p w14:paraId="69037E00">
                  <w:pPr>
                    <w:pageBreakBefore w:val="0"/>
                    <w:widowControl/>
                    <w:kinsoku/>
                    <w:overflowPunct/>
                    <w:bidi w:val="0"/>
                    <w:spacing w:line="360" w:lineRule="auto"/>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备注</w:t>
                  </w:r>
                </w:p>
              </w:tc>
            </w:tr>
            <w:tr w14:paraId="1C1D209D">
              <w:tblPrEx>
                <w:tblCellMar>
                  <w:top w:w="0" w:type="dxa"/>
                  <w:left w:w="108" w:type="dxa"/>
                  <w:bottom w:w="0" w:type="dxa"/>
                  <w:right w:w="108" w:type="dxa"/>
                </w:tblCellMar>
              </w:tblPrEx>
              <w:trPr>
                <w:trHeight w:val="919" w:hRule="atLeast"/>
              </w:trPr>
              <w:tc>
                <w:tcPr>
                  <w:tcW w:w="1333" w:type="dxa"/>
                  <w:tcBorders>
                    <w:top w:val="nil"/>
                    <w:left w:val="single" w:color="000000" w:sz="8" w:space="0"/>
                    <w:bottom w:val="single" w:color="000000" w:sz="8" w:space="0"/>
                    <w:right w:val="single" w:color="000000" w:sz="8" w:space="0"/>
                  </w:tcBorders>
                  <w:vAlign w:val="center"/>
                </w:tcPr>
                <w:p w14:paraId="5C9906BF">
                  <w:pPr>
                    <w:pageBreakBefore w:val="0"/>
                    <w:widowControl/>
                    <w:kinsoku/>
                    <w:overflowPunct/>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w:t>
                  </w:r>
                </w:p>
              </w:tc>
              <w:tc>
                <w:tcPr>
                  <w:tcW w:w="2083" w:type="dxa"/>
                  <w:tcBorders>
                    <w:top w:val="nil"/>
                    <w:left w:val="single" w:color="000000" w:sz="8" w:space="0"/>
                    <w:bottom w:val="single" w:color="000000" w:sz="8" w:space="0"/>
                    <w:right w:val="single" w:color="000000" w:sz="8" w:space="0"/>
                  </w:tcBorders>
                  <w:vAlign w:val="center"/>
                </w:tcPr>
                <w:p w14:paraId="1367A46A">
                  <w:pPr>
                    <w:pageBreakBefore w:val="0"/>
                    <w:widowControl/>
                    <w:kinsoku/>
                    <w:overflowPunct/>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程控定量封口机</w:t>
                  </w:r>
                </w:p>
              </w:tc>
              <w:tc>
                <w:tcPr>
                  <w:tcW w:w="1333" w:type="dxa"/>
                  <w:tcBorders>
                    <w:top w:val="nil"/>
                    <w:left w:val="single" w:color="000000" w:sz="8" w:space="0"/>
                    <w:bottom w:val="single" w:color="000000" w:sz="8" w:space="0"/>
                    <w:right w:val="single" w:color="000000" w:sz="8" w:space="0"/>
                  </w:tcBorders>
                  <w:vAlign w:val="center"/>
                </w:tcPr>
                <w:p w14:paraId="39BCC24E">
                  <w:pPr>
                    <w:pageBreakBefore w:val="0"/>
                    <w:widowControl/>
                    <w:kinsoku/>
                    <w:overflowPunct/>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w:t>
                  </w:r>
                </w:p>
              </w:tc>
              <w:tc>
                <w:tcPr>
                  <w:tcW w:w="1333" w:type="dxa"/>
                  <w:tcBorders>
                    <w:top w:val="nil"/>
                    <w:left w:val="single" w:color="000000" w:sz="8" w:space="0"/>
                    <w:bottom w:val="single" w:color="000000" w:sz="8" w:space="0"/>
                    <w:right w:val="single" w:color="000000" w:sz="8" w:space="0"/>
                  </w:tcBorders>
                  <w:vAlign w:val="center"/>
                </w:tcPr>
                <w:p w14:paraId="7CB1A132">
                  <w:pPr>
                    <w:pageBreakBefore w:val="0"/>
                    <w:widowControl/>
                    <w:kinsoku/>
                    <w:overflowPunct/>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台</w:t>
                  </w:r>
                </w:p>
              </w:tc>
              <w:tc>
                <w:tcPr>
                  <w:tcW w:w="1916" w:type="dxa"/>
                  <w:tcBorders>
                    <w:top w:val="nil"/>
                    <w:left w:val="single" w:color="000000" w:sz="8" w:space="0"/>
                    <w:bottom w:val="single" w:color="000000" w:sz="8" w:space="0"/>
                    <w:right w:val="single" w:color="000000" w:sz="8" w:space="0"/>
                  </w:tcBorders>
                  <w:vAlign w:val="center"/>
                </w:tcPr>
                <w:p w14:paraId="2DF4F3DB">
                  <w:pPr>
                    <w:pageBreakBefore w:val="0"/>
                    <w:widowControl/>
                    <w:kinsoku/>
                    <w:overflowPunct/>
                    <w:bidi w:val="0"/>
                    <w:spacing w:line="360" w:lineRule="auto"/>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w:t>
                  </w:r>
                </w:p>
              </w:tc>
            </w:tr>
            <w:tr w14:paraId="5B4A7F07">
              <w:tblPrEx>
                <w:tblCellMar>
                  <w:top w:w="0" w:type="dxa"/>
                  <w:left w:w="108" w:type="dxa"/>
                  <w:bottom w:w="0" w:type="dxa"/>
                  <w:right w:w="108" w:type="dxa"/>
                </w:tblCellMar>
              </w:tblPrEx>
              <w:trPr>
                <w:trHeight w:val="660" w:hRule="atLeast"/>
              </w:trPr>
              <w:tc>
                <w:tcPr>
                  <w:tcW w:w="1333" w:type="dxa"/>
                  <w:tcBorders>
                    <w:top w:val="nil"/>
                    <w:left w:val="single" w:color="000000" w:sz="8" w:space="0"/>
                    <w:bottom w:val="single" w:color="000000" w:sz="8" w:space="0"/>
                    <w:right w:val="single" w:color="000000" w:sz="8" w:space="0"/>
                  </w:tcBorders>
                  <w:vAlign w:val="center"/>
                </w:tcPr>
                <w:p w14:paraId="083BA3E4">
                  <w:pPr>
                    <w:pageBreakBefore w:val="0"/>
                    <w:widowControl/>
                    <w:kinsoku/>
                    <w:overflowPunct/>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w:t>
                  </w:r>
                </w:p>
              </w:tc>
              <w:tc>
                <w:tcPr>
                  <w:tcW w:w="2083" w:type="dxa"/>
                  <w:tcBorders>
                    <w:top w:val="nil"/>
                    <w:left w:val="single" w:color="000000" w:sz="8" w:space="0"/>
                    <w:bottom w:val="single" w:color="000000" w:sz="8" w:space="0"/>
                    <w:right w:val="single" w:color="000000" w:sz="8" w:space="0"/>
                  </w:tcBorders>
                  <w:vAlign w:val="center"/>
                </w:tcPr>
                <w:p w14:paraId="639A5A1C">
                  <w:pPr>
                    <w:pageBreakBefore w:val="0"/>
                    <w:widowControl/>
                    <w:kinsoku/>
                    <w:overflowPunct/>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紫外观察箱</w:t>
                  </w:r>
                </w:p>
              </w:tc>
              <w:tc>
                <w:tcPr>
                  <w:tcW w:w="1333" w:type="dxa"/>
                  <w:tcBorders>
                    <w:top w:val="nil"/>
                    <w:left w:val="single" w:color="000000" w:sz="8" w:space="0"/>
                    <w:bottom w:val="single" w:color="000000" w:sz="8" w:space="0"/>
                    <w:right w:val="single" w:color="000000" w:sz="8" w:space="0"/>
                  </w:tcBorders>
                  <w:vAlign w:val="center"/>
                </w:tcPr>
                <w:p w14:paraId="7D1C3E56">
                  <w:pPr>
                    <w:pageBreakBefore w:val="0"/>
                    <w:widowControl/>
                    <w:kinsoku/>
                    <w:overflowPunct/>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w:t>
                  </w:r>
                </w:p>
              </w:tc>
              <w:tc>
                <w:tcPr>
                  <w:tcW w:w="1333" w:type="dxa"/>
                  <w:tcBorders>
                    <w:top w:val="nil"/>
                    <w:left w:val="single" w:color="000000" w:sz="8" w:space="0"/>
                    <w:bottom w:val="single" w:color="000000" w:sz="8" w:space="0"/>
                    <w:right w:val="single" w:color="000000" w:sz="8" w:space="0"/>
                  </w:tcBorders>
                  <w:vAlign w:val="center"/>
                </w:tcPr>
                <w:p w14:paraId="76D66355">
                  <w:pPr>
                    <w:pageBreakBefore w:val="0"/>
                    <w:widowControl/>
                    <w:kinsoku/>
                    <w:overflowPunct/>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台</w:t>
                  </w:r>
                </w:p>
              </w:tc>
              <w:tc>
                <w:tcPr>
                  <w:tcW w:w="1916" w:type="dxa"/>
                  <w:tcBorders>
                    <w:top w:val="nil"/>
                    <w:left w:val="single" w:color="000000" w:sz="8" w:space="0"/>
                    <w:bottom w:val="single" w:color="000000" w:sz="8" w:space="0"/>
                    <w:right w:val="single" w:color="000000" w:sz="8" w:space="0"/>
                  </w:tcBorders>
                  <w:vAlign w:val="center"/>
                </w:tcPr>
                <w:p w14:paraId="2F2C99E8">
                  <w:pPr>
                    <w:pageBreakBefore w:val="0"/>
                    <w:widowControl/>
                    <w:kinsoku/>
                    <w:overflowPunct/>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w:t>
                  </w:r>
                </w:p>
              </w:tc>
            </w:tr>
            <w:tr w14:paraId="10F5BA30">
              <w:tblPrEx>
                <w:tblCellMar>
                  <w:top w:w="0" w:type="dxa"/>
                  <w:left w:w="108" w:type="dxa"/>
                  <w:bottom w:w="0" w:type="dxa"/>
                  <w:right w:w="108" w:type="dxa"/>
                </w:tblCellMar>
              </w:tblPrEx>
              <w:trPr>
                <w:trHeight w:val="919" w:hRule="atLeast"/>
              </w:trPr>
              <w:tc>
                <w:tcPr>
                  <w:tcW w:w="1333" w:type="dxa"/>
                  <w:tcBorders>
                    <w:top w:val="nil"/>
                    <w:left w:val="single" w:color="000000" w:sz="8" w:space="0"/>
                    <w:bottom w:val="single" w:color="000000" w:sz="8" w:space="0"/>
                    <w:right w:val="single" w:color="000000" w:sz="8" w:space="0"/>
                  </w:tcBorders>
                  <w:vAlign w:val="center"/>
                </w:tcPr>
                <w:p w14:paraId="46DA0BFC">
                  <w:pPr>
                    <w:pageBreakBefore w:val="0"/>
                    <w:widowControl/>
                    <w:kinsoku/>
                    <w:overflowPunct/>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3</w:t>
                  </w:r>
                </w:p>
              </w:tc>
              <w:tc>
                <w:tcPr>
                  <w:tcW w:w="2083" w:type="dxa"/>
                  <w:tcBorders>
                    <w:top w:val="nil"/>
                    <w:left w:val="single" w:color="000000" w:sz="8" w:space="0"/>
                    <w:bottom w:val="single" w:color="000000" w:sz="8" w:space="0"/>
                    <w:right w:val="single" w:color="000000" w:sz="8" w:space="0"/>
                  </w:tcBorders>
                  <w:vAlign w:val="center"/>
                </w:tcPr>
                <w:p w14:paraId="0B922D69">
                  <w:pPr>
                    <w:pageBreakBefore w:val="0"/>
                    <w:widowControl/>
                    <w:kinsoku/>
                    <w:overflowPunct/>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大肠菌群检测试剂</w:t>
                  </w:r>
                </w:p>
              </w:tc>
              <w:tc>
                <w:tcPr>
                  <w:tcW w:w="1333" w:type="dxa"/>
                  <w:tcBorders>
                    <w:top w:val="nil"/>
                    <w:left w:val="single" w:color="000000" w:sz="8" w:space="0"/>
                    <w:bottom w:val="single" w:color="000000" w:sz="8" w:space="0"/>
                    <w:right w:val="single" w:color="000000" w:sz="8" w:space="0"/>
                  </w:tcBorders>
                  <w:vAlign w:val="center"/>
                </w:tcPr>
                <w:p w14:paraId="7B894369">
                  <w:pPr>
                    <w:pageBreakBefore w:val="0"/>
                    <w:widowControl/>
                    <w:kinsoku/>
                    <w:overflowPunct/>
                    <w:bidi w:val="0"/>
                    <w:spacing w:line="360" w:lineRule="auto"/>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rPr>
                    <w:t>5</w:t>
                  </w:r>
                </w:p>
              </w:tc>
              <w:tc>
                <w:tcPr>
                  <w:tcW w:w="1333" w:type="dxa"/>
                  <w:tcBorders>
                    <w:top w:val="nil"/>
                    <w:left w:val="single" w:color="000000" w:sz="8" w:space="0"/>
                    <w:bottom w:val="single" w:color="000000" w:sz="8" w:space="0"/>
                    <w:right w:val="single" w:color="000000" w:sz="8" w:space="0"/>
                  </w:tcBorders>
                  <w:vAlign w:val="center"/>
                </w:tcPr>
                <w:p w14:paraId="07C59E92">
                  <w:pPr>
                    <w:pageBreakBefore w:val="0"/>
                    <w:widowControl/>
                    <w:kinsoku/>
                    <w:overflowPunct/>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盒</w:t>
                  </w:r>
                </w:p>
              </w:tc>
              <w:tc>
                <w:tcPr>
                  <w:tcW w:w="1916" w:type="dxa"/>
                  <w:tcBorders>
                    <w:top w:val="nil"/>
                    <w:left w:val="single" w:color="000000" w:sz="8" w:space="0"/>
                    <w:bottom w:val="single" w:color="000000" w:sz="8" w:space="0"/>
                    <w:right w:val="single" w:color="000000" w:sz="8" w:space="0"/>
                  </w:tcBorders>
                  <w:vAlign w:val="center"/>
                </w:tcPr>
                <w:p w14:paraId="53F4F306">
                  <w:pPr>
                    <w:pageBreakBefore w:val="0"/>
                    <w:widowControl/>
                    <w:kinsoku/>
                    <w:overflowPunct/>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100</w:t>
                  </w:r>
                  <w:r>
                    <w:rPr>
                      <w:rStyle w:val="38"/>
                      <w:rFonts w:hint="eastAsia" w:ascii="宋体" w:hAnsi="宋体" w:eastAsia="宋体" w:cs="宋体"/>
                      <w:sz w:val="21"/>
                      <w:szCs w:val="21"/>
                    </w:rPr>
                    <w:t>个</w:t>
                  </w:r>
                  <w:r>
                    <w:rPr>
                      <w:rFonts w:hint="eastAsia" w:ascii="宋体" w:hAnsi="宋体" w:eastAsia="宋体" w:cs="宋体"/>
                      <w:color w:val="000000"/>
                      <w:kern w:val="0"/>
                      <w:sz w:val="21"/>
                      <w:szCs w:val="21"/>
                    </w:rPr>
                    <w:t>/</w:t>
                  </w:r>
                  <w:r>
                    <w:rPr>
                      <w:rStyle w:val="38"/>
                      <w:rFonts w:hint="eastAsia" w:ascii="宋体" w:hAnsi="宋体" w:eastAsia="宋体" w:cs="宋体"/>
                      <w:sz w:val="21"/>
                      <w:szCs w:val="21"/>
                    </w:rPr>
                    <w:t>箱</w:t>
                  </w:r>
                </w:p>
              </w:tc>
            </w:tr>
            <w:tr w14:paraId="7FC0C7DC">
              <w:tblPrEx>
                <w:tblCellMar>
                  <w:top w:w="0" w:type="dxa"/>
                  <w:left w:w="108" w:type="dxa"/>
                  <w:bottom w:w="0" w:type="dxa"/>
                  <w:right w:w="108" w:type="dxa"/>
                </w:tblCellMar>
              </w:tblPrEx>
              <w:trPr>
                <w:trHeight w:val="660" w:hRule="atLeast"/>
              </w:trPr>
              <w:tc>
                <w:tcPr>
                  <w:tcW w:w="1333" w:type="dxa"/>
                  <w:tcBorders>
                    <w:top w:val="nil"/>
                    <w:left w:val="single" w:color="000000" w:sz="8" w:space="0"/>
                    <w:bottom w:val="single" w:color="000000" w:sz="8" w:space="0"/>
                    <w:right w:val="single" w:color="000000" w:sz="8" w:space="0"/>
                  </w:tcBorders>
                  <w:vAlign w:val="center"/>
                </w:tcPr>
                <w:p w14:paraId="4DB7F153">
                  <w:pPr>
                    <w:pageBreakBefore w:val="0"/>
                    <w:widowControl/>
                    <w:kinsoku/>
                    <w:overflowPunct/>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4</w:t>
                  </w:r>
                </w:p>
              </w:tc>
              <w:tc>
                <w:tcPr>
                  <w:tcW w:w="2083" w:type="dxa"/>
                  <w:tcBorders>
                    <w:top w:val="nil"/>
                    <w:left w:val="single" w:color="000000" w:sz="8" w:space="0"/>
                    <w:bottom w:val="single" w:color="000000" w:sz="8" w:space="0"/>
                    <w:right w:val="single" w:color="000000" w:sz="8" w:space="0"/>
                  </w:tcBorders>
                  <w:vAlign w:val="center"/>
                </w:tcPr>
                <w:p w14:paraId="61C97E37">
                  <w:pPr>
                    <w:pageBreakBefore w:val="0"/>
                    <w:widowControl/>
                    <w:kinsoku/>
                    <w:overflowPunct/>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97孔定量盘</w:t>
                  </w:r>
                </w:p>
              </w:tc>
              <w:tc>
                <w:tcPr>
                  <w:tcW w:w="1333" w:type="dxa"/>
                  <w:tcBorders>
                    <w:top w:val="nil"/>
                    <w:left w:val="single" w:color="000000" w:sz="8" w:space="0"/>
                    <w:bottom w:val="single" w:color="000000" w:sz="8" w:space="0"/>
                    <w:right w:val="single" w:color="000000" w:sz="8" w:space="0"/>
                  </w:tcBorders>
                  <w:vAlign w:val="center"/>
                </w:tcPr>
                <w:p w14:paraId="3B3672B7">
                  <w:pPr>
                    <w:pageBreakBefore w:val="0"/>
                    <w:widowControl/>
                    <w:kinsoku/>
                    <w:overflowPunct/>
                    <w:bidi w:val="0"/>
                    <w:spacing w:line="360" w:lineRule="auto"/>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rPr>
                    <w:t>5</w:t>
                  </w:r>
                </w:p>
              </w:tc>
              <w:tc>
                <w:tcPr>
                  <w:tcW w:w="1333" w:type="dxa"/>
                  <w:tcBorders>
                    <w:top w:val="nil"/>
                    <w:left w:val="single" w:color="000000" w:sz="8" w:space="0"/>
                    <w:bottom w:val="single" w:color="000000" w:sz="8" w:space="0"/>
                    <w:right w:val="single" w:color="000000" w:sz="8" w:space="0"/>
                  </w:tcBorders>
                  <w:vAlign w:val="center"/>
                </w:tcPr>
                <w:p w14:paraId="3B6D0A58">
                  <w:pPr>
                    <w:pageBreakBefore w:val="0"/>
                    <w:widowControl/>
                    <w:kinsoku/>
                    <w:overflowPunct/>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箱</w:t>
                  </w:r>
                </w:p>
              </w:tc>
              <w:tc>
                <w:tcPr>
                  <w:tcW w:w="1916" w:type="dxa"/>
                  <w:tcBorders>
                    <w:top w:val="nil"/>
                    <w:left w:val="single" w:color="000000" w:sz="8" w:space="0"/>
                    <w:bottom w:val="single" w:color="000000" w:sz="8" w:space="0"/>
                    <w:right w:val="single" w:color="000000" w:sz="8" w:space="0"/>
                  </w:tcBorders>
                  <w:vAlign w:val="center"/>
                </w:tcPr>
                <w:p w14:paraId="5077526A">
                  <w:pPr>
                    <w:pageBreakBefore w:val="0"/>
                    <w:widowControl/>
                    <w:kinsoku/>
                    <w:overflowPunct/>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100</w:t>
                  </w:r>
                  <w:r>
                    <w:rPr>
                      <w:rStyle w:val="38"/>
                      <w:rFonts w:hint="eastAsia" w:ascii="宋体" w:hAnsi="宋体" w:eastAsia="宋体" w:cs="宋体"/>
                      <w:sz w:val="21"/>
                      <w:szCs w:val="21"/>
                    </w:rPr>
                    <w:t>个</w:t>
                  </w:r>
                  <w:r>
                    <w:rPr>
                      <w:rFonts w:hint="eastAsia" w:ascii="宋体" w:hAnsi="宋体" w:eastAsia="宋体" w:cs="宋体"/>
                      <w:color w:val="000000"/>
                      <w:kern w:val="0"/>
                      <w:sz w:val="21"/>
                      <w:szCs w:val="21"/>
                    </w:rPr>
                    <w:t>/</w:t>
                  </w:r>
                  <w:r>
                    <w:rPr>
                      <w:rStyle w:val="38"/>
                      <w:rFonts w:hint="eastAsia" w:ascii="宋体" w:hAnsi="宋体" w:eastAsia="宋体" w:cs="宋体"/>
                      <w:sz w:val="21"/>
                      <w:szCs w:val="21"/>
                    </w:rPr>
                    <w:t>箱</w:t>
                  </w:r>
                </w:p>
              </w:tc>
            </w:tr>
            <w:tr w14:paraId="3A6386AD">
              <w:tblPrEx>
                <w:tblCellMar>
                  <w:top w:w="0" w:type="dxa"/>
                  <w:left w:w="108" w:type="dxa"/>
                  <w:bottom w:w="0" w:type="dxa"/>
                  <w:right w:w="108" w:type="dxa"/>
                </w:tblCellMar>
              </w:tblPrEx>
              <w:trPr>
                <w:trHeight w:val="660" w:hRule="atLeast"/>
              </w:trPr>
              <w:tc>
                <w:tcPr>
                  <w:tcW w:w="1333" w:type="dxa"/>
                  <w:tcBorders>
                    <w:top w:val="nil"/>
                    <w:left w:val="single" w:color="000000" w:sz="8" w:space="0"/>
                    <w:bottom w:val="single" w:color="000000" w:sz="8" w:space="0"/>
                    <w:right w:val="single" w:color="000000" w:sz="8" w:space="0"/>
                  </w:tcBorders>
                  <w:vAlign w:val="center"/>
                </w:tcPr>
                <w:p w14:paraId="27372903">
                  <w:pPr>
                    <w:pageBreakBefore w:val="0"/>
                    <w:widowControl/>
                    <w:kinsoku/>
                    <w:overflowPunct/>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5</w:t>
                  </w:r>
                </w:p>
              </w:tc>
              <w:tc>
                <w:tcPr>
                  <w:tcW w:w="2083" w:type="dxa"/>
                  <w:tcBorders>
                    <w:top w:val="nil"/>
                    <w:left w:val="single" w:color="000000" w:sz="8" w:space="0"/>
                    <w:bottom w:val="single" w:color="000000" w:sz="8" w:space="0"/>
                    <w:right w:val="single" w:color="000000" w:sz="8" w:space="0"/>
                  </w:tcBorders>
                  <w:vAlign w:val="center"/>
                </w:tcPr>
                <w:p w14:paraId="0E455A62">
                  <w:pPr>
                    <w:pageBreakBefore w:val="0"/>
                    <w:widowControl/>
                    <w:kinsoku/>
                    <w:overflowPunct/>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无菌取样瓶</w:t>
                  </w:r>
                </w:p>
              </w:tc>
              <w:tc>
                <w:tcPr>
                  <w:tcW w:w="1333" w:type="dxa"/>
                  <w:tcBorders>
                    <w:top w:val="nil"/>
                    <w:left w:val="single" w:color="000000" w:sz="8" w:space="0"/>
                    <w:bottom w:val="single" w:color="000000" w:sz="8" w:space="0"/>
                    <w:right w:val="single" w:color="000000" w:sz="8" w:space="0"/>
                  </w:tcBorders>
                  <w:vAlign w:val="center"/>
                </w:tcPr>
                <w:p w14:paraId="2C9F7626">
                  <w:pPr>
                    <w:pageBreakBefore w:val="0"/>
                    <w:widowControl/>
                    <w:kinsoku/>
                    <w:overflowPunct/>
                    <w:bidi w:val="0"/>
                    <w:spacing w:line="360" w:lineRule="auto"/>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rPr>
                    <w:t>3</w:t>
                  </w:r>
                </w:p>
              </w:tc>
              <w:tc>
                <w:tcPr>
                  <w:tcW w:w="1333" w:type="dxa"/>
                  <w:tcBorders>
                    <w:top w:val="nil"/>
                    <w:left w:val="single" w:color="000000" w:sz="8" w:space="0"/>
                    <w:bottom w:val="single" w:color="000000" w:sz="8" w:space="0"/>
                    <w:right w:val="single" w:color="000000" w:sz="8" w:space="0"/>
                  </w:tcBorders>
                  <w:vAlign w:val="center"/>
                </w:tcPr>
                <w:p w14:paraId="5DDC7870">
                  <w:pPr>
                    <w:pageBreakBefore w:val="0"/>
                    <w:widowControl/>
                    <w:kinsoku/>
                    <w:overflowPunct/>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箱</w:t>
                  </w:r>
                </w:p>
              </w:tc>
              <w:tc>
                <w:tcPr>
                  <w:tcW w:w="1916" w:type="dxa"/>
                  <w:tcBorders>
                    <w:top w:val="nil"/>
                    <w:left w:val="single" w:color="000000" w:sz="8" w:space="0"/>
                    <w:bottom w:val="single" w:color="000000" w:sz="8" w:space="0"/>
                    <w:right w:val="single" w:color="000000" w:sz="8" w:space="0"/>
                  </w:tcBorders>
                  <w:vAlign w:val="center"/>
                </w:tcPr>
                <w:p w14:paraId="2CEF7ED0">
                  <w:pPr>
                    <w:pageBreakBefore w:val="0"/>
                    <w:widowControl/>
                    <w:kinsoku/>
                    <w:overflowPunct/>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200</w:t>
                  </w:r>
                  <w:r>
                    <w:rPr>
                      <w:rStyle w:val="38"/>
                      <w:rFonts w:hint="eastAsia" w:ascii="宋体" w:hAnsi="宋体" w:eastAsia="宋体" w:cs="宋体"/>
                      <w:sz w:val="21"/>
                      <w:szCs w:val="21"/>
                    </w:rPr>
                    <w:t>个</w:t>
                  </w:r>
                  <w:r>
                    <w:rPr>
                      <w:rFonts w:hint="eastAsia" w:ascii="宋体" w:hAnsi="宋体" w:eastAsia="宋体" w:cs="宋体"/>
                      <w:color w:val="000000"/>
                      <w:kern w:val="0"/>
                      <w:sz w:val="21"/>
                      <w:szCs w:val="21"/>
                    </w:rPr>
                    <w:t>/</w:t>
                  </w:r>
                  <w:r>
                    <w:rPr>
                      <w:rStyle w:val="38"/>
                      <w:rFonts w:hint="eastAsia" w:ascii="宋体" w:hAnsi="宋体" w:eastAsia="宋体" w:cs="宋体"/>
                      <w:sz w:val="21"/>
                      <w:szCs w:val="21"/>
                    </w:rPr>
                    <w:t>箱</w:t>
                  </w:r>
                </w:p>
              </w:tc>
            </w:tr>
            <w:tr w14:paraId="435D4D3E">
              <w:tblPrEx>
                <w:tblCellMar>
                  <w:top w:w="0" w:type="dxa"/>
                  <w:left w:w="108" w:type="dxa"/>
                  <w:bottom w:w="0" w:type="dxa"/>
                  <w:right w:w="108" w:type="dxa"/>
                </w:tblCellMar>
              </w:tblPrEx>
              <w:trPr>
                <w:trHeight w:val="941" w:hRule="atLeast"/>
              </w:trPr>
              <w:tc>
                <w:tcPr>
                  <w:tcW w:w="1333" w:type="dxa"/>
                  <w:tcBorders>
                    <w:top w:val="nil"/>
                    <w:left w:val="single" w:color="000000" w:sz="8" w:space="0"/>
                    <w:bottom w:val="single" w:color="000000" w:sz="8" w:space="0"/>
                    <w:right w:val="single" w:color="000000" w:sz="8" w:space="0"/>
                  </w:tcBorders>
                  <w:vAlign w:val="center"/>
                </w:tcPr>
                <w:p w14:paraId="13E4E179">
                  <w:pPr>
                    <w:pageBreakBefore w:val="0"/>
                    <w:widowControl/>
                    <w:kinsoku/>
                    <w:overflowPunct/>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6</w:t>
                  </w:r>
                </w:p>
              </w:tc>
              <w:tc>
                <w:tcPr>
                  <w:tcW w:w="2083" w:type="dxa"/>
                  <w:tcBorders>
                    <w:top w:val="nil"/>
                    <w:left w:val="single" w:color="000000" w:sz="8" w:space="0"/>
                    <w:bottom w:val="single" w:color="000000" w:sz="8" w:space="0"/>
                    <w:right w:val="single" w:color="000000" w:sz="8" w:space="0"/>
                  </w:tcBorders>
                  <w:vAlign w:val="center"/>
                </w:tcPr>
                <w:p w14:paraId="32AA46E9">
                  <w:pPr>
                    <w:pageBreakBefore w:val="0"/>
                    <w:widowControl/>
                    <w:kinsoku/>
                    <w:overflowPunct/>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菌落总数组件</w:t>
                  </w:r>
                </w:p>
              </w:tc>
              <w:tc>
                <w:tcPr>
                  <w:tcW w:w="1333" w:type="dxa"/>
                  <w:tcBorders>
                    <w:top w:val="nil"/>
                    <w:left w:val="single" w:color="000000" w:sz="8" w:space="0"/>
                    <w:bottom w:val="single" w:color="000000" w:sz="8" w:space="0"/>
                    <w:right w:val="single" w:color="000000" w:sz="8" w:space="0"/>
                  </w:tcBorders>
                  <w:vAlign w:val="center"/>
                </w:tcPr>
                <w:p w14:paraId="06C80F00">
                  <w:pPr>
                    <w:pageBreakBefore w:val="0"/>
                    <w:widowControl/>
                    <w:kinsoku/>
                    <w:overflowPunct/>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8</w:t>
                  </w:r>
                </w:p>
              </w:tc>
              <w:tc>
                <w:tcPr>
                  <w:tcW w:w="1333" w:type="dxa"/>
                  <w:tcBorders>
                    <w:top w:val="nil"/>
                    <w:left w:val="single" w:color="000000" w:sz="8" w:space="0"/>
                    <w:bottom w:val="single" w:color="000000" w:sz="8" w:space="0"/>
                    <w:right w:val="single" w:color="000000" w:sz="8" w:space="0"/>
                  </w:tcBorders>
                  <w:vAlign w:val="center"/>
                </w:tcPr>
                <w:p w14:paraId="26889394">
                  <w:pPr>
                    <w:pageBreakBefore w:val="0"/>
                    <w:widowControl/>
                    <w:kinsoku/>
                    <w:overflowPunct/>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箱</w:t>
                  </w:r>
                </w:p>
              </w:tc>
              <w:tc>
                <w:tcPr>
                  <w:tcW w:w="1916" w:type="dxa"/>
                  <w:tcBorders>
                    <w:top w:val="nil"/>
                    <w:left w:val="single" w:color="000000" w:sz="8" w:space="0"/>
                    <w:bottom w:val="single" w:color="000000" w:sz="8" w:space="0"/>
                    <w:right w:val="single" w:color="000000" w:sz="8" w:space="0"/>
                  </w:tcBorders>
                  <w:vAlign w:val="center"/>
                </w:tcPr>
                <w:p w14:paraId="1E338365">
                  <w:pPr>
                    <w:pageBreakBefore w:val="0"/>
                    <w:widowControl/>
                    <w:kinsoku/>
                    <w:overflowPunct/>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测25</w:t>
                  </w:r>
                  <w:r>
                    <w:rPr>
                      <w:rStyle w:val="38"/>
                      <w:rFonts w:hint="eastAsia" w:ascii="宋体" w:hAnsi="宋体" w:eastAsia="宋体" w:cs="宋体"/>
                      <w:sz w:val="21"/>
                      <w:szCs w:val="21"/>
                    </w:rPr>
                    <w:t>次</w:t>
                  </w:r>
                  <w:r>
                    <w:rPr>
                      <w:rFonts w:hint="eastAsia" w:ascii="宋体" w:hAnsi="宋体" w:eastAsia="宋体" w:cs="宋体"/>
                      <w:color w:val="000000"/>
                      <w:kern w:val="0"/>
                      <w:sz w:val="21"/>
                      <w:szCs w:val="21"/>
                    </w:rPr>
                    <w:t>/</w:t>
                  </w:r>
                  <w:r>
                    <w:rPr>
                      <w:rStyle w:val="38"/>
                      <w:rFonts w:hint="eastAsia" w:ascii="宋体" w:hAnsi="宋体" w:eastAsia="宋体" w:cs="宋体"/>
                      <w:sz w:val="21"/>
                      <w:szCs w:val="21"/>
                    </w:rPr>
                    <w:t>箱</w:t>
                  </w:r>
                </w:p>
              </w:tc>
            </w:tr>
          </w:tbl>
          <w:p w14:paraId="59773213">
            <w:pPr>
              <w:pageBreakBefore w:val="0"/>
              <w:kinsoku/>
              <w:overflowPunct/>
              <w:bidi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注：试剂耗材根据用户需求，按此表总量分批供应。</w:t>
            </w:r>
          </w:p>
          <w:p w14:paraId="379841E0">
            <w:pPr>
              <w:pStyle w:val="4"/>
              <w:pageBreakBefore w:val="0"/>
              <w:numPr>
                <w:ilvl w:val="2"/>
                <w:numId w:val="0"/>
              </w:numPr>
              <w:tabs>
                <w:tab w:val="left" w:pos="312"/>
                <w:tab w:val="clear" w:pos="900"/>
              </w:tabs>
              <w:kinsoku/>
              <w:overflowPunct/>
              <w:bidi w:val="0"/>
              <w:spacing w:before="312" w:after="156" w:line="360" w:lineRule="auto"/>
              <w:ind w:left="0" w:leftChars="0" w:firstLine="0" w:firstLineChars="0"/>
              <w:rPr>
                <w:rFonts w:hint="eastAsia" w:ascii="宋体" w:hAnsi="宋体" w:eastAsia="宋体" w:cs="宋体"/>
                <w:sz w:val="21"/>
                <w:szCs w:val="21"/>
              </w:rPr>
            </w:pPr>
            <w:bookmarkStart w:id="106" w:name="_Toc24097"/>
            <w:r>
              <w:rPr>
                <w:rFonts w:hint="eastAsia" w:ascii="宋体" w:hAnsi="宋体" w:eastAsia="宋体" w:cs="宋体"/>
                <w:b/>
                <w:bCs/>
                <w:kern w:val="2"/>
                <w:sz w:val="21"/>
                <w:szCs w:val="21"/>
                <w:lang w:val="en-US" w:eastAsia="zh-CN" w:bidi="ar-SA"/>
              </w:rPr>
              <w:t>2．</w:t>
            </w:r>
            <w:r>
              <w:rPr>
                <w:rFonts w:hint="eastAsia" w:ascii="宋体" w:hAnsi="宋体" w:eastAsia="宋体" w:cs="宋体"/>
                <w:sz w:val="21"/>
                <w:szCs w:val="21"/>
              </w:rPr>
              <w:t>仪器用途：</w:t>
            </w:r>
            <w:bookmarkEnd w:id="106"/>
            <w:r>
              <w:rPr>
                <w:rFonts w:hint="eastAsia" w:ascii="宋体" w:hAnsi="宋体" w:eastAsia="宋体" w:cs="宋体"/>
                <w:sz w:val="21"/>
                <w:szCs w:val="21"/>
              </w:rPr>
              <w:t xml:space="preserve"> </w:t>
            </w:r>
          </w:p>
          <w:p w14:paraId="1F4271FD">
            <w:pPr>
              <w:pageBreakBefore w:val="0"/>
              <w:kinsoku/>
              <w:overflowPunct/>
              <w:bidi w:val="0"/>
              <w:spacing w:line="360" w:lineRule="auto"/>
              <w:rPr>
                <w:rFonts w:hint="eastAsia" w:ascii="宋体" w:hAnsi="宋体" w:eastAsia="宋体" w:cs="宋体"/>
                <w:sz w:val="21"/>
                <w:szCs w:val="21"/>
              </w:rPr>
            </w:pPr>
            <w:r>
              <w:rPr>
                <w:rFonts w:hint="eastAsia" w:ascii="宋体" w:hAnsi="宋体" w:eastAsia="宋体" w:cs="宋体"/>
                <w:sz w:val="21"/>
                <w:szCs w:val="21"/>
              </w:rPr>
              <w:t>仪器用于饮用水、地表水、地下水、生活污水和工业废水等中的总大肠菌群、粪大肠菌群和大肠埃希氏菌等项目的检测。 符合《GB5750.12 生活饮用水》和《HJ1001-2018 环境水质》方法，与酶底物法培养基配合使用。</w:t>
            </w:r>
          </w:p>
          <w:p w14:paraId="6932F3E9">
            <w:pPr>
              <w:pStyle w:val="4"/>
              <w:pageBreakBefore w:val="0"/>
              <w:numPr>
                <w:ilvl w:val="2"/>
                <w:numId w:val="0"/>
              </w:numPr>
              <w:tabs>
                <w:tab w:val="left" w:pos="312"/>
                <w:tab w:val="clear" w:pos="900"/>
              </w:tabs>
              <w:kinsoku/>
              <w:overflowPunct/>
              <w:bidi w:val="0"/>
              <w:spacing w:before="312" w:after="156" w:line="360" w:lineRule="auto"/>
              <w:ind w:left="0" w:leftChars="0" w:firstLine="0" w:firstLineChars="0"/>
              <w:rPr>
                <w:rFonts w:hint="eastAsia" w:ascii="宋体" w:hAnsi="宋体" w:eastAsia="宋体" w:cs="宋体"/>
                <w:sz w:val="21"/>
                <w:szCs w:val="21"/>
              </w:rPr>
            </w:pPr>
            <w:bookmarkStart w:id="107" w:name="_Toc21464"/>
            <w:r>
              <w:rPr>
                <w:rFonts w:hint="eastAsia" w:ascii="宋体" w:hAnsi="宋体" w:eastAsia="宋体" w:cs="宋体"/>
                <w:b/>
                <w:bCs/>
                <w:kern w:val="2"/>
                <w:sz w:val="21"/>
                <w:szCs w:val="21"/>
                <w:lang w:val="en-US" w:eastAsia="zh-CN" w:bidi="ar-SA"/>
              </w:rPr>
              <w:t>3．</w:t>
            </w:r>
            <w:r>
              <w:rPr>
                <w:rFonts w:hint="eastAsia" w:ascii="宋体" w:hAnsi="宋体" w:eastAsia="宋体" w:cs="宋体"/>
                <w:sz w:val="21"/>
                <w:szCs w:val="21"/>
              </w:rPr>
              <w:t>技术参数：</w:t>
            </w:r>
            <w:bookmarkEnd w:id="107"/>
          </w:p>
          <w:p w14:paraId="552E123A">
            <w:pPr>
              <w:pStyle w:val="6"/>
              <w:pageBreakBefore w:val="0"/>
              <w:widowControl w:val="0"/>
              <w:numPr>
                <w:ilvl w:val="3"/>
                <w:numId w:val="0"/>
              </w:numPr>
              <w:kinsoku/>
              <w:overflowPunct/>
              <w:bidi w:val="0"/>
              <w:spacing w:before="312" w:after="156" w:line="360" w:lineRule="auto"/>
              <w:ind w:left="0" w:leftChars="0" w:firstLine="0" w:firstLineChars="0"/>
              <w:jc w:val="both"/>
              <w:rPr>
                <w:rFonts w:hint="eastAsia" w:ascii="宋体" w:hAnsi="宋体" w:eastAsia="宋体" w:cs="宋体"/>
                <w:sz w:val="21"/>
                <w:szCs w:val="21"/>
              </w:rPr>
            </w:pPr>
            <w:r>
              <w:rPr>
                <w:rFonts w:hint="eastAsia" w:ascii="黑体" w:hAnsi="黑体" w:eastAsia="黑体" w:cs="宋体"/>
                <w:b/>
                <w:bCs/>
                <w:sz w:val="21"/>
                <w:szCs w:val="21"/>
                <w:lang w:val="en-US" w:eastAsia="zh-CN" w:bidi="ar-SA"/>
              </w:rPr>
              <w:t>（1）</w:t>
            </w:r>
            <w:r>
              <w:rPr>
                <w:rFonts w:hint="eastAsia" w:ascii="宋体" w:hAnsi="宋体" w:eastAsia="宋体" w:cs="宋体"/>
                <w:sz w:val="21"/>
                <w:szCs w:val="21"/>
              </w:rPr>
              <w:t>程控定量封口机</w:t>
            </w:r>
          </w:p>
          <w:p w14:paraId="6324BADC">
            <w:pPr>
              <w:pageBreakBefore w:val="0"/>
              <w:kinsoku/>
              <w:overflowPunct/>
              <w:bidi w:val="0"/>
              <w:spacing w:line="360" w:lineRule="auto"/>
              <w:rPr>
                <w:rFonts w:hint="eastAsia" w:ascii="宋体" w:hAnsi="宋体" w:eastAsia="宋体" w:cs="宋体"/>
                <w:sz w:val="21"/>
                <w:szCs w:val="21"/>
              </w:rPr>
            </w:pPr>
            <w:r>
              <w:rPr>
                <w:rFonts w:hint="eastAsia" w:ascii="宋体" w:hAnsi="宋体" w:eastAsia="宋体" w:cs="宋体"/>
                <w:sz w:val="21"/>
                <w:szCs w:val="21"/>
              </w:rPr>
              <w:t>1、显示屏，显示功能：温度进度条、休眠界面、封口计数数值、故障报警； 操作功能：回退键、运行键、休眠键（空闲时仪器能自动进入休眠状态）。</w:t>
            </w:r>
          </w:p>
          <w:p w14:paraId="7AE46F67">
            <w:pPr>
              <w:pageBreakBefore w:val="0"/>
              <w:kinsoku/>
              <w:overflowPunct/>
              <w:bidi w:val="0"/>
              <w:spacing w:line="360" w:lineRule="auto"/>
              <w:rPr>
                <w:rFonts w:hint="eastAsia" w:ascii="宋体" w:hAnsi="宋体" w:eastAsia="宋体" w:cs="宋体"/>
                <w:sz w:val="21"/>
                <w:szCs w:val="21"/>
              </w:rPr>
            </w:pPr>
            <w:r>
              <w:rPr>
                <w:rFonts w:hint="eastAsia" w:ascii="宋体" w:hAnsi="宋体" w:eastAsia="宋体" w:cs="宋体"/>
                <w:sz w:val="21"/>
                <w:szCs w:val="21"/>
              </w:rPr>
              <w:t>▲2、开机预热≤</w:t>
            </w:r>
            <w:r>
              <w:rPr>
                <w:rFonts w:hint="eastAsia" w:ascii="宋体" w:hAnsi="宋体" w:eastAsia="宋体" w:cs="宋体"/>
                <w:sz w:val="21"/>
                <w:szCs w:val="21"/>
                <w:lang w:val="en-US" w:eastAsia="zh-CN"/>
              </w:rPr>
              <w:t>3</w:t>
            </w:r>
            <w:r>
              <w:rPr>
                <w:rFonts w:hint="eastAsia" w:ascii="宋体" w:hAnsi="宋体" w:eastAsia="宋体" w:cs="宋体"/>
                <w:sz w:val="21"/>
                <w:szCs w:val="21"/>
              </w:rPr>
              <w:t>分钟，封口速度≤</w:t>
            </w:r>
            <w:r>
              <w:rPr>
                <w:rFonts w:hint="eastAsia" w:ascii="宋体" w:hAnsi="宋体" w:eastAsia="宋体" w:cs="宋体"/>
                <w:sz w:val="21"/>
                <w:szCs w:val="21"/>
                <w:lang w:val="en-US" w:eastAsia="zh-CN"/>
              </w:rPr>
              <w:t>10</w:t>
            </w:r>
            <w:r>
              <w:rPr>
                <w:rFonts w:hint="eastAsia" w:ascii="宋体" w:hAnsi="宋体" w:eastAsia="宋体" w:cs="宋体"/>
                <w:sz w:val="21"/>
                <w:szCs w:val="21"/>
              </w:rPr>
              <w:t xml:space="preserve"> 秒，单个样品操作时间小于 3 秒,进口加热滚轴。</w:t>
            </w:r>
          </w:p>
          <w:p w14:paraId="1E37014C">
            <w:pPr>
              <w:pageBreakBefore w:val="0"/>
              <w:kinsoku/>
              <w:overflowPunct/>
              <w:bidi w:val="0"/>
              <w:spacing w:line="360" w:lineRule="auto"/>
              <w:rPr>
                <w:rFonts w:hint="eastAsia" w:ascii="宋体" w:hAnsi="宋体" w:eastAsia="宋体" w:cs="宋体"/>
                <w:sz w:val="21"/>
                <w:szCs w:val="21"/>
              </w:rPr>
            </w:pPr>
            <w:r>
              <w:rPr>
                <w:rFonts w:hint="eastAsia" w:ascii="宋体" w:hAnsi="宋体" w:eastAsia="宋体" w:cs="宋体"/>
                <w:sz w:val="21"/>
                <w:szCs w:val="21"/>
              </w:rPr>
              <w:t>3、 设备有独立检修盖和维修窗口，无螺丝钉，易维护和清洗，设备底部有伸缩式可拆卸接水盘 (防止样品在操作时漏水对设备造成损坏) ；紫外消毒功能，可有效控制封盘过程中微生物的干扰。</w:t>
            </w:r>
          </w:p>
          <w:p w14:paraId="012F6348">
            <w:pPr>
              <w:pageBreakBefore w:val="0"/>
              <w:kinsoku/>
              <w:overflowPunct/>
              <w:bidi w:val="0"/>
              <w:spacing w:line="360" w:lineRule="auto"/>
              <w:rPr>
                <w:rFonts w:hint="eastAsia" w:ascii="宋体" w:hAnsi="宋体" w:eastAsia="宋体" w:cs="宋体"/>
                <w:sz w:val="21"/>
                <w:szCs w:val="21"/>
              </w:rPr>
            </w:pPr>
            <w:r>
              <w:rPr>
                <w:rFonts w:hint="eastAsia" w:ascii="宋体" w:hAnsi="宋体" w:eastAsia="宋体" w:cs="宋体"/>
                <w:sz w:val="21"/>
                <w:szCs w:val="21"/>
              </w:rPr>
              <w:t>4、可连续封口24h 且封口平整，无漏液破孔，连续做样不少于 100000 批次。</w:t>
            </w:r>
          </w:p>
          <w:p w14:paraId="6C856788">
            <w:pPr>
              <w:pageBreakBefore w:val="0"/>
              <w:kinsoku/>
              <w:overflowPunct/>
              <w:bidi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5、具有联网功能，可通过移动APP查看当前封口温度、运行状态。</w:t>
            </w:r>
          </w:p>
          <w:p w14:paraId="6430C17F">
            <w:pPr>
              <w:pageBreakBefore w:val="0"/>
              <w:kinsoku/>
              <w:overflowPunct/>
              <w:bidi w:val="0"/>
              <w:spacing w:line="360" w:lineRule="auto"/>
              <w:rPr>
                <w:rFonts w:hint="eastAsia" w:ascii="宋体" w:hAnsi="宋体" w:eastAsia="宋体" w:cs="宋体"/>
                <w:sz w:val="21"/>
                <w:szCs w:val="21"/>
                <w:highlight w:val="none"/>
              </w:rPr>
            </w:pPr>
            <w:r>
              <w:rPr>
                <w:rFonts w:hint="eastAsia" w:ascii="宋体" w:hAnsi="宋体" w:eastAsia="宋体" w:cs="宋体"/>
                <w:sz w:val="21"/>
                <w:szCs w:val="21"/>
              </w:rPr>
              <w:t>■</w:t>
            </w:r>
            <w:r>
              <w:rPr>
                <w:rFonts w:hint="eastAsia" w:ascii="宋体" w:hAnsi="宋体" w:eastAsia="宋体" w:cs="宋体"/>
                <w:sz w:val="21"/>
                <w:szCs w:val="21"/>
                <w:highlight w:val="none"/>
              </w:rPr>
              <w:t>6、加热滚轴温度150-200℃可调</w:t>
            </w:r>
            <w:r>
              <w:rPr>
                <w:rFonts w:hint="eastAsia" w:ascii="宋体" w:hAnsi="宋体" w:eastAsia="宋体" w:cs="宋体"/>
                <w:sz w:val="21"/>
                <w:szCs w:val="21"/>
                <w:highlight w:val="none"/>
                <w:lang w:val="en-US" w:eastAsia="zh-CN"/>
              </w:rPr>
              <w:t>或180℃±2℃</w:t>
            </w:r>
            <w:r>
              <w:rPr>
                <w:rFonts w:hint="eastAsia" w:ascii="宋体" w:hAnsi="宋体" w:eastAsia="宋体" w:cs="宋体"/>
                <w:sz w:val="21"/>
                <w:szCs w:val="21"/>
                <w:highlight w:val="none"/>
              </w:rPr>
              <w:t>。</w:t>
            </w:r>
          </w:p>
          <w:p w14:paraId="215C3EAA">
            <w:pPr>
              <w:pageBreakBefore w:val="0"/>
              <w:kinsoku/>
              <w:overflowPunct/>
              <w:bidi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7、 环境温度和湿度工作范围：温度+5℃~+40℃、湿度 10%~80%。 </w:t>
            </w:r>
          </w:p>
          <w:p w14:paraId="570F13F1">
            <w:pPr>
              <w:pStyle w:val="6"/>
              <w:pageBreakBefore w:val="0"/>
              <w:widowControl w:val="0"/>
              <w:numPr>
                <w:ilvl w:val="3"/>
                <w:numId w:val="0"/>
              </w:numPr>
              <w:kinsoku/>
              <w:overflowPunct/>
              <w:bidi w:val="0"/>
              <w:spacing w:before="312" w:after="156" w:line="360" w:lineRule="auto"/>
              <w:ind w:left="0" w:leftChars="0" w:firstLine="0" w:firstLineChars="0"/>
              <w:jc w:val="both"/>
              <w:rPr>
                <w:rFonts w:hint="eastAsia" w:ascii="宋体" w:hAnsi="宋体" w:eastAsia="宋体" w:cs="宋体"/>
                <w:sz w:val="21"/>
                <w:szCs w:val="21"/>
              </w:rPr>
            </w:pPr>
            <w:r>
              <w:rPr>
                <w:rFonts w:hint="eastAsia" w:ascii="黑体" w:hAnsi="黑体" w:eastAsia="黑体" w:cs="宋体"/>
                <w:b/>
                <w:bCs/>
                <w:sz w:val="21"/>
                <w:szCs w:val="21"/>
                <w:lang w:val="en-US" w:eastAsia="zh-CN" w:bidi="ar-SA"/>
              </w:rPr>
              <w:t>（2）</w:t>
            </w:r>
            <w:r>
              <w:rPr>
                <w:rFonts w:hint="eastAsia" w:ascii="宋体" w:hAnsi="宋体" w:eastAsia="宋体" w:cs="宋体"/>
                <w:sz w:val="21"/>
                <w:szCs w:val="21"/>
              </w:rPr>
              <w:t>三用紫外观察箱</w:t>
            </w:r>
          </w:p>
          <w:p w14:paraId="294F2BD8">
            <w:pPr>
              <w:pageBreakBefore w:val="0"/>
              <w:numPr>
                <w:ilvl w:val="1"/>
                <w:numId w:val="0"/>
              </w:numPr>
              <w:kinsoku/>
              <w:overflowPunct/>
              <w:bidi w:val="0"/>
              <w:spacing w:line="360" w:lineRule="auto"/>
              <w:rPr>
                <w:rFonts w:hint="eastAsia" w:ascii="宋体" w:hAnsi="宋体" w:eastAsia="宋体" w:cs="宋体"/>
                <w:sz w:val="21"/>
                <w:szCs w:val="21"/>
              </w:rPr>
            </w:pPr>
            <w:r>
              <w:rPr>
                <w:rFonts w:hint="eastAsia" w:ascii="宋体" w:hAnsi="宋体" w:eastAsia="宋体" w:cs="宋体"/>
                <w:sz w:val="21"/>
                <w:szCs w:val="21"/>
              </w:rPr>
              <w:t>1.采用254mm,366nm双波长紫外灯管，准确引发荧光反应。</w:t>
            </w:r>
          </w:p>
          <w:p w14:paraId="085CB19D">
            <w:pPr>
              <w:pageBreakBefore w:val="0"/>
              <w:numPr>
                <w:ilvl w:val="1"/>
                <w:numId w:val="0"/>
              </w:numPr>
              <w:kinsoku/>
              <w:overflowPunct/>
              <w:bidi w:val="0"/>
              <w:spacing w:line="360" w:lineRule="auto"/>
              <w:rPr>
                <w:rFonts w:hint="eastAsia" w:ascii="宋体" w:hAnsi="宋体" w:eastAsia="宋体" w:cs="宋体"/>
                <w:sz w:val="21"/>
                <w:szCs w:val="21"/>
              </w:rPr>
            </w:pPr>
            <w:r>
              <w:rPr>
                <w:rFonts w:hint="eastAsia" w:ascii="宋体" w:hAnsi="宋体" w:eastAsia="宋体" w:cs="宋体"/>
                <w:sz w:val="21"/>
                <w:szCs w:val="21"/>
              </w:rPr>
              <w:t>2.灯箱一体式设计有效制造暗场观测效果方便观察荧光，即使环境明亮，也能通过观察窗清晰判读荧光反应且有效避免实验员接触紫外线。</w:t>
            </w:r>
          </w:p>
          <w:p w14:paraId="47F66CA1">
            <w:pPr>
              <w:pageBreakBefore w:val="0"/>
              <w:numPr>
                <w:ilvl w:val="1"/>
                <w:numId w:val="0"/>
              </w:numPr>
              <w:kinsoku/>
              <w:overflowPunct/>
              <w:bidi w:val="0"/>
              <w:spacing w:line="360" w:lineRule="auto"/>
              <w:rPr>
                <w:rFonts w:hint="eastAsia" w:ascii="宋体" w:hAnsi="宋体" w:eastAsia="宋体" w:cs="宋体"/>
                <w:sz w:val="21"/>
                <w:szCs w:val="21"/>
              </w:rPr>
            </w:pPr>
            <w:r>
              <w:rPr>
                <w:rFonts w:hint="eastAsia" w:ascii="宋体" w:hAnsi="宋体" w:eastAsia="宋体" w:cs="宋体"/>
                <w:sz w:val="21"/>
                <w:szCs w:val="21"/>
              </w:rPr>
              <w:t>3.提供双侧调整窗口设计，便于实验员观察及标记。</w:t>
            </w:r>
          </w:p>
          <w:p w14:paraId="749D1043">
            <w:pPr>
              <w:pageBreakBefore w:val="0"/>
              <w:numPr>
                <w:ilvl w:val="1"/>
                <w:numId w:val="0"/>
              </w:numPr>
              <w:kinsoku/>
              <w:overflowPunct/>
              <w:bidi w:val="0"/>
              <w:spacing w:line="360" w:lineRule="auto"/>
              <w:rPr>
                <w:rFonts w:hint="eastAsia" w:ascii="宋体" w:hAnsi="宋体" w:eastAsia="宋体" w:cs="宋体"/>
                <w:sz w:val="21"/>
                <w:szCs w:val="21"/>
              </w:rPr>
            </w:pPr>
            <w:r>
              <w:rPr>
                <w:rFonts w:hint="eastAsia" w:ascii="宋体" w:hAnsi="宋体" w:eastAsia="宋体" w:cs="宋体"/>
                <w:sz w:val="21"/>
                <w:szCs w:val="21"/>
              </w:rPr>
              <w:t>4.可用于酶底物法大肠埃希氏菌检测、酶底物法菌落总数检测。</w:t>
            </w:r>
          </w:p>
          <w:p w14:paraId="6CBF7379">
            <w:pPr>
              <w:pStyle w:val="6"/>
              <w:pageBreakBefore w:val="0"/>
              <w:widowControl w:val="0"/>
              <w:numPr>
                <w:ilvl w:val="3"/>
                <w:numId w:val="0"/>
              </w:numPr>
              <w:kinsoku/>
              <w:overflowPunct/>
              <w:bidi w:val="0"/>
              <w:spacing w:before="312" w:after="156" w:line="360" w:lineRule="auto"/>
              <w:ind w:left="0" w:leftChars="0" w:firstLine="0" w:firstLineChars="0"/>
              <w:jc w:val="both"/>
              <w:rPr>
                <w:rFonts w:hint="eastAsia" w:ascii="宋体" w:hAnsi="宋体" w:eastAsia="宋体" w:cs="宋体"/>
                <w:sz w:val="21"/>
                <w:szCs w:val="21"/>
              </w:rPr>
            </w:pPr>
            <w:r>
              <w:rPr>
                <w:rFonts w:hint="eastAsia" w:ascii="黑体" w:hAnsi="黑体" w:eastAsia="黑体" w:cs="宋体"/>
                <w:b/>
                <w:bCs/>
                <w:sz w:val="21"/>
                <w:szCs w:val="21"/>
                <w:lang w:val="en-US" w:eastAsia="zh-CN" w:bidi="ar-SA"/>
              </w:rPr>
              <w:t>（3）</w:t>
            </w:r>
            <w:r>
              <w:rPr>
                <w:rFonts w:hint="eastAsia" w:ascii="宋体" w:hAnsi="宋体" w:eastAsia="宋体" w:cs="宋体"/>
                <w:sz w:val="21"/>
                <w:szCs w:val="21"/>
              </w:rPr>
              <w:t>酶底物法大肠菌群检测试剂</w:t>
            </w:r>
          </w:p>
          <w:p w14:paraId="07373DC7">
            <w:pPr>
              <w:pageBreakBefore w:val="0"/>
              <w:numPr>
                <w:ilvl w:val="1"/>
                <w:numId w:val="0"/>
              </w:numPr>
              <w:kinsoku/>
              <w:overflowPunct/>
              <w:bidi w:val="0"/>
              <w:spacing w:line="360" w:lineRule="auto"/>
              <w:rPr>
                <w:rFonts w:hint="eastAsia" w:ascii="宋体" w:hAnsi="宋体" w:eastAsia="宋体" w:cs="宋体"/>
                <w:sz w:val="21"/>
                <w:szCs w:val="21"/>
              </w:rPr>
            </w:pPr>
            <w:r>
              <w:rPr>
                <w:rFonts w:hint="eastAsia" w:ascii="宋体" w:hAnsi="宋体" w:eastAsia="宋体" w:cs="宋体"/>
                <w:sz w:val="21"/>
                <w:szCs w:val="21"/>
              </w:rPr>
              <w:t>1.酶底物法检测试剂用于总大肠菌群、耐热大肠菌群检测及大肠埃希氏菌检测。</w:t>
            </w:r>
          </w:p>
          <w:p w14:paraId="6181B7CA">
            <w:pPr>
              <w:pageBreakBefore w:val="0"/>
              <w:numPr>
                <w:ilvl w:val="1"/>
                <w:numId w:val="0"/>
              </w:numPr>
              <w:kinsoku/>
              <w:overflowPunct/>
              <w:bidi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2.完全符合GB/T 5750.12-2023《生活饮用水标准检验方法 第12部分：微生物指标》与HJ 1001-2018《水质 总大肠菌群、粪大肠菌群和大肠埃希氏菌的测定 酶底物法》标准要求。 </w:t>
            </w:r>
          </w:p>
          <w:p w14:paraId="61035C79">
            <w:pPr>
              <w:pageBreakBefore w:val="0"/>
              <w:numPr>
                <w:ilvl w:val="1"/>
                <w:numId w:val="0"/>
              </w:numPr>
              <w:kinsoku/>
              <w:overflowPunct/>
              <w:bidi w:val="0"/>
              <w:spacing w:line="360" w:lineRule="auto"/>
              <w:rPr>
                <w:rFonts w:hint="eastAsia" w:ascii="宋体" w:hAnsi="宋体" w:eastAsia="宋体" w:cs="宋体"/>
                <w:sz w:val="21"/>
                <w:szCs w:val="21"/>
              </w:rPr>
            </w:pPr>
            <w:r>
              <w:rPr>
                <w:rFonts w:hint="eastAsia" w:ascii="宋体" w:hAnsi="宋体" w:eastAsia="宋体" w:cs="宋体"/>
                <w:sz w:val="21"/>
                <w:szCs w:val="21"/>
              </w:rPr>
              <w:t>3.试剂采用独立避光铝箔包装，具备避光、防潮和密封性能，可确保试剂在保质期内性能稳定。有易撕口，有效防止粉末喷溅。</w:t>
            </w:r>
          </w:p>
          <w:p w14:paraId="67DA19A4">
            <w:pPr>
              <w:pageBreakBefore w:val="0"/>
              <w:numPr>
                <w:ilvl w:val="1"/>
                <w:numId w:val="0"/>
              </w:numPr>
              <w:kinsoku/>
              <w:overflowPunct/>
              <w:bidi w:val="0"/>
              <w:spacing w:line="360" w:lineRule="auto"/>
              <w:rPr>
                <w:rFonts w:hint="eastAsia" w:ascii="宋体" w:hAnsi="宋体" w:eastAsia="宋体" w:cs="宋体"/>
                <w:sz w:val="21"/>
                <w:szCs w:val="21"/>
              </w:rPr>
            </w:pPr>
            <w:r>
              <w:rPr>
                <w:rFonts w:hint="eastAsia" w:ascii="宋体" w:hAnsi="宋体" w:eastAsia="宋体" w:cs="宋体"/>
                <w:sz w:val="21"/>
                <w:szCs w:val="21"/>
              </w:rPr>
              <w:t>4.试剂包装上均有相应批号、效期，有效期内使用稳定性可靠。</w:t>
            </w:r>
          </w:p>
          <w:p w14:paraId="6F5C29E5">
            <w:pPr>
              <w:pageBreakBefore w:val="0"/>
              <w:numPr>
                <w:ilvl w:val="1"/>
                <w:numId w:val="0"/>
              </w:numPr>
              <w:kinsoku/>
              <w:overflowPunct/>
              <w:bidi w:val="0"/>
              <w:spacing w:line="360" w:lineRule="auto"/>
              <w:rPr>
                <w:rFonts w:hint="eastAsia" w:ascii="宋体" w:hAnsi="宋体" w:eastAsia="宋体" w:cs="宋体"/>
                <w:strike w:val="0"/>
                <w:sz w:val="21"/>
                <w:szCs w:val="21"/>
                <w:highlight w:val="yellow"/>
              </w:rPr>
            </w:pPr>
            <w:r>
              <w:rPr>
                <w:rFonts w:hint="eastAsia" w:ascii="宋体" w:hAnsi="宋体" w:eastAsia="宋体" w:cs="宋体"/>
                <w:strike w:val="0"/>
                <w:sz w:val="21"/>
                <w:szCs w:val="21"/>
                <w:highlight w:val="none"/>
              </w:rPr>
              <w:t>6.试剂与程控定量封口机、紫外观察箱均来自同一个厂家。</w:t>
            </w:r>
          </w:p>
          <w:p w14:paraId="44FED0DF">
            <w:pPr>
              <w:pStyle w:val="6"/>
              <w:pageBreakBefore w:val="0"/>
              <w:widowControl w:val="0"/>
              <w:numPr>
                <w:ilvl w:val="3"/>
                <w:numId w:val="0"/>
              </w:numPr>
              <w:kinsoku/>
              <w:overflowPunct/>
              <w:bidi w:val="0"/>
              <w:spacing w:before="312" w:after="156" w:line="360" w:lineRule="auto"/>
              <w:ind w:left="0" w:leftChars="0" w:firstLine="0" w:firstLineChars="0"/>
              <w:jc w:val="both"/>
              <w:rPr>
                <w:rFonts w:hint="eastAsia" w:ascii="宋体" w:hAnsi="宋体" w:eastAsia="宋体" w:cs="宋体"/>
                <w:sz w:val="21"/>
                <w:szCs w:val="21"/>
              </w:rPr>
            </w:pPr>
            <w:r>
              <w:rPr>
                <w:rFonts w:hint="eastAsia" w:ascii="黑体" w:hAnsi="黑体" w:eastAsia="黑体" w:cs="宋体"/>
                <w:b/>
                <w:bCs/>
                <w:sz w:val="21"/>
                <w:szCs w:val="21"/>
                <w:lang w:val="en-US" w:eastAsia="zh-CN" w:bidi="ar-SA"/>
              </w:rPr>
              <w:t>（4）</w:t>
            </w:r>
            <w:r>
              <w:rPr>
                <w:rFonts w:hint="eastAsia" w:ascii="宋体" w:hAnsi="宋体" w:eastAsia="宋体" w:cs="宋体"/>
                <w:sz w:val="21"/>
                <w:szCs w:val="21"/>
              </w:rPr>
              <w:t>定量盘</w:t>
            </w:r>
          </w:p>
          <w:p w14:paraId="48D28066">
            <w:pPr>
              <w:pageBreakBefore w:val="0"/>
              <w:numPr>
                <w:ilvl w:val="1"/>
                <w:numId w:val="0"/>
              </w:numPr>
              <w:kinsoku/>
              <w:overflowPunct/>
              <w:bidi w:val="0"/>
              <w:spacing w:line="360" w:lineRule="auto"/>
              <w:rPr>
                <w:rFonts w:hint="eastAsia" w:ascii="宋体" w:hAnsi="宋体" w:eastAsia="宋体" w:cs="宋体"/>
                <w:sz w:val="21"/>
                <w:szCs w:val="21"/>
              </w:rPr>
            </w:pPr>
            <w:r>
              <w:rPr>
                <w:rFonts w:hint="eastAsia" w:ascii="宋体" w:hAnsi="宋体" w:eastAsia="宋体" w:cs="宋体"/>
                <w:sz w:val="21"/>
                <w:szCs w:val="21"/>
              </w:rPr>
              <w:t>1.51孔定量检测盘无须稀释可检测200MPN/100ml总大肠菌群和大肠埃希氏菌或粪大肠菌群，97孔定量检测盘无须稀释可检测2419MPN/100ml总大肠菌群和大肠埃希氏菌或粪大肠菌群。</w:t>
            </w:r>
          </w:p>
          <w:p w14:paraId="46253A2C">
            <w:pPr>
              <w:pageBreakBefore w:val="0"/>
              <w:numPr>
                <w:ilvl w:val="1"/>
                <w:numId w:val="0"/>
              </w:numPr>
              <w:kinsoku/>
              <w:overflowPunct/>
              <w:bidi w:val="0"/>
              <w:spacing w:line="360" w:lineRule="auto"/>
              <w:rPr>
                <w:rFonts w:hint="eastAsia" w:ascii="宋体" w:hAnsi="宋体" w:eastAsia="宋体" w:cs="宋体"/>
                <w:sz w:val="21"/>
                <w:szCs w:val="21"/>
              </w:rPr>
            </w:pPr>
            <w:r>
              <w:rPr>
                <w:rFonts w:hint="eastAsia" w:ascii="宋体" w:hAnsi="宋体" w:eastAsia="宋体" w:cs="宋体"/>
                <w:sz w:val="21"/>
                <w:szCs w:val="21"/>
              </w:rPr>
              <w:t>2.定量盘需通过密封性测试证明并提供相关证明文件。</w:t>
            </w:r>
          </w:p>
          <w:p w14:paraId="10CF3AEE">
            <w:pPr>
              <w:pageBreakBefore w:val="0"/>
              <w:numPr>
                <w:ilvl w:val="1"/>
                <w:numId w:val="0"/>
              </w:numPr>
              <w:kinsoku/>
              <w:overflowPunct/>
              <w:bidi w:val="0"/>
              <w:spacing w:line="360" w:lineRule="auto"/>
              <w:rPr>
                <w:rFonts w:hint="eastAsia" w:ascii="宋体" w:hAnsi="宋体" w:eastAsia="宋体" w:cs="宋体"/>
                <w:sz w:val="21"/>
                <w:szCs w:val="21"/>
              </w:rPr>
            </w:pPr>
            <w:r>
              <w:rPr>
                <w:rFonts w:hint="eastAsia" w:ascii="宋体" w:hAnsi="宋体" w:eastAsia="宋体" w:cs="宋体"/>
                <w:sz w:val="21"/>
                <w:szCs w:val="21"/>
              </w:rPr>
              <w:t>3.无漏液，无破孔，封好的孔格能够耐受不小于8kg的压力，不会由于定量盘叠加受力造成孔与孔之间的串连以及破损。</w:t>
            </w:r>
          </w:p>
          <w:p w14:paraId="2F91E334">
            <w:pPr>
              <w:pageBreakBefore w:val="0"/>
              <w:numPr>
                <w:ilvl w:val="1"/>
                <w:numId w:val="0"/>
              </w:numPr>
              <w:kinsoku/>
              <w:overflowPunct/>
              <w:bidi w:val="0"/>
              <w:spacing w:line="360" w:lineRule="auto"/>
              <w:rPr>
                <w:rFonts w:hint="eastAsia" w:ascii="宋体" w:hAnsi="宋体" w:eastAsia="宋体" w:cs="宋体"/>
                <w:sz w:val="21"/>
                <w:szCs w:val="21"/>
              </w:rPr>
            </w:pPr>
            <w:r>
              <w:rPr>
                <w:rFonts w:hint="eastAsia" w:ascii="宋体" w:hAnsi="宋体" w:eastAsia="宋体" w:cs="宋体"/>
                <w:sz w:val="21"/>
                <w:szCs w:val="21"/>
              </w:rPr>
              <w:t>4.定量盘采用2个/袋方式包装，避免实际使用过程中的二次污染。</w:t>
            </w:r>
          </w:p>
          <w:p w14:paraId="5C095580">
            <w:pPr>
              <w:pageBreakBefore w:val="0"/>
              <w:numPr>
                <w:ilvl w:val="1"/>
                <w:numId w:val="0"/>
              </w:numPr>
              <w:kinsoku/>
              <w:overflowPunct/>
              <w:bidi w:val="0"/>
              <w:spacing w:line="360" w:lineRule="auto"/>
              <w:rPr>
                <w:rFonts w:hint="eastAsia" w:ascii="宋体" w:hAnsi="宋体" w:eastAsia="宋体" w:cs="宋体"/>
                <w:sz w:val="21"/>
                <w:szCs w:val="21"/>
              </w:rPr>
            </w:pPr>
            <w:r>
              <w:rPr>
                <w:rFonts w:hint="eastAsia" w:ascii="宋体" w:hAnsi="宋体" w:eastAsia="宋体" w:cs="宋体"/>
                <w:sz w:val="21"/>
                <w:szCs w:val="21"/>
              </w:rPr>
              <w:t>5.每箱定量盘包装上有批号及有效期时间。</w:t>
            </w:r>
          </w:p>
          <w:p w14:paraId="1A8DA804">
            <w:pPr>
              <w:pStyle w:val="6"/>
              <w:pageBreakBefore w:val="0"/>
              <w:widowControl w:val="0"/>
              <w:numPr>
                <w:ilvl w:val="3"/>
                <w:numId w:val="0"/>
              </w:numPr>
              <w:kinsoku/>
              <w:overflowPunct/>
              <w:bidi w:val="0"/>
              <w:spacing w:before="312" w:after="156" w:line="360" w:lineRule="auto"/>
              <w:ind w:left="0" w:leftChars="0" w:firstLine="0" w:firstLineChars="0"/>
              <w:jc w:val="both"/>
              <w:rPr>
                <w:rFonts w:hint="eastAsia" w:ascii="宋体" w:hAnsi="宋体" w:eastAsia="宋体" w:cs="宋体"/>
                <w:sz w:val="21"/>
                <w:szCs w:val="21"/>
              </w:rPr>
            </w:pPr>
            <w:r>
              <w:rPr>
                <w:rFonts w:hint="eastAsia" w:ascii="黑体" w:hAnsi="黑体" w:eastAsia="黑体" w:cs="宋体"/>
                <w:b/>
                <w:bCs/>
                <w:sz w:val="21"/>
                <w:szCs w:val="21"/>
                <w:lang w:val="en-US" w:eastAsia="zh-CN" w:bidi="ar-SA"/>
              </w:rPr>
              <w:t>（5）</w:t>
            </w:r>
            <w:r>
              <w:rPr>
                <w:rFonts w:hint="eastAsia" w:ascii="宋体" w:hAnsi="宋体" w:eastAsia="宋体" w:cs="宋体"/>
                <w:sz w:val="21"/>
                <w:szCs w:val="21"/>
              </w:rPr>
              <w:t>无菌取样瓶</w:t>
            </w:r>
          </w:p>
          <w:p w14:paraId="364EF7E2">
            <w:pPr>
              <w:pStyle w:val="5"/>
              <w:pageBreakBefore w:val="0"/>
              <w:kinsoku/>
              <w:overflowPunct/>
              <w:bidi w:val="0"/>
              <w:spacing w:line="360" w:lineRule="auto"/>
              <w:rPr>
                <w:rFonts w:hint="eastAsia" w:ascii="宋体" w:hAnsi="宋体" w:eastAsia="宋体" w:cs="宋体"/>
                <w:sz w:val="21"/>
                <w:szCs w:val="21"/>
              </w:rPr>
            </w:pPr>
            <w:r>
              <w:rPr>
                <w:rFonts w:hint="eastAsia" w:ascii="宋体" w:hAnsi="宋体" w:eastAsia="宋体" w:cs="宋体"/>
                <w:sz w:val="21"/>
                <w:szCs w:val="21"/>
              </w:rPr>
              <w:t>1.每箱无菌取样瓶均通过辐照灭菌处理，符合ISO11137要求，无菌保证水平（SAL）为10</w:t>
            </w:r>
            <w:r>
              <w:rPr>
                <w:rFonts w:hint="eastAsia" w:ascii="宋体" w:hAnsi="宋体" w:eastAsia="宋体" w:cs="宋体"/>
                <w:sz w:val="21"/>
                <w:szCs w:val="21"/>
                <w:vertAlign w:val="superscript"/>
              </w:rPr>
              <w:t>-3</w:t>
            </w:r>
            <w:r>
              <w:rPr>
                <w:rFonts w:hint="eastAsia" w:ascii="宋体" w:hAnsi="宋体" w:eastAsia="宋体" w:cs="宋体"/>
                <w:sz w:val="21"/>
                <w:szCs w:val="21"/>
              </w:rPr>
              <w:t>；</w:t>
            </w:r>
          </w:p>
          <w:p w14:paraId="2A63D8BA">
            <w:pPr>
              <w:pStyle w:val="5"/>
              <w:pageBreakBefore w:val="0"/>
              <w:kinsoku/>
              <w:overflowPunct/>
              <w:bidi w:val="0"/>
              <w:spacing w:line="360" w:lineRule="auto"/>
              <w:rPr>
                <w:rFonts w:hint="eastAsia" w:ascii="宋体" w:hAnsi="宋体" w:eastAsia="宋体" w:cs="宋体"/>
                <w:sz w:val="21"/>
                <w:szCs w:val="21"/>
              </w:rPr>
            </w:pPr>
            <w:r>
              <w:rPr>
                <w:rFonts w:hint="eastAsia" w:ascii="宋体" w:hAnsi="宋体" w:eastAsia="宋体" w:cs="宋体"/>
                <w:sz w:val="21"/>
                <w:szCs w:val="21"/>
              </w:rPr>
              <w:t>2.每个瓶盖上有塑封套，表示该取样瓶已经过灭菌工艺处理；塑封套配有易撕条，方便开口；</w:t>
            </w:r>
          </w:p>
          <w:p w14:paraId="007D1286">
            <w:pPr>
              <w:pStyle w:val="5"/>
              <w:pageBreakBefore w:val="0"/>
              <w:kinsoku/>
              <w:overflowPunct/>
              <w:bidi w:val="0"/>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 100mL容量瓶体上具有10mL-100mL刻度线，辅助样品稀释；</w:t>
            </w:r>
          </w:p>
          <w:p w14:paraId="540750AA">
            <w:pPr>
              <w:pStyle w:val="5"/>
              <w:pageBreakBefore w:val="0"/>
              <w:kinsoku/>
              <w:overflowPunct/>
              <w:bidi w:val="0"/>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.每个无菌取样瓶可定量100ml水样，溶解酶底物检测试剂，瓶体通透性好，可判读阳性结果；</w:t>
            </w:r>
          </w:p>
          <w:p w14:paraId="6756A750">
            <w:pPr>
              <w:pStyle w:val="5"/>
              <w:pageBreakBefore w:val="0"/>
              <w:kinsoku/>
              <w:overflowPunct/>
              <w:bidi w:val="0"/>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.每箱无菌取样瓶包装上有批号及到期时间；</w:t>
            </w:r>
          </w:p>
          <w:p w14:paraId="4B5ABB98">
            <w:pPr>
              <w:pStyle w:val="6"/>
              <w:pageBreakBefore w:val="0"/>
              <w:widowControl w:val="0"/>
              <w:numPr>
                <w:ilvl w:val="3"/>
                <w:numId w:val="0"/>
              </w:numPr>
              <w:kinsoku/>
              <w:overflowPunct/>
              <w:bidi w:val="0"/>
              <w:spacing w:before="312" w:after="156" w:line="360" w:lineRule="auto"/>
              <w:ind w:left="0" w:leftChars="0" w:firstLine="0" w:firstLineChars="0"/>
              <w:jc w:val="both"/>
              <w:rPr>
                <w:rFonts w:hint="eastAsia" w:ascii="宋体" w:hAnsi="宋体" w:eastAsia="宋体" w:cs="宋体"/>
                <w:sz w:val="21"/>
                <w:szCs w:val="21"/>
              </w:rPr>
            </w:pPr>
            <w:r>
              <w:rPr>
                <w:rFonts w:hint="eastAsia" w:ascii="黑体" w:hAnsi="黑体" w:eastAsia="黑体" w:cs="宋体"/>
                <w:b/>
                <w:bCs/>
                <w:sz w:val="21"/>
                <w:szCs w:val="21"/>
                <w:lang w:val="en-US" w:eastAsia="zh-CN" w:bidi="ar-SA"/>
              </w:rPr>
              <w:t>（6）</w:t>
            </w:r>
            <w:r>
              <w:rPr>
                <w:rFonts w:hint="eastAsia" w:ascii="宋体" w:hAnsi="宋体" w:eastAsia="宋体" w:cs="宋体"/>
                <w:sz w:val="21"/>
                <w:szCs w:val="21"/>
              </w:rPr>
              <w:t>酶底物法菌落总数检测套件</w:t>
            </w:r>
          </w:p>
          <w:p w14:paraId="1FAAD776">
            <w:pPr>
              <w:pageBreakBefore w:val="0"/>
              <w:numPr>
                <w:ilvl w:val="1"/>
                <w:numId w:val="0"/>
              </w:numPr>
              <w:kinsoku/>
              <w:overflowPunct/>
              <w:bidi w:val="0"/>
              <w:spacing w:line="360" w:lineRule="auto"/>
              <w:rPr>
                <w:rFonts w:hint="eastAsia" w:ascii="宋体" w:hAnsi="宋体" w:eastAsia="宋体" w:cs="宋体"/>
                <w:sz w:val="21"/>
                <w:szCs w:val="21"/>
              </w:rPr>
            </w:pPr>
            <w:r>
              <w:rPr>
                <w:rFonts w:hint="eastAsia" w:ascii="宋体" w:hAnsi="宋体" w:eastAsia="宋体" w:cs="宋体"/>
                <w:sz w:val="21"/>
                <w:szCs w:val="21"/>
              </w:rPr>
              <w:t>1.用于水中菌落总数检测。</w:t>
            </w:r>
          </w:p>
          <w:p w14:paraId="5DC4BC2A">
            <w:pPr>
              <w:pageBreakBefore w:val="0"/>
              <w:numPr>
                <w:ilvl w:val="1"/>
                <w:numId w:val="0"/>
              </w:numPr>
              <w:kinsoku/>
              <w:overflowPunct/>
              <w:bidi w:val="0"/>
              <w:spacing w:line="360" w:lineRule="auto"/>
              <w:rPr>
                <w:rFonts w:hint="eastAsia" w:ascii="宋体" w:hAnsi="宋体" w:eastAsia="宋体" w:cs="宋体"/>
                <w:sz w:val="21"/>
                <w:szCs w:val="21"/>
              </w:rPr>
            </w:pPr>
            <w:r>
              <w:rPr>
                <w:rFonts w:hint="eastAsia" w:ascii="宋体" w:hAnsi="宋体" w:eastAsia="宋体" w:cs="宋体"/>
                <w:sz w:val="21"/>
                <w:szCs w:val="21"/>
              </w:rPr>
              <w:t>2.完全符合GB/T5750-2023《生活饮用水标准检验方法》中的规定。</w:t>
            </w:r>
          </w:p>
          <w:p w14:paraId="78E05C38">
            <w:pPr>
              <w:pageBreakBefore w:val="0"/>
              <w:numPr>
                <w:ilvl w:val="1"/>
                <w:numId w:val="0"/>
              </w:numPr>
              <w:kinsoku/>
              <w:overflowPunct/>
              <w:bidi w:val="0"/>
              <w:spacing w:line="360" w:lineRule="auto"/>
              <w:rPr>
                <w:rFonts w:hint="eastAsia" w:ascii="宋体" w:hAnsi="宋体" w:eastAsia="宋体" w:cs="宋体"/>
                <w:sz w:val="21"/>
                <w:szCs w:val="21"/>
              </w:rPr>
            </w:pPr>
            <w:r>
              <w:rPr>
                <w:rFonts w:hint="eastAsia" w:ascii="宋体" w:hAnsi="宋体" w:eastAsia="宋体" w:cs="宋体"/>
                <w:sz w:val="21"/>
                <w:szCs w:val="21"/>
              </w:rPr>
              <w:t>3.试剂采用单独包装，小瓶装可检测一个水样，大瓶装可检测10个水样，培养基预装灭菌，随取随用，简便快捷。</w:t>
            </w:r>
          </w:p>
          <w:p w14:paraId="41B2D959">
            <w:pPr>
              <w:pageBreakBefore w:val="0"/>
              <w:numPr>
                <w:ilvl w:val="1"/>
                <w:numId w:val="0"/>
              </w:numPr>
              <w:kinsoku/>
              <w:overflowPunct/>
              <w:bidi w:val="0"/>
              <w:spacing w:line="360" w:lineRule="auto"/>
              <w:rPr>
                <w:rFonts w:hint="eastAsia" w:ascii="宋体" w:hAnsi="宋体" w:eastAsia="宋体" w:cs="宋体"/>
                <w:sz w:val="21"/>
                <w:szCs w:val="21"/>
              </w:rPr>
            </w:pPr>
            <w:r>
              <w:rPr>
                <w:rFonts w:hint="eastAsia" w:ascii="宋体" w:hAnsi="宋体" w:eastAsia="宋体" w:cs="宋体"/>
                <w:sz w:val="21"/>
                <w:szCs w:val="21"/>
              </w:rPr>
              <w:t>4.84孔定量检测盘无须稀释可检测水中738 MPN/ml菌落总数。</w:t>
            </w:r>
          </w:p>
          <w:p w14:paraId="31514CB1">
            <w:pPr>
              <w:pageBreakBefore w:val="0"/>
              <w:numPr>
                <w:ilvl w:val="1"/>
                <w:numId w:val="0"/>
              </w:numPr>
              <w:kinsoku/>
              <w:overflowPunct/>
              <w:bidi w:val="0"/>
              <w:spacing w:line="360" w:lineRule="auto"/>
              <w:rPr>
                <w:rFonts w:hint="eastAsia" w:ascii="宋体" w:hAnsi="宋体" w:eastAsia="宋体" w:cs="宋体"/>
                <w:sz w:val="21"/>
                <w:szCs w:val="21"/>
              </w:rPr>
            </w:pPr>
            <w:r>
              <w:rPr>
                <w:rFonts w:hint="eastAsia" w:ascii="宋体" w:hAnsi="宋体" w:eastAsia="宋体" w:cs="宋体"/>
                <w:sz w:val="21"/>
                <w:szCs w:val="21"/>
              </w:rPr>
              <w:t>5.定量盘采用独有阶梯式设计，堆叠不压孔，不晃动，拿取方便。</w:t>
            </w:r>
          </w:p>
          <w:p w14:paraId="75842EF3">
            <w:pPr>
              <w:pageBreakBefore w:val="0"/>
              <w:numPr>
                <w:ilvl w:val="1"/>
                <w:numId w:val="0"/>
              </w:numPr>
              <w:kinsoku/>
              <w:overflowPunct/>
              <w:bidi w:val="0"/>
              <w:spacing w:line="360" w:lineRule="auto"/>
              <w:rPr>
                <w:rFonts w:hint="eastAsia" w:ascii="宋体" w:hAnsi="宋体" w:eastAsia="宋体" w:cs="宋体"/>
                <w:sz w:val="21"/>
                <w:szCs w:val="21"/>
              </w:rPr>
            </w:pPr>
            <w:r>
              <w:rPr>
                <w:rFonts w:hint="eastAsia" w:ascii="宋体" w:hAnsi="宋体" w:eastAsia="宋体" w:cs="宋体"/>
                <w:sz w:val="21"/>
                <w:szCs w:val="21"/>
              </w:rPr>
              <w:t>6.精选定量盘材质，观察无荧光干扰。</w:t>
            </w:r>
          </w:p>
          <w:p w14:paraId="1AC8883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sz w:val="21"/>
                <w:szCs w:val="21"/>
              </w:rPr>
              <w:t>7.检测套件包装上均有相应批号、效期，有效期内使用稳定性可靠。</w:t>
            </w:r>
          </w:p>
        </w:tc>
      </w:tr>
      <w:tr w14:paraId="54FCB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14:paraId="72A8683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vertAlign w:val="baseline"/>
                <w:lang w:val="en-US" w:eastAsia="zh-CN" w:bidi="ar-SA"/>
                <w14:textFill>
                  <w14:solidFill>
                    <w14:schemeClr w14:val="tx1"/>
                  </w14:solidFill>
                </w14:textFill>
              </w:rPr>
              <w:t>13</w:t>
            </w:r>
          </w:p>
        </w:tc>
        <w:tc>
          <w:tcPr>
            <w:tcW w:w="2050" w:type="dxa"/>
            <w:vAlign w:val="center"/>
          </w:tcPr>
          <w:p w14:paraId="03C8722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vertAlign w:val="baseline"/>
                <w:lang w:val="en-US" w:eastAsia="zh-CN" w:bidi="ar-SA"/>
                <w14:textFill>
                  <w14:solidFill>
                    <w14:schemeClr w14:val="tx1"/>
                  </w14:solidFill>
                </w14:textFill>
              </w:rPr>
              <w:t xml:space="preserve"> 台式溶解氧测定仪（电化学探头法）</w:t>
            </w:r>
          </w:p>
        </w:tc>
        <w:tc>
          <w:tcPr>
            <w:tcW w:w="10625" w:type="dxa"/>
            <w:vAlign w:val="center"/>
          </w:tcPr>
          <w:p w14:paraId="382B9853">
            <w:pPr>
              <w:pStyle w:val="4"/>
              <w:pageBreakBefore w:val="0"/>
              <w:numPr>
                <w:ilvl w:val="2"/>
                <w:numId w:val="0"/>
              </w:numPr>
              <w:tabs>
                <w:tab w:val="left" w:pos="312"/>
                <w:tab w:val="clear" w:pos="900"/>
              </w:tabs>
              <w:kinsoku/>
              <w:overflowPunct/>
              <w:bidi w:val="0"/>
              <w:spacing w:line="360" w:lineRule="auto"/>
              <w:rPr>
                <w:rFonts w:hint="eastAsia" w:ascii="宋体" w:hAnsi="宋体" w:eastAsia="宋体" w:cs="宋体"/>
                <w:color w:val="auto"/>
                <w:sz w:val="21"/>
                <w:szCs w:val="21"/>
                <w:lang w:val="en-US" w:eastAsia="zh-CN"/>
              </w:rPr>
            </w:pPr>
            <w:bookmarkStart w:id="108" w:name="_Toc1134"/>
            <w:r>
              <w:rPr>
                <w:rFonts w:hint="eastAsia" w:ascii="宋体" w:hAnsi="宋体" w:eastAsia="宋体" w:cs="宋体"/>
                <w:b/>
                <w:bCs/>
                <w:color w:val="auto"/>
                <w:kern w:val="2"/>
                <w:sz w:val="21"/>
                <w:szCs w:val="21"/>
                <w:lang w:val="en-US" w:eastAsia="zh-CN" w:bidi="ar-SA"/>
              </w:rPr>
              <w:t>1．</w:t>
            </w:r>
            <w:r>
              <w:rPr>
                <w:rFonts w:hint="eastAsia" w:ascii="宋体" w:hAnsi="宋体" w:eastAsia="宋体" w:cs="宋体"/>
                <w:color w:val="auto"/>
                <w:sz w:val="21"/>
                <w:szCs w:val="21"/>
                <w:lang w:val="en-US" w:eastAsia="zh-CN"/>
              </w:rPr>
              <w:t>主机配置及附件</w:t>
            </w:r>
            <w:bookmarkEnd w:id="108"/>
          </w:p>
          <w:p w14:paraId="5873F7EA">
            <w:pPr>
              <w:keepNext w:val="0"/>
              <w:keepLines w:val="0"/>
              <w:pageBreakBefore w:val="0"/>
              <w:tabs>
                <w:tab w:val="left" w:pos="3000"/>
              </w:tabs>
              <w:kinsoku/>
              <w:wordWrap/>
              <w:overflowPunct/>
              <w:topLinePunct w:val="0"/>
              <w:autoSpaceDE/>
              <w:autoSpaceDN/>
              <w:bidi w:val="0"/>
              <w:adjustRightInd/>
              <w:snapToGrid/>
              <w:spacing w:line="360" w:lineRule="auto"/>
              <w:ind w:firstLine="422" w:firstLineChars="200"/>
              <w:textAlignment w:val="auto"/>
              <w:outlineLvl w:val="3"/>
              <w:rPr>
                <w:rFonts w:hint="eastAsia" w:ascii="宋体" w:hAnsi="宋体" w:eastAsia="宋体" w:cs="宋体"/>
                <w:szCs w:val="21"/>
                <w:lang w:val="en-US" w:eastAsia="zh-CN"/>
              </w:rPr>
            </w:pPr>
            <w:r>
              <w:rPr>
                <w:rFonts w:hint="eastAsia" w:ascii="宋体" w:hAnsi="宋体" w:eastAsia="宋体" w:cs="宋体"/>
                <w:b/>
                <w:color w:val="auto"/>
                <w:sz w:val="21"/>
                <w:szCs w:val="21"/>
                <w:highlight w:val="none"/>
                <w:lang w:val="en-US" w:eastAsia="zh-CN"/>
              </w:rPr>
              <w:t>（采购数量按招标清单为准，这里只表示每台采购设备应配置的备件或耗材数量）</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2"/>
              <w:gridCol w:w="6953"/>
              <w:gridCol w:w="2024"/>
            </w:tblGrid>
            <w:tr w14:paraId="2F139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84" w:type="pct"/>
                  <w:vAlign w:val="center"/>
                </w:tcPr>
                <w:p w14:paraId="0984C743">
                  <w:pPr>
                    <w:pageBreakBefore w:val="0"/>
                    <w:kinsoku/>
                    <w:overflowPunct/>
                    <w:bidi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3343" w:type="pct"/>
                  <w:vAlign w:val="center"/>
                </w:tcPr>
                <w:p w14:paraId="3089F428">
                  <w:pPr>
                    <w:pageBreakBefore w:val="0"/>
                    <w:kinsoku/>
                    <w:overflowPunct/>
                    <w:bidi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名称及规格</w:t>
                  </w:r>
                </w:p>
              </w:tc>
              <w:tc>
                <w:tcPr>
                  <w:tcW w:w="973" w:type="pct"/>
                  <w:vAlign w:val="center"/>
                </w:tcPr>
                <w:p w14:paraId="3EE313D1">
                  <w:pPr>
                    <w:pageBreakBefore w:val="0"/>
                    <w:kinsoku/>
                    <w:overflowPunct/>
                    <w:bidi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数量</w:t>
                  </w:r>
                </w:p>
              </w:tc>
            </w:tr>
            <w:tr w14:paraId="28BD9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684" w:type="pct"/>
                  <w:vAlign w:val="center"/>
                </w:tcPr>
                <w:p w14:paraId="2B6E4903">
                  <w:pPr>
                    <w:pageBreakBefore w:val="0"/>
                    <w:kinsoku/>
                    <w:overflowPunct/>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3343" w:type="pct"/>
                  <w:vAlign w:val="center"/>
                </w:tcPr>
                <w:p w14:paraId="6DF46D69">
                  <w:pPr>
                    <w:pageBreakBefore w:val="0"/>
                    <w:kinsoku/>
                    <w:overflowPunct/>
                    <w:bidi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溶解氧测定仪</w:t>
                  </w:r>
                </w:p>
              </w:tc>
              <w:tc>
                <w:tcPr>
                  <w:tcW w:w="973" w:type="pct"/>
                  <w:vAlign w:val="center"/>
                </w:tcPr>
                <w:p w14:paraId="4B816FBF">
                  <w:pPr>
                    <w:pageBreakBefore w:val="0"/>
                    <w:kinsoku/>
                    <w:overflowPunct/>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1台</w:t>
                  </w:r>
                </w:p>
              </w:tc>
            </w:tr>
            <w:tr w14:paraId="097AF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684" w:type="pct"/>
                  <w:vAlign w:val="center"/>
                </w:tcPr>
                <w:p w14:paraId="5F9EBCA6">
                  <w:pPr>
                    <w:pageBreakBefore w:val="0"/>
                    <w:kinsoku/>
                    <w:overflowPunct/>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3343" w:type="pct"/>
                  <w:vAlign w:val="center"/>
                </w:tcPr>
                <w:p w14:paraId="6CF50B4D">
                  <w:pPr>
                    <w:pageBreakBefore w:val="0"/>
                    <w:kinsoku/>
                    <w:overflowPunct/>
                    <w:bidi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溶解氧电极</w:t>
                  </w:r>
                </w:p>
              </w:tc>
              <w:tc>
                <w:tcPr>
                  <w:tcW w:w="973" w:type="pct"/>
                  <w:vAlign w:val="center"/>
                </w:tcPr>
                <w:p w14:paraId="2D9FFD44">
                  <w:pPr>
                    <w:pageBreakBefore w:val="0"/>
                    <w:kinsoku/>
                    <w:overflowPunct/>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1支</w:t>
                  </w:r>
                </w:p>
              </w:tc>
            </w:tr>
            <w:tr w14:paraId="33090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684" w:type="pct"/>
                  <w:vAlign w:val="center"/>
                </w:tcPr>
                <w:p w14:paraId="4F1342F7">
                  <w:pPr>
                    <w:pageBreakBefore w:val="0"/>
                    <w:kinsoku/>
                    <w:overflowPunct/>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3343" w:type="pct"/>
                  <w:vAlign w:val="center"/>
                </w:tcPr>
                <w:p w14:paraId="5B00DC9B">
                  <w:pPr>
                    <w:pageBreakBefore w:val="0"/>
                    <w:kinsoku/>
                    <w:overflowPunct/>
                    <w:bidi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多功能电极架</w:t>
                  </w:r>
                </w:p>
              </w:tc>
              <w:tc>
                <w:tcPr>
                  <w:tcW w:w="973" w:type="pct"/>
                  <w:vAlign w:val="center"/>
                </w:tcPr>
                <w:p w14:paraId="08B700E2">
                  <w:pPr>
                    <w:pageBreakBefore w:val="0"/>
                    <w:kinsoku/>
                    <w:overflowPunct/>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1套</w:t>
                  </w:r>
                </w:p>
              </w:tc>
            </w:tr>
            <w:tr w14:paraId="006E9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684" w:type="pct"/>
                  <w:vAlign w:val="center"/>
                </w:tcPr>
                <w:p w14:paraId="7AFE63D9">
                  <w:pPr>
                    <w:pageBreakBefore w:val="0"/>
                    <w:kinsoku/>
                    <w:overflowPunct/>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3343" w:type="pct"/>
                  <w:vAlign w:val="center"/>
                </w:tcPr>
                <w:p w14:paraId="1FD45076">
                  <w:pPr>
                    <w:pageBreakBefore w:val="0"/>
                    <w:kinsoku/>
                    <w:overflowPunct/>
                    <w:bidi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电源适配器DC 9V(内正外负)</w:t>
                  </w:r>
                </w:p>
              </w:tc>
              <w:tc>
                <w:tcPr>
                  <w:tcW w:w="973" w:type="pct"/>
                  <w:vAlign w:val="center"/>
                </w:tcPr>
                <w:p w14:paraId="6F7610E2">
                  <w:pPr>
                    <w:pageBreakBefore w:val="0"/>
                    <w:kinsoku/>
                    <w:overflowPunct/>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1个</w:t>
                  </w:r>
                </w:p>
              </w:tc>
            </w:tr>
            <w:tr w14:paraId="2B1A4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684" w:type="pct"/>
                  <w:vAlign w:val="center"/>
                </w:tcPr>
                <w:p w14:paraId="74841E76">
                  <w:pPr>
                    <w:pageBreakBefore w:val="0"/>
                    <w:kinsoku/>
                    <w:overflowPunct/>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3343" w:type="pct"/>
                  <w:vAlign w:val="center"/>
                </w:tcPr>
                <w:p w14:paraId="3D6F953C">
                  <w:pPr>
                    <w:pageBreakBefore w:val="0"/>
                    <w:kinsoku/>
                    <w:overflowPunct/>
                    <w:bidi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通用USB连接线</w:t>
                  </w:r>
                </w:p>
              </w:tc>
              <w:tc>
                <w:tcPr>
                  <w:tcW w:w="973" w:type="pct"/>
                  <w:vAlign w:val="center"/>
                </w:tcPr>
                <w:p w14:paraId="054C68DE">
                  <w:pPr>
                    <w:pageBreakBefore w:val="0"/>
                    <w:kinsoku/>
                    <w:overflowPunct/>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1根</w:t>
                  </w:r>
                </w:p>
              </w:tc>
            </w:tr>
            <w:tr w14:paraId="43C91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684" w:type="pct"/>
                  <w:vAlign w:val="center"/>
                </w:tcPr>
                <w:p w14:paraId="58CE6E1A">
                  <w:pPr>
                    <w:pageBreakBefore w:val="0"/>
                    <w:kinsoku/>
                    <w:overflowPunct/>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3343" w:type="pct"/>
                  <w:vAlign w:val="center"/>
                </w:tcPr>
                <w:p w14:paraId="5FA3981B">
                  <w:pPr>
                    <w:pageBreakBefore w:val="0"/>
                    <w:kinsoku/>
                    <w:overflowPunct/>
                    <w:bidi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防尘罩(按键款)</w:t>
                  </w:r>
                </w:p>
              </w:tc>
              <w:tc>
                <w:tcPr>
                  <w:tcW w:w="973" w:type="pct"/>
                  <w:vAlign w:val="center"/>
                </w:tcPr>
                <w:p w14:paraId="39075F11">
                  <w:pPr>
                    <w:pageBreakBefore w:val="0"/>
                    <w:kinsoku/>
                    <w:overflowPunct/>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1只</w:t>
                  </w:r>
                </w:p>
              </w:tc>
            </w:tr>
            <w:tr w14:paraId="4C879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684" w:type="pct"/>
                  <w:vAlign w:val="center"/>
                </w:tcPr>
                <w:p w14:paraId="627557AF">
                  <w:pPr>
                    <w:pageBreakBefore w:val="0"/>
                    <w:kinsoku/>
                    <w:overflowPunct/>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3343" w:type="pct"/>
                  <w:vAlign w:val="center"/>
                </w:tcPr>
                <w:p w14:paraId="7FE31E11">
                  <w:pPr>
                    <w:pageBreakBefore w:val="0"/>
                    <w:kinsoku/>
                    <w:overflowPunct/>
                    <w:bidi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简易操作指南</w:t>
                  </w:r>
                </w:p>
              </w:tc>
              <w:tc>
                <w:tcPr>
                  <w:tcW w:w="973" w:type="pct"/>
                  <w:vAlign w:val="center"/>
                </w:tcPr>
                <w:p w14:paraId="28A6C9C9">
                  <w:pPr>
                    <w:pageBreakBefore w:val="0"/>
                    <w:kinsoku/>
                    <w:overflowPunct/>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1份</w:t>
                  </w:r>
                </w:p>
              </w:tc>
            </w:tr>
            <w:tr w14:paraId="48FFB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684" w:type="pct"/>
                  <w:vAlign w:val="center"/>
                </w:tcPr>
                <w:p w14:paraId="12A7ECB9">
                  <w:pPr>
                    <w:pageBreakBefore w:val="0"/>
                    <w:kinsoku/>
                    <w:overflowPunct/>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3343" w:type="pct"/>
                  <w:vAlign w:val="center"/>
                </w:tcPr>
                <w:p w14:paraId="4AEB1292">
                  <w:pPr>
                    <w:pageBreakBefore w:val="0"/>
                    <w:kinsoku/>
                    <w:overflowPunct/>
                    <w:bidi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使用说明书</w:t>
                  </w:r>
                </w:p>
              </w:tc>
              <w:tc>
                <w:tcPr>
                  <w:tcW w:w="973" w:type="pct"/>
                  <w:vAlign w:val="center"/>
                </w:tcPr>
                <w:p w14:paraId="4FB3CE50">
                  <w:pPr>
                    <w:pageBreakBefore w:val="0"/>
                    <w:kinsoku/>
                    <w:overflowPunct/>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1本</w:t>
                  </w:r>
                </w:p>
              </w:tc>
            </w:tr>
            <w:tr w14:paraId="129C0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684" w:type="pct"/>
                  <w:vAlign w:val="center"/>
                </w:tcPr>
                <w:p w14:paraId="58DDFA34">
                  <w:pPr>
                    <w:pageBreakBefore w:val="0"/>
                    <w:kinsoku/>
                    <w:overflowPunct/>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3343" w:type="pct"/>
                  <w:vAlign w:val="center"/>
                </w:tcPr>
                <w:p w14:paraId="5279C32E">
                  <w:pPr>
                    <w:pageBreakBefore w:val="0"/>
                    <w:kinsoku/>
                    <w:overflowPunct/>
                    <w:bidi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软件卡</w:t>
                  </w:r>
                </w:p>
              </w:tc>
              <w:tc>
                <w:tcPr>
                  <w:tcW w:w="973" w:type="pct"/>
                  <w:vAlign w:val="center"/>
                </w:tcPr>
                <w:p w14:paraId="79C22E9B">
                  <w:pPr>
                    <w:pageBreakBefore w:val="0"/>
                    <w:kinsoku/>
                    <w:overflowPunct/>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1张</w:t>
                  </w:r>
                </w:p>
              </w:tc>
            </w:tr>
            <w:tr w14:paraId="627CF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684" w:type="pct"/>
                  <w:vAlign w:val="center"/>
                </w:tcPr>
                <w:p w14:paraId="41DD5636">
                  <w:pPr>
                    <w:pageBreakBefore w:val="0"/>
                    <w:kinsoku/>
                    <w:overflowPunct/>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3343" w:type="pct"/>
                  <w:vAlign w:val="center"/>
                </w:tcPr>
                <w:p w14:paraId="2A1299E5">
                  <w:pPr>
                    <w:pageBreakBefore w:val="0"/>
                    <w:kinsoku/>
                    <w:overflowPunct/>
                    <w:bidi w:val="0"/>
                    <w:spacing w:line="360" w:lineRule="auto"/>
                    <w:ind w:right="46" w:rightChars="22"/>
                    <w:rPr>
                      <w:rFonts w:hint="eastAsia" w:ascii="宋体" w:hAnsi="宋体" w:eastAsia="宋体" w:cs="宋体"/>
                      <w:color w:val="auto"/>
                      <w:sz w:val="21"/>
                      <w:szCs w:val="21"/>
                    </w:rPr>
                  </w:pPr>
                  <w:r>
                    <w:rPr>
                      <w:rFonts w:hint="eastAsia" w:ascii="宋体" w:hAnsi="宋体" w:eastAsia="宋体" w:cs="宋体"/>
                      <w:color w:val="auto"/>
                      <w:sz w:val="21"/>
                      <w:szCs w:val="21"/>
                    </w:rPr>
                    <w:t>产品合格证</w:t>
                  </w:r>
                </w:p>
              </w:tc>
              <w:tc>
                <w:tcPr>
                  <w:tcW w:w="973" w:type="pct"/>
                  <w:vAlign w:val="center"/>
                </w:tcPr>
                <w:p w14:paraId="49200A67">
                  <w:pPr>
                    <w:pageBreakBefore w:val="0"/>
                    <w:kinsoku/>
                    <w:overflowPunct/>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1份</w:t>
                  </w:r>
                </w:p>
              </w:tc>
            </w:tr>
          </w:tbl>
          <w:p w14:paraId="45D458F3">
            <w:pPr>
              <w:pStyle w:val="4"/>
              <w:pageBreakBefore w:val="0"/>
              <w:numPr>
                <w:ilvl w:val="2"/>
                <w:numId w:val="0"/>
              </w:numPr>
              <w:tabs>
                <w:tab w:val="left" w:pos="312"/>
                <w:tab w:val="clear" w:pos="900"/>
              </w:tabs>
              <w:kinsoku/>
              <w:overflowPunct/>
              <w:bidi w:val="0"/>
              <w:spacing w:line="360" w:lineRule="auto"/>
              <w:rPr>
                <w:rFonts w:hint="eastAsia" w:ascii="宋体" w:hAnsi="宋体" w:eastAsia="宋体" w:cs="宋体"/>
                <w:color w:val="auto"/>
                <w:sz w:val="21"/>
                <w:szCs w:val="21"/>
              </w:rPr>
            </w:pPr>
            <w:bookmarkStart w:id="109" w:name="_Toc31018"/>
            <w:r>
              <w:rPr>
                <w:rFonts w:hint="eastAsia" w:ascii="宋体" w:hAnsi="宋体" w:eastAsia="宋体" w:cs="宋体"/>
                <w:b/>
                <w:bCs/>
                <w:color w:val="auto"/>
                <w:kern w:val="2"/>
                <w:sz w:val="21"/>
                <w:szCs w:val="21"/>
                <w:lang w:val="en-US" w:eastAsia="zh-CN" w:bidi="ar-SA"/>
              </w:rPr>
              <w:t>2．</w:t>
            </w:r>
            <w:r>
              <w:rPr>
                <w:rFonts w:hint="eastAsia" w:ascii="宋体" w:hAnsi="宋体" w:eastAsia="宋体" w:cs="宋体"/>
                <w:color w:val="auto"/>
                <w:sz w:val="21"/>
                <w:szCs w:val="21"/>
              </w:rPr>
              <w:t>要特点</w:t>
            </w:r>
            <w:bookmarkEnd w:id="109"/>
          </w:p>
          <w:p w14:paraId="1C50E323">
            <w:pPr>
              <w:pageBreakBefore w:val="0"/>
              <w:widowControl/>
              <w:numPr>
                <w:ilvl w:val="0"/>
                <w:numId w:val="0"/>
              </w:numPr>
              <w:kinsoku/>
              <w:overflowPunct/>
              <w:bidi w:val="0"/>
              <w:spacing w:line="360" w:lineRule="auto"/>
              <w:ind w:left="360" w:leftChars="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2.1</w:t>
            </w:r>
            <w:r>
              <w:rPr>
                <w:rFonts w:hint="eastAsia" w:ascii="宋体" w:hAnsi="宋体" w:eastAsia="宋体" w:cs="宋体"/>
                <w:bCs/>
                <w:color w:val="auto"/>
                <w:kern w:val="0"/>
                <w:sz w:val="21"/>
                <w:szCs w:val="21"/>
              </w:rPr>
              <w:t>采用彩色高清液晶屏幕，显示清晰</w:t>
            </w:r>
          </w:p>
          <w:p w14:paraId="3298829D">
            <w:pPr>
              <w:pStyle w:val="34"/>
              <w:pageBreakBefore w:val="0"/>
              <w:numPr>
                <w:ilvl w:val="0"/>
                <w:numId w:val="0"/>
              </w:numPr>
              <w:kinsoku/>
              <w:overflowPunct/>
              <w:bidi w:val="0"/>
              <w:spacing w:line="360" w:lineRule="auto"/>
              <w:ind w:left="360" w:leftChars="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2.2</w:t>
            </w:r>
            <w:r>
              <w:rPr>
                <w:rFonts w:hint="eastAsia" w:ascii="宋体" w:hAnsi="宋体" w:eastAsia="宋体" w:cs="宋体"/>
                <w:color w:val="auto"/>
                <w:sz w:val="21"/>
                <w:szCs w:val="21"/>
              </w:rPr>
              <w:t>温度单位可选：℃ 和 °F。</w:t>
            </w:r>
          </w:p>
          <w:p w14:paraId="7692A5A4">
            <w:pPr>
              <w:pStyle w:val="34"/>
              <w:pageBreakBefore w:val="0"/>
              <w:numPr>
                <w:ilvl w:val="0"/>
                <w:numId w:val="0"/>
              </w:numPr>
              <w:kinsoku/>
              <w:overflowPunct/>
              <w:bidi w:val="0"/>
              <w:spacing w:line="360" w:lineRule="auto"/>
              <w:ind w:left="360" w:leftChars="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2.3</w:t>
            </w:r>
            <w:r>
              <w:rPr>
                <w:rFonts w:hint="eastAsia" w:ascii="宋体" w:hAnsi="宋体" w:eastAsia="宋体" w:cs="宋体"/>
                <w:color w:val="auto"/>
                <w:sz w:val="21"/>
                <w:szCs w:val="21"/>
              </w:rPr>
              <w:t>支持开机自诊断、自动关机、断电保护和恢复出厂设置等功能</w:t>
            </w:r>
          </w:p>
          <w:p w14:paraId="6125CE1E">
            <w:pPr>
              <w:pStyle w:val="34"/>
              <w:pageBreakBefore w:val="0"/>
              <w:numPr>
                <w:ilvl w:val="0"/>
                <w:numId w:val="0"/>
              </w:numPr>
              <w:kinsoku/>
              <w:overflowPunct/>
              <w:bidi w:val="0"/>
              <w:spacing w:line="360" w:lineRule="auto"/>
              <w:ind w:left="360" w:leftChars="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2.4</w:t>
            </w:r>
            <w:r>
              <w:rPr>
                <w:rFonts w:hint="eastAsia" w:ascii="宋体" w:hAnsi="宋体" w:eastAsia="宋体" w:cs="宋体"/>
                <w:color w:val="auto"/>
                <w:sz w:val="21"/>
                <w:szCs w:val="21"/>
              </w:rPr>
              <w:t>支持固件升级功能，允许功能扩展和个性化要求</w:t>
            </w:r>
          </w:p>
          <w:p w14:paraId="6A7FC982">
            <w:pPr>
              <w:pStyle w:val="34"/>
              <w:pageBreakBefore w:val="0"/>
              <w:numPr>
                <w:ilvl w:val="0"/>
                <w:numId w:val="0"/>
              </w:numPr>
              <w:kinsoku/>
              <w:overflowPunct/>
              <w:bidi w:val="0"/>
              <w:spacing w:line="360" w:lineRule="auto"/>
              <w:ind w:left="360" w:leftChars="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2.5</w:t>
            </w:r>
            <w:r>
              <w:rPr>
                <w:rFonts w:hint="eastAsia" w:ascii="宋体" w:hAnsi="宋体" w:eastAsia="宋体" w:cs="宋体"/>
                <w:color w:val="auto"/>
                <w:sz w:val="21"/>
                <w:szCs w:val="21"/>
              </w:rPr>
              <w:t>支持IP54防护等级</w:t>
            </w:r>
          </w:p>
          <w:p w14:paraId="08B13CF6">
            <w:pPr>
              <w:pStyle w:val="34"/>
              <w:pageBreakBefore w:val="0"/>
              <w:numPr>
                <w:ilvl w:val="0"/>
                <w:numId w:val="0"/>
              </w:numPr>
              <w:kinsoku/>
              <w:overflowPunct/>
              <w:bidi w:val="0"/>
              <w:spacing w:line="360" w:lineRule="auto"/>
              <w:ind w:left="360" w:leftChars="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2.6</w:t>
            </w:r>
            <w:r>
              <w:rPr>
                <w:rFonts w:hint="eastAsia" w:ascii="宋体" w:hAnsi="宋体" w:eastAsia="宋体" w:cs="宋体"/>
                <w:color w:val="auto"/>
                <w:sz w:val="21"/>
                <w:szCs w:val="21"/>
              </w:rPr>
              <w:t>标配极谱法溶解氧电极、电极支架、防尘罩</w:t>
            </w:r>
          </w:p>
          <w:p w14:paraId="2460A229">
            <w:pPr>
              <w:pageBreakBefore w:val="0"/>
              <w:widowControl/>
              <w:numPr>
                <w:ilvl w:val="0"/>
                <w:numId w:val="0"/>
              </w:numPr>
              <w:kinsoku/>
              <w:overflowPunct/>
              <w:bidi w:val="0"/>
              <w:spacing w:line="360" w:lineRule="auto"/>
              <w:ind w:left="360" w:leftChars="0"/>
              <w:jc w:val="left"/>
              <w:rPr>
                <w:rFonts w:hint="eastAsia" w:ascii="宋体" w:hAnsi="宋体" w:eastAsia="宋体" w:cs="宋体"/>
                <w:b/>
                <w:bCs/>
                <w:color w:val="auto"/>
                <w:kern w:val="0"/>
                <w:sz w:val="21"/>
                <w:szCs w:val="21"/>
              </w:rPr>
            </w:pPr>
            <w:r>
              <w:rPr>
                <w:rFonts w:hint="eastAsia" w:ascii="宋体" w:hAnsi="宋体" w:eastAsia="宋体" w:cs="宋体"/>
                <w:color w:val="auto"/>
                <w:kern w:val="0"/>
                <w:sz w:val="21"/>
                <w:szCs w:val="21"/>
                <w:lang w:val="en-US" w:eastAsia="zh-CN"/>
              </w:rPr>
              <w:t>2.7</w:t>
            </w:r>
            <w:r>
              <w:rPr>
                <w:rFonts w:hint="eastAsia" w:ascii="宋体" w:hAnsi="宋体" w:eastAsia="宋体" w:cs="宋体"/>
                <w:color w:val="auto"/>
                <w:kern w:val="0"/>
                <w:sz w:val="21"/>
                <w:szCs w:val="21"/>
              </w:rPr>
              <w:t>智能判别终点，支持自动读数、定时读数、定时间隔读数、手动读数</w:t>
            </w:r>
          </w:p>
          <w:p w14:paraId="5E047B6D">
            <w:pPr>
              <w:pageBreakBefore w:val="0"/>
              <w:widowControl/>
              <w:numPr>
                <w:ilvl w:val="0"/>
                <w:numId w:val="0"/>
              </w:numPr>
              <w:kinsoku/>
              <w:overflowPunct/>
              <w:bidi w:val="0"/>
              <w:spacing w:line="360" w:lineRule="auto"/>
              <w:ind w:left="360" w:leftChars="0"/>
              <w:jc w:val="left"/>
              <w:rPr>
                <w:rFonts w:hint="eastAsia" w:ascii="宋体" w:hAnsi="宋体" w:eastAsia="宋体" w:cs="宋体"/>
                <w:b/>
                <w:bCs/>
                <w:color w:val="auto"/>
                <w:kern w:val="0"/>
                <w:sz w:val="21"/>
                <w:szCs w:val="21"/>
              </w:rPr>
            </w:pPr>
            <w:r>
              <w:rPr>
                <w:rFonts w:hint="eastAsia" w:ascii="宋体" w:hAnsi="宋体" w:eastAsia="宋体" w:cs="宋体"/>
                <w:b w:val="0"/>
                <w:bCs w:val="0"/>
                <w:color w:val="auto"/>
                <w:sz w:val="21"/>
                <w:szCs w:val="21"/>
                <w:highlight w:val="none"/>
                <w:lang w:val="en-US" w:eastAsia="zh-CN"/>
              </w:rPr>
              <w:t>■2.8</w:t>
            </w:r>
            <w:r>
              <w:rPr>
                <w:rFonts w:hint="eastAsia" w:ascii="宋体" w:hAnsi="宋体" w:eastAsia="宋体" w:cs="宋体"/>
                <w:color w:val="auto"/>
                <w:kern w:val="0"/>
                <w:sz w:val="21"/>
                <w:szCs w:val="21"/>
              </w:rPr>
              <w:t>支持自动温度补偿、自动大气压补偿（kPa、mmHg、atm多种单位可选）</w:t>
            </w:r>
          </w:p>
          <w:p w14:paraId="02730DAD">
            <w:pPr>
              <w:pageBreakBefore w:val="0"/>
              <w:widowControl/>
              <w:numPr>
                <w:ilvl w:val="0"/>
                <w:numId w:val="0"/>
              </w:numPr>
              <w:kinsoku/>
              <w:overflowPunct/>
              <w:bidi w:val="0"/>
              <w:spacing w:line="360" w:lineRule="auto"/>
              <w:ind w:left="360" w:leftChars="0"/>
              <w:rPr>
                <w:rFonts w:hint="eastAsia" w:ascii="宋体" w:hAnsi="宋体" w:eastAsia="宋体" w:cs="宋体"/>
                <w:color w:val="auto"/>
                <w:kern w:val="0"/>
                <w:sz w:val="21"/>
                <w:szCs w:val="21"/>
              </w:rPr>
            </w:pPr>
            <w:r>
              <w:rPr>
                <w:rFonts w:hint="eastAsia" w:ascii="宋体" w:hAnsi="宋体" w:eastAsia="宋体" w:cs="宋体"/>
                <w:b w:val="0"/>
                <w:bCs w:val="0"/>
                <w:color w:val="auto"/>
                <w:sz w:val="21"/>
                <w:szCs w:val="21"/>
                <w:highlight w:val="none"/>
                <w:lang w:val="en-US" w:eastAsia="zh-CN"/>
              </w:rPr>
              <w:t>■2.9</w:t>
            </w:r>
            <w:r>
              <w:rPr>
                <w:rFonts w:hint="eastAsia" w:ascii="宋体" w:hAnsi="宋体" w:eastAsia="宋体" w:cs="宋体"/>
                <w:color w:val="auto"/>
                <w:kern w:val="0"/>
                <w:sz w:val="21"/>
                <w:szCs w:val="21"/>
              </w:rPr>
              <w:t>自动零氧标定和满度标定</w:t>
            </w:r>
          </w:p>
          <w:p w14:paraId="2EB6935D">
            <w:pPr>
              <w:pageBreakBefore w:val="0"/>
              <w:widowControl/>
              <w:numPr>
                <w:ilvl w:val="0"/>
                <w:numId w:val="0"/>
              </w:numPr>
              <w:kinsoku/>
              <w:overflowPunct/>
              <w:bidi w:val="0"/>
              <w:spacing w:line="360" w:lineRule="auto"/>
              <w:ind w:left="360" w:left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2.10</w:t>
            </w:r>
            <w:r>
              <w:rPr>
                <w:rFonts w:hint="eastAsia" w:ascii="宋体" w:hAnsi="宋体" w:eastAsia="宋体" w:cs="宋体"/>
                <w:color w:val="auto"/>
                <w:kern w:val="0"/>
                <w:sz w:val="21"/>
                <w:szCs w:val="21"/>
              </w:rPr>
              <w:t>支持手动盐度补偿</w:t>
            </w:r>
          </w:p>
          <w:p w14:paraId="4B2538B5">
            <w:pPr>
              <w:pageBreakBefore w:val="0"/>
              <w:widowControl/>
              <w:numPr>
                <w:ilvl w:val="0"/>
                <w:numId w:val="0"/>
              </w:numPr>
              <w:kinsoku/>
              <w:overflowPunct/>
              <w:bidi w:val="0"/>
              <w:spacing w:line="360" w:lineRule="auto"/>
              <w:ind w:left="420" w:left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2.11</w:t>
            </w:r>
            <w:r>
              <w:rPr>
                <w:rFonts w:hint="eastAsia" w:ascii="宋体" w:hAnsi="宋体" w:eastAsia="宋体" w:cs="宋体"/>
                <w:color w:val="auto"/>
                <w:kern w:val="0"/>
                <w:sz w:val="21"/>
                <w:szCs w:val="21"/>
              </w:rPr>
              <w:t>支持数据存储（各500套）、查阅、删除、传输和打印</w:t>
            </w:r>
          </w:p>
          <w:p w14:paraId="408D9ACC">
            <w:pPr>
              <w:pageBreakBefore w:val="0"/>
              <w:widowControl/>
              <w:numPr>
                <w:ilvl w:val="0"/>
                <w:numId w:val="0"/>
              </w:numPr>
              <w:kinsoku/>
              <w:overflowPunct/>
              <w:bidi w:val="0"/>
              <w:spacing w:line="360" w:lineRule="auto"/>
              <w:ind w:left="420" w:leftChars="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2.22</w:t>
            </w:r>
            <w:r>
              <w:rPr>
                <w:rFonts w:hint="eastAsia" w:ascii="宋体" w:hAnsi="宋体" w:eastAsia="宋体" w:cs="宋体"/>
                <w:color w:val="auto"/>
                <w:kern w:val="0"/>
                <w:sz w:val="21"/>
                <w:szCs w:val="21"/>
              </w:rPr>
              <w:t>符合GLP，实现数据追溯</w:t>
            </w:r>
          </w:p>
          <w:p w14:paraId="581C6484">
            <w:pPr>
              <w:pageBreakBefore w:val="0"/>
              <w:widowControl/>
              <w:numPr>
                <w:ilvl w:val="0"/>
                <w:numId w:val="0"/>
              </w:numPr>
              <w:kinsoku/>
              <w:overflowPunct/>
              <w:bidi w:val="0"/>
              <w:spacing w:line="360" w:lineRule="auto"/>
              <w:ind w:left="420" w:leftChars="0"/>
              <w:jc w:val="left"/>
              <w:rPr>
                <w:rFonts w:hint="eastAsia" w:ascii="宋体" w:hAnsi="宋体" w:eastAsia="宋体" w:cs="宋体"/>
                <w:color w:val="auto"/>
                <w:kern w:val="0"/>
                <w:sz w:val="21"/>
                <w:szCs w:val="21"/>
              </w:rPr>
            </w:pPr>
            <w:r>
              <w:rPr>
                <w:rFonts w:hint="eastAsia" w:ascii="宋体" w:hAnsi="宋体" w:eastAsia="宋体" w:cs="宋体"/>
                <w:color w:val="auto"/>
                <w:sz w:val="21"/>
                <w:szCs w:val="21"/>
                <w:lang w:val="en-US" w:eastAsia="zh-CN"/>
              </w:rPr>
              <w:t>2.23</w:t>
            </w:r>
            <w:r>
              <w:rPr>
                <w:rFonts w:hint="eastAsia" w:ascii="宋体" w:hAnsi="宋体" w:eastAsia="宋体" w:cs="宋体"/>
                <w:color w:val="auto"/>
                <w:sz w:val="21"/>
                <w:szCs w:val="21"/>
              </w:rPr>
              <w:t>直接打印测量结果，打印格式可选</w:t>
            </w:r>
          </w:p>
          <w:p w14:paraId="3F056B89">
            <w:pPr>
              <w:pageBreakBefore w:val="0"/>
              <w:widowControl/>
              <w:numPr>
                <w:ilvl w:val="0"/>
                <w:numId w:val="0"/>
              </w:numPr>
              <w:kinsoku/>
              <w:overflowPunct/>
              <w:bidi w:val="0"/>
              <w:spacing w:line="360" w:lineRule="auto"/>
              <w:ind w:left="420" w:lef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2.24</w:t>
            </w:r>
            <w:r>
              <w:rPr>
                <w:rFonts w:hint="eastAsia" w:ascii="宋体" w:hAnsi="宋体" w:eastAsia="宋体" w:cs="宋体"/>
                <w:color w:val="auto"/>
                <w:kern w:val="0"/>
                <w:sz w:val="21"/>
                <w:szCs w:val="21"/>
                <w:highlight w:val="none"/>
              </w:rPr>
              <w:t>具有USB</w:t>
            </w:r>
            <w:r>
              <w:rPr>
                <w:rFonts w:hint="eastAsia" w:ascii="宋体" w:hAnsi="宋体" w:cs="宋体"/>
                <w:color w:val="auto"/>
                <w:kern w:val="0"/>
                <w:sz w:val="21"/>
                <w:szCs w:val="21"/>
                <w:highlight w:val="none"/>
                <w:lang w:val="en-US" w:eastAsia="zh-CN"/>
              </w:rPr>
              <w:t>等</w:t>
            </w:r>
            <w:r>
              <w:rPr>
                <w:rFonts w:hint="eastAsia" w:ascii="宋体" w:hAnsi="宋体" w:eastAsia="宋体" w:cs="宋体"/>
                <w:color w:val="auto"/>
                <w:kern w:val="0"/>
                <w:sz w:val="21"/>
                <w:szCs w:val="21"/>
                <w:highlight w:val="none"/>
              </w:rPr>
              <w:t>接口，</w:t>
            </w:r>
            <w:r>
              <w:rPr>
                <w:rFonts w:hint="eastAsia" w:ascii="宋体" w:hAnsi="宋体" w:cs="宋体"/>
                <w:color w:val="auto"/>
                <w:kern w:val="0"/>
                <w:sz w:val="21"/>
                <w:szCs w:val="21"/>
                <w:highlight w:val="none"/>
                <w:lang w:val="en-US" w:eastAsia="zh-CN"/>
              </w:rPr>
              <w:t>能</w:t>
            </w:r>
            <w:r>
              <w:rPr>
                <w:rFonts w:hint="eastAsia" w:ascii="宋体" w:hAnsi="宋体" w:eastAsia="宋体" w:cs="宋体"/>
                <w:color w:val="auto"/>
                <w:kern w:val="0"/>
                <w:sz w:val="21"/>
                <w:szCs w:val="21"/>
                <w:highlight w:val="none"/>
              </w:rPr>
              <w:t>实现数据传输</w:t>
            </w:r>
          </w:p>
          <w:p w14:paraId="14C10F2D">
            <w:pPr>
              <w:pStyle w:val="4"/>
              <w:pageBreakBefore w:val="0"/>
              <w:numPr>
                <w:ilvl w:val="2"/>
                <w:numId w:val="0"/>
              </w:numPr>
              <w:tabs>
                <w:tab w:val="left" w:pos="312"/>
                <w:tab w:val="clear" w:pos="900"/>
              </w:tabs>
              <w:kinsoku/>
              <w:overflowPunct/>
              <w:bidi w:val="0"/>
              <w:spacing w:line="360" w:lineRule="auto"/>
              <w:rPr>
                <w:rFonts w:hint="eastAsia" w:ascii="宋体" w:hAnsi="宋体" w:eastAsia="宋体" w:cs="宋体"/>
                <w:color w:val="auto"/>
                <w:sz w:val="21"/>
                <w:szCs w:val="21"/>
              </w:rPr>
            </w:pPr>
            <w:bookmarkStart w:id="110" w:name="_Toc5227"/>
            <w:r>
              <w:rPr>
                <w:rFonts w:hint="eastAsia" w:ascii="宋体" w:hAnsi="宋体" w:eastAsia="宋体" w:cs="宋体"/>
                <w:b/>
                <w:bCs/>
                <w:color w:val="auto"/>
                <w:kern w:val="2"/>
                <w:sz w:val="21"/>
                <w:szCs w:val="21"/>
                <w:lang w:val="en-US" w:eastAsia="zh-CN" w:bidi="ar-SA"/>
              </w:rPr>
              <w:t>3．</w:t>
            </w:r>
            <w:r>
              <w:rPr>
                <w:rFonts w:hint="eastAsia" w:ascii="宋体" w:hAnsi="宋体" w:eastAsia="宋体" w:cs="宋体"/>
                <w:color w:val="auto"/>
                <w:sz w:val="21"/>
                <w:szCs w:val="21"/>
              </w:rPr>
              <w:t>技术参数</w:t>
            </w:r>
            <w:bookmarkEnd w:id="110"/>
          </w:p>
          <w:tbl>
            <w:tblPr>
              <w:tblStyle w:val="23"/>
              <w:tblW w:w="5005" w:type="pct"/>
              <w:jc w:val="center"/>
              <w:tblLayout w:type="autofit"/>
              <w:tblCellMar>
                <w:top w:w="0" w:type="dxa"/>
                <w:left w:w="108" w:type="dxa"/>
                <w:bottom w:w="0" w:type="dxa"/>
                <w:right w:w="108" w:type="dxa"/>
              </w:tblCellMar>
            </w:tblPr>
            <w:tblGrid>
              <w:gridCol w:w="1548"/>
              <w:gridCol w:w="3310"/>
              <w:gridCol w:w="5561"/>
            </w:tblGrid>
            <w:tr w14:paraId="6B9E3E3C">
              <w:tblPrEx>
                <w:tblCellMar>
                  <w:top w:w="0" w:type="dxa"/>
                  <w:left w:w="108" w:type="dxa"/>
                  <w:bottom w:w="0" w:type="dxa"/>
                  <w:right w:w="108" w:type="dxa"/>
                </w:tblCellMar>
              </w:tblPrEx>
              <w:trPr>
                <w:trHeight w:val="54" w:hRule="atLeast"/>
                <w:jc w:val="center"/>
              </w:trPr>
              <w:tc>
                <w:tcPr>
                  <w:tcW w:w="2331" w:type="pct"/>
                  <w:gridSpan w:val="2"/>
                  <w:tcBorders>
                    <w:top w:val="single" w:color="auto" w:sz="4" w:space="0"/>
                    <w:left w:val="single" w:color="auto" w:sz="4" w:space="0"/>
                    <w:bottom w:val="single" w:color="auto" w:sz="4" w:space="0"/>
                    <w:right w:val="single" w:color="auto" w:sz="4" w:space="0"/>
                  </w:tcBorders>
                  <w:vAlign w:val="center"/>
                </w:tcPr>
                <w:p w14:paraId="2CEE9818">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测量参数</w:t>
                  </w:r>
                </w:p>
              </w:tc>
              <w:tc>
                <w:tcPr>
                  <w:tcW w:w="2668" w:type="pct"/>
                  <w:tcBorders>
                    <w:top w:val="single" w:color="auto" w:sz="4" w:space="0"/>
                    <w:left w:val="single" w:color="auto" w:sz="4" w:space="0"/>
                    <w:bottom w:val="single" w:color="auto" w:sz="4" w:space="0"/>
                    <w:right w:val="single" w:color="auto" w:sz="4" w:space="0"/>
                  </w:tcBorders>
                  <w:vAlign w:val="center"/>
                </w:tcPr>
                <w:p w14:paraId="4B119102">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溶解氧浓度、溶解氧饱和度和温度值</w:t>
                  </w:r>
                </w:p>
              </w:tc>
            </w:tr>
            <w:tr w14:paraId="1690B5EF">
              <w:tblPrEx>
                <w:tblCellMar>
                  <w:top w:w="0" w:type="dxa"/>
                  <w:left w:w="108" w:type="dxa"/>
                  <w:bottom w:w="0" w:type="dxa"/>
                  <w:right w:w="108" w:type="dxa"/>
                </w:tblCellMar>
              </w:tblPrEx>
              <w:trPr>
                <w:trHeight w:val="315" w:hRule="atLeast"/>
                <w:jc w:val="center"/>
              </w:trPr>
              <w:tc>
                <w:tcPr>
                  <w:tcW w:w="743" w:type="pct"/>
                  <w:vMerge w:val="restart"/>
                  <w:tcBorders>
                    <w:top w:val="single" w:color="auto" w:sz="4" w:space="0"/>
                    <w:left w:val="single" w:color="auto" w:sz="4" w:space="0"/>
                    <w:bottom w:val="single" w:color="auto" w:sz="4" w:space="0"/>
                    <w:right w:val="single" w:color="auto" w:sz="4" w:space="0"/>
                  </w:tcBorders>
                  <w:vAlign w:val="center"/>
                </w:tcPr>
                <w:p w14:paraId="0459520E">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溶解氧</w:t>
                  </w:r>
                </w:p>
              </w:tc>
              <w:tc>
                <w:tcPr>
                  <w:tcW w:w="1588" w:type="pct"/>
                  <w:tcBorders>
                    <w:top w:val="single" w:color="auto" w:sz="4" w:space="0"/>
                    <w:left w:val="single" w:color="auto" w:sz="4" w:space="0"/>
                    <w:bottom w:val="single" w:color="auto" w:sz="4" w:space="0"/>
                    <w:right w:val="single" w:color="auto" w:sz="4" w:space="0"/>
                  </w:tcBorders>
                  <w:vAlign w:val="center"/>
                </w:tcPr>
                <w:p w14:paraId="7CE3C343">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范围</w:t>
                  </w:r>
                </w:p>
              </w:tc>
              <w:tc>
                <w:tcPr>
                  <w:tcW w:w="2668" w:type="pct"/>
                  <w:tcBorders>
                    <w:top w:val="single" w:color="auto" w:sz="4" w:space="0"/>
                    <w:left w:val="single" w:color="auto" w:sz="4" w:space="0"/>
                    <w:bottom w:val="single" w:color="auto" w:sz="4" w:space="0"/>
                    <w:right w:val="single" w:color="auto" w:sz="4" w:space="0"/>
                  </w:tcBorders>
                  <w:vAlign w:val="center"/>
                </w:tcPr>
                <w:p w14:paraId="70BE6578">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电子单元：(0.00～99.99)mg/L</w:t>
                  </w:r>
                </w:p>
                <w:p w14:paraId="4DD133C0">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配套范围：(0.00～50.00)mg/L</w:t>
                  </w:r>
                </w:p>
              </w:tc>
            </w:tr>
            <w:tr w14:paraId="1A7593CE">
              <w:tblPrEx>
                <w:tblCellMar>
                  <w:top w:w="0" w:type="dxa"/>
                  <w:left w:w="108" w:type="dxa"/>
                  <w:bottom w:w="0" w:type="dxa"/>
                  <w:right w:w="108" w:type="dxa"/>
                </w:tblCellMar>
              </w:tblPrEx>
              <w:trPr>
                <w:trHeight w:val="315" w:hRule="atLeast"/>
                <w:jc w:val="center"/>
              </w:trPr>
              <w:tc>
                <w:tcPr>
                  <w:tcW w:w="743" w:type="pct"/>
                  <w:vMerge w:val="continue"/>
                  <w:tcBorders>
                    <w:top w:val="single" w:color="auto" w:sz="4" w:space="0"/>
                    <w:left w:val="single" w:color="auto" w:sz="4" w:space="0"/>
                    <w:bottom w:val="single" w:color="auto" w:sz="4" w:space="0"/>
                    <w:right w:val="single" w:color="auto" w:sz="4" w:space="0"/>
                  </w:tcBorders>
                  <w:vAlign w:val="center"/>
                </w:tcPr>
                <w:p w14:paraId="181D679C">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p>
              </w:tc>
              <w:tc>
                <w:tcPr>
                  <w:tcW w:w="1588" w:type="pct"/>
                  <w:tcBorders>
                    <w:top w:val="single" w:color="auto" w:sz="4" w:space="0"/>
                    <w:left w:val="single" w:color="auto" w:sz="4" w:space="0"/>
                    <w:bottom w:val="single" w:color="auto" w:sz="4" w:space="0"/>
                    <w:right w:val="single" w:color="auto" w:sz="4" w:space="0"/>
                  </w:tcBorders>
                  <w:vAlign w:val="center"/>
                </w:tcPr>
                <w:p w14:paraId="59AD8D84">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最小分辨率</w:t>
                  </w:r>
                </w:p>
              </w:tc>
              <w:tc>
                <w:tcPr>
                  <w:tcW w:w="2668" w:type="pct"/>
                  <w:tcBorders>
                    <w:top w:val="single" w:color="auto" w:sz="4" w:space="0"/>
                    <w:left w:val="single" w:color="auto" w:sz="4" w:space="0"/>
                    <w:bottom w:val="single" w:color="auto" w:sz="4" w:space="0"/>
                    <w:right w:val="single" w:color="auto" w:sz="4" w:space="0"/>
                  </w:tcBorders>
                  <w:vAlign w:val="center"/>
                </w:tcPr>
                <w:p w14:paraId="4423BD0B">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0.01 mg/L</w:t>
                  </w:r>
                </w:p>
              </w:tc>
            </w:tr>
            <w:tr w14:paraId="63F4CA99">
              <w:tblPrEx>
                <w:tblCellMar>
                  <w:top w:w="0" w:type="dxa"/>
                  <w:left w:w="108" w:type="dxa"/>
                  <w:bottom w:w="0" w:type="dxa"/>
                  <w:right w:w="108" w:type="dxa"/>
                </w:tblCellMar>
              </w:tblPrEx>
              <w:trPr>
                <w:trHeight w:val="315" w:hRule="atLeast"/>
                <w:jc w:val="center"/>
              </w:trPr>
              <w:tc>
                <w:tcPr>
                  <w:tcW w:w="743" w:type="pct"/>
                  <w:vMerge w:val="continue"/>
                  <w:tcBorders>
                    <w:top w:val="single" w:color="auto" w:sz="4" w:space="0"/>
                    <w:left w:val="single" w:color="auto" w:sz="4" w:space="0"/>
                    <w:bottom w:val="single" w:color="auto" w:sz="4" w:space="0"/>
                    <w:right w:val="single" w:color="auto" w:sz="4" w:space="0"/>
                  </w:tcBorders>
                  <w:vAlign w:val="center"/>
                </w:tcPr>
                <w:p w14:paraId="220B169E">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p>
              </w:tc>
              <w:tc>
                <w:tcPr>
                  <w:tcW w:w="1588" w:type="pct"/>
                  <w:tcBorders>
                    <w:top w:val="single" w:color="auto" w:sz="4" w:space="0"/>
                    <w:left w:val="single" w:color="auto" w:sz="4" w:space="0"/>
                    <w:bottom w:val="single" w:color="auto" w:sz="4" w:space="0"/>
                    <w:right w:val="single" w:color="auto" w:sz="4" w:space="0"/>
                  </w:tcBorders>
                  <w:vAlign w:val="center"/>
                </w:tcPr>
                <w:p w14:paraId="5FD85F5C">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电子单元示值误差</w:t>
                  </w:r>
                </w:p>
              </w:tc>
              <w:tc>
                <w:tcPr>
                  <w:tcW w:w="2668" w:type="pct"/>
                  <w:tcBorders>
                    <w:top w:val="single" w:color="auto" w:sz="4" w:space="0"/>
                    <w:left w:val="single" w:color="auto" w:sz="4" w:space="0"/>
                    <w:bottom w:val="single" w:color="auto" w:sz="4" w:space="0"/>
                    <w:right w:val="single" w:color="auto" w:sz="4" w:space="0"/>
                  </w:tcBorders>
                  <w:vAlign w:val="center"/>
                </w:tcPr>
                <w:p w14:paraId="77320849">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±0.10mg/L</w:t>
                  </w:r>
                </w:p>
              </w:tc>
            </w:tr>
            <w:tr w14:paraId="0F8F89A6">
              <w:tblPrEx>
                <w:tblCellMar>
                  <w:top w:w="0" w:type="dxa"/>
                  <w:left w:w="108" w:type="dxa"/>
                  <w:bottom w:w="0" w:type="dxa"/>
                  <w:right w:w="108" w:type="dxa"/>
                </w:tblCellMar>
              </w:tblPrEx>
              <w:trPr>
                <w:trHeight w:val="315" w:hRule="atLeast"/>
                <w:jc w:val="center"/>
              </w:trPr>
              <w:tc>
                <w:tcPr>
                  <w:tcW w:w="743" w:type="pct"/>
                  <w:vMerge w:val="continue"/>
                  <w:tcBorders>
                    <w:top w:val="single" w:color="auto" w:sz="4" w:space="0"/>
                    <w:left w:val="single" w:color="auto" w:sz="4" w:space="0"/>
                    <w:bottom w:val="single" w:color="auto" w:sz="4" w:space="0"/>
                    <w:right w:val="single" w:color="auto" w:sz="4" w:space="0"/>
                  </w:tcBorders>
                  <w:vAlign w:val="center"/>
                </w:tcPr>
                <w:p w14:paraId="286274BE">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p>
              </w:tc>
              <w:tc>
                <w:tcPr>
                  <w:tcW w:w="1588" w:type="pct"/>
                  <w:tcBorders>
                    <w:top w:val="single" w:color="auto" w:sz="4" w:space="0"/>
                    <w:left w:val="single" w:color="auto" w:sz="4" w:space="0"/>
                    <w:bottom w:val="single" w:color="auto" w:sz="4" w:space="0"/>
                    <w:right w:val="single" w:color="auto" w:sz="4" w:space="0"/>
                  </w:tcBorders>
                  <w:vAlign w:val="center"/>
                </w:tcPr>
                <w:p w14:paraId="789D27F2">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仪器示值误差</w:t>
                  </w:r>
                </w:p>
              </w:tc>
              <w:tc>
                <w:tcPr>
                  <w:tcW w:w="2668" w:type="pct"/>
                  <w:tcBorders>
                    <w:top w:val="single" w:color="auto" w:sz="4" w:space="0"/>
                    <w:left w:val="single" w:color="auto" w:sz="4" w:space="0"/>
                    <w:bottom w:val="single" w:color="auto" w:sz="4" w:space="0"/>
                    <w:right w:val="single" w:color="auto" w:sz="4" w:space="0"/>
                  </w:tcBorders>
                  <w:vAlign w:val="center"/>
                </w:tcPr>
                <w:p w14:paraId="6B1B1791">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±0.30mg/L（≤ 20.00mg/L）</w:t>
                  </w:r>
                </w:p>
                <w:p w14:paraId="5B06B3AB">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±10.0%（＞ 20.00mg/L）</w:t>
                  </w:r>
                </w:p>
              </w:tc>
            </w:tr>
            <w:tr w14:paraId="334C0887">
              <w:tblPrEx>
                <w:tblCellMar>
                  <w:top w:w="0" w:type="dxa"/>
                  <w:left w:w="108" w:type="dxa"/>
                  <w:bottom w:w="0" w:type="dxa"/>
                  <w:right w:w="108" w:type="dxa"/>
                </w:tblCellMar>
              </w:tblPrEx>
              <w:trPr>
                <w:trHeight w:val="315" w:hRule="atLeast"/>
                <w:jc w:val="center"/>
              </w:trPr>
              <w:tc>
                <w:tcPr>
                  <w:tcW w:w="743" w:type="pct"/>
                  <w:vMerge w:val="continue"/>
                  <w:tcBorders>
                    <w:top w:val="single" w:color="auto" w:sz="4" w:space="0"/>
                    <w:left w:val="single" w:color="auto" w:sz="4" w:space="0"/>
                    <w:bottom w:val="single" w:color="auto" w:sz="4" w:space="0"/>
                    <w:right w:val="single" w:color="auto" w:sz="4" w:space="0"/>
                  </w:tcBorders>
                  <w:vAlign w:val="center"/>
                </w:tcPr>
                <w:p w14:paraId="6607489C">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p>
              </w:tc>
              <w:tc>
                <w:tcPr>
                  <w:tcW w:w="1588" w:type="pct"/>
                  <w:tcBorders>
                    <w:top w:val="single" w:color="auto" w:sz="4" w:space="0"/>
                    <w:left w:val="single" w:color="auto" w:sz="4" w:space="0"/>
                    <w:bottom w:val="single" w:color="auto" w:sz="4" w:space="0"/>
                    <w:right w:val="single" w:color="auto" w:sz="4" w:space="0"/>
                  </w:tcBorders>
                  <w:vAlign w:val="center"/>
                </w:tcPr>
                <w:p w14:paraId="5ACF9562">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响应时间</w:t>
                  </w:r>
                </w:p>
              </w:tc>
              <w:tc>
                <w:tcPr>
                  <w:tcW w:w="2668" w:type="pct"/>
                  <w:tcBorders>
                    <w:top w:val="single" w:color="auto" w:sz="4" w:space="0"/>
                    <w:left w:val="single" w:color="auto" w:sz="4" w:space="0"/>
                    <w:bottom w:val="single" w:color="auto" w:sz="4" w:space="0"/>
                    <w:right w:val="single" w:color="auto" w:sz="4" w:space="0"/>
                  </w:tcBorders>
                  <w:vAlign w:val="center"/>
                </w:tcPr>
                <w:p w14:paraId="74FC80DE">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≤45s(20.0 ℃时90%响应)</w:t>
                  </w:r>
                </w:p>
              </w:tc>
            </w:tr>
            <w:tr w14:paraId="3E9CC67A">
              <w:tblPrEx>
                <w:tblCellMar>
                  <w:top w:w="0" w:type="dxa"/>
                  <w:left w:w="108" w:type="dxa"/>
                  <w:bottom w:w="0" w:type="dxa"/>
                  <w:right w:w="108" w:type="dxa"/>
                </w:tblCellMar>
              </w:tblPrEx>
              <w:trPr>
                <w:trHeight w:val="315" w:hRule="atLeast"/>
                <w:jc w:val="center"/>
              </w:trPr>
              <w:tc>
                <w:tcPr>
                  <w:tcW w:w="743" w:type="pct"/>
                  <w:vMerge w:val="continue"/>
                  <w:tcBorders>
                    <w:top w:val="single" w:color="auto" w:sz="4" w:space="0"/>
                    <w:left w:val="single" w:color="auto" w:sz="4" w:space="0"/>
                    <w:bottom w:val="single" w:color="auto" w:sz="4" w:space="0"/>
                    <w:right w:val="single" w:color="auto" w:sz="4" w:space="0"/>
                  </w:tcBorders>
                  <w:vAlign w:val="center"/>
                </w:tcPr>
                <w:p w14:paraId="56516A0F">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p>
              </w:tc>
              <w:tc>
                <w:tcPr>
                  <w:tcW w:w="1588" w:type="pct"/>
                  <w:tcBorders>
                    <w:top w:val="single" w:color="auto" w:sz="4" w:space="0"/>
                    <w:left w:val="single" w:color="auto" w:sz="4" w:space="0"/>
                    <w:bottom w:val="single" w:color="auto" w:sz="4" w:space="0"/>
                    <w:right w:val="single" w:color="auto" w:sz="4" w:space="0"/>
                  </w:tcBorders>
                  <w:vAlign w:val="center"/>
                </w:tcPr>
                <w:p w14:paraId="4B68B51A">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盐度补偿误差</w:t>
                  </w:r>
                </w:p>
              </w:tc>
              <w:tc>
                <w:tcPr>
                  <w:tcW w:w="2668" w:type="pct"/>
                  <w:tcBorders>
                    <w:top w:val="single" w:color="auto" w:sz="4" w:space="0"/>
                    <w:left w:val="single" w:color="auto" w:sz="4" w:space="0"/>
                    <w:bottom w:val="single" w:color="auto" w:sz="4" w:space="0"/>
                    <w:right w:val="single" w:color="auto" w:sz="4" w:space="0"/>
                  </w:tcBorders>
                  <w:vAlign w:val="center"/>
                </w:tcPr>
                <w:p w14:paraId="13F1A2AC">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w:t>
                  </w:r>
                </w:p>
              </w:tc>
            </w:tr>
            <w:tr w14:paraId="01DD3D2C">
              <w:tblPrEx>
                <w:tblCellMar>
                  <w:top w:w="0" w:type="dxa"/>
                  <w:left w:w="108" w:type="dxa"/>
                  <w:bottom w:w="0" w:type="dxa"/>
                  <w:right w:w="108" w:type="dxa"/>
                </w:tblCellMar>
              </w:tblPrEx>
              <w:trPr>
                <w:trHeight w:val="315" w:hRule="atLeast"/>
                <w:jc w:val="center"/>
              </w:trPr>
              <w:tc>
                <w:tcPr>
                  <w:tcW w:w="743" w:type="pct"/>
                  <w:vMerge w:val="restart"/>
                  <w:tcBorders>
                    <w:top w:val="single" w:color="auto" w:sz="4" w:space="0"/>
                    <w:left w:val="single" w:color="auto" w:sz="4" w:space="0"/>
                    <w:bottom w:val="single" w:color="auto" w:sz="4" w:space="0"/>
                    <w:right w:val="single" w:color="auto" w:sz="4" w:space="0"/>
                  </w:tcBorders>
                  <w:vAlign w:val="center"/>
                </w:tcPr>
                <w:p w14:paraId="086CF366">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饱和度</w:t>
                  </w:r>
                </w:p>
              </w:tc>
              <w:tc>
                <w:tcPr>
                  <w:tcW w:w="1588" w:type="pct"/>
                  <w:tcBorders>
                    <w:top w:val="single" w:color="auto" w:sz="4" w:space="0"/>
                    <w:left w:val="single" w:color="auto" w:sz="4" w:space="0"/>
                    <w:bottom w:val="single" w:color="auto" w:sz="4" w:space="0"/>
                    <w:right w:val="single" w:color="auto" w:sz="4" w:space="0"/>
                  </w:tcBorders>
                  <w:vAlign w:val="center"/>
                </w:tcPr>
                <w:p w14:paraId="0246014D">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范围</w:t>
                  </w:r>
                </w:p>
              </w:tc>
              <w:tc>
                <w:tcPr>
                  <w:tcW w:w="2668" w:type="pct"/>
                  <w:tcBorders>
                    <w:top w:val="single" w:color="auto" w:sz="4" w:space="0"/>
                    <w:left w:val="single" w:color="auto" w:sz="4" w:space="0"/>
                    <w:bottom w:val="single" w:color="auto" w:sz="4" w:space="0"/>
                    <w:right w:val="single" w:color="auto" w:sz="4" w:space="0"/>
                  </w:tcBorders>
                  <w:vAlign w:val="center"/>
                </w:tcPr>
                <w:p w14:paraId="603E2C68">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(0.0～600.0)%</w:t>
                  </w:r>
                </w:p>
              </w:tc>
            </w:tr>
            <w:tr w14:paraId="54C1A7A5">
              <w:tblPrEx>
                <w:tblCellMar>
                  <w:top w:w="0" w:type="dxa"/>
                  <w:left w:w="108" w:type="dxa"/>
                  <w:bottom w:w="0" w:type="dxa"/>
                  <w:right w:w="108" w:type="dxa"/>
                </w:tblCellMar>
              </w:tblPrEx>
              <w:trPr>
                <w:trHeight w:val="315" w:hRule="atLeast"/>
                <w:jc w:val="center"/>
              </w:trPr>
              <w:tc>
                <w:tcPr>
                  <w:tcW w:w="743" w:type="pct"/>
                  <w:vMerge w:val="continue"/>
                  <w:tcBorders>
                    <w:top w:val="single" w:color="auto" w:sz="4" w:space="0"/>
                    <w:left w:val="single" w:color="auto" w:sz="4" w:space="0"/>
                    <w:bottom w:val="single" w:color="auto" w:sz="4" w:space="0"/>
                    <w:right w:val="single" w:color="auto" w:sz="4" w:space="0"/>
                  </w:tcBorders>
                  <w:vAlign w:val="center"/>
                </w:tcPr>
                <w:p w14:paraId="366AFBF8">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p>
              </w:tc>
              <w:tc>
                <w:tcPr>
                  <w:tcW w:w="1588" w:type="pct"/>
                  <w:tcBorders>
                    <w:top w:val="single" w:color="auto" w:sz="4" w:space="0"/>
                    <w:left w:val="single" w:color="auto" w:sz="4" w:space="0"/>
                    <w:bottom w:val="single" w:color="auto" w:sz="4" w:space="0"/>
                    <w:right w:val="single" w:color="auto" w:sz="4" w:space="0"/>
                  </w:tcBorders>
                  <w:vAlign w:val="center"/>
                </w:tcPr>
                <w:p w14:paraId="205407D5">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最小分辨率</w:t>
                  </w:r>
                </w:p>
              </w:tc>
              <w:tc>
                <w:tcPr>
                  <w:tcW w:w="2668" w:type="pct"/>
                  <w:tcBorders>
                    <w:top w:val="single" w:color="auto" w:sz="4" w:space="0"/>
                    <w:left w:val="single" w:color="auto" w:sz="4" w:space="0"/>
                    <w:bottom w:val="single" w:color="auto" w:sz="4" w:space="0"/>
                    <w:right w:val="single" w:color="auto" w:sz="4" w:space="0"/>
                  </w:tcBorders>
                  <w:vAlign w:val="center"/>
                </w:tcPr>
                <w:p w14:paraId="7E9F8FA7">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0.1%</w:t>
                  </w:r>
                </w:p>
              </w:tc>
            </w:tr>
            <w:tr w14:paraId="530360C9">
              <w:tblPrEx>
                <w:tblCellMar>
                  <w:top w:w="0" w:type="dxa"/>
                  <w:left w:w="108" w:type="dxa"/>
                  <w:bottom w:w="0" w:type="dxa"/>
                  <w:right w:w="108" w:type="dxa"/>
                </w:tblCellMar>
              </w:tblPrEx>
              <w:trPr>
                <w:trHeight w:val="315" w:hRule="atLeast"/>
                <w:jc w:val="center"/>
              </w:trPr>
              <w:tc>
                <w:tcPr>
                  <w:tcW w:w="743" w:type="pct"/>
                  <w:vMerge w:val="continue"/>
                  <w:tcBorders>
                    <w:top w:val="single" w:color="auto" w:sz="4" w:space="0"/>
                    <w:left w:val="single" w:color="auto" w:sz="4" w:space="0"/>
                    <w:bottom w:val="single" w:color="auto" w:sz="4" w:space="0"/>
                    <w:right w:val="single" w:color="auto" w:sz="4" w:space="0"/>
                  </w:tcBorders>
                  <w:vAlign w:val="center"/>
                </w:tcPr>
                <w:p w14:paraId="6623E917">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p>
              </w:tc>
              <w:tc>
                <w:tcPr>
                  <w:tcW w:w="1588" w:type="pct"/>
                  <w:tcBorders>
                    <w:top w:val="single" w:color="auto" w:sz="4" w:space="0"/>
                    <w:left w:val="single" w:color="auto" w:sz="4" w:space="0"/>
                    <w:bottom w:val="single" w:color="auto" w:sz="4" w:space="0"/>
                    <w:right w:val="single" w:color="auto" w:sz="4" w:space="0"/>
                  </w:tcBorders>
                  <w:vAlign w:val="center"/>
                </w:tcPr>
                <w:p w14:paraId="2261A3CF">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 xml:space="preserve">电子单元示值误差 </w:t>
                  </w:r>
                </w:p>
              </w:tc>
              <w:tc>
                <w:tcPr>
                  <w:tcW w:w="2668" w:type="pct"/>
                  <w:tcBorders>
                    <w:top w:val="single" w:color="auto" w:sz="4" w:space="0"/>
                    <w:left w:val="single" w:color="auto" w:sz="4" w:space="0"/>
                    <w:bottom w:val="single" w:color="auto" w:sz="4" w:space="0"/>
                    <w:right w:val="single" w:color="auto" w:sz="4" w:space="0"/>
                  </w:tcBorders>
                  <w:vAlign w:val="center"/>
                </w:tcPr>
                <w:p w14:paraId="2CC7090D">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±2.0%</w:t>
                  </w:r>
                </w:p>
              </w:tc>
            </w:tr>
            <w:tr w14:paraId="1129EE94">
              <w:tblPrEx>
                <w:tblCellMar>
                  <w:top w:w="0" w:type="dxa"/>
                  <w:left w:w="108" w:type="dxa"/>
                  <w:bottom w:w="0" w:type="dxa"/>
                  <w:right w:w="108" w:type="dxa"/>
                </w:tblCellMar>
              </w:tblPrEx>
              <w:trPr>
                <w:trHeight w:val="315" w:hRule="atLeast"/>
                <w:jc w:val="center"/>
              </w:trPr>
              <w:tc>
                <w:tcPr>
                  <w:tcW w:w="743" w:type="pct"/>
                  <w:vMerge w:val="continue"/>
                  <w:tcBorders>
                    <w:top w:val="single" w:color="auto" w:sz="4" w:space="0"/>
                    <w:left w:val="single" w:color="auto" w:sz="4" w:space="0"/>
                    <w:bottom w:val="single" w:color="auto" w:sz="4" w:space="0"/>
                    <w:right w:val="single" w:color="auto" w:sz="4" w:space="0"/>
                  </w:tcBorders>
                  <w:vAlign w:val="center"/>
                </w:tcPr>
                <w:p w14:paraId="02E83E9A">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p>
              </w:tc>
              <w:tc>
                <w:tcPr>
                  <w:tcW w:w="1588" w:type="pct"/>
                  <w:tcBorders>
                    <w:top w:val="single" w:color="auto" w:sz="4" w:space="0"/>
                    <w:left w:val="single" w:color="auto" w:sz="4" w:space="0"/>
                    <w:bottom w:val="single" w:color="auto" w:sz="4" w:space="0"/>
                    <w:right w:val="single" w:color="auto" w:sz="4" w:space="0"/>
                  </w:tcBorders>
                  <w:vAlign w:val="center"/>
                </w:tcPr>
                <w:p w14:paraId="7DF48B58">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仪器示值误差</w:t>
                  </w:r>
                </w:p>
              </w:tc>
              <w:tc>
                <w:tcPr>
                  <w:tcW w:w="2668" w:type="pct"/>
                  <w:tcBorders>
                    <w:top w:val="single" w:color="auto" w:sz="4" w:space="0"/>
                    <w:left w:val="single" w:color="auto" w:sz="4" w:space="0"/>
                    <w:bottom w:val="single" w:color="auto" w:sz="4" w:space="0"/>
                    <w:right w:val="single" w:color="auto" w:sz="4" w:space="0"/>
                  </w:tcBorders>
                  <w:vAlign w:val="center"/>
                </w:tcPr>
                <w:p w14:paraId="409C012A">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±10.0%</w:t>
                  </w:r>
                </w:p>
              </w:tc>
            </w:tr>
            <w:tr w14:paraId="01448B6B">
              <w:tblPrEx>
                <w:tblCellMar>
                  <w:top w:w="0" w:type="dxa"/>
                  <w:left w:w="108" w:type="dxa"/>
                  <w:bottom w:w="0" w:type="dxa"/>
                  <w:right w:w="108" w:type="dxa"/>
                </w:tblCellMar>
              </w:tblPrEx>
              <w:trPr>
                <w:trHeight w:val="315" w:hRule="atLeast"/>
                <w:jc w:val="center"/>
              </w:trPr>
              <w:tc>
                <w:tcPr>
                  <w:tcW w:w="743" w:type="pct"/>
                  <w:vMerge w:val="restart"/>
                  <w:tcBorders>
                    <w:top w:val="single" w:color="auto" w:sz="4" w:space="0"/>
                    <w:left w:val="single" w:color="auto" w:sz="4" w:space="0"/>
                    <w:bottom w:val="single" w:color="auto" w:sz="4" w:space="0"/>
                    <w:right w:val="single" w:color="auto" w:sz="4" w:space="0"/>
                  </w:tcBorders>
                  <w:vAlign w:val="center"/>
                </w:tcPr>
                <w:p w14:paraId="21C2A3F0">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温度</w:t>
                  </w:r>
                </w:p>
              </w:tc>
              <w:tc>
                <w:tcPr>
                  <w:tcW w:w="1588" w:type="pct"/>
                  <w:tcBorders>
                    <w:top w:val="single" w:color="auto" w:sz="4" w:space="0"/>
                    <w:left w:val="single" w:color="auto" w:sz="4" w:space="0"/>
                    <w:bottom w:val="single" w:color="auto" w:sz="4" w:space="0"/>
                    <w:right w:val="single" w:color="auto" w:sz="4" w:space="0"/>
                  </w:tcBorders>
                  <w:vAlign w:val="center"/>
                </w:tcPr>
                <w:p w14:paraId="09DA9D36">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范围</w:t>
                  </w:r>
                </w:p>
              </w:tc>
              <w:tc>
                <w:tcPr>
                  <w:tcW w:w="2668" w:type="pct"/>
                  <w:tcBorders>
                    <w:top w:val="single" w:color="auto" w:sz="4" w:space="0"/>
                    <w:left w:val="single" w:color="auto" w:sz="4" w:space="0"/>
                    <w:bottom w:val="single" w:color="auto" w:sz="4" w:space="0"/>
                    <w:right w:val="single" w:color="auto" w:sz="4" w:space="0"/>
                  </w:tcBorders>
                  <w:vAlign w:val="center"/>
                </w:tcPr>
                <w:p w14:paraId="2BF21730">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(-10.0～135.0)℃/(14.0-275.0)℉</w:t>
                  </w:r>
                </w:p>
              </w:tc>
            </w:tr>
            <w:tr w14:paraId="0A76763D">
              <w:tblPrEx>
                <w:tblCellMar>
                  <w:top w:w="0" w:type="dxa"/>
                  <w:left w:w="108" w:type="dxa"/>
                  <w:bottom w:w="0" w:type="dxa"/>
                  <w:right w:w="108" w:type="dxa"/>
                </w:tblCellMar>
              </w:tblPrEx>
              <w:trPr>
                <w:trHeight w:val="315" w:hRule="atLeast"/>
                <w:jc w:val="center"/>
              </w:trPr>
              <w:tc>
                <w:tcPr>
                  <w:tcW w:w="743" w:type="pct"/>
                  <w:vMerge w:val="continue"/>
                  <w:tcBorders>
                    <w:top w:val="single" w:color="auto" w:sz="4" w:space="0"/>
                    <w:left w:val="single" w:color="auto" w:sz="4" w:space="0"/>
                    <w:bottom w:val="single" w:color="auto" w:sz="4" w:space="0"/>
                    <w:right w:val="single" w:color="auto" w:sz="4" w:space="0"/>
                  </w:tcBorders>
                  <w:vAlign w:val="center"/>
                </w:tcPr>
                <w:p w14:paraId="3DA213DA">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p>
              </w:tc>
              <w:tc>
                <w:tcPr>
                  <w:tcW w:w="1588" w:type="pct"/>
                  <w:tcBorders>
                    <w:top w:val="single" w:color="auto" w:sz="4" w:space="0"/>
                    <w:left w:val="single" w:color="auto" w:sz="4" w:space="0"/>
                    <w:bottom w:val="single" w:color="auto" w:sz="4" w:space="0"/>
                    <w:right w:val="single" w:color="auto" w:sz="4" w:space="0"/>
                  </w:tcBorders>
                  <w:vAlign w:val="center"/>
                </w:tcPr>
                <w:p w14:paraId="5B47016D">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最小分辨率</w:t>
                  </w:r>
                </w:p>
              </w:tc>
              <w:tc>
                <w:tcPr>
                  <w:tcW w:w="2668" w:type="pct"/>
                  <w:tcBorders>
                    <w:top w:val="single" w:color="auto" w:sz="4" w:space="0"/>
                    <w:left w:val="single" w:color="auto" w:sz="4" w:space="0"/>
                    <w:bottom w:val="single" w:color="auto" w:sz="4" w:space="0"/>
                    <w:right w:val="single" w:color="auto" w:sz="4" w:space="0"/>
                  </w:tcBorders>
                  <w:vAlign w:val="center"/>
                </w:tcPr>
                <w:p w14:paraId="397DFA5C">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0.1 ℃/0.1℉</w:t>
                  </w:r>
                </w:p>
              </w:tc>
            </w:tr>
            <w:tr w14:paraId="685929B4">
              <w:tblPrEx>
                <w:tblCellMar>
                  <w:top w:w="0" w:type="dxa"/>
                  <w:left w:w="108" w:type="dxa"/>
                  <w:bottom w:w="0" w:type="dxa"/>
                  <w:right w:w="108" w:type="dxa"/>
                </w:tblCellMar>
              </w:tblPrEx>
              <w:trPr>
                <w:trHeight w:val="315" w:hRule="atLeast"/>
                <w:jc w:val="center"/>
              </w:trPr>
              <w:tc>
                <w:tcPr>
                  <w:tcW w:w="743" w:type="pct"/>
                  <w:vMerge w:val="continue"/>
                  <w:tcBorders>
                    <w:top w:val="single" w:color="auto" w:sz="4" w:space="0"/>
                    <w:left w:val="single" w:color="auto" w:sz="4" w:space="0"/>
                    <w:bottom w:val="single" w:color="auto" w:sz="4" w:space="0"/>
                    <w:right w:val="single" w:color="auto" w:sz="4" w:space="0"/>
                  </w:tcBorders>
                  <w:vAlign w:val="center"/>
                </w:tcPr>
                <w:p w14:paraId="7DDC1063">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p>
              </w:tc>
              <w:tc>
                <w:tcPr>
                  <w:tcW w:w="1588" w:type="pct"/>
                  <w:tcBorders>
                    <w:top w:val="single" w:color="auto" w:sz="4" w:space="0"/>
                    <w:left w:val="single" w:color="auto" w:sz="4" w:space="0"/>
                    <w:bottom w:val="single" w:color="auto" w:sz="4" w:space="0"/>
                    <w:right w:val="single" w:color="auto" w:sz="4" w:space="0"/>
                  </w:tcBorders>
                  <w:vAlign w:val="center"/>
                </w:tcPr>
                <w:p w14:paraId="3D0A9ED8">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电子单元示值误差</w:t>
                  </w:r>
                </w:p>
              </w:tc>
              <w:tc>
                <w:tcPr>
                  <w:tcW w:w="2668" w:type="pct"/>
                  <w:tcBorders>
                    <w:top w:val="single" w:color="auto" w:sz="4" w:space="0"/>
                    <w:left w:val="single" w:color="auto" w:sz="4" w:space="0"/>
                    <w:bottom w:val="single" w:color="auto" w:sz="4" w:space="0"/>
                    <w:right w:val="single" w:color="auto" w:sz="4" w:space="0"/>
                  </w:tcBorders>
                  <w:vAlign w:val="center"/>
                </w:tcPr>
                <w:p w14:paraId="38E7CC69">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±0.1 ℃</w:t>
                  </w:r>
                </w:p>
              </w:tc>
            </w:tr>
            <w:tr w14:paraId="1BDC1F81">
              <w:tblPrEx>
                <w:tblCellMar>
                  <w:top w:w="0" w:type="dxa"/>
                  <w:left w:w="108" w:type="dxa"/>
                  <w:bottom w:w="0" w:type="dxa"/>
                  <w:right w:w="108" w:type="dxa"/>
                </w:tblCellMar>
              </w:tblPrEx>
              <w:trPr>
                <w:trHeight w:val="315" w:hRule="atLeast"/>
                <w:jc w:val="center"/>
              </w:trPr>
              <w:tc>
                <w:tcPr>
                  <w:tcW w:w="743" w:type="pct"/>
                  <w:vMerge w:val="continue"/>
                  <w:tcBorders>
                    <w:top w:val="single" w:color="auto" w:sz="4" w:space="0"/>
                    <w:left w:val="single" w:color="auto" w:sz="4" w:space="0"/>
                    <w:bottom w:val="single" w:color="auto" w:sz="4" w:space="0"/>
                    <w:right w:val="single" w:color="auto" w:sz="4" w:space="0"/>
                  </w:tcBorders>
                  <w:vAlign w:val="center"/>
                </w:tcPr>
                <w:p w14:paraId="54BA6CEA">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p>
              </w:tc>
              <w:tc>
                <w:tcPr>
                  <w:tcW w:w="1588" w:type="pct"/>
                  <w:tcBorders>
                    <w:top w:val="single" w:color="auto" w:sz="4" w:space="0"/>
                    <w:left w:val="single" w:color="auto" w:sz="4" w:space="0"/>
                    <w:bottom w:val="single" w:color="auto" w:sz="4" w:space="0"/>
                    <w:right w:val="single" w:color="auto" w:sz="4" w:space="0"/>
                  </w:tcBorders>
                  <w:vAlign w:val="center"/>
                </w:tcPr>
                <w:p w14:paraId="04AF2854">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仪器的示值误差</w:t>
                  </w:r>
                </w:p>
              </w:tc>
              <w:tc>
                <w:tcPr>
                  <w:tcW w:w="2668" w:type="pct"/>
                  <w:tcBorders>
                    <w:top w:val="single" w:color="auto" w:sz="4" w:space="0"/>
                    <w:left w:val="single" w:color="auto" w:sz="4" w:space="0"/>
                    <w:bottom w:val="single" w:color="auto" w:sz="4" w:space="0"/>
                    <w:right w:val="single" w:color="auto" w:sz="4" w:space="0"/>
                  </w:tcBorders>
                  <w:vAlign w:val="center"/>
                </w:tcPr>
                <w:p w14:paraId="2BF673B5">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±0.3℃（0.0℃-60.0℃）；±1.0 ℃（其他范围）</w:t>
                  </w:r>
                </w:p>
              </w:tc>
            </w:tr>
          </w:tbl>
          <w:p w14:paraId="37A50B8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cs="宋体"/>
                <w:b/>
                <w:bCs/>
                <w:color w:val="000000" w:themeColor="text1"/>
                <w:kern w:val="2"/>
                <w:sz w:val="24"/>
                <w:szCs w:val="24"/>
                <w:vertAlign w:val="baseline"/>
                <w:lang w:val="en-US" w:eastAsia="zh-CN" w:bidi="ar-SA"/>
                <w14:textFill>
                  <w14:solidFill>
                    <w14:schemeClr w14:val="tx1"/>
                  </w14:solidFill>
                </w14:textFill>
              </w:rPr>
            </w:pPr>
          </w:p>
        </w:tc>
      </w:tr>
      <w:tr w14:paraId="65810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14:paraId="2AD6D83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cs="宋体"/>
                <w:b/>
                <w:bCs/>
                <w:color w:val="000000" w:themeColor="text1"/>
                <w:kern w:val="2"/>
                <w:sz w:val="24"/>
                <w:szCs w:val="24"/>
                <w:vertAlign w:val="baseline"/>
                <w:lang w:val="en-US" w:eastAsia="zh-CN" w:bidi="ar-SA"/>
                <w14:textFill>
                  <w14:solidFill>
                    <w14:schemeClr w14:val="tx1"/>
                  </w14:solidFill>
                </w14:textFill>
              </w:rPr>
              <w:t>14</w:t>
            </w:r>
          </w:p>
        </w:tc>
        <w:tc>
          <w:tcPr>
            <w:tcW w:w="2050" w:type="dxa"/>
            <w:vAlign w:val="center"/>
          </w:tcPr>
          <w:p w14:paraId="48FCF01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vertAlign w:val="baseline"/>
                <w:lang w:val="en-US" w:eastAsia="zh-CN" w:bidi="ar-SA"/>
                <w14:textFill>
                  <w14:solidFill>
                    <w14:schemeClr w14:val="tx1"/>
                  </w14:solidFill>
                </w14:textFill>
              </w:rPr>
              <w:t>COD消解仪</w:t>
            </w:r>
          </w:p>
        </w:tc>
        <w:tc>
          <w:tcPr>
            <w:tcW w:w="10625" w:type="dxa"/>
            <w:vAlign w:val="center"/>
          </w:tcPr>
          <w:p w14:paraId="498EC65F">
            <w:pPr>
              <w:pageBreakBefore w:val="0"/>
              <w:kinsoku/>
              <w:overflowPunct/>
              <w:bidi w:val="0"/>
              <w:spacing w:after="0" w:line="360" w:lineRule="auto"/>
              <w:rPr>
                <w:rFonts w:hint="eastAsia" w:ascii="宋体" w:hAnsi="宋体" w:eastAsia="宋体"/>
                <w:b/>
                <w:bCs/>
                <w:sz w:val="21"/>
                <w:szCs w:val="21"/>
              </w:rPr>
            </w:pPr>
            <w:r>
              <w:rPr>
                <w:rFonts w:hint="eastAsia" w:ascii="宋体" w:hAnsi="宋体" w:eastAsia="宋体"/>
                <w:b/>
                <w:bCs/>
                <w:sz w:val="21"/>
                <w:szCs w:val="21"/>
              </w:rPr>
              <w:t>1、操控模式：</w:t>
            </w:r>
          </w:p>
          <w:p w14:paraId="7A5E7F47">
            <w:pPr>
              <w:pageBreakBefore w:val="0"/>
              <w:kinsoku/>
              <w:overflowPunct/>
              <w:bidi w:val="0"/>
              <w:spacing w:after="0" w:line="360" w:lineRule="auto"/>
              <w:rPr>
                <w:rFonts w:hint="eastAsia" w:ascii="宋体" w:hAnsi="宋体" w:eastAsia="宋体"/>
                <w:sz w:val="21"/>
                <w:szCs w:val="21"/>
              </w:rPr>
            </w:pPr>
            <w:r>
              <w:rPr>
                <w:rFonts w:hint="eastAsia" w:ascii="宋体" w:hAnsi="宋体" w:eastAsia="宋体"/>
                <w:sz w:val="21"/>
                <w:szCs w:val="21"/>
              </w:rPr>
              <w:t>主机应设计采用不小于</w:t>
            </w:r>
            <w:r>
              <w:rPr>
                <w:rFonts w:hint="eastAsia" w:ascii="宋体" w:hAnsi="宋体"/>
                <w:sz w:val="21"/>
                <w:szCs w:val="21"/>
                <w:lang w:val="en-US" w:eastAsia="zh-CN"/>
              </w:rPr>
              <w:t>5</w:t>
            </w:r>
            <w:r>
              <w:rPr>
                <w:rFonts w:hint="eastAsia" w:ascii="宋体" w:hAnsi="宋体" w:eastAsia="宋体"/>
                <w:sz w:val="21"/>
                <w:szCs w:val="21"/>
              </w:rPr>
              <w:t>寸液晶触摸屏操控模式便于实际操作，实时监测各消解单元设定参数，为防止酸碱液体腐蚀，触摸屏上方应设计有防溅盖设计；</w:t>
            </w:r>
          </w:p>
          <w:p w14:paraId="78A35E0F">
            <w:pPr>
              <w:pageBreakBefore w:val="0"/>
              <w:kinsoku/>
              <w:overflowPunct/>
              <w:bidi w:val="0"/>
              <w:spacing w:after="0" w:line="360" w:lineRule="auto"/>
              <w:rPr>
                <w:rFonts w:hint="eastAsia" w:ascii="宋体" w:hAnsi="宋体" w:eastAsia="宋体"/>
                <w:b/>
                <w:bCs/>
                <w:sz w:val="21"/>
                <w:szCs w:val="21"/>
              </w:rPr>
            </w:pPr>
            <w:r>
              <w:rPr>
                <w:rFonts w:hint="eastAsia" w:ascii="宋体" w:hAnsi="宋体" w:eastAsia="宋体"/>
                <w:b/>
                <w:bCs/>
                <w:sz w:val="21"/>
                <w:szCs w:val="21"/>
              </w:rPr>
              <w:t>2、消解元件：</w:t>
            </w:r>
          </w:p>
          <w:p w14:paraId="03E87B9D">
            <w:pPr>
              <w:pageBreakBefore w:val="0"/>
              <w:kinsoku/>
              <w:overflowPunct/>
              <w:bidi w:val="0"/>
              <w:spacing w:after="0" w:line="360" w:lineRule="auto"/>
              <w:rPr>
                <w:rFonts w:hint="eastAsia" w:ascii="宋体" w:hAnsi="宋体" w:eastAsia="宋体"/>
                <w:sz w:val="21"/>
                <w:szCs w:val="21"/>
              </w:rPr>
            </w:pPr>
            <w:r>
              <w:rPr>
                <w:rFonts w:hint="eastAsia" w:ascii="宋体" w:hAnsi="宋体" w:eastAsia="宋体"/>
                <w:sz w:val="21"/>
                <w:szCs w:val="21"/>
              </w:rPr>
              <w:t>2.1为了更好地保证水样消解彻底，各消解单元应设计采用导热性强、保温效果好的石墨材质消解；</w:t>
            </w:r>
          </w:p>
          <w:p w14:paraId="643869A1">
            <w:pPr>
              <w:pageBreakBefore w:val="0"/>
              <w:kinsoku/>
              <w:overflowPunct/>
              <w:bidi w:val="0"/>
              <w:spacing w:after="0" w:line="360" w:lineRule="auto"/>
              <w:rPr>
                <w:rFonts w:hint="eastAsia" w:ascii="宋体" w:hAnsi="宋体" w:eastAsia="宋体"/>
                <w:sz w:val="21"/>
                <w:szCs w:val="21"/>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sz w:val="21"/>
                <w:szCs w:val="21"/>
              </w:rPr>
              <w:t>2.2  消解孔数量</w:t>
            </w:r>
            <w:r>
              <w:rPr>
                <w:rFonts w:hint="eastAsia" w:ascii="宋体" w:hAnsi="宋体" w:eastAsia="宋体"/>
                <w:sz w:val="21"/>
                <w:szCs w:val="21"/>
                <w:lang w:eastAsia="zh-CN"/>
              </w:rPr>
              <w:t>至少</w:t>
            </w:r>
            <w:r>
              <w:rPr>
                <w:rFonts w:hint="eastAsia" w:ascii="宋体" w:hAnsi="宋体" w:eastAsia="宋体"/>
                <w:sz w:val="21"/>
                <w:szCs w:val="21"/>
              </w:rPr>
              <w:t>12位；</w:t>
            </w:r>
          </w:p>
          <w:p w14:paraId="5D42965C">
            <w:pPr>
              <w:pageBreakBefore w:val="0"/>
              <w:kinsoku/>
              <w:overflowPunct/>
              <w:bidi w:val="0"/>
              <w:spacing w:after="0" w:line="360" w:lineRule="auto"/>
              <w:rPr>
                <w:rFonts w:hint="eastAsia" w:ascii="宋体" w:hAnsi="宋体" w:eastAsia="宋体"/>
                <w:b/>
                <w:bCs/>
                <w:sz w:val="21"/>
                <w:szCs w:val="21"/>
              </w:rPr>
            </w:pPr>
            <w:r>
              <w:rPr>
                <w:rFonts w:hint="eastAsia" w:ascii="宋体" w:hAnsi="宋体" w:eastAsia="宋体"/>
                <w:b/>
                <w:bCs/>
                <w:sz w:val="21"/>
                <w:szCs w:val="21"/>
              </w:rPr>
              <w:t>3、加热元件：</w:t>
            </w:r>
          </w:p>
          <w:p w14:paraId="4C86CDDC">
            <w:pPr>
              <w:pageBreakBefore w:val="0"/>
              <w:kinsoku/>
              <w:overflowPunct/>
              <w:bidi w:val="0"/>
              <w:spacing w:after="0" w:line="360" w:lineRule="auto"/>
              <w:rPr>
                <w:rFonts w:hint="eastAsia" w:ascii="宋体" w:hAnsi="宋体" w:eastAsia="宋体"/>
                <w:sz w:val="21"/>
                <w:szCs w:val="21"/>
              </w:rPr>
            </w:pPr>
            <w:r>
              <w:rPr>
                <w:rFonts w:hint="eastAsia" w:ascii="宋体" w:hAnsi="宋体" w:eastAsia="宋体"/>
                <w:sz w:val="21"/>
                <w:szCs w:val="21"/>
              </w:rPr>
              <w:t>3.1  各加热单元应设计采用一体化缠绕加热模式设计确保各加热孔受热均匀；</w:t>
            </w:r>
          </w:p>
          <w:p w14:paraId="33D9AD81">
            <w:pPr>
              <w:pageBreakBefore w:val="0"/>
              <w:kinsoku/>
              <w:overflowPunct/>
              <w:bidi w:val="0"/>
              <w:spacing w:after="0" w:line="360" w:lineRule="auto"/>
              <w:rPr>
                <w:rFonts w:hint="eastAsia" w:ascii="宋体" w:hAnsi="宋体" w:eastAsia="宋体"/>
                <w:sz w:val="21"/>
                <w:szCs w:val="21"/>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sz w:val="21"/>
                <w:szCs w:val="21"/>
              </w:rPr>
              <w:t>3.2  采用单孔</w:t>
            </w:r>
            <w:r>
              <w:rPr>
                <w:rFonts w:hint="eastAsia" w:ascii="宋体" w:hAnsi="宋体" w:eastAsia="宋体"/>
                <w:sz w:val="21"/>
                <w:szCs w:val="21"/>
                <w:lang w:val="en-US" w:eastAsia="zh-CN"/>
              </w:rPr>
              <w:t>单控</w:t>
            </w:r>
            <w:r>
              <w:rPr>
                <w:rFonts w:hint="eastAsia" w:ascii="宋体" w:hAnsi="宋体" w:eastAsia="宋体"/>
                <w:sz w:val="21"/>
                <w:szCs w:val="21"/>
              </w:rPr>
              <w:t>加热技术，使样品受热均匀，不得采用整体加热模式；</w:t>
            </w:r>
          </w:p>
          <w:p w14:paraId="25E1378A">
            <w:pPr>
              <w:pageBreakBefore w:val="0"/>
              <w:kinsoku/>
              <w:overflowPunct/>
              <w:bidi w:val="0"/>
              <w:spacing w:after="0" w:line="360" w:lineRule="auto"/>
              <w:rPr>
                <w:rFonts w:hint="eastAsia" w:ascii="宋体" w:hAnsi="宋体" w:eastAsia="宋体"/>
                <w:b/>
                <w:bCs/>
                <w:sz w:val="21"/>
                <w:szCs w:val="21"/>
              </w:rPr>
            </w:pPr>
            <w:r>
              <w:rPr>
                <w:rFonts w:hint="eastAsia" w:ascii="宋体" w:hAnsi="宋体" w:eastAsia="宋体"/>
                <w:b/>
                <w:bCs/>
                <w:sz w:val="21"/>
                <w:szCs w:val="21"/>
              </w:rPr>
              <w:t>4、加热控制程序：</w:t>
            </w:r>
          </w:p>
          <w:p w14:paraId="2AACEAA2">
            <w:pPr>
              <w:pageBreakBefore w:val="0"/>
              <w:kinsoku/>
              <w:overflowPunct/>
              <w:bidi w:val="0"/>
              <w:spacing w:after="0" w:line="360" w:lineRule="auto"/>
              <w:rPr>
                <w:rFonts w:hint="eastAsia" w:ascii="宋体" w:hAnsi="宋体" w:eastAsia="宋体"/>
                <w:sz w:val="21"/>
                <w:szCs w:val="21"/>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sz w:val="21"/>
                <w:szCs w:val="21"/>
              </w:rPr>
              <w:t>4.1 加热程序采用PID控温技术，温控范围：室温—200℃，控温精度：≤±1℃，孔间温度平行性：≤±2℃；</w:t>
            </w:r>
          </w:p>
          <w:p w14:paraId="0993A7AD">
            <w:pPr>
              <w:pageBreakBefore w:val="0"/>
              <w:kinsoku/>
              <w:overflowPunct/>
              <w:bidi w:val="0"/>
              <w:spacing w:after="0" w:line="360" w:lineRule="auto"/>
              <w:rPr>
                <w:rFonts w:hint="eastAsia" w:ascii="宋体" w:hAnsi="宋体" w:eastAsia="宋体"/>
                <w:sz w:val="21"/>
                <w:szCs w:val="21"/>
              </w:rPr>
            </w:pPr>
            <w:r>
              <w:rPr>
                <w:rFonts w:hint="eastAsia" w:ascii="宋体" w:hAnsi="宋体" w:eastAsia="宋体"/>
                <w:sz w:val="21"/>
                <w:szCs w:val="21"/>
              </w:rPr>
              <w:t>4.2 消解过程中，可实时监测1-12位各消解单元的加热温度（0-200℃)、倒计时回流时间(0-200min)；</w:t>
            </w:r>
          </w:p>
          <w:p w14:paraId="0598EDB3">
            <w:pPr>
              <w:pageBreakBefore w:val="0"/>
              <w:kinsoku/>
              <w:overflowPunct/>
              <w:bidi w:val="0"/>
              <w:spacing w:after="0" w:line="360" w:lineRule="auto"/>
              <w:rPr>
                <w:rFonts w:hint="eastAsia" w:ascii="宋体" w:hAnsi="宋体" w:eastAsia="宋体"/>
                <w:sz w:val="21"/>
                <w:szCs w:val="21"/>
              </w:rPr>
            </w:pPr>
            <w:r>
              <w:rPr>
                <w:rFonts w:hint="eastAsia" w:ascii="宋体" w:hAnsi="宋体" w:eastAsia="宋体"/>
                <w:sz w:val="21"/>
                <w:szCs w:val="21"/>
              </w:rPr>
              <w:t>4.3 消解过程可一键启动，自动完成消解过程（各消解孔自动达到设定消解温度，自动回流倒计时，自动停止），无需人工值守。</w:t>
            </w:r>
          </w:p>
          <w:p w14:paraId="4EBFC488">
            <w:pPr>
              <w:pageBreakBefore w:val="0"/>
              <w:kinsoku/>
              <w:overflowPunct/>
              <w:bidi w:val="0"/>
              <w:spacing w:after="0" w:line="360" w:lineRule="auto"/>
              <w:rPr>
                <w:rFonts w:hint="eastAsia" w:ascii="宋体" w:hAnsi="宋体" w:eastAsia="宋体"/>
                <w:b/>
                <w:bCs/>
                <w:sz w:val="21"/>
                <w:szCs w:val="21"/>
              </w:rPr>
            </w:pPr>
            <w:r>
              <w:rPr>
                <w:rFonts w:hint="eastAsia" w:ascii="宋体" w:hAnsi="宋体" w:eastAsia="宋体"/>
                <w:b/>
                <w:bCs/>
                <w:sz w:val="21"/>
                <w:szCs w:val="21"/>
              </w:rPr>
              <w:t xml:space="preserve">5、消解瓶设计： </w:t>
            </w:r>
          </w:p>
          <w:p w14:paraId="56E09606">
            <w:pPr>
              <w:pageBreakBefore w:val="0"/>
              <w:kinsoku/>
              <w:overflowPunct/>
              <w:bidi w:val="0"/>
              <w:spacing w:after="0" w:line="360" w:lineRule="auto"/>
              <w:rPr>
                <w:rFonts w:hint="eastAsia" w:ascii="宋体" w:hAnsi="宋体" w:eastAsia="宋体"/>
                <w:sz w:val="21"/>
                <w:szCs w:val="21"/>
              </w:rPr>
            </w:pPr>
            <w:r>
              <w:rPr>
                <w:rFonts w:hint="eastAsia" w:ascii="宋体" w:hAnsi="宋体" w:eastAsia="宋体"/>
                <w:sz w:val="21"/>
                <w:szCs w:val="21"/>
              </w:rPr>
              <w:t>消解瓶容积应≥</w:t>
            </w:r>
            <w:r>
              <w:rPr>
                <w:rFonts w:hint="eastAsia" w:ascii="宋体" w:hAnsi="宋体" w:eastAsia="宋体"/>
                <w:sz w:val="21"/>
                <w:szCs w:val="21"/>
                <w:lang w:val="en-US" w:eastAsia="zh-CN"/>
              </w:rPr>
              <w:t>250</w:t>
            </w:r>
            <w:r>
              <w:rPr>
                <w:rFonts w:hint="eastAsia" w:ascii="宋体" w:hAnsi="宋体" w:eastAsia="宋体"/>
                <w:sz w:val="21"/>
                <w:szCs w:val="21"/>
              </w:rPr>
              <w:t>ml，消解结束可直接在瓶内滴定，无需移液；</w:t>
            </w:r>
          </w:p>
          <w:p w14:paraId="08194924">
            <w:pPr>
              <w:pageBreakBefore w:val="0"/>
              <w:kinsoku/>
              <w:overflowPunct/>
              <w:bidi w:val="0"/>
              <w:spacing w:after="0" w:line="360" w:lineRule="auto"/>
              <w:rPr>
                <w:rFonts w:hint="eastAsia" w:ascii="宋体" w:hAnsi="宋体" w:eastAsia="宋体"/>
                <w:b/>
                <w:bCs/>
                <w:sz w:val="21"/>
                <w:szCs w:val="21"/>
              </w:rPr>
            </w:pPr>
            <w:r>
              <w:rPr>
                <w:rFonts w:hint="eastAsia" w:ascii="宋体" w:hAnsi="宋体" w:eastAsia="宋体"/>
                <w:b/>
                <w:bCs/>
                <w:sz w:val="21"/>
                <w:szCs w:val="21"/>
                <w:lang w:val="en-US" w:eastAsia="zh-CN"/>
              </w:rPr>
              <w:t>6</w:t>
            </w:r>
            <w:r>
              <w:rPr>
                <w:rFonts w:hint="eastAsia" w:ascii="宋体" w:hAnsi="宋体" w:eastAsia="宋体"/>
                <w:b/>
                <w:bCs/>
                <w:sz w:val="21"/>
                <w:szCs w:val="21"/>
              </w:rPr>
              <w:t>、产品规格技术要求：</w:t>
            </w:r>
          </w:p>
          <w:p w14:paraId="017F805F">
            <w:pPr>
              <w:pageBreakBefore w:val="0"/>
              <w:kinsoku/>
              <w:overflowPunct/>
              <w:bidi w:val="0"/>
              <w:spacing w:after="0" w:line="360" w:lineRule="auto"/>
              <w:rPr>
                <w:rFonts w:hint="eastAsia" w:ascii="宋体" w:hAnsi="宋体" w:eastAsia="宋体"/>
                <w:sz w:val="21"/>
                <w:szCs w:val="21"/>
                <w:lang w:val="en-US" w:eastAsia="zh-CN"/>
              </w:rPr>
            </w:pPr>
            <w:r>
              <w:rPr>
                <w:rFonts w:hint="eastAsia" w:ascii="宋体" w:hAnsi="宋体" w:eastAsia="宋体"/>
                <w:sz w:val="21"/>
                <w:szCs w:val="21"/>
              </w:rPr>
              <w:t>时间控制：0-200min</w:t>
            </w:r>
            <w:r>
              <w:rPr>
                <w:rFonts w:hint="eastAsia" w:ascii="宋体" w:hAnsi="宋体" w:eastAsia="宋体"/>
                <w:sz w:val="21"/>
                <w:szCs w:val="21"/>
                <w:lang w:val="en-US" w:eastAsia="zh-CN"/>
              </w:rPr>
              <w:t>可调</w:t>
            </w:r>
          </w:p>
          <w:p w14:paraId="1CCA0127">
            <w:pPr>
              <w:pageBreakBefore w:val="0"/>
              <w:kinsoku/>
              <w:overflowPunct/>
              <w:bidi w:val="0"/>
              <w:spacing w:after="0" w:line="360" w:lineRule="auto"/>
              <w:rPr>
                <w:rFonts w:hint="eastAsia" w:ascii="宋体" w:hAnsi="宋体" w:eastAsia="宋体"/>
                <w:sz w:val="21"/>
                <w:szCs w:val="21"/>
                <w:lang w:val="en-US" w:eastAsia="zh-CN"/>
              </w:rPr>
            </w:pPr>
            <w:r>
              <w:rPr>
                <w:rFonts w:hint="eastAsia" w:ascii="宋体" w:hAnsi="宋体" w:eastAsia="宋体"/>
                <w:sz w:val="21"/>
                <w:szCs w:val="21"/>
              </w:rPr>
              <w:t>温度控制：室温-200℃</w:t>
            </w:r>
            <w:r>
              <w:rPr>
                <w:rFonts w:hint="eastAsia" w:ascii="宋体" w:hAnsi="宋体" w:eastAsia="宋体"/>
                <w:sz w:val="21"/>
                <w:szCs w:val="21"/>
                <w:lang w:val="en-US" w:eastAsia="zh-CN"/>
              </w:rPr>
              <w:t>可调</w:t>
            </w:r>
          </w:p>
          <w:p w14:paraId="420AF072">
            <w:pPr>
              <w:pageBreakBefore w:val="0"/>
              <w:kinsoku/>
              <w:overflowPunct/>
              <w:bidi w:val="0"/>
              <w:spacing w:after="0" w:line="360" w:lineRule="auto"/>
              <w:rPr>
                <w:rFonts w:hint="eastAsia" w:ascii="宋体" w:hAnsi="宋体" w:eastAsia="宋体"/>
                <w:sz w:val="21"/>
                <w:szCs w:val="21"/>
              </w:rPr>
            </w:pPr>
            <w:r>
              <w:rPr>
                <w:rFonts w:hint="eastAsia" w:ascii="宋体" w:hAnsi="宋体" w:eastAsia="宋体"/>
                <w:sz w:val="21"/>
                <w:szCs w:val="21"/>
              </w:rPr>
              <w:t>升温时间：5-8min升温至设定温度</w:t>
            </w:r>
          </w:p>
          <w:p w14:paraId="0973FDA8">
            <w:pPr>
              <w:pageBreakBefore w:val="0"/>
              <w:kinsoku/>
              <w:overflowPunct/>
              <w:bidi w:val="0"/>
              <w:spacing w:after="0" w:line="360" w:lineRule="auto"/>
              <w:rPr>
                <w:rFonts w:hint="eastAsia" w:ascii="宋体" w:hAnsi="宋体" w:eastAsia="宋体"/>
                <w:b/>
                <w:bCs/>
                <w:sz w:val="21"/>
                <w:szCs w:val="21"/>
              </w:rPr>
            </w:pPr>
            <w:r>
              <w:rPr>
                <w:rFonts w:hint="eastAsia" w:ascii="宋体" w:hAnsi="宋体" w:eastAsia="宋体"/>
                <w:b/>
                <w:bCs/>
                <w:sz w:val="21"/>
                <w:szCs w:val="21"/>
                <w:lang w:val="en-US" w:eastAsia="zh-CN"/>
              </w:rPr>
              <w:t>7</w:t>
            </w:r>
            <w:r>
              <w:rPr>
                <w:rFonts w:hint="eastAsia" w:ascii="宋体" w:hAnsi="宋体" w:eastAsia="宋体"/>
                <w:b/>
                <w:bCs/>
                <w:sz w:val="21"/>
                <w:szCs w:val="21"/>
              </w:rPr>
              <w:t>、系统配置：</w:t>
            </w:r>
          </w:p>
          <w:p w14:paraId="0BF0DDBF">
            <w:pPr>
              <w:pageBreakBefore w:val="0"/>
              <w:kinsoku/>
              <w:overflowPunct/>
              <w:bidi w:val="0"/>
              <w:spacing w:after="0" w:line="360" w:lineRule="auto"/>
              <w:rPr>
                <w:rFonts w:hint="eastAsia" w:ascii="宋体" w:hAnsi="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sz w:val="21"/>
                <w:szCs w:val="21"/>
              </w:rPr>
              <w:t>主机一台，</w:t>
            </w:r>
            <w:r>
              <w:rPr>
                <w:rFonts w:hint="eastAsia" w:ascii="宋体" w:hAnsi="宋体" w:eastAsia="宋体"/>
                <w:sz w:val="21"/>
                <w:szCs w:val="21"/>
                <w:lang w:val="en-US" w:eastAsia="zh-CN"/>
              </w:rPr>
              <w:t>≥5</w:t>
            </w:r>
            <w:r>
              <w:rPr>
                <w:rFonts w:hint="eastAsia" w:ascii="宋体" w:hAnsi="宋体" w:eastAsia="宋体"/>
                <w:sz w:val="21"/>
                <w:szCs w:val="21"/>
              </w:rPr>
              <w:t>寸液晶触摸屏（内嵌）一块、消解瓶12只，空气回流管12根，消解瓶支架一套，回流管支架一套、仪器操作说明书一份，产品保修单一份、合格证一份、装箱清单一份、保险管2只。</w:t>
            </w:r>
          </w:p>
        </w:tc>
      </w:tr>
      <w:tr w14:paraId="4FE81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14:paraId="3E8A351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vertAlign w:val="baseline"/>
                <w:lang w:val="en-US" w:eastAsia="zh-CN" w:bidi="ar-SA"/>
                <w14:textFill>
                  <w14:solidFill>
                    <w14:schemeClr w14:val="tx1"/>
                  </w14:solidFill>
                </w14:textFill>
              </w:rPr>
              <w:t>15</w:t>
            </w:r>
          </w:p>
        </w:tc>
        <w:tc>
          <w:tcPr>
            <w:tcW w:w="2050" w:type="dxa"/>
            <w:vAlign w:val="center"/>
          </w:tcPr>
          <w:p w14:paraId="58E9152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vertAlign w:val="baseline"/>
                <w:lang w:val="en-US" w:eastAsia="zh-CN" w:bidi="ar-SA"/>
                <w14:textFill>
                  <w14:solidFill>
                    <w14:schemeClr w14:val="tx1"/>
                  </w14:solidFill>
                </w14:textFill>
              </w:rPr>
              <w:t xml:space="preserve"> 生化培养箱</w:t>
            </w:r>
          </w:p>
        </w:tc>
        <w:tc>
          <w:tcPr>
            <w:tcW w:w="10625" w:type="dxa"/>
            <w:vAlign w:val="center"/>
          </w:tcPr>
          <w:p w14:paraId="50C37F11">
            <w:pPr>
              <w:pStyle w:val="4"/>
              <w:pageBreakBefore w:val="0"/>
              <w:numPr>
                <w:ilvl w:val="2"/>
                <w:numId w:val="6"/>
              </w:numPr>
              <w:tabs>
                <w:tab w:val="left" w:pos="312"/>
                <w:tab w:val="clear" w:pos="900"/>
              </w:tabs>
              <w:kinsoku/>
              <w:overflowPunct/>
              <w:bidi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配置清单</w:t>
            </w:r>
          </w:p>
          <w:p w14:paraId="54AC1885">
            <w:pPr>
              <w:pStyle w:val="5"/>
              <w:pageBreakBefore w:val="0"/>
              <w:kinsoku/>
              <w:overflowPunct/>
              <w:bidi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b/>
                <w:color w:val="auto"/>
                <w:sz w:val="21"/>
                <w:szCs w:val="21"/>
                <w:highlight w:val="none"/>
                <w:lang w:val="en-US" w:eastAsia="zh-CN"/>
              </w:rPr>
              <w:t>（采购数量按招标清单为准，这里只表示每台采购设备应配置的备件或耗材数量）</w:t>
            </w:r>
          </w:p>
          <w:tbl>
            <w:tblPr>
              <w:tblStyle w:val="23"/>
              <w:tblW w:w="77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2544"/>
              <w:gridCol w:w="2544"/>
              <w:gridCol w:w="1692"/>
            </w:tblGrid>
            <w:tr w14:paraId="54B9E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C3CF932">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序号</w:t>
                  </w:r>
                </w:p>
              </w:tc>
              <w:tc>
                <w:tcPr>
                  <w:tcW w:w="2544" w:type="dxa"/>
                  <w:tcBorders>
                    <w:top w:val="single" w:color="000000" w:sz="8" w:space="0"/>
                    <w:left w:val="nil"/>
                    <w:bottom w:val="single" w:color="000000" w:sz="8" w:space="0"/>
                    <w:right w:val="single" w:color="000000" w:sz="8" w:space="0"/>
                  </w:tcBorders>
                  <w:shd w:val="clear" w:color="auto" w:fill="auto"/>
                  <w:vAlign w:val="center"/>
                </w:tcPr>
                <w:p w14:paraId="18D08528">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设备名称</w:t>
                  </w:r>
                </w:p>
              </w:tc>
              <w:tc>
                <w:tcPr>
                  <w:tcW w:w="2544" w:type="dxa"/>
                  <w:tcBorders>
                    <w:top w:val="single" w:color="000000" w:sz="8" w:space="0"/>
                    <w:left w:val="nil"/>
                    <w:bottom w:val="single" w:color="000000" w:sz="8" w:space="0"/>
                    <w:right w:val="single" w:color="000000" w:sz="8" w:space="0"/>
                  </w:tcBorders>
                  <w:shd w:val="clear" w:color="auto" w:fill="auto"/>
                  <w:vAlign w:val="center"/>
                </w:tcPr>
                <w:p w14:paraId="673F91F1">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单位</w:t>
                  </w:r>
                </w:p>
              </w:tc>
              <w:tc>
                <w:tcPr>
                  <w:tcW w:w="1692" w:type="dxa"/>
                  <w:tcBorders>
                    <w:top w:val="single" w:color="000000" w:sz="8" w:space="0"/>
                    <w:left w:val="nil"/>
                    <w:bottom w:val="single" w:color="000000" w:sz="8" w:space="0"/>
                    <w:right w:val="single" w:color="000000" w:sz="8" w:space="0"/>
                  </w:tcBorders>
                  <w:shd w:val="clear" w:color="auto" w:fill="auto"/>
                  <w:vAlign w:val="center"/>
                </w:tcPr>
                <w:p w14:paraId="09E67D3E">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数量</w:t>
                  </w:r>
                </w:p>
              </w:tc>
            </w:tr>
            <w:tr w14:paraId="6A9E4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82F6D8D">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3C408ACF">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主机</w:t>
                  </w:r>
                </w:p>
              </w:tc>
              <w:tc>
                <w:tcPr>
                  <w:tcW w:w="0" w:type="auto"/>
                  <w:tcBorders>
                    <w:top w:val="nil"/>
                    <w:left w:val="nil"/>
                    <w:bottom w:val="single" w:color="000000" w:sz="8" w:space="0"/>
                    <w:right w:val="single" w:color="000000" w:sz="8" w:space="0"/>
                  </w:tcBorders>
                  <w:shd w:val="clear" w:color="auto" w:fill="auto"/>
                  <w:noWrap/>
                  <w:vAlign w:val="center"/>
                </w:tcPr>
                <w:p w14:paraId="048395AE">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692" w:type="dxa"/>
                  <w:tcBorders>
                    <w:top w:val="nil"/>
                    <w:left w:val="nil"/>
                    <w:bottom w:val="single" w:color="000000" w:sz="8" w:space="0"/>
                    <w:right w:val="single" w:color="000000" w:sz="8" w:space="0"/>
                  </w:tcBorders>
                  <w:shd w:val="clear" w:color="auto" w:fill="auto"/>
                  <w:vAlign w:val="center"/>
                </w:tcPr>
                <w:p w14:paraId="7BE506D4">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r w14:paraId="067F9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90C7D2F">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0" w:type="auto"/>
                  <w:tcBorders>
                    <w:top w:val="nil"/>
                    <w:left w:val="nil"/>
                    <w:bottom w:val="single" w:color="000000" w:sz="8" w:space="0"/>
                    <w:right w:val="single" w:color="000000" w:sz="8" w:space="0"/>
                  </w:tcBorders>
                  <w:shd w:val="clear" w:color="auto" w:fill="auto"/>
                  <w:noWrap/>
                  <w:vAlign w:val="center"/>
                </w:tcPr>
                <w:p w14:paraId="3AEEAA89">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隔板</w:t>
                  </w:r>
                </w:p>
              </w:tc>
              <w:tc>
                <w:tcPr>
                  <w:tcW w:w="0" w:type="auto"/>
                  <w:tcBorders>
                    <w:top w:val="nil"/>
                    <w:left w:val="nil"/>
                    <w:bottom w:val="single" w:color="000000" w:sz="8" w:space="0"/>
                    <w:right w:val="single" w:color="000000" w:sz="8" w:space="0"/>
                  </w:tcBorders>
                  <w:shd w:val="clear" w:color="auto" w:fill="auto"/>
                  <w:noWrap/>
                  <w:vAlign w:val="center"/>
                </w:tcPr>
                <w:p w14:paraId="2C5F6303">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1692" w:type="dxa"/>
                  <w:tcBorders>
                    <w:top w:val="nil"/>
                    <w:left w:val="nil"/>
                    <w:bottom w:val="single" w:color="000000" w:sz="8" w:space="0"/>
                    <w:right w:val="single" w:color="000000" w:sz="8" w:space="0"/>
                  </w:tcBorders>
                  <w:shd w:val="clear" w:color="auto" w:fill="auto"/>
                  <w:vAlign w:val="center"/>
                </w:tcPr>
                <w:p w14:paraId="77785DA2">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r>
            <w:tr w14:paraId="6FC1C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7EAD897">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0" w:type="auto"/>
                  <w:tcBorders>
                    <w:top w:val="nil"/>
                    <w:left w:val="nil"/>
                    <w:bottom w:val="single" w:color="000000" w:sz="8" w:space="0"/>
                    <w:right w:val="single" w:color="000000" w:sz="8" w:space="0"/>
                  </w:tcBorders>
                  <w:shd w:val="clear" w:color="auto" w:fill="auto"/>
                  <w:noWrap/>
                  <w:vAlign w:val="center"/>
                </w:tcPr>
                <w:p w14:paraId="2C35583F">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说明书</w:t>
                  </w:r>
                </w:p>
              </w:tc>
              <w:tc>
                <w:tcPr>
                  <w:tcW w:w="0" w:type="auto"/>
                  <w:tcBorders>
                    <w:top w:val="nil"/>
                    <w:left w:val="nil"/>
                    <w:bottom w:val="single" w:color="000000" w:sz="8" w:space="0"/>
                    <w:right w:val="single" w:color="000000" w:sz="8" w:space="0"/>
                  </w:tcBorders>
                  <w:shd w:val="clear" w:color="auto" w:fill="auto"/>
                  <w:noWrap/>
                  <w:vAlign w:val="center"/>
                </w:tcPr>
                <w:p w14:paraId="613C337A">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份</w:t>
                  </w:r>
                </w:p>
              </w:tc>
              <w:tc>
                <w:tcPr>
                  <w:tcW w:w="1692" w:type="dxa"/>
                  <w:tcBorders>
                    <w:top w:val="nil"/>
                    <w:left w:val="nil"/>
                    <w:bottom w:val="single" w:color="000000" w:sz="8" w:space="0"/>
                    <w:right w:val="single" w:color="000000" w:sz="8" w:space="0"/>
                  </w:tcBorders>
                  <w:shd w:val="clear" w:color="auto" w:fill="auto"/>
                  <w:vAlign w:val="center"/>
                </w:tcPr>
                <w:p w14:paraId="2252AAEE">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r w14:paraId="342F0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B141AEE">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0" w:type="auto"/>
                  <w:tcBorders>
                    <w:top w:val="nil"/>
                    <w:left w:val="nil"/>
                    <w:bottom w:val="single" w:color="000000" w:sz="8" w:space="0"/>
                    <w:right w:val="single" w:color="000000" w:sz="8" w:space="0"/>
                  </w:tcBorders>
                  <w:shd w:val="clear" w:color="auto" w:fill="auto"/>
                  <w:noWrap/>
                  <w:vAlign w:val="center"/>
                </w:tcPr>
                <w:p w14:paraId="241185F6">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合格证</w:t>
                  </w:r>
                </w:p>
              </w:tc>
              <w:tc>
                <w:tcPr>
                  <w:tcW w:w="0" w:type="auto"/>
                  <w:tcBorders>
                    <w:top w:val="nil"/>
                    <w:left w:val="nil"/>
                    <w:bottom w:val="single" w:color="000000" w:sz="8" w:space="0"/>
                    <w:right w:val="single" w:color="000000" w:sz="8" w:space="0"/>
                  </w:tcBorders>
                  <w:shd w:val="clear" w:color="auto" w:fill="auto"/>
                  <w:noWrap/>
                  <w:vAlign w:val="center"/>
                </w:tcPr>
                <w:p w14:paraId="183D10D0">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份</w:t>
                  </w:r>
                </w:p>
              </w:tc>
              <w:tc>
                <w:tcPr>
                  <w:tcW w:w="1692" w:type="dxa"/>
                  <w:tcBorders>
                    <w:top w:val="nil"/>
                    <w:left w:val="nil"/>
                    <w:bottom w:val="single" w:color="000000" w:sz="8" w:space="0"/>
                    <w:right w:val="single" w:color="000000" w:sz="8" w:space="0"/>
                  </w:tcBorders>
                  <w:shd w:val="clear" w:color="auto" w:fill="auto"/>
                  <w:vAlign w:val="center"/>
                </w:tcPr>
                <w:p w14:paraId="484F260A">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r w14:paraId="3DF8A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4C32356">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0" w:type="auto"/>
                  <w:tcBorders>
                    <w:top w:val="nil"/>
                    <w:left w:val="nil"/>
                    <w:bottom w:val="single" w:color="000000" w:sz="8" w:space="0"/>
                    <w:right w:val="single" w:color="000000" w:sz="8" w:space="0"/>
                  </w:tcBorders>
                  <w:shd w:val="clear" w:color="auto" w:fill="auto"/>
                  <w:noWrap/>
                  <w:vAlign w:val="center"/>
                </w:tcPr>
                <w:p w14:paraId="0824DD19">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保修卡</w:t>
                  </w:r>
                </w:p>
              </w:tc>
              <w:tc>
                <w:tcPr>
                  <w:tcW w:w="0" w:type="auto"/>
                  <w:tcBorders>
                    <w:top w:val="nil"/>
                    <w:left w:val="nil"/>
                    <w:bottom w:val="single" w:color="000000" w:sz="8" w:space="0"/>
                    <w:right w:val="single" w:color="000000" w:sz="8" w:space="0"/>
                  </w:tcBorders>
                  <w:shd w:val="clear" w:color="auto" w:fill="auto"/>
                  <w:noWrap/>
                  <w:vAlign w:val="center"/>
                </w:tcPr>
                <w:p w14:paraId="3AED2868">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份</w:t>
                  </w:r>
                </w:p>
              </w:tc>
              <w:tc>
                <w:tcPr>
                  <w:tcW w:w="1692" w:type="dxa"/>
                  <w:tcBorders>
                    <w:top w:val="nil"/>
                    <w:left w:val="nil"/>
                    <w:bottom w:val="single" w:color="000000" w:sz="8" w:space="0"/>
                    <w:right w:val="single" w:color="000000" w:sz="8" w:space="0"/>
                  </w:tcBorders>
                  <w:shd w:val="clear" w:color="auto" w:fill="auto"/>
                  <w:vAlign w:val="center"/>
                </w:tcPr>
                <w:p w14:paraId="00CAA5D5">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bl>
          <w:p w14:paraId="0BA324A2">
            <w:pPr>
              <w:pageBreakBefore w:val="0"/>
              <w:numPr>
                <w:ilvl w:val="0"/>
                <w:numId w:val="0"/>
              </w:numPr>
              <w:tabs>
                <w:tab w:val="left" w:pos="0"/>
              </w:tabs>
              <w:kinsoku/>
              <w:overflowPunct/>
              <w:bidi w:val="0"/>
              <w:spacing w:line="360" w:lineRule="auto"/>
              <w:ind w:leftChars="0"/>
              <w:rPr>
                <w:rFonts w:hint="eastAsia" w:ascii="宋体" w:hAnsi="宋体" w:eastAsia="宋体" w:cs="宋体"/>
                <w:color w:val="auto"/>
                <w:sz w:val="21"/>
                <w:szCs w:val="21"/>
              </w:rPr>
            </w:pPr>
            <w:r>
              <w:rPr>
                <w:rFonts w:hint="eastAsia" w:ascii="宋体" w:hAnsi="宋体" w:eastAsia="宋体" w:cs="宋体"/>
                <w:b/>
                <w:color w:val="auto"/>
                <w:sz w:val="21"/>
                <w:szCs w:val="21"/>
                <w:lang w:val="en-US" w:eastAsia="zh-CN"/>
              </w:rPr>
              <w:t>2</w:t>
            </w:r>
            <w:r>
              <w:rPr>
                <w:rFonts w:hint="eastAsia" w:ascii="宋体" w:hAnsi="宋体" w:eastAsia="宋体" w:cs="宋体"/>
                <w:b/>
                <w:color w:val="auto"/>
                <w:sz w:val="21"/>
                <w:szCs w:val="21"/>
              </w:rPr>
              <w:t>产品特点：</w:t>
            </w:r>
            <w:r>
              <w:rPr>
                <w:rFonts w:hint="eastAsia" w:ascii="宋体" w:hAnsi="宋体" w:eastAsia="宋体" w:cs="宋体"/>
                <w:b/>
                <w:color w:val="auto"/>
                <w:sz w:val="21"/>
                <w:szCs w:val="21"/>
              </w:rPr>
              <w:br w:type="textWrapping"/>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rPr>
              <w:t>外壳采用冷轧钢板制造，表面静电喷塑，内胆镜面不锈钢，搁板可以任意调节；</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温控系统采用微电脑单片机技术，控温精度高；</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具有温度、时间调节控制，触模式键盘设定调节；</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显示为双屏高亮度数码管显示，示值准确直观，性能优越；</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具有定时和计时功能；</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工作室内装照明装置，大视角保温真空钢化玻璃，便于观察；</w:t>
            </w:r>
          </w:p>
          <w:p w14:paraId="26D5E2A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color w:val="auto"/>
                <w:sz w:val="21"/>
                <w:szCs w:val="21"/>
                <w:lang w:val="en-US" w:eastAsia="zh-CN"/>
              </w:rPr>
              <w:t xml:space="preserve">参考标准GB/T 28851-2012 </w:t>
            </w:r>
            <w:r>
              <w:rPr>
                <w:rFonts w:hint="eastAsia" w:ascii="宋体" w:hAnsi="宋体" w:eastAsia="宋体" w:cs="宋体"/>
                <w:b/>
                <w:color w:val="auto"/>
                <w:sz w:val="21"/>
                <w:szCs w:val="21"/>
              </w:rPr>
              <w:br w:type="textWrapping"/>
            </w:r>
            <w:r>
              <w:rPr>
                <w:rFonts w:hint="eastAsia" w:ascii="宋体" w:hAnsi="宋体" w:eastAsia="宋体" w:cs="宋体"/>
                <w:b/>
                <w:color w:val="auto"/>
                <w:sz w:val="21"/>
                <w:szCs w:val="21"/>
                <w:lang w:val="en-US" w:eastAsia="zh-CN"/>
              </w:rPr>
              <w:t>3</w:t>
            </w:r>
            <w:r>
              <w:rPr>
                <w:rStyle w:val="39"/>
                <w:rFonts w:hint="eastAsia" w:ascii="宋体" w:hAnsi="宋体" w:eastAsia="宋体" w:cs="宋体"/>
                <w:color w:val="auto"/>
                <w:sz w:val="21"/>
                <w:szCs w:val="21"/>
              </w:rPr>
              <w:t>技术参数：</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控温范围：0-50℃</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分辨率：0.1℃</w:t>
            </w:r>
            <w:r>
              <w:rPr>
                <w:rFonts w:hint="eastAsia" w:ascii="宋体" w:hAnsi="宋体" w:eastAsia="宋体" w:cs="宋体"/>
                <w:color w:val="auto"/>
                <w:sz w:val="21"/>
                <w:szCs w:val="21"/>
              </w:rPr>
              <w:br w:type="textWrapping"/>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rPr>
              <w:t>波动度：</w:t>
            </w:r>
            <w:r>
              <w:rPr>
                <w:rFonts w:hint="eastAsia" w:ascii="宋体" w:hAnsi="宋体" w:eastAsia="宋体" w:cs="宋体"/>
                <w:sz w:val="21"/>
                <w:szCs w:val="21"/>
              </w:rPr>
              <w:t>≤</w:t>
            </w:r>
            <w:r>
              <w:rPr>
                <w:rFonts w:hint="eastAsia" w:ascii="宋体" w:hAnsi="宋体" w:eastAsia="宋体" w:cs="宋体"/>
                <w:color w:val="auto"/>
                <w:sz w:val="21"/>
                <w:szCs w:val="21"/>
                <w:lang w:val="en-US" w:eastAsia="zh-CN"/>
              </w:rPr>
              <w:t>±0.5℃</w:t>
            </w:r>
            <w:r>
              <w:rPr>
                <w:rFonts w:hint="eastAsia" w:ascii="宋体" w:hAnsi="宋体" w:eastAsia="宋体" w:cs="宋体"/>
                <w:color w:val="auto"/>
                <w:sz w:val="21"/>
                <w:szCs w:val="21"/>
              </w:rPr>
              <w:br w:type="textWrapping"/>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rPr>
              <w:t>均匀度：</w:t>
            </w:r>
            <w:r>
              <w:rPr>
                <w:rFonts w:hint="eastAsia" w:ascii="宋体" w:hAnsi="宋体" w:eastAsia="宋体" w:cs="宋体"/>
                <w:sz w:val="21"/>
                <w:szCs w:val="21"/>
              </w:rPr>
              <w:t>≤</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定时范围：0-999h</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载物托架【标配】：</w:t>
            </w:r>
            <w:r>
              <w:rPr>
                <w:rFonts w:hint="eastAsia" w:ascii="宋体" w:hAnsi="宋体" w:eastAsia="宋体" w:cs="宋体"/>
                <w:color w:val="auto"/>
                <w:sz w:val="21"/>
                <w:szCs w:val="21"/>
                <w:lang w:val="en-US" w:eastAsia="zh-CN"/>
              </w:rPr>
              <w:t>不少于</w:t>
            </w:r>
            <w:r>
              <w:rPr>
                <w:rFonts w:hint="eastAsia" w:ascii="宋体" w:hAnsi="宋体" w:eastAsia="宋体" w:cs="宋体"/>
                <w:color w:val="auto"/>
                <w:sz w:val="21"/>
                <w:szCs w:val="21"/>
              </w:rPr>
              <w:t>3块</w:t>
            </w:r>
          </w:p>
        </w:tc>
      </w:tr>
      <w:tr w14:paraId="141C3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14:paraId="1F5D31A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vertAlign w:val="baseline"/>
                <w:lang w:val="en-US" w:eastAsia="zh-CN" w:bidi="ar-SA"/>
                <w14:textFill>
                  <w14:solidFill>
                    <w14:schemeClr w14:val="tx1"/>
                  </w14:solidFill>
                </w14:textFill>
              </w:rPr>
              <w:t>16</w:t>
            </w:r>
          </w:p>
        </w:tc>
        <w:tc>
          <w:tcPr>
            <w:tcW w:w="2050" w:type="dxa"/>
            <w:vAlign w:val="center"/>
          </w:tcPr>
          <w:p w14:paraId="2EF4B99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vertAlign w:val="baseline"/>
                <w:lang w:val="en-US" w:eastAsia="zh-CN" w:bidi="ar-SA"/>
                <w14:textFill>
                  <w14:solidFill>
                    <w14:schemeClr w14:val="tx1"/>
                  </w14:solidFill>
                </w14:textFill>
              </w:rPr>
              <w:t xml:space="preserve"> 电热鼓风干燥箱</w:t>
            </w:r>
          </w:p>
        </w:tc>
        <w:tc>
          <w:tcPr>
            <w:tcW w:w="10625" w:type="dxa"/>
            <w:vAlign w:val="center"/>
          </w:tcPr>
          <w:p w14:paraId="7AEC0AD1">
            <w:pPr>
              <w:pageBreakBefore w:val="0"/>
              <w:kinsoku/>
              <w:overflowPunct/>
              <w:bidi w:val="0"/>
              <w:spacing w:after="0" w:line="360" w:lineRule="auto"/>
              <w:rPr>
                <w:rFonts w:hint="eastAsia" w:ascii="宋体" w:hAnsi="宋体" w:eastAsia="宋体"/>
                <w:sz w:val="21"/>
                <w:szCs w:val="21"/>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sz w:val="21"/>
                <w:szCs w:val="21"/>
              </w:rPr>
              <w:t>1、外壳采用冷轧钢板制造，表面静电喷塑，内胆镜面不锈钢，隔板可以任意调节；</w:t>
            </w:r>
          </w:p>
          <w:p w14:paraId="037E1409">
            <w:pPr>
              <w:pageBreakBefore w:val="0"/>
              <w:kinsoku/>
              <w:overflowPunct/>
              <w:bidi w:val="0"/>
              <w:spacing w:after="0" w:line="360" w:lineRule="auto"/>
              <w:rPr>
                <w:rFonts w:hint="eastAsia" w:ascii="宋体" w:hAnsi="宋体" w:eastAsia="宋体"/>
                <w:sz w:val="21"/>
                <w:szCs w:val="21"/>
              </w:rPr>
            </w:pPr>
            <w:r>
              <w:rPr>
                <w:rFonts w:hint="eastAsia" w:ascii="宋体" w:hAnsi="宋体" w:eastAsia="宋体"/>
                <w:sz w:val="21"/>
                <w:szCs w:val="21"/>
              </w:rPr>
              <w:t>2、箱门具备大视角观察玻璃窗，便于用户观察；</w:t>
            </w:r>
          </w:p>
          <w:p w14:paraId="33A20922">
            <w:pPr>
              <w:pageBreakBefore w:val="0"/>
              <w:kinsoku/>
              <w:overflowPunct/>
              <w:bidi w:val="0"/>
              <w:spacing w:after="0" w:line="360" w:lineRule="auto"/>
              <w:rPr>
                <w:rFonts w:hint="eastAsia" w:ascii="宋体" w:hAnsi="宋体" w:eastAsia="宋体"/>
                <w:sz w:val="21"/>
                <w:szCs w:val="21"/>
              </w:rPr>
            </w:pPr>
            <w:r>
              <w:rPr>
                <w:rFonts w:hint="eastAsia" w:ascii="宋体" w:hAnsi="宋体" w:eastAsia="宋体"/>
                <w:sz w:val="21"/>
                <w:szCs w:val="21"/>
              </w:rPr>
              <w:t>4、旋转式两级锁紧结构，保证门与进口封条贴合度更高，达到良好的密封性；</w:t>
            </w:r>
          </w:p>
          <w:p w14:paraId="4852DF4A">
            <w:pPr>
              <w:pageBreakBefore w:val="0"/>
              <w:kinsoku/>
              <w:overflowPunct/>
              <w:bidi w:val="0"/>
              <w:spacing w:after="0" w:line="360" w:lineRule="auto"/>
              <w:rPr>
                <w:rFonts w:hint="eastAsia" w:ascii="宋体" w:hAnsi="宋体" w:eastAsia="宋体"/>
                <w:sz w:val="21"/>
                <w:szCs w:val="21"/>
              </w:rPr>
            </w:pPr>
            <w:r>
              <w:rPr>
                <w:rFonts w:hint="eastAsia" w:ascii="宋体" w:hAnsi="宋体" w:eastAsia="宋体"/>
                <w:sz w:val="21"/>
                <w:szCs w:val="21"/>
              </w:rPr>
              <w:t>5、腔体四角采用圆角主设计，搁架容易拆卸，方便清洁；</w:t>
            </w:r>
          </w:p>
          <w:p w14:paraId="4F2D2B43">
            <w:pPr>
              <w:pageBreakBefore w:val="0"/>
              <w:kinsoku/>
              <w:overflowPunct/>
              <w:bidi w:val="0"/>
              <w:spacing w:after="0" w:line="360" w:lineRule="auto"/>
              <w:rPr>
                <w:rFonts w:hint="eastAsia" w:ascii="宋体" w:hAnsi="宋体" w:eastAsia="宋体"/>
                <w:sz w:val="21"/>
                <w:szCs w:val="21"/>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sz w:val="21"/>
                <w:szCs w:val="21"/>
              </w:rPr>
              <w:t>6、彩色液晶显示各项参数指标，具备控温、定时、编程、风速调控、超温报警等功能；</w:t>
            </w:r>
          </w:p>
          <w:p w14:paraId="34C822D5">
            <w:pPr>
              <w:pageBreakBefore w:val="0"/>
              <w:kinsoku/>
              <w:overflowPunct/>
              <w:bidi w:val="0"/>
              <w:spacing w:after="0" w:line="360" w:lineRule="auto"/>
              <w:rPr>
                <w:rFonts w:hint="eastAsia" w:ascii="宋体" w:hAnsi="宋体" w:eastAsia="宋体"/>
                <w:sz w:val="21"/>
                <w:szCs w:val="21"/>
              </w:rPr>
            </w:pPr>
            <w:r>
              <w:rPr>
                <w:rFonts w:hint="eastAsia" w:ascii="宋体" w:hAnsi="宋体" w:eastAsia="宋体"/>
                <w:sz w:val="21"/>
                <w:szCs w:val="21"/>
              </w:rPr>
              <w:t>7、具有倒计时预约功能；</w:t>
            </w:r>
          </w:p>
          <w:p w14:paraId="59BAEAAB">
            <w:pPr>
              <w:pageBreakBefore w:val="0"/>
              <w:kinsoku/>
              <w:overflowPunct/>
              <w:bidi w:val="0"/>
              <w:spacing w:after="0" w:line="360" w:lineRule="auto"/>
              <w:rPr>
                <w:rFonts w:hint="eastAsia" w:ascii="宋体" w:hAnsi="宋体" w:eastAsia="宋体"/>
                <w:sz w:val="21"/>
                <w:szCs w:val="21"/>
              </w:rPr>
            </w:pPr>
            <w:r>
              <w:rPr>
                <w:rFonts w:hint="eastAsia" w:ascii="宋体" w:hAnsi="宋体" w:eastAsia="宋体"/>
                <w:sz w:val="21"/>
                <w:szCs w:val="21"/>
              </w:rPr>
              <w:t>8、预热腔设计，空气加热混合后直接进入工作室，确保快速升温及良好的热分布效果；</w:t>
            </w:r>
          </w:p>
          <w:p w14:paraId="11C778E2">
            <w:pPr>
              <w:pageBreakBefore w:val="0"/>
              <w:kinsoku/>
              <w:overflowPunct/>
              <w:bidi w:val="0"/>
              <w:spacing w:after="0" w:line="360" w:lineRule="auto"/>
              <w:rPr>
                <w:rFonts w:hint="eastAsia" w:ascii="宋体" w:hAnsi="宋体" w:eastAsia="宋体"/>
                <w:sz w:val="21"/>
                <w:szCs w:val="21"/>
              </w:rPr>
            </w:pPr>
            <w:r>
              <w:rPr>
                <w:rFonts w:hint="eastAsia" w:ascii="宋体" w:hAnsi="宋体" w:eastAsia="宋体"/>
                <w:sz w:val="21"/>
                <w:szCs w:val="21"/>
              </w:rPr>
              <w:t>9、采用罩级电机及风叶，具有空气对流微风装置，内腔空气可以更新循环；</w:t>
            </w:r>
          </w:p>
          <w:p w14:paraId="0A75470A">
            <w:pPr>
              <w:pageBreakBefore w:val="0"/>
              <w:kinsoku/>
              <w:overflowPunct/>
              <w:bidi w:val="0"/>
              <w:spacing w:after="0" w:line="360" w:lineRule="auto"/>
              <w:rPr>
                <w:rFonts w:hint="eastAsia" w:ascii="宋体" w:hAnsi="宋体" w:eastAsia="宋体"/>
                <w:sz w:val="21"/>
                <w:szCs w:val="21"/>
              </w:rPr>
            </w:pPr>
            <w:r>
              <w:rPr>
                <w:rFonts w:hint="eastAsia" w:ascii="宋体" w:hAnsi="宋体" w:eastAsia="宋体"/>
                <w:sz w:val="21"/>
                <w:szCs w:val="21"/>
              </w:rPr>
              <w:t>10、风机6段调速，可保证不同风速的要求，避免粉尘样品扬尘造成样品损耗；</w:t>
            </w:r>
          </w:p>
          <w:p w14:paraId="0CE18E4A">
            <w:pPr>
              <w:pageBreakBefore w:val="0"/>
              <w:kinsoku/>
              <w:overflowPunct/>
              <w:bidi w:val="0"/>
              <w:spacing w:after="0" w:line="360" w:lineRule="auto"/>
              <w:rPr>
                <w:rFonts w:hint="eastAsia" w:ascii="宋体" w:hAnsi="宋体" w:eastAsia="宋体"/>
                <w:sz w:val="21"/>
                <w:szCs w:val="21"/>
              </w:rPr>
            </w:pPr>
            <w:r>
              <w:rPr>
                <w:rFonts w:hint="eastAsia" w:ascii="宋体" w:hAnsi="宋体" w:eastAsia="宋体"/>
                <w:sz w:val="21"/>
                <w:szCs w:val="21"/>
              </w:rPr>
              <w:t>11、可编程程序设计，可设置10段100周期；</w:t>
            </w:r>
          </w:p>
          <w:p w14:paraId="69A85BD3">
            <w:pPr>
              <w:pageBreakBefore w:val="0"/>
              <w:kinsoku/>
              <w:overflowPunct/>
              <w:bidi w:val="0"/>
              <w:spacing w:after="0" w:line="360" w:lineRule="auto"/>
              <w:rPr>
                <w:rFonts w:hint="eastAsia" w:ascii="宋体" w:hAnsi="宋体" w:eastAsia="宋体"/>
                <w:sz w:val="21"/>
                <w:szCs w:val="21"/>
              </w:rPr>
            </w:pPr>
            <w:r>
              <w:rPr>
                <w:rFonts w:hint="eastAsia" w:ascii="宋体" w:hAnsi="宋体" w:eastAsia="宋体"/>
                <w:sz w:val="21"/>
                <w:szCs w:val="21"/>
              </w:rPr>
              <w:t>12、配RS-485接口，用以连接计算机；</w:t>
            </w:r>
          </w:p>
          <w:p w14:paraId="173AE37E">
            <w:pPr>
              <w:pageBreakBefore w:val="0"/>
              <w:kinsoku/>
              <w:overflowPunct/>
              <w:bidi w:val="0"/>
              <w:spacing w:after="0" w:line="360" w:lineRule="auto"/>
              <w:rPr>
                <w:rFonts w:hint="eastAsia" w:ascii="宋体" w:hAnsi="宋体" w:eastAsia="宋体"/>
                <w:sz w:val="21"/>
                <w:szCs w:val="21"/>
              </w:rPr>
            </w:pPr>
            <w:r>
              <w:rPr>
                <w:rFonts w:hint="eastAsia" w:ascii="宋体" w:hAnsi="宋体" w:eastAsia="宋体"/>
                <w:sz w:val="21"/>
                <w:szCs w:val="21"/>
              </w:rPr>
              <w:t>控温范围：室温+5～250℃</w:t>
            </w:r>
          </w:p>
          <w:p w14:paraId="0F1E93D1">
            <w:pPr>
              <w:pageBreakBefore w:val="0"/>
              <w:kinsoku/>
              <w:overflowPunct/>
              <w:bidi w:val="0"/>
              <w:spacing w:after="0" w:line="360" w:lineRule="auto"/>
              <w:rPr>
                <w:rFonts w:hint="eastAsia" w:ascii="宋体" w:hAnsi="宋体" w:eastAsia="宋体"/>
                <w:sz w:val="21"/>
                <w:szCs w:val="21"/>
              </w:rPr>
            </w:pPr>
            <w:r>
              <w:rPr>
                <w:rFonts w:hint="eastAsia" w:ascii="宋体" w:hAnsi="宋体" w:eastAsia="宋体"/>
                <w:sz w:val="21"/>
                <w:szCs w:val="21"/>
              </w:rPr>
              <w:t>分辨率：0.1℃</w:t>
            </w:r>
          </w:p>
          <w:p w14:paraId="3908E903">
            <w:pPr>
              <w:pageBreakBefore w:val="0"/>
              <w:kinsoku/>
              <w:overflowPunct/>
              <w:bidi w:val="0"/>
              <w:spacing w:after="0" w:line="360" w:lineRule="auto"/>
              <w:rPr>
                <w:rFonts w:hint="eastAsia" w:ascii="宋体" w:hAnsi="宋体" w:eastAsia="宋体"/>
                <w:sz w:val="21"/>
                <w:szCs w:val="21"/>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sz w:val="21"/>
                <w:szCs w:val="21"/>
              </w:rPr>
              <w:t>波动度：±1℃(105℃)</w:t>
            </w:r>
          </w:p>
          <w:p w14:paraId="07CB3D05">
            <w:pPr>
              <w:pageBreakBefore w:val="0"/>
              <w:kinsoku/>
              <w:overflowPunct/>
              <w:bidi w:val="0"/>
              <w:spacing w:after="0" w:line="360" w:lineRule="auto"/>
              <w:rPr>
                <w:rFonts w:hint="eastAsia" w:ascii="宋体" w:hAnsi="宋体" w:eastAsia="宋体"/>
                <w:sz w:val="21"/>
                <w:szCs w:val="21"/>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sz w:val="21"/>
                <w:szCs w:val="21"/>
              </w:rPr>
              <w:t>均匀度：±2%</w:t>
            </w:r>
          </w:p>
          <w:p w14:paraId="3D75971B">
            <w:pPr>
              <w:pageBreakBefore w:val="0"/>
              <w:kinsoku/>
              <w:overflowPunct/>
              <w:bidi w:val="0"/>
              <w:spacing w:after="0" w:line="360" w:lineRule="auto"/>
              <w:rPr>
                <w:rFonts w:hint="eastAsia" w:ascii="宋体" w:hAnsi="宋体" w:eastAsia="宋体"/>
                <w:sz w:val="21"/>
                <w:szCs w:val="21"/>
              </w:rPr>
            </w:pPr>
            <w:r>
              <w:rPr>
                <w:rFonts w:hint="eastAsia" w:ascii="宋体" w:hAnsi="宋体" w:eastAsia="宋体"/>
                <w:sz w:val="21"/>
                <w:szCs w:val="21"/>
              </w:rPr>
              <w:t>升温速率：</w:t>
            </w:r>
            <w:r>
              <w:rPr>
                <w:rFonts w:hint="eastAsia" w:ascii="宋体" w:hAnsi="宋体" w:eastAsia="宋体" w:cstheme="minorBidi"/>
                <w:sz w:val="21"/>
                <w:szCs w:val="21"/>
              </w:rPr>
              <w:t>室温升至 200℃约 30～45min</w:t>
            </w:r>
          </w:p>
          <w:p w14:paraId="65B9D387">
            <w:pPr>
              <w:pageBreakBefore w:val="0"/>
              <w:kinsoku/>
              <w:overflowPunct/>
              <w:bidi w:val="0"/>
              <w:spacing w:after="0" w:line="360" w:lineRule="auto"/>
              <w:rPr>
                <w:rFonts w:hint="eastAsia" w:ascii="宋体" w:hAnsi="宋体" w:eastAsia="宋体"/>
                <w:sz w:val="21"/>
                <w:szCs w:val="21"/>
              </w:rPr>
            </w:pPr>
            <w:r>
              <w:rPr>
                <w:rFonts w:hint="eastAsia" w:ascii="宋体" w:hAnsi="宋体" w:eastAsia="宋体"/>
                <w:sz w:val="21"/>
                <w:szCs w:val="21"/>
              </w:rPr>
              <w:t>定时范围：0～9999min/h；预约范围：0～9999min</w:t>
            </w:r>
          </w:p>
          <w:p w14:paraId="674F8FC2">
            <w:pPr>
              <w:pageBreakBefore w:val="0"/>
              <w:kinsoku/>
              <w:overflowPunct/>
              <w:bidi w:val="0"/>
              <w:spacing w:after="0" w:line="360" w:lineRule="auto"/>
              <w:rPr>
                <w:rFonts w:hint="eastAsia" w:ascii="宋体" w:hAnsi="宋体" w:eastAsia="宋体"/>
                <w:sz w:val="21"/>
                <w:szCs w:val="21"/>
              </w:rPr>
            </w:pPr>
            <w:r>
              <w:rPr>
                <w:rFonts w:hint="eastAsia" w:ascii="宋体" w:hAnsi="宋体" w:eastAsia="宋体"/>
                <w:sz w:val="21"/>
                <w:szCs w:val="21"/>
              </w:rPr>
              <w:t>编程控制：10段100周期</w:t>
            </w:r>
          </w:p>
          <w:p w14:paraId="32CF0760">
            <w:pPr>
              <w:pageBreakBefore w:val="0"/>
              <w:kinsoku/>
              <w:overflowPunct/>
              <w:bidi w:val="0"/>
              <w:spacing w:after="0" w:line="360" w:lineRule="auto"/>
              <w:rPr>
                <w:rFonts w:hint="eastAsia" w:ascii="宋体" w:hAnsi="宋体" w:eastAsia="宋体"/>
                <w:sz w:val="21"/>
                <w:szCs w:val="21"/>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sz w:val="21"/>
                <w:szCs w:val="21"/>
              </w:rPr>
              <w:t>容积：≥14</w:t>
            </w:r>
            <w:r>
              <w:rPr>
                <w:rFonts w:hint="eastAsia" w:ascii="宋体" w:hAnsi="宋体" w:eastAsia="宋体"/>
                <w:sz w:val="21"/>
                <w:szCs w:val="21"/>
                <w:lang w:val="en-US" w:eastAsia="zh-CN"/>
              </w:rPr>
              <w:t>0</w:t>
            </w:r>
            <w:r>
              <w:rPr>
                <w:rFonts w:hint="eastAsia" w:ascii="宋体" w:hAnsi="宋体" w:eastAsia="宋体"/>
                <w:sz w:val="21"/>
                <w:szCs w:val="21"/>
              </w:rPr>
              <w:t>L</w:t>
            </w:r>
          </w:p>
          <w:p w14:paraId="49C15A92">
            <w:pPr>
              <w:pageBreakBefore w:val="0"/>
              <w:kinsoku/>
              <w:overflowPunct/>
              <w:bidi w:val="0"/>
              <w:spacing w:after="0" w:line="360" w:lineRule="auto"/>
              <w:rPr>
                <w:rFonts w:hint="default" w:ascii="宋体" w:hAnsi="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sz w:val="21"/>
                <w:szCs w:val="21"/>
              </w:rPr>
              <w:t>载物搁架：3/7块（标配/最多）</w:t>
            </w:r>
          </w:p>
        </w:tc>
      </w:tr>
      <w:tr w14:paraId="2647C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14:paraId="52F95AB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vertAlign w:val="baseline"/>
                <w:lang w:val="en-US" w:eastAsia="zh-CN" w:bidi="ar-SA"/>
                <w14:textFill>
                  <w14:solidFill>
                    <w14:schemeClr w14:val="tx1"/>
                  </w14:solidFill>
                </w14:textFill>
              </w:rPr>
              <w:t>17</w:t>
            </w:r>
          </w:p>
        </w:tc>
        <w:tc>
          <w:tcPr>
            <w:tcW w:w="2050" w:type="dxa"/>
            <w:vAlign w:val="center"/>
          </w:tcPr>
          <w:p w14:paraId="78DF1D1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cs="宋体"/>
                <w:b/>
                <w:bCs/>
                <w:color w:val="000000" w:themeColor="text1"/>
                <w:kern w:val="2"/>
                <w:sz w:val="24"/>
                <w:szCs w:val="24"/>
                <w:vertAlign w:val="baseline"/>
                <w:lang w:val="en-US" w:eastAsia="zh-CN" w:bidi="ar-SA"/>
                <w14:textFill>
                  <w14:solidFill>
                    <w14:schemeClr w14:val="tx1"/>
                  </w14:solidFill>
                </w14:textFill>
              </w:rPr>
              <w:t>通风柜</w:t>
            </w:r>
          </w:p>
        </w:tc>
        <w:tc>
          <w:tcPr>
            <w:tcW w:w="10625" w:type="dxa"/>
            <w:vAlign w:val="center"/>
          </w:tcPr>
          <w:p w14:paraId="22CE4293">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1"/>
                <w:szCs w:val="21"/>
              </w:rPr>
            </w:pPr>
            <w:r>
              <w:rPr>
                <w:rFonts w:hint="eastAsia" w:ascii="宋体" w:hAnsi="宋体" w:eastAsia="宋体"/>
                <w:sz w:val="21"/>
                <w:szCs w:val="21"/>
              </w:rPr>
              <w:t>1.全钢结构通风柜，</w:t>
            </w:r>
            <w:r>
              <w:rPr>
                <w:rFonts w:hint="eastAsia" w:ascii="宋体" w:hAnsi="宋体" w:eastAsia="宋体"/>
                <w:sz w:val="21"/>
                <w:szCs w:val="21"/>
                <w:lang w:val="en-US" w:eastAsia="zh-CN"/>
              </w:rPr>
              <w:t>≥</w:t>
            </w:r>
            <w:r>
              <w:rPr>
                <w:rFonts w:hint="eastAsia" w:ascii="宋体" w:hAnsi="宋体" w:eastAsia="宋体"/>
                <w:sz w:val="21"/>
                <w:szCs w:val="21"/>
              </w:rPr>
              <w:t>1.0mm钢板酸洗，环氧树脂静电喷涂</w:t>
            </w:r>
            <w:r>
              <w:rPr>
                <w:rFonts w:hint="eastAsia" w:ascii="宋体" w:hAnsi="宋体" w:eastAsia="宋体"/>
                <w:sz w:val="21"/>
                <w:szCs w:val="21"/>
                <w:lang w:val="en-US" w:eastAsia="zh-CN"/>
              </w:rPr>
              <w:t>或</w:t>
            </w:r>
            <w:r>
              <w:rPr>
                <w:rFonts w:ascii="宋体" w:hAnsi="宋体" w:eastAsia="宋体" w:cs="宋体"/>
                <w:sz w:val="21"/>
                <w:szCs w:val="21"/>
              </w:rPr>
              <w:t>PP（聚丙烯）防腐涂层</w:t>
            </w:r>
            <w:r>
              <w:rPr>
                <w:rFonts w:hint="eastAsia" w:ascii="宋体" w:hAnsi="宋体" w:eastAsia="宋体" w:cs="宋体"/>
                <w:sz w:val="21"/>
                <w:szCs w:val="21"/>
                <w:lang w:val="en-US" w:eastAsia="zh-CN"/>
              </w:rPr>
              <w:t>喷涂</w:t>
            </w:r>
            <w:r>
              <w:rPr>
                <w:rFonts w:hint="eastAsia" w:ascii="宋体" w:hAnsi="宋体" w:eastAsia="宋体"/>
                <w:sz w:val="21"/>
                <w:szCs w:val="21"/>
              </w:rPr>
              <w:t>，</w:t>
            </w:r>
            <w:r>
              <w:rPr>
                <w:rFonts w:hint="eastAsia" w:ascii="宋体" w:hAnsi="宋体" w:eastAsia="宋体"/>
                <w:sz w:val="21"/>
                <w:szCs w:val="21"/>
                <w:lang w:val="en-US" w:eastAsia="zh-CN"/>
              </w:rPr>
              <w:t>≥</w:t>
            </w:r>
            <w:r>
              <w:rPr>
                <w:rFonts w:hint="eastAsia" w:ascii="宋体" w:hAnsi="宋体" w:eastAsia="宋体"/>
                <w:sz w:val="21"/>
                <w:szCs w:val="21"/>
              </w:rPr>
              <w:t>12mm实芯理化板台面设有挡水边，防止液体外溢，具有良好的防水、防酸碱、耐高温等性能，通风柜整体包含屋顶排风，消音装置，废气处理等</w:t>
            </w:r>
            <w:r>
              <w:rPr>
                <w:rFonts w:hint="eastAsia" w:ascii="宋体" w:hAnsi="宋体" w:eastAsia="宋体"/>
                <w:sz w:val="21"/>
                <w:szCs w:val="21"/>
                <w:lang w:eastAsia="zh-CN"/>
              </w:rPr>
              <w:t>。</w:t>
            </w:r>
          </w:p>
          <w:p w14:paraId="16EA7DEC">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Times New Roman" w:hAnsi="Times New Roman" w:eastAsia="宋体" w:cs="Times New Roman"/>
                <w:sz w:val="21"/>
                <w:szCs w:val="21"/>
              </w:rPr>
            </w:pPr>
            <w:r>
              <w:rPr>
                <w:rFonts w:hint="eastAsia" w:ascii="宋体" w:hAnsi="宋体" w:eastAsia="宋体" w:cs="宋体"/>
                <w:b w:val="0"/>
                <w:bCs w:val="0"/>
                <w:color w:val="auto"/>
                <w:sz w:val="21"/>
                <w:szCs w:val="21"/>
                <w:highlight w:val="none"/>
                <w:lang w:val="en-US" w:eastAsia="zh-CN"/>
              </w:rPr>
              <w:t>▲</w:t>
            </w:r>
            <w:r>
              <w:rPr>
                <w:rFonts w:ascii="Times New Roman" w:hAnsi="Times New Roman" w:eastAsia="宋体" w:cs="Times New Roman"/>
                <w:sz w:val="21"/>
                <w:szCs w:val="21"/>
              </w:rPr>
              <w:t>2.柜体</w:t>
            </w:r>
            <w:r>
              <w:rPr>
                <w:rFonts w:hint="eastAsia" w:ascii="Times New Roman" w:hAnsi="Times New Roman" w:eastAsia="宋体" w:cs="Times New Roman"/>
                <w:sz w:val="21"/>
                <w:szCs w:val="21"/>
                <w:lang w:val="en-US" w:eastAsia="zh-CN"/>
              </w:rPr>
              <w:t>长度</w:t>
            </w:r>
            <w:r>
              <w:rPr>
                <w:rFonts w:ascii="Times New Roman" w:hAnsi="Times New Roman" w:eastAsia="宋体" w:cs="Times New Roman"/>
                <w:sz w:val="21"/>
                <w:szCs w:val="21"/>
              </w:rPr>
              <w:t>（mm）</w:t>
            </w:r>
            <w:r>
              <w:rPr>
                <w:rFonts w:hint="eastAsia" w:ascii="Times New Roman" w:hAnsi="Times New Roman" w:eastAsia="宋体" w:cs="Times New Roman"/>
                <w:sz w:val="21"/>
                <w:szCs w:val="21"/>
              </w:rPr>
              <w:t>：≥</w:t>
            </w:r>
            <w:r>
              <w:rPr>
                <w:rFonts w:ascii="Times New Roman" w:hAnsi="Times New Roman" w:eastAsia="宋体" w:cs="Times New Roman"/>
                <w:sz w:val="21"/>
                <w:szCs w:val="21"/>
              </w:rPr>
              <w:t>1500</w:t>
            </w:r>
          </w:p>
          <w:p w14:paraId="47B50335">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1"/>
                <w:szCs w:val="21"/>
              </w:rPr>
            </w:pPr>
            <w:r>
              <w:rPr>
                <w:rFonts w:hint="eastAsia" w:ascii="宋体" w:hAnsi="宋体" w:eastAsia="宋体"/>
                <w:sz w:val="21"/>
                <w:szCs w:val="21"/>
              </w:rPr>
              <w:t>3.条型配重体同步齿轮移动操作可视窗上下移动，可视窗为</w:t>
            </w:r>
            <w:r>
              <w:rPr>
                <w:rFonts w:hint="eastAsia" w:ascii="宋体" w:hAnsi="宋体" w:eastAsia="宋体"/>
                <w:sz w:val="21"/>
                <w:szCs w:val="21"/>
                <w:lang w:val="en-US" w:eastAsia="zh-CN"/>
              </w:rPr>
              <w:t>≥</w:t>
            </w:r>
            <w:r>
              <w:rPr>
                <w:rFonts w:hint="eastAsia" w:ascii="宋体" w:hAnsi="宋体" w:eastAsia="宋体"/>
                <w:sz w:val="21"/>
                <w:szCs w:val="21"/>
              </w:rPr>
              <w:t>5mm钢化玻璃，保证实验室人员安全，内衬为</w:t>
            </w:r>
            <w:r>
              <w:rPr>
                <w:rFonts w:hint="eastAsia" w:ascii="宋体" w:hAnsi="宋体" w:eastAsia="宋体"/>
                <w:sz w:val="21"/>
                <w:szCs w:val="21"/>
                <w:lang w:val="en-US" w:eastAsia="zh-CN"/>
              </w:rPr>
              <w:t>≥</w:t>
            </w:r>
            <w:r>
              <w:rPr>
                <w:rFonts w:hint="eastAsia" w:ascii="宋体" w:hAnsi="宋体" w:eastAsia="宋体"/>
                <w:sz w:val="21"/>
                <w:szCs w:val="21"/>
              </w:rPr>
              <w:t>5mm高密度抗倍特防腐蚀导流板，外置液晶操控面板，两侧预留供水及供气拷克安装口，配多功能插座系统，有效保证用电安全。</w:t>
            </w:r>
          </w:p>
          <w:p w14:paraId="00C27EE5">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1"/>
                <w:szCs w:val="21"/>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sz w:val="21"/>
                <w:szCs w:val="21"/>
              </w:rPr>
              <w:t>4.实验通风柜专用通风系统，配防腐蚀室内静音风机，保证单个通风柜风量2200-3000m³/h。</w:t>
            </w:r>
          </w:p>
          <w:p w14:paraId="7072B190">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1"/>
                <w:szCs w:val="21"/>
              </w:rPr>
            </w:pPr>
            <w:r>
              <w:rPr>
                <w:rFonts w:hint="eastAsia" w:ascii="宋体" w:hAnsi="宋体" w:eastAsia="宋体"/>
                <w:sz w:val="21"/>
                <w:szCs w:val="21"/>
              </w:rPr>
              <w:t>5、插座：采用防尘、防溅带有自动闭合功能防护盖的安全插座，配置10A/16A /220V的多功能插座，适合实验室内各种仪器设备。</w:t>
            </w:r>
          </w:p>
          <w:p w14:paraId="3A2F1B57">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1"/>
                <w:szCs w:val="21"/>
              </w:rPr>
            </w:pPr>
            <w:r>
              <w:rPr>
                <w:rFonts w:hint="eastAsia" w:ascii="宋体" w:hAnsi="宋体" w:eastAsia="宋体"/>
                <w:sz w:val="21"/>
                <w:szCs w:val="21"/>
              </w:rPr>
              <w:t>6.照明：采用圆形节能孔灯，隐藏于顶板上，不与通风柜内实验气体直接接触，易更换，亮度完全满足实验要求。</w:t>
            </w:r>
          </w:p>
          <w:p w14:paraId="258D06A3">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cs="宋体"/>
                <w:b/>
                <w:bCs/>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sz w:val="21"/>
                <w:szCs w:val="21"/>
              </w:rPr>
              <w:t>7.满足实验室要求，对原有通风柜</w:t>
            </w:r>
            <w:r>
              <w:rPr>
                <w:rFonts w:hint="eastAsia" w:ascii="宋体" w:hAnsi="宋体" w:eastAsia="宋体"/>
                <w:sz w:val="21"/>
                <w:szCs w:val="21"/>
                <w:lang w:eastAsia="zh-CN"/>
              </w:rPr>
              <w:t>及实验台面</w:t>
            </w:r>
            <w:r>
              <w:rPr>
                <w:rFonts w:hint="eastAsia" w:ascii="宋体" w:hAnsi="宋体" w:eastAsia="宋体"/>
                <w:sz w:val="21"/>
                <w:szCs w:val="21"/>
              </w:rPr>
              <w:t>拆除，</w:t>
            </w:r>
            <w:r>
              <w:rPr>
                <w:rFonts w:hint="eastAsia" w:ascii="宋体" w:hAnsi="宋体" w:eastAsia="宋体"/>
                <w:sz w:val="21"/>
                <w:szCs w:val="21"/>
                <w:lang w:eastAsia="zh-CN"/>
              </w:rPr>
              <w:t>满足</w:t>
            </w:r>
            <w:r>
              <w:rPr>
                <w:rFonts w:hint="eastAsia" w:ascii="宋体" w:hAnsi="宋体" w:eastAsia="宋体"/>
                <w:sz w:val="21"/>
                <w:szCs w:val="21"/>
              </w:rPr>
              <w:t>安装新购置通风柜</w:t>
            </w:r>
            <w:r>
              <w:rPr>
                <w:rFonts w:hint="eastAsia" w:ascii="宋体" w:hAnsi="宋体" w:eastAsia="宋体"/>
                <w:sz w:val="21"/>
                <w:szCs w:val="21"/>
                <w:lang w:eastAsia="zh-CN"/>
              </w:rPr>
              <w:t>的条件</w:t>
            </w:r>
            <w:r>
              <w:rPr>
                <w:rFonts w:hint="eastAsia" w:ascii="宋体" w:hAnsi="宋体" w:eastAsia="宋体"/>
                <w:sz w:val="21"/>
                <w:szCs w:val="21"/>
              </w:rPr>
              <w:t>，</w:t>
            </w:r>
            <w:r>
              <w:rPr>
                <w:rFonts w:hint="eastAsia" w:ascii="宋体" w:hAnsi="宋体" w:eastAsia="宋体"/>
                <w:sz w:val="21"/>
                <w:szCs w:val="21"/>
                <w:lang w:eastAsia="zh-CN"/>
              </w:rPr>
              <w:t>并改造满足安装的水和电（</w:t>
            </w:r>
            <w:r>
              <w:rPr>
                <w:rFonts w:hint="eastAsia" w:ascii="宋体" w:hAnsi="宋体"/>
                <w:sz w:val="21"/>
                <w:szCs w:val="21"/>
                <w:lang w:val="en-US" w:eastAsia="zh-CN"/>
              </w:rPr>
              <w:t>水管、电线</w:t>
            </w:r>
            <w:r>
              <w:rPr>
                <w:rFonts w:hint="eastAsia" w:ascii="宋体" w:hAnsi="宋体" w:eastAsia="宋体"/>
                <w:sz w:val="21"/>
                <w:szCs w:val="21"/>
                <w:lang w:val="en-US" w:eastAsia="zh-CN"/>
              </w:rPr>
              <w:t>约20米内，</w:t>
            </w:r>
            <w:r>
              <w:rPr>
                <w:rFonts w:hint="eastAsia" w:ascii="宋体" w:hAnsi="宋体" w:eastAsia="宋体"/>
                <w:sz w:val="21"/>
                <w:szCs w:val="21"/>
                <w:lang w:eastAsia="zh-CN"/>
              </w:rPr>
              <w:t>以实际为准）</w:t>
            </w:r>
            <w:r>
              <w:rPr>
                <w:rFonts w:hint="eastAsia" w:ascii="宋体" w:hAnsi="宋体" w:eastAsia="宋体"/>
                <w:sz w:val="21"/>
                <w:szCs w:val="21"/>
              </w:rPr>
              <w:t>。</w:t>
            </w:r>
          </w:p>
        </w:tc>
      </w:tr>
    </w:tbl>
    <w:p w14:paraId="477A0971">
      <w:pPr>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color w:val="auto"/>
          <w:sz w:val="24"/>
          <w:szCs w:val="24"/>
          <w:lang w:val="en-US" w:eastAsia="zh-CN" w:bidi="ar"/>
        </w:rPr>
      </w:pPr>
    </w:p>
    <w:p w14:paraId="5DF7843D">
      <w:pPr>
        <w:pageBreakBefore w:val="0"/>
        <w:kinsoku/>
        <w:overflowPunct/>
        <w:bidi w:val="0"/>
        <w:spacing w:line="360" w:lineRule="auto"/>
        <w:jc w:val="center"/>
        <w:rPr>
          <w:rFonts w:hint="default"/>
          <w:lang w:val="en-US" w:eastAsia="zh-CN"/>
        </w:rPr>
      </w:pPr>
      <w:r>
        <w:rPr>
          <w:rFonts w:hint="eastAsia" w:ascii="宋体" w:hAnsi="宋体" w:eastAsia="宋体" w:cs="宋体"/>
          <w:b/>
          <w:color w:val="auto"/>
          <w:sz w:val="24"/>
          <w:szCs w:val="24"/>
          <w:lang w:val="en-US" w:eastAsia="zh-CN" w:bidi="ar"/>
        </w:rPr>
        <w:br w:type="page"/>
      </w:r>
    </w:p>
    <w:tbl>
      <w:tblPr>
        <w:tblStyle w:val="24"/>
        <w:tblW w:w="12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
        <w:gridCol w:w="2739"/>
        <w:gridCol w:w="9188"/>
      </w:tblGrid>
      <w:tr w14:paraId="31D46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2859" w:type="dxa"/>
            <w:gridSpan w:val="3"/>
            <w:vAlign w:val="center"/>
          </w:tcPr>
          <w:p w14:paraId="3D95CE90">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cs="宋体"/>
                <w:b/>
                <w:bCs/>
                <w:i w:val="0"/>
                <w:iCs w:val="0"/>
                <w:color w:val="auto"/>
                <w:kern w:val="0"/>
                <w:sz w:val="32"/>
                <w:szCs w:val="32"/>
                <w:u w:val="none"/>
                <w:lang w:val="en-US" w:eastAsia="zh-CN" w:bidi="ar"/>
              </w:rPr>
              <w:t>2包</w:t>
            </w:r>
          </w:p>
        </w:tc>
      </w:tr>
      <w:tr w14:paraId="1B17E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32" w:type="dxa"/>
            <w:vAlign w:val="center"/>
          </w:tcPr>
          <w:p w14:paraId="2C4EDF39">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序号</w:t>
            </w:r>
          </w:p>
        </w:tc>
        <w:tc>
          <w:tcPr>
            <w:tcW w:w="2739" w:type="dxa"/>
            <w:vAlign w:val="center"/>
          </w:tcPr>
          <w:p w14:paraId="7993F271">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设备名称</w:t>
            </w:r>
          </w:p>
        </w:tc>
        <w:tc>
          <w:tcPr>
            <w:tcW w:w="9188" w:type="dxa"/>
            <w:vAlign w:val="center"/>
          </w:tcPr>
          <w:p w14:paraId="1D128C0B">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技术参数</w:t>
            </w:r>
          </w:p>
        </w:tc>
      </w:tr>
      <w:tr w14:paraId="46AA3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32" w:type="dxa"/>
            <w:vAlign w:val="center"/>
          </w:tcPr>
          <w:p w14:paraId="2D815E7C">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1</w:t>
            </w:r>
          </w:p>
        </w:tc>
        <w:tc>
          <w:tcPr>
            <w:tcW w:w="2739" w:type="dxa"/>
            <w:vAlign w:val="center"/>
          </w:tcPr>
          <w:p w14:paraId="475663C2">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气相分子吸收光谱仪</w:t>
            </w:r>
          </w:p>
          <w:p w14:paraId="4BEBD7A7">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（核心产品）</w:t>
            </w:r>
          </w:p>
        </w:tc>
        <w:tc>
          <w:tcPr>
            <w:tcW w:w="9188" w:type="dxa"/>
            <w:vAlign w:val="center"/>
          </w:tcPr>
          <w:p w14:paraId="2C47763E">
            <w:pPr>
              <w:keepNext w:val="0"/>
              <w:keepLines w:val="0"/>
              <w:pageBreakBefore w:val="0"/>
              <w:tabs>
                <w:tab w:val="left" w:pos="3000"/>
              </w:tabs>
              <w:kinsoku/>
              <w:wordWrap/>
              <w:overflowPunct/>
              <w:topLinePunct w:val="0"/>
              <w:autoSpaceDE/>
              <w:autoSpaceDN/>
              <w:bidi w:val="0"/>
              <w:adjustRightInd/>
              <w:snapToGrid/>
              <w:spacing w:line="360" w:lineRule="auto"/>
              <w:ind w:firstLine="422" w:firstLineChars="200"/>
              <w:textAlignment w:val="auto"/>
              <w:outlineLvl w:val="3"/>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1.主机配置和备件耗材</w:t>
            </w:r>
          </w:p>
          <w:p w14:paraId="4DA7BA20">
            <w:pPr>
              <w:keepNext w:val="0"/>
              <w:keepLines w:val="0"/>
              <w:pageBreakBefore w:val="0"/>
              <w:tabs>
                <w:tab w:val="left" w:pos="3000"/>
              </w:tabs>
              <w:kinsoku/>
              <w:wordWrap/>
              <w:overflowPunct/>
              <w:topLinePunct w:val="0"/>
              <w:autoSpaceDE/>
              <w:autoSpaceDN/>
              <w:bidi w:val="0"/>
              <w:adjustRightInd/>
              <w:snapToGrid/>
              <w:spacing w:line="360" w:lineRule="auto"/>
              <w:ind w:firstLine="422" w:firstLineChars="200"/>
              <w:textAlignment w:val="auto"/>
              <w:outlineLvl w:val="3"/>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（采购数量按招标清单为准，这里只表示每台采购设备应配置的备件或耗材数量）</w:t>
            </w:r>
          </w:p>
          <w:tbl>
            <w:tblPr>
              <w:tblStyle w:val="23"/>
              <w:tblW w:w="48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1510"/>
              <w:gridCol w:w="5204"/>
              <w:gridCol w:w="1307"/>
            </w:tblGrid>
            <w:tr w14:paraId="316F9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425" w:type="pct"/>
                  <w:noWrap w:val="0"/>
                  <w:vAlign w:val="center"/>
                </w:tcPr>
                <w:p w14:paraId="4ADA0C41">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p>
              </w:tc>
              <w:tc>
                <w:tcPr>
                  <w:tcW w:w="861" w:type="pct"/>
                  <w:noWrap w:val="0"/>
                  <w:vAlign w:val="center"/>
                </w:tcPr>
                <w:p w14:paraId="2ECA882D">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2967" w:type="pct"/>
                  <w:noWrap w:val="0"/>
                  <w:vAlign w:val="center"/>
                </w:tcPr>
                <w:p w14:paraId="7155B56F">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c>
                <w:tcPr>
                  <w:tcW w:w="745" w:type="pct"/>
                  <w:noWrap w:val="0"/>
                  <w:vAlign w:val="center"/>
                </w:tcPr>
                <w:p w14:paraId="01CF0CC1">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p w14:paraId="32444273">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（台/套）</w:t>
                  </w:r>
                </w:p>
              </w:tc>
            </w:tr>
            <w:tr w14:paraId="241B1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425" w:type="pct"/>
                  <w:noWrap w:val="0"/>
                  <w:vAlign w:val="center"/>
                </w:tcPr>
                <w:p w14:paraId="069B650A">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主机</w:t>
                  </w:r>
                </w:p>
              </w:tc>
              <w:tc>
                <w:tcPr>
                  <w:tcW w:w="861" w:type="pct"/>
                  <w:noWrap w:val="0"/>
                  <w:vAlign w:val="center"/>
                </w:tcPr>
                <w:p w14:paraId="253488DB">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气相分子吸收光谱仪</w:t>
                  </w:r>
                </w:p>
              </w:tc>
              <w:tc>
                <w:tcPr>
                  <w:tcW w:w="2967" w:type="pct"/>
                  <w:noWrap w:val="0"/>
                  <w:vAlign w:val="center"/>
                </w:tcPr>
                <w:p w14:paraId="5CDFC4BF">
                  <w:pPr>
                    <w:pageBreakBefore w:val="0"/>
                    <w:kinsoku/>
                    <w:wordWrap/>
                    <w:overflowPunct/>
                    <w:topLinePunct w:val="0"/>
                    <w:autoSpaceDE/>
                    <w:autoSpaceDN/>
                    <w:bidi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含进样系统、泵系统、自动除水系统、在线加热系统、电子流量系统、载气净化系统、温度控制系统、自动稀释系统、内置氨氮在线氧化系统</w:t>
                  </w:r>
                  <w:r>
                    <w:rPr>
                      <w:rFonts w:hint="eastAsia" w:ascii="宋体" w:hAnsi="宋体" w:eastAsia="宋体" w:cs="宋体"/>
                      <w:color w:val="auto"/>
                      <w:sz w:val="21"/>
                      <w:szCs w:val="21"/>
                      <w:highlight w:val="none"/>
                      <w:lang w:val="en-US" w:eastAsia="zh-CN"/>
                    </w:rPr>
                    <w:t>及数据处理系统</w:t>
                  </w:r>
                  <w:r>
                    <w:rPr>
                      <w:rFonts w:hint="eastAsia" w:ascii="宋体" w:hAnsi="宋体" w:eastAsia="宋体" w:cs="宋体"/>
                      <w:color w:val="auto"/>
                      <w:sz w:val="21"/>
                      <w:szCs w:val="21"/>
                      <w:highlight w:val="none"/>
                    </w:rPr>
                    <w:t>等</w:t>
                  </w:r>
                </w:p>
              </w:tc>
              <w:tc>
                <w:tcPr>
                  <w:tcW w:w="745" w:type="pct"/>
                  <w:noWrap w:val="0"/>
                  <w:vAlign w:val="center"/>
                </w:tcPr>
                <w:p w14:paraId="70998270">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r>
            <w:tr w14:paraId="6AAF8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Merge w:val="restart"/>
                  <w:noWrap w:val="0"/>
                  <w:vAlign w:val="center"/>
                </w:tcPr>
                <w:p w14:paraId="348ACE66">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备件/耗材</w:t>
                  </w:r>
                </w:p>
              </w:tc>
              <w:tc>
                <w:tcPr>
                  <w:tcW w:w="861" w:type="pct"/>
                  <w:noWrap w:val="0"/>
                  <w:vAlign w:val="center"/>
                </w:tcPr>
                <w:p w14:paraId="36857823">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一年备件包</w:t>
                  </w:r>
                </w:p>
              </w:tc>
              <w:tc>
                <w:tcPr>
                  <w:tcW w:w="2967" w:type="pct"/>
                  <w:noWrap w:val="0"/>
                  <w:vAlign w:val="center"/>
                </w:tcPr>
                <w:p w14:paraId="1F96A579">
                  <w:pPr>
                    <w:pageBreakBefore w:val="0"/>
                    <w:kinsoku/>
                    <w:wordWrap/>
                    <w:overflowPunct/>
                    <w:topLinePunct w:val="0"/>
                    <w:autoSpaceDE/>
                    <w:autoSpaceDN/>
                    <w:bidi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除标配的配件耗材外，每台另赠进样软管、试剂泵管、尾气吸收装置、进样针等</w:t>
                  </w:r>
                  <w:r>
                    <w:rPr>
                      <w:rFonts w:hint="eastAsia" w:ascii="宋体" w:hAnsi="宋体" w:eastAsia="宋体" w:cs="宋体"/>
                      <w:color w:val="auto"/>
                      <w:sz w:val="21"/>
                      <w:szCs w:val="21"/>
                      <w:highlight w:val="none"/>
                      <w:lang w:val="en-US" w:eastAsia="zh-CN"/>
                    </w:rPr>
                    <w:t>1套，合计2套/台</w:t>
                  </w:r>
                </w:p>
              </w:tc>
              <w:tc>
                <w:tcPr>
                  <w:tcW w:w="745" w:type="pct"/>
                  <w:noWrap w:val="0"/>
                  <w:vAlign w:val="center"/>
                </w:tcPr>
                <w:p w14:paraId="5CF828AE">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r>
            <w:tr w14:paraId="3CB89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Merge w:val="continue"/>
                  <w:noWrap w:val="0"/>
                  <w:vAlign w:val="center"/>
                </w:tcPr>
                <w:p w14:paraId="7DA27C4C">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p>
              </w:tc>
              <w:tc>
                <w:tcPr>
                  <w:tcW w:w="861" w:type="pct"/>
                  <w:noWrap w:val="0"/>
                  <w:vAlign w:val="center"/>
                </w:tcPr>
                <w:p w14:paraId="17EE15EE">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样品瓶</w:t>
                  </w:r>
                </w:p>
              </w:tc>
              <w:tc>
                <w:tcPr>
                  <w:tcW w:w="2967" w:type="pct"/>
                  <w:noWrap w:val="0"/>
                  <w:vAlign w:val="center"/>
                </w:tcPr>
                <w:p w14:paraId="7F8B03AC">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50mL×60个/套</w:t>
                  </w:r>
                </w:p>
              </w:tc>
              <w:tc>
                <w:tcPr>
                  <w:tcW w:w="745" w:type="pct"/>
                  <w:noWrap w:val="0"/>
                  <w:vAlign w:val="center"/>
                </w:tcPr>
                <w:p w14:paraId="10FBEF49">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r>
            <w:tr w14:paraId="456B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Merge w:val="continue"/>
                  <w:noWrap w:val="0"/>
                  <w:vAlign w:val="center"/>
                </w:tcPr>
                <w:p w14:paraId="09960509">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p>
              </w:tc>
              <w:tc>
                <w:tcPr>
                  <w:tcW w:w="861" w:type="pct"/>
                  <w:noWrap w:val="0"/>
                  <w:vAlign w:val="center"/>
                </w:tcPr>
                <w:p w14:paraId="7C89DE67">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试剂瓶架</w:t>
                  </w:r>
                </w:p>
              </w:tc>
              <w:tc>
                <w:tcPr>
                  <w:tcW w:w="2967" w:type="pct"/>
                  <w:noWrap w:val="0"/>
                  <w:vAlign w:val="center"/>
                </w:tcPr>
                <w:p w14:paraId="36FA6713">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745" w:type="pct"/>
                  <w:noWrap w:val="0"/>
                  <w:vAlign w:val="center"/>
                </w:tcPr>
                <w:p w14:paraId="72746090">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r>
            <w:tr w14:paraId="0B3F6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Merge w:val="continue"/>
                  <w:noWrap w:val="0"/>
                  <w:vAlign w:val="center"/>
                </w:tcPr>
                <w:p w14:paraId="48284664">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p>
              </w:tc>
              <w:tc>
                <w:tcPr>
                  <w:tcW w:w="861" w:type="pct"/>
                  <w:noWrap w:val="0"/>
                  <w:vAlign w:val="center"/>
                </w:tcPr>
                <w:p w14:paraId="1FCE5AA0">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高纯</w:t>
                  </w:r>
                  <w:r>
                    <w:rPr>
                      <w:rFonts w:hint="eastAsia" w:ascii="宋体" w:hAnsi="宋体" w:eastAsia="宋体" w:cs="宋体"/>
                      <w:color w:val="auto"/>
                      <w:sz w:val="21"/>
                      <w:szCs w:val="21"/>
                      <w:highlight w:val="none"/>
                      <w:lang w:eastAsia="zh-CN"/>
                    </w:rPr>
                    <w:t>氮</w:t>
                  </w:r>
                  <w:r>
                    <w:rPr>
                      <w:rFonts w:hint="eastAsia" w:ascii="宋体" w:hAnsi="宋体" w:eastAsia="宋体" w:cs="宋体"/>
                      <w:color w:val="auto"/>
                      <w:sz w:val="21"/>
                      <w:szCs w:val="21"/>
                      <w:highlight w:val="none"/>
                    </w:rPr>
                    <w:t>气</w:t>
                  </w:r>
                </w:p>
              </w:tc>
              <w:tc>
                <w:tcPr>
                  <w:tcW w:w="2967" w:type="pct"/>
                  <w:noWrap w:val="0"/>
                  <w:vAlign w:val="center"/>
                </w:tcPr>
                <w:p w14:paraId="4A3FBBEC">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1瓶/台（</w:t>
                  </w:r>
                  <w:r>
                    <w:rPr>
                      <w:rFonts w:hint="eastAsia" w:ascii="宋体" w:hAnsi="宋体" w:eastAsia="宋体" w:cs="宋体"/>
                      <w:color w:val="auto"/>
                      <w:sz w:val="21"/>
                      <w:szCs w:val="21"/>
                      <w:highlight w:val="none"/>
                    </w:rPr>
                    <w:t>含瓶、气、阀</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纯度≥</w:t>
                  </w:r>
                  <w:r>
                    <w:rPr>
                      <w:rFonts w:hint="eastAsia" w:ascii="宋体" w:hAnsi="宋体" w:eastAsia="宋体" w:cs="宋体"/>
                      <w:color w:val="auto"/>
                      <w:sz w:val="21"/>
                      <w:szCs w:val="21"/>
                      <w:highlight w:val="none"/>
                    </w:rPr>
                    <w:t>99.999%</w:t>
                  </w:r>
                </w:p>
              </w:tc>
              <w:tc>
                <w:tcPr>
                  <w:tcW w:w="745" w:type="pct"/>
                  <w:noWrap w:val="0"/>
                  <w:vAlign w:val="center"/>
                </w:tcPr>
                <w:p w14:paraId="13D1DCC4">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r>
          </w:tbl>
          <w:p w14:paraId="7BADC845">
            <w:pPr>
              <w:keepNext w:val="0"/>
              <w:keepLines w:val="0"/>
              <w:pageBreakBefore w:val="0"/>
              <w:tabs>
                <w:tab w:val="left" w:pos="3000"/>
              </w:tabs>
              <w:kinsoku/>
              <w:wordWrap/>
              <w:overflowPunct/>
              <w:topLinePunct w:val="0"/>
              <w:autoSpaceDE/>
              <w:autoSpaceDN/>
              <w:bidi w:val="0"/>
              <w:adjustRightInd/>
              <w:snapToGrid/>
              <w:spacing w:line="360" w:lineRule="auto"/>
              <w:ind w:firstLine="422" w:firstLineChars="200"/>
              <w:textAlignment w:val="auto"/>
              <w:outlineLvl w:val="3"/>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2.工作条件</w:t>
            </w:r>
          </w:p>
          <w:p w14:paraId="3A2539D0">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GB" w:eastAsia="zh-CN"/>
              </w:rPr>
            </w:pPr>
            <w:r>
              <w:rPr>
                <w:rFonts w:hint="eastAsia" w:ascii="宋体" w:hAnsi="宋体" w:eastAsia="宋体" w:cs="宋体"/>
                <w:b w:val="0"/>
                <w:bCs w:val="0"/>
                <w:color w:val="auto"/>
                <w:sz w:val="21"/>
                <w:szCs w:val="21"/>
                <w:highlight w:val="none"/>
                <w:lang w:val="en-GB" w:eastAsia="zh-CN"/>
              </w:rPr>
              <w:t>2.1工作环境温度：15℃</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GB" w:eastAsia="zh-CN"/>
              </w:rPr>
              <w:t>30℃。</w:t>
            </w:r>
          </w:p>
          <w:p w14:paraId="6C652A0E">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GB" w:eastAsia="zh-CN"/>
              </w:rPr>
            </w:pPr>
            <w:r>
              <w:rPr>
                <w:rFonts w:hint="eastAsia" w:ascii="宋体" w:hAnsi="宋体" w:eastAsia="宋体" w:cs="宋体"/>
                <w:b w:val="0"/>
                <w:bCs w:val="0"/>
                <w:color w:val="auto"/>
                <w:sz w:val="21"/>
                <w:szCs w:val="21"/>
                <w:highlight w:val="none"/>
                <w:lang w:val="en-GB" w:eastAsia="zh-CN"/>
              </w:rPr>
              <w:t>2.2工作环境</w:t>
            </w:r>
            <w:r>
              <w:rPr>
                <w:rFonts w:hint="eastAsia" w:ascii="宋体" w:hAnsi="宋体" w:eastAsia="宋体" w:cs="宋体"/>
                <w:b w:val="0"/>
                <w:bCs w:val="0"/>
                <w:color w:val="auto"/>
                <w:sz w:val="21"/>
                <w:szCs w:val="21"/>
                <w:highlight w:val="none"/>
                <w:lang w:val="en-US" w:eastAsia="zh-CN"/>
              </w:rPr>
              <w:t>相对</w:t>
            </w:r>
            <w:r>
              <w:rPr>
                <w:rFonts w:hint="eastAsia" w:ascii="宋体" w:hAnsi="宋体" w:eastAsia="宋体" w:cs="宋体"/>
                <w:b w:val="0"/>
                <w:bCs w:val="0"/>
                <w:color w:val="auto"/>
                <w:sz w:val="21"/>
                <w:szCs w:val="21"/>
                <w:highlight w:val="none"/>
                <w:lang w:val="en-GB" w:eastAsia="zh-CN"/>
              </w:rPr>
              <w:t>湿度：≤</w:t>
            </w:r>
            <w:r>
              <w:rPr>
                <w:rFonts w:hint="eastAsia" w:ascii="宋体" w:hAnsi="宋体" w:eastAsia="宋体" w:cs="宋体"/>
                <w:b w:val="0"/>
                <w:bCs w:val="0"/>
                <w:color w:val="auto"/>
                <w:sz w:val="21"/>
                <w:szCs w:val="21"/>
                <w:highlight w:val="none"/>
                <w:lang w:val="en-US" w:eastAsia="zh-CN"/>
              </w:rPr>
              <w:t>75%</w:t>
            </w:r>
            <w:r>
              <w:rPr>
                <w:rFonts w:hint="eastAsia" w:ascii="宋体" w:hAnsi="宋体" w:eastAsia="宋体" w:cs="宋体"/>
                <w:b w:val="0"/>
                <w:bCs w:val="0"/>
                <w:color w:val="auto"/>
                <w:sz w:val="21"/>
                <w:szCs w:val="21"/>
                <w:highlight w:val="none"/>
                <w:lang w:val="en-GB" w:eastAsia="zh-CN"/>
              </w:rPr>
              <w:t>。</w:t>
            </w:r>
          </w:p>
          <w:p w14:paraId="1B40B988">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GB" w:eastAsia="zh-CN"/>
              </w:rPr>
            </w:pPr>
            <w:r>
              <w:rPr>
                <w:rFonts w:hint="eastAsia" w:ascii="宋体" w:hAnsi="宋体" w:eastAsia="宋体" w:cs="宋体"/>
                <w:b w:val="0"/>
                <w:bCs w:val="0"/>
                <w:color w:val="auto"/>
                <w:sz w:val="21"/>
                <w:szCs w:val="21"/>
                <w:highlight w:val="none"/>
                <w:lang w:val="en-GB" w:eastAsia="zh-CN"/>
              </w:rPr>
              <w:t>2.3供电电源：</w:t>
            </w:r>
            <w:r>
              <w:rPr>
                <w:rFonts w:hint="eastAsia" w:ascii="宋体" w:hAnsi="宋体" w:eastAsia="宋体" w:cs="宋体"/>
                <w:b w:val="0"/>
                <w:bCs w:val="0"/>
                <w:color w:val="auto"/>
                <w:sz w:val="21"/>
                <w:szCs w:val="21"/>
                <w:highlight w:val="none"/>
                <w:lang w:val="en-US" w:eastAsia="zh-CN"/>
              </w:rPr>
              <w:t>AC 220</w:t>
            </w:r>
            <w:r>
              <w:rPr>
                <w:rFonts w:hint="eastAsia" w:ascii="宋体" w:hAnsi="宋体" w:eastAsia="宋体" w:cs="宋体"/>
                <w:b w:val="0"/>
                <w:bCs w:val="0"/>
                <w:color w:val="auto"/>
                <w:sz w:val="21"/>
                <w:szCs w:val="21"/>
                <w:highlight w:val="none"/>
                <w:lang w:val="en-GB" w:eastAsia="zh-CN"/>
              </w:rPr>
              <w:t>V</w:t>
            </w:r>
            <w:r>
              <w:rPr>
                <w:rFonts w:hint="eastAsia" w:ascii="宋体" w:hAnsi="宋体" w:eastAsia="宋体" w:cs="宋体"/>
                <w:b w:val="0"/>
                <w:bCs w:val="0"/>
                <w:color w:val="auto"/>
                <w:sz w:val="21"/>
                <w:szCs w:val="21"/>
                <w:highlight w:val="none"/>
                <w:lang w:val="en-US" w:eastAsia="zh-CN"/>
              </w:rPr>
              <w:t>±22</w:t>
            </w:r>
            <w:r>
              <w:rPr>
                <w:rFonts w:hint="eastAsia" w:ascii="宋体" w:hAnsi="宋体" w:eastAsia="宋体" w:cs="宋体"/>
                <w:b w:val="0"/>
                <w:bCs w:val="0"/>
                <w:color w:val="auto"/>
                <w:sz w:val="21"/>
                <w:szCs w:val="21"/>
                <w:highlight w:val="none"/>
                <w:lang w:val="en-GB" w:eastAsia="zh-CN"/>
              </w:rPr>
              <w:t>V，50Hz。</w:t>
            </w:r>
          </w:p>
          <w:p w14:paraId="50B5A1ED">
            <w:pPr>
              <w:keepNext w:val="0"/>
              <w:keepLines w:val="0"/>
              <w:pageBreakBefore w:val="0"/>
              <w:tabs>
                <w:tab w:val="left" w:pos="3000"/>
              </w:tabs>
              <w:kinsoku/>
              <w:wordWrap/>
              <w:overflowPunct/>
              <w:topLinePunct w:val="0"/>
              <w:autoSpaceDE/>
              <w:autoSpaceDN/>
              <w:bidi w:val="0"/>
              <w:adjustRightInd/>
              <w:snapToGrid/>
              <w:spacing w:line="360" w:lineRule="auto"/>
              <w:ind w:firstLine="422" w:firstLineChars="200"/>
              <w:textAlignment w:val="auto"/>
              <w:outlineLvl w:val="3"/>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3.仪器用途</w:t>
            </w:r>
          </w:p>
          <w:p w14:paraId="4551B87E">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GB" w:eastAsia="zh-CN"/>
              </w:rPr>
              <w:t>3.1仪器适用于水体中氨氮、总氮、硫化物、硝酸盐氮、亚硝酸盐氮、凯氏氮等含氮、含硫类关键污染指标的精准定量检测。</w:t>
            </w:r>
          </w:p>
          <w:p w14:paraId="3D0D2750">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GB" w:eastAsia="zh-CN"/>
              </w:rPr>
            </w:pPr>
            <w:r>
              <w:rPr>
                <w:rFonts w:hint="eastAsia" w:ascii="宋体" w:hAnsi="宋体" w:eastAsia="宋体" w:cs="宋体"/>
                <w:b w:val="0"/>
                <w:bCs w:val="0"/>
                <w:color w:val="auto"/>
                <w:sz w:val="21"/>
                <w:szCs w:val="21"/>
                <w:highlight w:val="none"/>
                <w:lang w:val="en-GB" w:eastAsia="zh-CN"/>
              </w:rPr>
              <w:t>3.2满足《水质 氨氮的测定 气相分子吸收光谱法》（HJ 195-2023）、《水质总氮的测定气相分子吸收光谱法》（HJ 199-2023）、《水质硫化物的测定气相分子吸收光谱法》（HJ 200-2023）、《水质硝酸盐氮的测定气相分子吸收光谱法》（HJ 19</w:t>
            </w: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GB" w:eastAsia="zh-CN"/>
              </w:rPr>
              <w:t>-2024）、《水质亚硝酸盐氮的测定气相分子吸收光谱法》（HJ 19</w:t>
            </w: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GB" w:eastAsia="zh-CN"/>
              </w:rPr>
              <w:t>-2024）等</w:t>
            </w:r>
            <w:r>
              <w:rPr>
                <w:rFonts w:hint="eastAsia" w:ascii="宋体" w:hAnsi="宋体" w:eastAsia="宋体" w:cs="宋体"/>
                <w:b w:val="0"/>
                <w:bCs w:val="0"/>
                <w:color w:val="auto"/>
                <w:sz w:val="21"/>
                <w:szCs w:val="21"/>
                <w:highlight w:val="none"/>
                <w:lang w:val="en-US" w:eastAsia="zh-CN"/>
              </w:rPr>
              <w:t>相关</w:t>
            </w:r>
            <w:r>
              <w:rPr>
                <w:rFonts w:hint="eastAsia" w:ascii="宋体" w:hAnsi="宋体" w:eastAsia="宋体" w:cs="宋体"/>
                <w:b w:val="0"/>
                <w:bCs w:val="0"/>
                <w:color w:val="auto"/>
                <w:sz w:val="21"/>
                <w:szCs w:val="21"/>
                <w:highlight w:val="none"/>
                <w:lang w:val="en-GB" w:eastAsia="zh-CN"/>
              </w:rPr>
              <w:t>环境监测国家标准方法的分析</w:t>
            </w:r>
            <w:r>
              <w:rPr>
                <w:rFonts w:hint="eastAsia" w:ascii="宋体" w:hAnsi="宋体" w:eastAsia="宋体" w:cs="宋体"/>
                <w:b w:val="0"/>
                <w:bCs w:val="0"/>
                <w:color w:val="auto"/>
                <w:sz w:val="21"/>
                <w:szCs w:val="21"/>
                <w:highlight w:val="none"/>
                <w:lang w:val="en-US" w:eastAsia="zh-CN"/>
              </w:rPr>
              <w:t>要求</w:t>
            </w:r>
            <w:r>
              <w:rPr>
                <w:rFonts w:hint="eastAsia" w:ascii="宋体" w:hAnsi="宋体" w:eastAsia="宋体" w:cs="宋体"/>
                <w:b w:val="0"/>
                <w:bCs w:val="0"/>
                <w:color w:val="auto"/>
                <w:sz w:val="21"/>
                <w:szCs w:val="21"/>
                <w:highlight w:val="none"/>
                <w:lang w:val="en-GB" w:eastAsia="zh-CN"/>
              </w:rPr>
              <w:t>。</w:t>
            </w:r>
          </w:p>
          <w:p w14:paraId="763460BA">
            <w:pPr>
              <w:keepNext w:val="0"/>
              <w:keepLines w:val="0"/>
              <w:pageBreakBefore w:val="0"/>
              <w:tabs>
                <w:tab w:val="left" w:pos="3000"/>
              </w:tabs>
              <w:kinsoku/>
              <w:wordWrap/>
              <w:overflowPunct/>
              <w:topLinePunct w:val="0"/>
              <w:autoSpaceDE/>
              <w:autoSpaceDN/>
              <w:bidi w:val="0"/>
              <w:adjustRightInd/>
              <w:snapToGrid/>
              <w:spacing w:line="360" w:lineRule="auto"/>
              <w:ind w:firstLine="422" w:firstLineChars="200"/>
              <w:textAlignment w:val="auto"/>
              <w:outlineLvl w:val="3"/>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4.技术参数</w:t>
            </w:r>
          </w:p>
          <w:p w14:paraId="32DD044E">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GB" w:eastAsia="zh-CN"/>
              </w:rPr>
            </w:pPr>
            <w:r>
              <w:rPr>
                <w:rFonts w:hint="eastAsia" w:ascii="宋体" w:hAnsi="宋体" w:eastAsia="宋体" w:cs="宋体"/>
                <w:b w:val="0"/>
                <w:bCs w:val="0"/>
                <w:color w:val="auto"/>
                <w:sz w:val="21"/>
                <w:szCs w:val="21"/>
                <w:highlight w:val="none"/>
                <w:lang w:val="en-US" w:eastAsia="zh-CN"/>
              </w:rPr>
              <w:t xml:space="preserve">4.1 </w:t>
            </w:r>
            <w:r>
              <w:rPr>
                <w:rFonts w:hint="eastAsia" w:ascii="宋体" w:hAnsi="宋体" w:eastAsia="宋体" w:cs="宋体"/>
                <w:b w:val="0"/>
                <w:bCs w:val="0"/>
                <w:color w:val="auto"/>
                <w:sz w:val="21"/>
                <w:szCs w:val="21"/>
                <w:highlight w:val="none"/>
                <w:lang w:val="en-GB" w:eastAsia="zh-CN"/>
              </w:rPr>
              <w:t>主机系统</w:t>
            </w:r>
          </w:p>
          <w:p w14:paraId="433E61E7">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4.1.1内置气-液分离装置，使用高效的连续萃取气液分离技术。</w:t>
            </w:r>
          </w:p>
          <w:p w14:paraId="1DB29DEA">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▲4.1.2内置总氮在线消解系统，使用紫外在线消解系统，单个样品测量含消解时间小于5min。</w:t>
            </w:r>
          </w:p>
          <w:p w14:paraId="6361DF00">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■4.1.3内置氨氮在线氧化系统。</w:t>
            </w:r>
          </w:p>
          <w:p w14:paraId="7C6A8D33">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▲4.1.4内置自动稀释系统。可对不同浓度样品精准稀释；支持单点定标进行自动梯度稀释，自动生成覆盖检测范围的标准曲线，曲线相关性系数≥0.9995。</w:t>
            </w:r>
          </w:p>
          <w:p w14:paraId="139F99B7">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4.1.5内置在线加热系统，能开机自动检测环境温度，无需手动开启辅助加热，温度异常时自动停止加热。</w:t>
            </w:r>
          </w:p>
          <w:p w14:paraId="3ABC7FAA">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4.1.6内置自动除水系统，使用全过程无需干燥剂，采用半导体恒温除湿或同等效果技术，避免水汽干扰。</w:t>
            </w:r>
          </w:p>
          <w:p w14:paraId="4527903F">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4.1.7以氮气（纯度≥99.9%）为载气，配备载气净化系统；具备压力和流量双重监测报警系统。</w:t>
            </w:r>
          </w:p>
          <w:p w14:paraId="567C0D39">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4.1.8仪器在30min内基线的漂移不大于0.001Abs，基线最大瞬时噪声不大于0.0005Abs。</w:t>
            </w:r>
          </w:p>
          <w:p w14:paraId="47B8E3DF">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4.1.9采用适配各国标/行标方法要求的氘灯，固定灯位，光路稳定；具备光源寿命统计监测功能。</w:t>
            </w:r>
          </w:p>
          <w:p w14:paraId="0E62456C">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GB" w:eastAsia="zh-CN"/>
              </w:rPr>
            </w:pPr>
            <w:r>
              <w:rPr>
                <w:rFonts w:hint="eastAsia" w:ascii="宋体" w:hAnsi="宋体" w:eastAsia="宋体" w:cs="宋体"/>
                <w:b w:val="0"/>
                <w:bCs w:val="0"/>
                <w:color w:val="auto"/>
                <w:sz w:val="21"/>
                <w:szCs w:val="21"/>
                <w:highlight w:val="none"/>
                <w:lang w:val="en-US" w:eastAsia="zh-CN"/>
              </w:rPr>
              <w:t>4.1.10采用连续光源，波长范围覆盖各国标/行标方法特征波长要求，且连续可调；波长准确性±0.2nm，波长重复性±0.1nm</w:t>
            </w:r>
            <w:r>
              <w:rPr>
                <w:rFonts w:hint="eastAsia" w:ascii="宋体" w:hAnsi="宋体" w:eastAsia="宋体" w:cs="宋体"/>
                <w:b w:val="0"/>
                <w:bCs w:val="0"/>
                <w:color w:val="auto"/>
                <w:sz w:val="21"/>
                <w:szCs w:val="21"/>
                <w:highlight w:val="none"/>
                <w:lang w:val="en-GB" w:eastAsia="zh-CN"/>
              </w:rPr>
              <w:t>。</w:t>
            </w:r>
          </w:p>
          <w:p w14:paraId="1B54F916">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4.2 试剂瓶架</w:t>
            </w:r>
          </w:p>
          <w:p w14:paraId="13424F1D">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4.2.1配置试剂瓶架。与主机、自动进样系统衔接，布局合理。</w:t>
            </w:r>
          </w:p>
          <w:p w14:paraId="1DD80068">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4.2.2至少可容纳6个1000mL规格试剂瓶。</w:t>
            </w:r>
          </w:p>
          <w:p w14:paraId="1ED048CA">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4.3自动进样器</w:t>
            </w:r>
          </w:p>
          <w:p w14:paraId="511DB8AC">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▲4.3.1样品位数≥50位，样品管容积不小于50mL，适配大体积样品或高浓度稀释需求。</w:t>
            </w:r>
          </w:p>
          <w:p w14:paraId="31D3B29E">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4.3.2样品盘可拆洗，进样管路/进样针采用耐腐蚀材质；具备程序控制流动洗针功能，可软件调节洗针流量，适配不同污染程度样品。</w:t>
            </w:r>
          </w:p>
          <w:p w14:paraId="6DAE2881">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■4.3.3配备均质吹扫系统，支持进样前/进样中均质，软件可设置吹扫时间，消除样品分层、去除VOC干扰。</w:t>
            </w:r>
          </w:p>
          <w:p w14:paraId="1A0E05F2">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4.4氨氮</w:t>
            </w:r>
          </w:p>
          <w:p w14:paraId="7D44FB5C">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■4.4.1检出限：≤0.02mg/L；</w:t>
            </w:r>
          </w:p>
          <w:p w14:paraId="60235ADA">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4.4.2标准曲线相关系数：r≥0.9995；</w:t>
            </w:r>
          </w:p>
          <w:p w14:paraId="4F184C35">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4.4.3精密度（连续6次测定）：0.2mg/L时RSD＜3%。</w:t>
            </w:r>
          </w:p>
          <w:p w14:paraId="0FBBE793">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4.5亚硝酸盐氮</w:t>
            </w:r>
          </w:p>
          <w:p w14:paraId="5A7E8C03">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■4.5.1检出限：≤0.003mg/L；</w:t>
            </w:r>
          </w:p>
          <w:p w14:paraId="28B6FBD5">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4.5.2标准曲线相关系数：r≥0.9995；</w:t>
            </w:r>
          </w:p>
          <w:p w14:paraId="2F88060F">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4.5.3精密度（连续6次测定）：0.2mg/L时RSD＜3%。</w:t>
            </w:r>
          </w:p>
          <w:p w14:paraId="63B24C02">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4.6硝酸盐氮</w:t>
            </w:r>
          </w:p>
          <w:p w14:paraId="645B4EB0">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■4.6.1检出限：≤0.008mg/L；</w:t>
            </w:r>
          </w:p>
          <w:p w14:paraId="0CB9CDC3">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4.6.2标准曲线相关系数：r≥0.9995；</w:t>
            </w:r>
          </w:p>
          <w:p w14:paraId="286C8B88">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4.6.3精密度（连续6次测定）：0.5mg/L时RSD＜3%。</w:t>
            </w:r>
          </w:p>
          <w:p w14:paraId="35F23AD8">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4.7总氮</w:t>
            </w:r>
          </w:p>
          <w:p w14:paraId="117A562D">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■4.7.1检出限：≤0.05mg/L</w:t>
            </w:r>
          </w:p>
          <w:p w14:paraId="2835B067">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4.7.2标准曲线相关系数：r≥0.9995</w:t>
            </w:r>
          </w:p>
          <w:p w14:paraId="5586609D">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4.7.3精密度（连续6次测定）：0.5mg/L时RSD＜3%。</w:t>
            </w:r>
          </w:p>
          <w:p w14:paraId="2F8E1476">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4.8硫化物</w:t>
            </w:r>
          </w:p>
          <w:p w14:paraId="5BE1B6DA">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■4.8.1检出限：≤0.005mg/L</w:t>
            </w:r>
          </w:p>
          <w:p w14:paraId="1AFA44BB">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4.8.2标准曲线相关系数：r≥0.9995</w:t>
            </w:r>
          </w:p>
          <w:p w14:paraId="07156C4D">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4.8.3精密度（连续6次测定）：0.2mg/L时RSD＜3%。</w:t>
            </w:r>
          </w:p>
          <w:p w14:paraId="60FF10A1">
            <w:pPr>
              <w:keepNext w:val="0"/>
              <w:keepLines w:val="0"/>
              <w:pageBreakBefore w:val="0"/>
              <w:tabs>
                <w:tab w:val="left" w:pos="3000"/>
              </w:tabs>
              <w:kinsoku/>
              <w:wordWrap/>
              <w:overflowPunct/>
              <w:topLinePunct w:val="0"/>
              <w:autoSpaceDE/>
              <w:autoSpaceDN/>
              <w:bidi w:val="0"/>
              <w:adjustRightInd/>
              <w:snapToGrid/>
              <w:spacing w:line="360" w:lineRule="auto"/>
              <w:ind w:firstLine="420" w:firstLineChars="200"/>
              <w:textAlignment w:val="auto"/>
              <w:outlineLvl w:val="3"/>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lang w:val="en-US" w:eastAsia="zh-CN"/>
              </w:rPr>
              <w:t xml:space="preserve"> 仪器采用</w:t>
            </w:r>
            <w:r>
              <w:rPr>
                <w:rFonts w:hint="eastAsia" w:ascii="宋体" w:hAnsi="宋体" w:eastAsia="宋体" w:cs="宋体"/>
                <w:b w:val="0"/>
                <w:bCs w:val="0"/>
                <w:color w:val="auto"/>
                <w:sz w:val="21"/>
                <w:szCs w:val="21"/>
                <w:highlight w:val="none"/>
              </w:rPr>
              <w:t>模块化组合</w:t>
            </w:r>
            <w:r>
              <w:rPr>
                <w:rFonts w:hint="eastAsia" w:ascii="宋体" w:hAnsi="宋体" w:eastAsia="宋体" w:cs="宋体"/>
                <w:b w:val="0"/>
                <w:bCs w:val="0"/>
                <w:color w:val="auto"/>
                <w:sz w:val="21"/>
                <w:szCs w:val="21"/>
                <w:highlight w:val="none"/>
                <w:lang w:val="en-US" w:eastAsia="zh-CN"/>
              </w:rPr>
              <w:t>，可实现总氮项目的自动消解、分析检测以及高浓度样品的自动稀释。</w:t>
            </w:r>
          </w:p>
          <w:p w14:paraId="7A305663">
            <w:pPr>
              <w:keepNext w:val="0"/>
              <w:keepLines w:val="0"/>
              <w:pageBreakBefore w:val="0"/>
              <w:tabs>
                <w:tab w:val="left" w:pos="3000"/>
              </w:tabs>
              <w:kinsoku/>
              <w:wordWrap/>
              <w:overflowPunct/>
              <w:topLinePunct w:val="0"/>
              <w:autoSpaceDE/>
              <w:autoSpaceDN/>
              <w:bidi w:val="0"/>
              <w:adjustRightInd/>
              <w:snapToGrid/>
              <w:spacing w:line="360" w:lineRule="auto"/>
              <w:ind w:firstLine="422" w:firstLineChars="200"/>
              <w:textAlignment w:val="auto"/>
              <w:outlineLvl w:val="3"/>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5.数据处理系统</w:t>
            </w:r>
          </w:p>
          <w:p w14:paraId="7F848443">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5.1数据输出和输入系统1套（品牌计算机，I5十二代及以上， 内存16G及以上， DVD刻录， 固态硬盘1T以上， ≥22液晶专用显示器，中文正版Win10 64位专业系统；A4黑白激光打印机1套。）</w:t>
            </w:r>
          </w:p>
          <w:p w14:paraId="61F82A04">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val="0"/>
                <w:bCs w:val="0"/>
                <w:color w:val="auto"/>
                <w:sz w:val="21"/>
                <w:szCs w:val="21"/>
                <w:highlight w:val="none"/>
                <w:lang w:val="en-US" w:eastAsia="zh-CN"/>
              </w:rPr>
              <w:t>5.2操作软件支持开机检测通讯口、波长、泵转速、灯位等，并可直接设置测试波长、泵转速、进样时间等参数；具备实时显示检测图谱功能，支持平行样图谱对比；具备紧急添加样品功能；自动保存检测数据、操作日志，支持报告导出；具备测量全程基线实时显示功能。</w:t>
            </w:r>
          </w:p>
        </w:tc>
      </w:tr>
      <w:tr w14:paraId="219A6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932" w:type="dxa"/>
            <w:vAlign w:val="center"/>
          </w:tcPr>
          <w:p w14:paraId="249C9EB5">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2</w:t>
            </w:r>
          </w:p>
        </w:tc>
        <w:tc>
          <w:tcPr>
            <w:tcW w:w="2739" w:type="dxa"/>
            <w:vAlign w:val="center"/>
          </w:tcPr>
          <w:p w14:paraId="1B1F0A7C">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离子色谱仪</w:t>
            </w:r>
          </w:p>
        </w:tc>
        <w:tc>
          <w:tcPr>
            <w:tcW w:w="9188" w:type="dxa"/>
            <w:vAlign w:val="center"/>
          </w:tcPr>
          <w:p w14:paraId="014A1017">
            <w:pPr>
              <w:pageBreakBefore w:val="0"/>
              <w:kinsoku/>
              <w:wordWrap/>
              <w:overflowPunct/>
              <w:topLinePunct w:val="0"/>
              <w:autoSpaceDE/>
              <w:autoSpaceDN/>
              <w:bidi w:val="0"/>
              <w:spacing w:line="360"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1离子色谱仪用途与功能</w:t>
            </w:r>
          </w:p>
          <w:p w14:paraId="02E50C67">
            <w:pPr>
              <w:pageBreakBefore w:val="0"/>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color w:val="000000"/>
                <w:sz w:val="21"/>
                <w:szCs w:val="21"/>
              </w:rPr>
              <w:t>仪器可用于样品中常规阴离子：</w:t>
            </w:r>
            <w:r>
              <w:rPr>
                <w:rFonts w:hint="eastAsia" w:ascii="宋体" w:hAnsi="宋体" w:eastAsia="宋体" w:cs="宋体"/>
                <w:sz w:val="21"/>
                <w:szCs w:val="21"/>
              </w:rPr>
              <w:t>F-、Cl-、Br-、NO3-、NO2-、SO42-、PO43-、碘化物等指标的</w:t>
            </w:r>
            <w:r>
              <w:rPr>
                <w:rFonts w:hint="eastAsia" w:ascii="宋体" w:hAnsi="宋体" w:eastAsia="宋体" w:cs="宋体"/>
                <w:color w:val="000000"/>
                <w:sz w:val="21"/>
                <w:szCs w:val="21"/>
              </w:rPr>
              <w:t>分析。</w:t>
            </w:r>
          </w:p>
          <w:p w14:paraId="095FD159">
            <w:pPr>
              <w:pageBreakBefore w:val="0"/>
              <w:kinsoku/>
              <w:wordWrap/>
              <w:overflowPunct/>
              <w:topLinePunct w:val="0"/>
              <w:autoSpaceDE/>
              <w:autoSpaceDN/>
              <w:bidi w:val="0"/>
              <w:spacing w:line="360"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2 仪器配置：（采购数量按招标清单为准，这里只表示每台采购设备应配置的备件或耗材数量）</w:t>
            </w:r>
          </w:p>
          <w:p w14:paraId="533B2350">
            <w:pPr>
              <w:pageBreakBefore w:val="0"/>
              <w:kinsoku/>
              <w:wordWrap/>
              <w:overflowPunct/>
              <w:topLinePunct w:val="0"/>
              <w:autoSpaceDE/>
              <w:autoSpaceDN/>
              <w:bidi w:val="0"/>
              <w:spacing w:line="360" w:lineRule="auto"/>
              <w:rPr>
                <w:rFonts w:hint="eastAsia" w:ascii="宋体" w:hAnsi="宋体" w:eastAsia="宋体" w:cs="宋体"/>
                <w:b/>
                <w:bCs/>
                <w:color w:val="000000"/>
                <w:sz w:val="21"/>
                <w:szCs w:val="21"/>
              </w:rPr>
            </w:pPr>
            <w:r>
              <w:rPr>
                <w:rFonts w:hint="eastAsia" w:ascii="宋体" w:hAnsi="宋体" w:eastAsia="宋体" w:cs="宋体"/>
                <w:color w:val="000000"/>
                <w:sz w:val="21"/>
                <w:szCs w:val="21"/>
              </w:rPr>
              <w:t>一体化离子色谱系统：包括高压泵1套，内置柱温箱1套，保护柱1套，阴离子色谱柱1套，阴离子自再生微膜抑制器1套，电导检测器1套，自动进样器1套，软件操作系统1套，报警传感器1套，电脑打印机1套。</w:t>
            </w:r>
          </w:p>
          <w:p w14:paraId="458B0261">
            <w:pPr>
              <w:pageBreakBefore w:val="0"/>
              <w:kinsoku/>
              <w:wordWrap/>
              <w:overflowPunct/>
              <w:topLinePunct w:val="0"/>
              <w:autoSpaceDE/>
              <w:autoSpaceDN/>
              <w:bidi w:val="0"/>
              <w:spacing w:line="360"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3 性能及技术参数要求</w:t>
            </w:r>
          </w:p>
          <w:p w14:paraId="234DBF15">
            <w:pPr>
              <w:pageBreakBefore w:val="0"/>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b/>
                <w:bCs/>
                <w:color w:val="000000"/>
                <w:sz w:val="21"/>
                <w:szCs w:val="21"/>
              </w:rPr>
              <w:t>3.1泵</w:t>
            </w:r>
          </w:p>
          <w:p w14:paraId="687B731B">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3.1.1 泵头及管路均为化学惰性非金属材质，</w:t>
            </w:r>
            <w:r>
              <w:rPr>
                <w:rFonts w:hint="eastAsia" w:ascii="宋体" w:hAnsi="宋体" w:eastAsia="宋体" w:cs="宋体"/>
                <w:color w:val="000000"/>
                <w:sz w:val="21"/>
                <w:szCs w:val="21"/>
                <w:lang w:val="en-US" w:eastAsia="zh-CN"/>
              </w:rPr>
              <w:t>采用</w:t>
            </w:r>
            <w:r>
              <w:rPr>
                <w:rFonts w:hint="eastAsia" w:ascii="宋体" w:hAnsi="宋体" w:eastAsia="宋体" w:cs="宋体"/>
                <w:b w:val="0"/>
                <w:bCs w:val="0"/>
                <w:color w:val="000000"/>
                <w:sz w:val="21"/>
                <w:szCs w:val="21"/>
              </w:rPr>
              <w:t>双柱塞串联/并联平流泵</w:t>
            </w:r>
            <w:r>
              <w:rPr>
                <w:rFonts w:hint="eastAsia" w:ascii="宋体" w:hAnsi="宋体" w:eastAsia="宋体" w:cs="宋体"/>
                <w:color w:val="000000"/>
                <w:sz w:val="21"/>
                <w:szCs w:val="21"/>
              </w:rPr>
              <w:t>，配</w:t>
            </w:r>
            <w:r>
              <w:rPr>
                <w:rFonts w:hint="eastAsia" w:ascii="宋体" w:hAnsi="宋体" w:eastAsia="宋体" w:cs="宋体"/>
                <w:b w:val="0"/>
                <w:bCs w:val="0"/>
                <w:color w:val="000000"/>
                <w:sz w:val="21"/>
                <w:szCs w:val="21"/>
              </w:rPr>
              <w:t>PEEK 泵头+全PEEK 流路</w:t>
            </w:r>
            <w:r>
              <w:rPr>
                <w:rFonts w:hint="eastAsia" w:ascii="宋体" w:hAnsi="宋体" w:eastAsia="宋体" w:cs="宋体"/>
                <w:color w:val="000000"/>
                <w:sz w:val="21"/>
                <w:szCs w:val="21"/>
              </w:rPr>
              <w:t>，适合pH为0～14的淋洗液及反相有机溶剂；</w:t>
            </w:r>
          </w:p>
          <w:p w14:paraId="18771A38">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sz w:val="21"/>
                <w:szCs w:val="21"/>
              </w:rPr>
              <w:t>▲</w:t>
            </w:r>
            <w:r>
              <w:rPr>
                <w:rFonts w:hint="eastAsia" w:ascii="宋体" w:hAnsi="宋体" w:eastAsia="宋体" w:cs="宋体"/>
                <w:color w:val="000000"/>
                <w:sz w:val="21"/>
                <w:szCs w:val="21"/>
              </w:rPr>
              <w:t>3.1.2最大耐压≥40MPa；</w:t>
            </w:r>
          </w:p>
          <w:p w14:paraId="6F936B9B">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3.1.3压力显示精度：≤0.1MPa；</w:t>
            </w:r>
          </w:p>
          <w:p w14:paraId="77170B1F">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3.1.4流量设定值允许误差：≤0.1% ；</w:t>
            </w:r>
          </w:p>
          <w:p w14:paraId="53C3ABE0">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3.1.5流量稳定性：≤0.1% ；</w:t>
            </w:r>
          </w:p>
          <w:p w14:paraId="01B389AF">
            <w:pPr>
              <w:pageBreakBefore w:val="0"/>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color w:val="000000"/>
                <w:sz w:val="21"/>
                <w:szCs w:val="21"/>
              </w:rPr>
              <w:t>3.1.6压力波动：≤0.5%；</w:t>
            </w:r>
          </w:p>
          <w:p w14:paraId="35CE10F7">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sz w:val="21"/>
                <w:szCs w:val="21"/>
              </w:rPr>
              <w:t>■</w:t>
            </w:r>
            <w:r>
              <w:rPr>
                <w:rFonts w:hint="eastAsia" w:ascii="宋体" w:hAnsi="宋体" w:eastAsia="宋体" w:cs="宋体"/>
                <w:color w:val="000000"/>
                <w:sz w:val="21"/>
                <w:szCs w:val="21"/>
              </w:rPr>
              <w:t>3.1.7具有自动后冲洗系统，可以对柱塞杆和密封圈进行自动清洗；</w:t>
            </w:r>
          </w:p>
          <w:p w14:paraId="530223CE">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3.1.8流量范围：0.001-9.999mL/min（无需更换泵头）；流量增幅：≤0.001 mL/min；</w:t>
            </w:r>
          </w:p>
          <w:p w14:paraId="4F798130">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sz w:val="21"/>
                <w:szCs w:val="21"/>
              </w:rPr>
              <w:t>■</w:t>
            </w:r>
            <w:r>
              <w:rPr>
                <w:rFonts w:hint="eastAsia" w:ascii="宋体" w:hAnsi="宋体" w:eastAsia="宋体" w:cs="宋体"/>
                <w:color w:val="000000"/>
                <w:sz w:val="21"/>
                <w:szCs w:val="21"/>
              </w:rPr>
              <w:t>3.1.9具有漏液传感器，可进行漏液报警。</w:t>
            </w:r>
          </w:p>
          <w:p w14:paraId="1EE3CC82">
            <w:pPr>
              <w:pageBreakBefore w:val="0"/>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b/>
                <w:bCs/>
                <w:color w:val="000000"/>
                <w:sz w:val="21"/>
                <w:szCs w:val="21"/>
              </w:rPr>
              <w:t>3.2电导检测器</w:t>
            </w:r>
          </w:p>
          <w:p w14:paraId="3D9EB096">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3.2.1 自动量程电导检测器，μg/L~g/L浓度范围信号直接拓展，无需调整量程；</w:t>
            </w:r>
          </w:p>
          <w:p w14:paraId="4CD5C57C">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3.2.2全程信号输出范围：0-46000μS/cm，无需调整量程；</w:t>
            </w:r>
          </w:p>
          <w:p w14:paraId="7AA801CA">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3.2.3基线噪声：</w:t>
            </w:r>
            <w:r>
              <w:rPr>
                <w:rFonts w:hint="eastAsia" w:ascii="宋体" w:hAnsi="宋体" w:eastAsia="宋体" w:cs="宋体"/>
                <w:sz w:val="21"/>
                <w:szCs w:val="21"/>
              </w:rPr>
              <w:t>0.002</w:t>
            </w:r>
            <w:r>
              <w:rPr>
                <w:rFonts w:hint="eastAsia" w:ascii="宋体" w:hAnsi="宋体" w:eastAsia="宋体" w:cs="宋体"/>
                <w:color w:val="000000"/>
                <w:sz w:val="21"/>
                <w:szCs w:val="21"/>
              </w:rPr>
              <w:t>μS/cm</w:t>
            </w:r>
          </w:p>
          <w:p w14:paraId="1059511E">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3.2.4基线漂移：≤</w:t>
            </w:r>
            <w:r>
              <w:rPr>
                <w:rFonts w:hint="eastAsia" w:ascii="宋体" w:hAnsi="宋体" w:eastAsia="宋体" w:cs="宋体"/>
                <w:sz w:val="21"/>
                <w:szCs w:val="21"/>
              </w:rPr>
              <w:t>0.008</w:t>
            </w:r>
            <w:r>
              <w:rPr>
                <w:rFonts w:hint="eastAsia" w:ascii="宋体" w:hAnsi="宋体" w:eastAsia="宋体" w:cs="宋体"/>
                <w:color w:val="000000"/>
                <w:sz w:val="21"/>
                <w:szCs w:val="21"/>
              </w:rPr>
              <w:t>μS.cm</w:t>
            </w:r>
            <w:r>
              <w:rPr>
                <w:rFonts w:hint="eastAsia" w:ascii="宋体" w:hAnsi="宋体" w:eastAsia="宋体" w:cs="宋体"/>
                <w:color w:val="000000"/>
                <w:sz w:val="21"/>
                <w:szCs w:val="21"/>
                <w:vertAlign w:val="superscript"/>
              </w:rPr>
              <w:t>-1</w:t>
            </w:r>
            <w:r>
              <w:rPr>
                <w:rFonts w:hint="eastAsia" w:ascii="宋体" w:hAnsi="宋体" w:eastAsia="宋体" w:cs="宋体"/>
                <w:color w:val="000000"/>
                <w:sz w:val="21"/>
                <w:szCs w:val="21"/>
              </w:rPr>
              <w:t>/30min）</w:t>
            </w:r>
          </w:p>
          <w:p w14:paraId="7FA56990">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sz w:val="21"/>
                <w:szCs w:val="21"/>
              </w:rPr>
              <w:t>▲</w:t>
            </w:r>
            <w:r>
              <w:rPr>
                <w:rFonts w:hint="eastAsia" w:ascii="宋体" w:hAnsi="宋体" w:eastAsia="宋体" w:cs="宋体"/>
                <w:color w:val="000000"/>
                <w:sz w:val="21"/>
                <w:szCs w:val="21"/>
              </w:rPr>
              <w:t>3.2.5最小检测浓度：Cl-≤</w:t>
            </w:r>
            <w:r>
              <w:rPr>
                <w:rFonts w:hint="eastAsia" w:ascii="宋体" w:hAnsi="宋体" w:eastAsia="宋体" w:cs="宋体"/>
                <w:sz w:val="21"/>
                <w:szCs w:val="21"/>
              </w:rPr>
              <w:t>0.0005</w:t>
            </w:r>
            <w:r>
              <w:rPr>
                <w:rFonts w:hint="eastAsia" w:ascii="宋体" w:hAnsi="宋体" w:eastAsia="宋体" w:cs="宋体"/>
                <w:color w:val="000000"/>
                <w:sz w:val="21"/>
                <w:szCs w:val="21"/>
              </w:rPr>
              <w:t>μg/mL  Li+≤</w:t>
            </w:r>
            <w:r>
              <w:rPr>
                <w:rFonts w:hint="eastAsia" w:ascii="宋体" w:hAnsi="宋体" w:eastAsia="宋体" w:cs="宋体"/>
                <w:sz w:val="21"/>
                <w:szCs w:val="21"/>
              </w:rPr>
              <w:t>0.0005</w:t>
            </w:r>
            <w:r>
              <w:rPr>
                <w:rFonts w:hint="eastAsia" w:ascii="宋体" w:hAnsi="宋体" w:eastAsia="宋体" w:cs="宋体"/>
                <w:color w:val="000000"/>
                <w:sz w:val="21"/>
                <w:szCs w:val="21"/>
              </w:rPr>
              <w:t xml:space="preserve">μg/mL）  </w:t>
            </w:r>
          </w:p>
          <w:p w14:paraId="44672DB8">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3.2.6定性重复性：≤0.1%，定量重复性：≤0.1%；</w:t>
            </w:r>
          </w:p>
          <w:p w14:paraId="7A7EEAC3">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3.2.7电导池体积：≤0.6μL；</w:t>
            </w:r>
          </w:p>
          <w:p w14:paraId="6E2CF3C4">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3.2.8检测器</w:t>
            </w:r>
            <w:r>
              <w:rPr>
                <w:rFonts w:hint="eastAsia" w:ascii="宋体" w:hAnsi="宋体" w:eastAsia="宋体" w:cs="宋体"/>
                <w:color w:val="000000"/>
                <w:sz w:val="21"/>
                <w:szCs w:val="21"/>
                <w:lang w:val="en-US" w:eastAsia="zh-CN"/>
              </w:rPr>
              <w:t>分辨率</w:t>
            </w:r>
            <w:r>
              <w:rPr>
                <w:rFonts w:hint="eastAsia" w:ascii="宋体" w:hAnsi="宋体" w:eastAsia="宋体" w:cs="宋体"/>
                <w:i w:val="0"/>
                <w:iCs w:val="0"/>
                <w:color w:val="000000"/>
                <w:kern w:val="0"/>
                <w:sz w:val="21"/>
                <w:szCs w:val="21"/>
                <w:u w:val="none"/>
                <w:lang w:val="en-US" w:eastAsia="zh-CN" w:bidi="ar"/>
              </w:rPr>
              <w:t>≤0.0023nS/cm，</w:t>
            </w:r>
            <w:r>
              <w:rPr>
                <w:rFonts w:hint="eastAsia" w:ascii="宋体" w:hAnsi="宋体" w:eastAsia="宋体" w:cs="宋体"/>
                <w:color w:val="000000"/>
                <w:sz w:val="21"/>
                <w:szCs w:val="21"/>
              </w:rPr>
              <w:t>耐受最大压力≥8Mpa；</w:t>
            </w:r>
          </w:p>
          <w:p w14:paraId="305A4FE0">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3.2.9信号采集频率：信号采集频率可调，并且最大采集频率不低于100Hz。</w:t>
            </w:r>
          </w:p>
          <w:p w14:paraId="7BF3BEE2">
            <w:pPr>
              <w:pageBreakBefore w:val="0"/>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b/>
                <w:bCs/>
                <w:color w:val="000000"/>
                <w:sz w:val="21"/>
                <w:szCs w:val="21"/>
              </w:rPr>
              <w:t>3.3抑制器</w:t>
            </w:r>
          </w:p>
          <w:p w14:paraId="6148CA5B">
            <w:pPr>
              <w:pageBreakBefore w:val="0"/>
              <w:widowControl/>
              <w:kinsoku/>
              <w:wordWrap/>
              <w:overflowPunct/>
              <w:topLinePunct w:val="0"/>
              <w:autoSpaceDE/>
              <w:autoSpaceDN/>
              <w:bidi w:val="0"/>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3.3.1使用电解技术在线产生抑制所需的H+或OH-，不需通入酸、碱进行再生；</w:t>
            </w:r>
          </w:p>
          <w:p w14:paraId="42C7D2D8">
            <w:pPr>
              <w:pageBreakBefore w:val="0"/>
              <w:widowControl/>
              <w:kinsoku/>
              <w:wordWrap/>
              <w:overflowPunct/>
              <w:topLinePunct w:val="0"/>
              <w:autoSpaceDE/>
              <w:autoSpaceDN/>
              <w:bidi w:val="0"/>
              <w:spacing w:line="360" w:lineRule="auto"/>
              <w:jc w:val="left"/>
              <w:rPr>
                <w:rFonts w:hint="eastAsia" w:ascii="宋体" w:hAnsi="宋体" w:eastAsia="宋体" w:cs="宋体"/>
                <w:color w:val="000000"/>
                <w:sz w:val="21"/>
                <w:szCs w:val="21"/>
              </w:rPr>
            </w:pPr>
            <w:r>
              <w:rPr>
                <w:rFonts w:hint="eastAsia" w:ascii="宋体" w:hAnsi="宋体" w:eastAsia="宋体" w:cs="宋体"/>
                <w:sz w:val="21"/>
                <w:szCs w:val="21"/>
              </w:rPr>
              <w:t>■</w:t>
            </w:r>
            <w:r>
              <w:rPr>
                <w:rFonts w:hint="eastAsia" w:ascii="宋体" w:hAnsi="宋体" w:eastAsia="宋体" w:cs="宋体"/>
                <w:color w:val="000000"/>
                <w:sz w:val="21"/>
                <w:szCs w:val="21"/>
              </w:rPr>
              <w:t>3.3.2并联式再生液流路设计，再生液经抑制器内部管路同时向阴阳电极同时提供再生液；</w:t>
            </w:r>
          </w:p>
          <w:p w14:paraId="234938C4">
            <w:pPr>
              <w:pageBreakBefore w:val="0"/>
              <w:widowControl/>
              <w:kinsoku/>
              <w:wordWrap/>
              <w:overflowPunct/>
              <w:topLinePunct w:val="0"/>
              <w:autoSpaceDE/>
              <w:autoSpaceDN/>
              <w:bidi w:val="0"/>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3.3.3高抑制容量：抑制容量200μeq/min(阴离子)，100μeq/min(阳离子）；</w:t>
            </w:r>
          </w:p>
          <w:p w14:paraId="00E27801">
            <w:pPr>
              <w:pageBreakBefore w:val="0"/>
              <w:widowControl/>
              <w:kinsoku/>
              <w:wordWrap/>
              <w:overflowPunct/>
              <w:topLinePunct w:val="0"/>
              <w:autoSpaceDE/>
              <w:autoSpaceDN/>
              <w:bidi w:val="0"/>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3.3.4耐压能力强，在高达6MPa情况下无泄漏，2MPa下正常运行；</w:t>
            </w:r>
          </w:p>
          <w:p w14:paraId="23995D75">
            <w:pPr>
              <w:pageBreakBefore w:val="0"/>
              <w:widowControl/>
              <w:kinsoku/>
              <w:wordWrap/>
              <w:overflowPunct/>
              <w:topLinePunct w:val="0"/>
              <w:autoSpaceDE/>
              <w:autoSpaceDN/>
              <w:bidi w:val="0"/>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3.3.5死体积≤50μL，更灵敏的响应信号；</w:t>
            </w:r>
          </w:p>
          <w:p w14:paraId="072CE35A">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b/>
                <w:bCs/>
                <w:color w:val="000000"/>
                <w:sz w:val="21"/>
                <w:szCs w:val="21"/>
              </w:rPr>
              <w:t>3.4色谱柱</w:t>
            </w:r>
          </w:p>
          <w:p w14:paraId="6D79AB6E">
            <w:pPr>
              <w:pageBreakBefore w:val="0"/>
              <w:widowControl/>
              <w:kinsoku/>
              <w:wordWrap/>
              <w:overflowPunct/>
              <w:topLinePunct w:val="0"/>
              <w:autoSpaceDE/>
              <w:autoSpaceDN/>
              <w:bidi w:val="0"/>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▲3.4.1阴、阳离子色谱柱能够耐受pH 0-14的工作范围，可耐受3000 psi以上压力，可以使用强酸强碱淋洗液；</w:t>
            </w:r>
          </w:p>
          <w:p w14:paraId="4204577C">
            <w:pPr>
              <w:pageBreakBefore w:val="0"/>
              <w:widowControl/>
              <w:kinsoku/>
              <w:wordWrap/>
              <w:overflowPunct/>
              <w:topLinePunct w:val="0"/>
              <w:autoSpaceDE/>
              <w:autoSpaceDN/>
              <w:bidi w:val="0"/>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3.4.2柱容量不小于200μeq/根。</w:t>
            </w:r>
          </w:p>
          <w:p w14:paraId="0DDFDA8B">
            <w:pPr>
              <w:pageBreakBefore w:val="0"/>
              <w:widowControl/>
              <w:kinsoku/>
              <w:wordWrap/>
              <w:overflowPunct/>
              <w:topLinePunct w:val="0"/>
              <w:autoSpaceDE/>
              <w:autoSpaceDN/>
              <w:bidi w:val="0"/>
              <w:spacing w:line="360" w:lineRule="auto"/>
              <w:jc w:val="left"/>
              <w:rPr>
                <w:rFonts w:hint="eastAsia" w:ascii="宋体" w:hAnsi="宋体" w:eastAsia="宋体" w:cs="宋体"/>
                <w:color w:val="000000"/>
                <w:sz w:val="21"/>
                <w:szCs w:val="21"/>
              </w:rPr>
            </w:pPr>
            <w:r>
              <w:rPr>
                <w:rFonts w:hint="eastAsia" w:ascii="宋体" w:hAnsi="宋体" w:eastAsia="宋体" w:cs="宋体"/>
                <w:sz w:val="21"/>
                <w:szCs w:val="21"/>
              </w:rPr>
              <w:t>■</w:t>
            </w:r>
            <w:r>
              <w:rPr>
                <w:rFonts w:hint="eastAsia" w:ascii="宋体" w:hAnsi="宋体" w:eastAsia="宋体" w:cs="宋体"/>
                <w:color w:val="000000"/>
                <w:sz w:val="21"/>
                <w:szCs w:val="21"/>
              </w:rPr>
              <w:t>3.4.3  Cl-：NO2-的分离能力可达到10000:1，适用于高氯基体样品中痕量亚硝酸盐的分析。</w:t>
            </w:r>
          </w:p>
          <w:p w14:paraId="1815F539">
            <w:pPr>
              <w:pageBreakBefore w:val="0"/>
              <w:widowControl/>
              <w:kinsoku/>
              <w:wordWrap/>
              <w:overflowPunct/>
              <w:topLinePunct w:val="0"/>
              <w:autoSpaceDE/>
              <w:autoSpaceDN/>
              <w:bidi w:val="0"/>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3.4.4 氢氧根体系色谱柱：一次进样，可在45分钟内完成17种以上离子的分离；</w:t>
            </w:r>
          </w:p>
          <w:p w14:paraId="455C8528">
            <w:pPr>
              <w:pageBreakBefore w:val="0"/>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b/>
                <w:bCs/>
                <w:color w:val="000000"/>
                <w:sz w:val="21"/>
                <w:szCs w:val="21"/>
              </w:rPr>
              <w:t>3.5工作站</w:t>
            </w:r>
          </w:p>
          <w:p w14:paraId="0A6D47E6">
            <w:pPr>
              <w:pageBreakBefore w:val="0"/>
              <w:kinsoku/>
              <w:wordWrap/>
              <w:overflowPunct/>
              <w:topLinePunct w:val="0"/>
              <w:autoSpaceDE/>
              <w:autoSpaceDN/>
              <w:bidi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3.5.1基于数据库设计，产生的所有数据都存储在数据库中，数据自动备份机制，可使数据永久存储；</w:t>
            </w:r>
          </w:p>
          <w:p w14:paraId="33120462">
            <w:pPr>
              <w:pageBreakBefore w:val="0"/>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color w:val="000000"/>
                <w:sz w:val="21"/>
                <w:szCs w:val="21"/>
              </w:rPr>
              <w:t>3.5.2</w:t>
            </w:r>
            <w:r>
              <w:rPr>
                <w:rFonts w:hint="eastAsia" w:ascii="宋体" w:hAnsi="宋体" w:eastAsia="宋体" w:cs="宋体"/>
                <w:sz w:val="21"/>
                <w:szCs w:val="21"/>
              </w:rPr>
              <w:t>色谱工作站软件，中文操作界面，匹配Windows系统，可兼容国产麒麟操作系统</w:t>
            </w:r>
          </w:p>
          <w:p w14:paraId="6D0407EB">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3.5.3可采用柱状图、折线图、气泡图等多种形式显示数据点的趋势与离散度； </w:t>
            </w:r>
          </w:p>
          <w:p w14:paraId="4CD1C3A9">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3.5.4工作站可对适时分析条件参数和分析结果进行监控，在线监测和采集泵压力变化、温度变化、淋洗液浓度变化、抑制器电流等各部件数据；</w:t>
            </w:r>
          </w:p>
          <w:p w14:paraId="1FFD4ED9">
            <w:pPr>
              <w:pageBreakBefore w:val="0"/>
              <w:kinsoku/>
              <w:wordWrap/>
              <w:overflowPunct/>
              <w:topLinePunct w:val="0"/>
              <w:autoSpaceDE/>
              <w:autoSpaceDN/>
              <w:bidi w:val="0"/>
              <w:spacing w:line="360"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3.6内置柱温箱</w:t>
            </w:r>
          </w:p>
          <w:p w14:paraId="72C6151A">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3.6.1循环立体风热加温模式，加热均匀。</w:t>
            </w:r>
          </w:p>
          <w:p w14:paraId="1F4862DC">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sz w:val="21"/>
                <w:szCs w:val="21"/>
              </w:rPr>
              <w:t>■</w:t>
            </w:r>
            <w:r>
              <w:rPr>
                <w:rFonts w:hint="eastAsia" w:ascii="宋体" w:hAnsi="宋体" w:eastAsia="宋体" w:cs="宋体"/>
                <w:color w:val="000000"/>
                <w:sz w:val="21"/>
                <w:szCs w:val="21"/>
              </w:rPr>
              <w:t>3.6.2温度控制范围：内置柱温箱且可实现加热、制冷控温，环境温度±5-75℃；</w:t>
            </w:r>
          </w:p>
          <w:p w14:paraId="14D6D229">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3.6.3柱温箱温度设定值允许误差：≤±0.1℃；</w:t>
            </w:r>
          </w:p>
          <w:p w14:paraId="4180E324">
            <w:pPr>
              <w:pageBreakBefore w:val="0"/>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color w:val="000000"/>
                <w:sz w:val="21"/>
                <w:szCs w:val="21"/>
              </w:rPr>
              <w:t>3.6.4温度稳定性：≤0.1℃/h。</w:t>
            </w:r>
          </w:p>
          <w:p w14:paraId="383DE7BC">
            <w:pPr>
              <w:pageBreakBefore w:val="0"/>
              <w:kinsoku/>
              <w:wordWrap/>
              <w:overflowPunct/>
              <w:topLinePunct w:val="0"/>
              <w:autoSpaceDE/>
              <w:autoSpaceDN/>
              <w:bidi w:val="0"/>
              <w:spacing w:line="360"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3.7进样器</w:t>
            </w:r>
          </w:p>
          <w:p w14:paraId="38DB8795">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3.7.1三轴式自动进样器，无需人工值守，可连续完成进样，进样批次一致性高；</w:t>
            </w:r>
          </w:p>
          <w:p w14:paraId="6D1A7787">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▲3.7.2样品位数：120位进样位，可实现2mL和5mL</w:t>
            </w:r>
            <w:r>
              <w:rPr>
                <w:rFonts w:hint="eastAsia" w:ascii="宋体" w:hAnsi="宋体" w:eastAsia="宋体" w:cs="宋体"/>
                <w:color w:val="000000"/>
                <w:sz w:val="21"/>
                <w:szCs w:val="21"/>
                <w:lang w:val="en-US" w:eastAsia="zh-CN"/>
              </w:rPr>
              <w:t>或2ml</w:t>
            </w:r>
            <w:r>
              <w:rPr>
                <w:rFonts w:hint="eastAsia" w:ascii="宋体" w:hAnsi="宋体" w:eastAsia="宋体" w:cs="宋体"/>
                <w:color w:val="000000"/>
                <w:sz w:val="21"/>
                <w:szCs w:val="21"/>
              </w:rPr>
              <w:t>样品位同时进</w:t>
            </w:r>
            <w:r>
              <w:rPr>
                <w:rFonts w:hint="eastAsia" w:ascii="宋体" w:hAnsi="宋体" w:eastAsia="宋体" w:cs="宋体"/>
                <w:color w:val="000000"/>
                <w:sz w:val="21"/>
                <w:szCs w:val="21"/>
                <w:lang w:val="en-US" w:eastAsia="zh-CN"/>
              </w:rPr>
              <w:t>样</w:t>
            </w:r>
            <w:r>
              <w:rPr>
                <w:rFonts w:hint="eastAsia" w:ascii="宋体" w:hAnsi="宋体" w:eastAsia="宋体" w:cs="宋体"/>
                <w:color w:val="000000"/>
                <w:sz w:val="21"/>
                <w:szCs w:val="21"/>
              </w:rPr>
              <w:t>分析，无需切换样品盘。</w:t>
            </w:r>
          </w:p>
          <w:p w14:paraId="4E20C606">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3.7.3</w:t>
            </w:r>
            <w:r>
              <w:rPr>
                <w:rFonts w:hint="eastAsia" w:ascii="宋体" w:hAnsi="宋体" w:eastAsia="宋体" w:cs="宋体"/>
                <w:sz w:val="21"/>
                <w:szCs w:val="21"/>
              </w:rPr>
              <w:t>最大进样量：500μL</w:t>
            </w:r>
            <w:r>
              <w:rPr>
                <w:rFonts w:hint="eastAsia" w:ascii="宋体" w:hAnsi="宋体" w:eastAsia="宋体" w:cs="宋体"/>
                <w:color w:val="000000"/>
                <w:sz w:val="21"/>
                <w:szCs w:val="21"/>
              </w:rPr>
              <w:t>；</w:t>
            </w:r>
          </w:p>
          <w:p w14:paraId="1516D69F">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3.7.4进样方式：可实现全定量环和部分定量环和微量进样；</w:t>
            </w:r>
          </w:p>
          <w:p w14:paraId="5970F96D">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3.7.5进样精密度：满环进样：RSD≤0.3%</w:t>
            </w:r>
          </w:p>
          <w:p w14:paraId="7D73A5EE">
            <w:pPr>
              <w:pageBreakBefore w:val="0"/>
              <w:kinsoku/>
              <w:wordWrap/>
              <w:overflowPunct/>
              <w:topLinePunct w:val="0"/>
              <w:autoSpaceDE/>
              <w:autoSpaceDN/>
              <w:bidi w:val="0"/>
              <w:spacing w:line="360" w:lineRule="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rPr>
              <w:t>■</w:t>
            </w:r>
            <w:r>
              <w:rPr>
                <w:rFonts w:hint="eastAsia" w:ascii="宋体" w:hAnsi="宋体" w:eastAsia="宋体" w:cs="宋体"/>
                <w:color w:val="000000"/>
                <w:sz w:val="21"/>
                <w:szCs w:val="21"/>
              </w:rPr>
              <w:t>3.7.6 具有自动稀释功能，可以实现样品的自动稀释和标准曲线的自动配置</w:t>
            </w:r>
          </w:p>
        </w:tc>
      </w:tr>
      <w:tr w14:paraId="52251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932" w:type="dxa"/>
            <w:vAlign w:val="center"/>
          </w:tcPr>
          <w:p w14:paraId="2DB8B127">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3</w:t>
            </w:r>
          </w:p>
        </w:tc>
        <w:tc>
          <w:tcPr>
            <w:tcW w:w="2739" w:type="dxa"/>
            <w:vAlign w:val="center"/>
          </w:tcPr>
          <w:p w14:paraId="380420D9">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全自动总磷总氮测定仪</w:t>
            </w:r>
          </w:p>
        </w:tc>
        <w:tc>
          <w:tcPr>
            <w:tcW w:w="9188" w:type="dxa"/>
            <w:vAlign w:val="center"/>
          </w:tcPr>
          <w:p w14:paraId="05F412AD">
            <w:pPr>
              <w:pageBreakBefore w:val="0"/>
              <w:kinsoku/>
              <w:wordWrap/>
              <w:overflowPunct/>
              <w:topLinePunct w:val="0"/>
              <w:autoSpaceDE/>
              <w:autoSpaceDN/>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1、用于水中总磷、总氮指标的全自动化检测，</w:t>
            </w:r>
            <w:r>
              <w:rPr>
                <w:rFonts w:hint="eastAsia" w:ascii="宋体" w:hAnsi="宋体" w:eastAsia="宋体" w:cs="宋体"/>
                <w:color w:val="auto"/>
                <w:sz w:val="21"/>
                <w:szCs w:val="21"/>
                <w:highlight w:val="none"/>
                <w:lang w:val="en-US" w:eastAsia="zh-CN"/>
              </w:rPr>
              <w:t>符合</w:t>
            </w:r>
            <w:r>
              <w:rPr>
                <w:rFonts w:hint="eastAsia" w:ascii="宋体" w:hAnsi="宋体" w:eastAsia="宋体" w:cs="宋体"/>
                <w:color w:val="auto"/>
                <w:sz w:val="21"/>
                <w:szCs w:val="21"/>
                <w:highlight w:val="none"/>
              </w:rPr>
              <w:t>《水质 总磷的测定 钼酸铵分光光度法》（GB/T 11893-1989）、《水质 总氮的测定 碱性过硫酸钾消解紫外分光光度法》（HJ636-2012）方法标准；</w:t>
            </w:r>
          </w:p>
          <w:p w14:paraId="798F1485">
            <w:pPr>
              <w:pageBreakBefore w:val="0"/>
              <w:kinsoku/>
              <w:wordWrap/>
              <w:overflowPunct/>
              <w:topLinePunct w:val="0"/>
              <w:autoSpaceDE/>
              <w:autoSpaceDN/>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2、全流程自动化完成批量样品试剂加入、消解、冷却、定容、混匀、检测、清洗、数据采集与处理、数据报告生成等操作；</w:t>
            </w:r>
          </w:p>
          <w:p w14:paraId="44F51AD3">
            <w:pPr>
              <w:pageBreakBefore w:val="0"/>
              <w:kinsoku/>
              <w:wordWrap/>
              <w:overflowPunct/>
              <w:topLinePunct w:val="0"/>
              <w:autoSpaceDE/>
              <w:autoSpaceDN/>
              <w:bidi w:val="0"/>
              <w:adjustRightInd/>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3、仪器可按单个标准母液，自动配置标准梯度，建立标准曲线；</w:t>
            </w:r>
          </w:p>
          <w:p w14:paraId="014ACDD8">
            <w:pPr>
              <w:keepNext w:val="0"/>
              <w:keepLines w:val="0"/>
              <w:pageBreakBefore w:val="0"/>
              <w:widowControl/>
              <w:suppressLineNumbers w:val="0"/>
              <w:kinsoku/>
              <w:wordWrap/>
              <w:overflowPunct/>
              <w:topLinePunct w:val="0"/>
              <w:autoSpaceDE/>
              <w:autoSpaceDN/>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▲4、智能自动稀释，对浓度超过测定上限的样品，仪器可按测试结果自动稀释后重新测试；稀释倍数不小于20倍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lang w:val="en-US" w:eastAsia="zh-CN" w:bidi="ar"/>
              </w:rPr>
              <w:t xml:space="preserve"> </w:t>
            </w:r>
          </w:p>
          <w:p w14:paraId="14656CF4">
            <w:pPr>
              <w:pageBreakBefore w:val="0"/>
              <w:kinsoku/>
              <w:wordWrap/>
              <w:overflowPunct/>
              <w:topLinePunct w:val="0"/>
              <w:autoSpaceDE/>
              <w:autoSpaceDN/>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消解系统，样品独立密封、消解，消解温度为120-124℃，工作压力为1.1-1.4kg/cm²，消解时间30min；</w:t>
            </w:r>
          </w:p>
          <w:p w14:paraId="1393DC94">
            <w:pPr>
              <w:pageBreakBefore w:val="0"/>
              <w:kinsoku/>
              <w:wordWrap/>
              <w:overflowPunct/>
              <w:topLinePunct w:val="0"/>
              <w:autoSpaceDE/>
              <w:autoSpaceDN/>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样品瓶盖自动拧开后自动添加试剂，试剂添加完成后自动拧紧瓶盖。</w:t>
            </w:r>
          </w:p>
          <w:p w14:paraId="29C13EB2">
            <w:pPr>
              <w:pageBreakBefore w:val="0"/>
              <w:kinsoku/>
              <w:wordWrap/>
              <w:overflowPunct/>
              <w:topLinePunct w:val="0"/>
              <w:autoSpaceDE/>
              <w:autoSpaceDN/>
              <w:bidi w:val="0"/>
              <w:spacing w:line="360" w:lineRule="auto"/>
              <w:rPr>
                <w:rFonts w:hint="eastAsia" w:ascii="宋体" w:hAnsi="宋体" w:eastAsia="宋体" w:cs="宋体"/>
                <w:color w:val="auto"/>
                <w:sz w:val="21"/>
                <w:szCs w:val="21"/>
                <w:lang w:val="en-US"/>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、比色测定系统，采用高精度CCD检测器</w:t>
            </w:r>
            <w:r>
              <w:rPr>
                <w:rFonts w:hint="eastAsia" w:ascii="宋体" w:hAnsi="宋体" w:eastAsia="宋体" w:cs="宋体"/>
                <w:color w:val="auto"/>
                <w:sz w:val="21"/>
                <w:szCs w:val="21"/>
                <w:highlight w:val="none"/>
                <w:lang w:val="en-US" w:eastAsia="zh-CN"/>
              </w:rPr>
              <w:t>或分光光度计检测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一次可以进行</w:t>
            </w:r>
            <w:r>
              <w:rPr>
                <w:rFonts w:hint="eastAsia" w:ascii="宋体" w:hAnsi="宋体" w:eastAsia="宋体" w:cs="宋体"/>
                <w:color w:val="auto"/>
                <w:sz w:val="21"/>
                <w:szCs w:val="21"/>
                <w:lang w:val="en-US" w:eastAsia="zh-CN"/>
              </w:rPr>
              <w:t>多波长同时测定；</w:t>
            </w:r>
          </w:p>
          <w:p w14:paraId="1662F8C0">
            <w:pPr>
              <w:pageBreakBefore w:val="0"/>
              <w:kinsoku/>
              <w:wordWrap/>
              <w:overflowPunct/>
              <w:topLinePunct w:val="0"/>
              <w:autoSpaceDE/>
              <w:autoSpaceDN/>
              <w:bidi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、仪器配有自动清洗功能，可自动清洗消解比色瓶；</w:t>
            </w:r>
          </w:p>
          <w:p w14:paraId="6E8FDD91">
            <w:pPr>
              <w:pageBreakBefore w:val="0"/>
              <w:kinsoku/>
              <w:wordWrap/>
              <w:overflowPunct/>
              <w:topLinePunct w:val="0"/>
              <w:autoSpaceDE/>
              <w:autoSpaceDN/>
              <w:bidi w:val="0"/>
              <w:spacing w:line="360" w:lineRule="auto"/>
              <w:rPr>
                <w:rFonts w:hint="eastAsia" w:ascii="宋体" w:hAnsi="宋体" w:eastAsia="宋体" w:cs="宋体"/>
                <w:color w:val="auto"/>
                <w:sz w:val="21"/>
                <w:szCs w:val="21"/>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、可自动配置梯度标液，自动绘制标准曲线</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自动在样品中进行加标，也可自动插入质控样；</w:t>
            </w:r>
          </w:p>
          <w:p w14:paraId="2C073699">
            <w:pPr>
              <w:pageBreakBefore w:val="0"/>
              <w:kinsoku/>
              <w:wordWrap/>
              <w:overflowPunct/>
              <w:topLinePunct w:val="0"/>
              <w:autoSpaceDE/>
              <w:autoSpaceDN/>
              <w:bidi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能实</w:t>
            </w:r>
            <w:r>
              <w:rPr>
                <w:rFonts w:hint="eastAsia" w:ascii="宋体" w:hAnsi="宋体" w:eastAsia="宋体" w:cs="宋体"/>
                <w:color w:val="auto"/>
                <w:sz w:val="21"/>
                <w:szCs w:val="21"/>
              </w:rPr>
              <w:t>现绘制标准曲线、数据保存、数据调用、生成测试报告</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实时上传检测数据等功能。</w:t>
            </w:r>
          </w:p>
          <w:p w14:paraId="47E3995D">
            <w:pPr>
              <w:pageBreakBefore w:val="0"/>
              <w:kinsoku/>
              <w:wordWrap/>
              <w:overflowPunct/>
              <w:topLinePunct w:val="0"/>
              <w:autoSpaceDE/>
              <w:autoSpaceDN/>
              <w:bidi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、仪器指标：</w:t>
            </w:r>
          </w:p>
          <w:p w14:paraId="6B985294">
            <w:pPr>
              <w:pageBreakBefore w:val="0"/>
              <w:kinsoku/>
              <w:wordWrap/>
              <w:overflowPunct/>
              <w:topLinePunct w:val="0"/>
              <w:autoSpaceDE/>
              <w:autoSpaceDN/>
              <w:bidi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.1测定范围：TP：（0-1.2）mg/L（不稀释，取样量25 mL时），TN: 0-7mg/L（不稀释，取样量10ML时）；</w:t>
            </w:r>
          </w:p>
          <w:p w14:paraId="1B65DDFE">
            <w:pPr>
              <w:pageBreakBefore w:val="0"/>
              <w:kinsoku/>
              <w:wordWrap/>
              <w:overflowPunct/>
              <w:topLinePunct w:val="0"/>
              <w:autoSpaceDE/>
              <w:autoSpaceDN/>
              <w:bidi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.2检出限：TP：≤0.01 mg/L, TN: ≤0.05 mg/L；</w:t>
            </w:r>
          </w:p>
          <w:p w14:paraId="606B7685">
            <w:pPr>
              <w:pageBreakBefore w:val="0"/>
              <w:kinsoku/>
              <w:wordWrap/>
              <w:overflowPunct/>
              <w:topLinePunct w:val="0"/>
              <w:autoSpaceDE/>
              <w:autoSpaceDN/>
              <w:bidi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.4重复性：TP:1.0mg/LRSD&lt;1.0%,0.5mg/LRSD&lt;3.5%</w:t>
            </w:r>
          </w:p>
          <w:p w14:paraId="77CD0ACB">
            <w:pPr>
              <w:pageBreakBefore w:val="0"/>
              <w:kinsoku/>
              <w:wordWrap/>
              <w:overflowPunct/>
              <w:topLinePunct w:val="0"/>
              <w:autoSpaceDE/>
              <w:autoSpaceDN/>
              <w:bidi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TN: 4.0mg/LRSD&lt;1.0%,2.0mg/LRSD&lt;3.5%</w:t>
            </w:r>
          </w:p>
          <w:p w14:paraId="67025BC7">
            <w:pPr>
              <w:pageBreakBefore w:val="0"/>
              <w:kinsoku/>
              <w:wordWrap/>
              <w:overflowPunct/>
              <w:topLinePunct w:val="0"/>
              <w:autoSpaceDE/>
              <w:autoSpaceDN/>
              <w:bidi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.5消解位不少于</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个</w:t>
            </w:r>
          </w:p>
          <w:p w14:paraId="0D6A5BAA">
            <w:pPr>
              <w:pageBreakBefore w:val="0"/>
              <w:kinsoku/>
              <w:wordWrap/>
              <w:overflowPunct/>
              <w:topLinePunct w:val="0"/>
              <w:autoSpaceDE/>
              <w:autoSpaceDN/>
              <w:bidi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.6 自动进样器样品位：</w:t>
            </w:r>
            <w:r>
              <w:rPr>
                <w:rFonts w:hint="eastAsia" w:ascii="宋体" w:hAnsi="宋体" w:eastAsia="宋体" w:cs="宋体"/>
                <w:color w:val="auto"/>
                <w:sz w:val="21"/>
                <w:szCs w:val="21"/>
                <w:lang w:val="en-US" w:eastAsia="zh-CN"/>
              </w:rPr>
              <w:t>不少于60</w:t>
            </w:r>
            <w:r>
              <w:rPr>
                <w:rFonts w:hint="eastAsia" w:ascii="宋体" w:hAnsi="宋体" w:eastAsia="宋体" w:cs="宋体"/>
                <w:color w:val="auto"/>
                <w:sz w:val="21"/>
                <w:szCs w:val="21"/>
              </w:rPr>
              <w:t>位</w:t>
            </w:r>
          </w:p>
          <w:p w14:paraId="773F5A42">
            <w:pPr>
              <w:pageBreakBefore w:val="0"/>
              <w:kinsoku/>
              <w:wordWrap/>
              <w:overflowPunct/>
              <w:topLinePunct w:val="0"/>
              <w:autoSpaceDE/>
              <w:autoSpaceDN/>
              <w:bidi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、仪器配置</w:t>
            </w:r>
          </w:p>
          <w:p w14:paraId="0BC36D3A">
            <w:pPr>
              <w:pageBreakBefore w:val="0"/>
              <w:kinsoku/>
              <w:wordWrap/>
              <w:overflowPunct/>
              <w:topLinePunct w:val="0"/>
              <w:autoSpaceDE/>
              <w:autoSpaceDN/>
              <w:bidi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.1总磷总氮智能分析仪 1套（内置：高温高压消解系统、比色测定系统、试剂定量加液系统、自动清洗系统、数据</w:t>
            </w:r>
            <w:r>
              <w:rPr>
                <w:rFonts w:hint="eastAsia" w:ascii="宋体" w:hAnsi="宋体" w:eastAsia="宋体" w:cs="宋体"/>
                <w:color w:val="auto"/>
                <w:sz w:val="21"/>
                <w:szCs w:val="21"/>
                <w:lang w:val="en-US" w:eastAsia="zh-CN"/>
              </w:rPr>
              <w:t>输入输出</w:t>
            </w:r>
            <w:r>
              <w:rPr>
                <w:rFonts w:hint="eastAsia" w:ascii="宋体" w:hAnsi="宋体" w:eastAsia="宋体" w:cs="宋体"/>
                <w:color w:val="auto"/>
                <w:sz w:val="21"/>
                <w:szCs w:val="21"/>
              </w:rPr>
              <w:t>处理控制系统）</w:t>
            </w:r>
          </w:p>
          <w:p w14:paraId="4728F821">
            <w:pPr>
              <w:pageBreakBefore w:val="0"/>
              <w:kinsoku/>
              <w:wordWrap/>
              <w:overflowPunct/>
              <w:topLinePunct w:val="0"/>
              <w:autoSpaceDE/>
              <w:autoSpaceDN/>
              <w:bidi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.2 自动进样器 1套</w:t>
            </w:r>
          </w:p>
          <w:p w14:paraId="5FF4747F">
            <w:pPr>
              <w:pageBreakBefore w:val="0"/>
              <w:kinsoku/>
              <w:wordWrap/>
              <w:overflowPunct/>
              <w:topLinePunct w:val="0"/>
              <w:autoSpaceDE/>
              <w:autoSpaceDN/>
              <w:bidi w:val="0"/>
              <w:spacing w:line="360" w:lineRule="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.3打印机 1套</w:t>
            </w:r>
          </w:p>
        </w:tc>
      </w:tr>
      <w:tr w14:paraId="44991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932" w:type="dxa"/>
            <w:vAlign w:val="center"/>
          </w:tcPr>
          <w:p w14:paraId="358BB16B">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4</w:t>
            </w:r>
          </w:p>
        </w:tc>
        <w:tc>
          <w:tcPr>
            <w:tcW w:w="2739" w:type="dxa"/>
            <w:vAlign w:val="center"/>
          </w:tcPr>
          <w:p w14:paraId="209147F3">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全自动红外测油仪</w:t>
            </w:r>
          </w:p>
        </w:tc>
        <w:tc>
          <w:tcPr>
            <w:tcW w:w="9188" w:type="dxa"/>
            <w:vAlign w:val="center"/>
          </w:tcPr>
          <w:p w14:paraId="6A804371">
            <w:pPr>
              <w:pageBreakBefore w:val="0"/>
              <w:widowControl w:val="0"/>
              <w:kinsoku/>
              <w:wordWrap/>
              <w:overflowPunct/>
              <w:topLinePunct w:val="0"/>
              <w:autoSpaceDE/>
              <w:autoSpaceDN/>
              <w:bidi w:val="0"/>
              <w:adjustRightInd/>
              <w:snapToGrid/>
              <w:spacing w:line="360" w:lineRule="auto"/>
              <w:ind w:firstLine="422" w:firstLineChars="200"/>
              <w:textAlignment w:val="auto"/>
              <w:outlineLvl w:val="3"/>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1.主机配置和备件耗材</w:t>
            </w:r>
          </w:p>
          <w:p w14:paraId="7D2936E5">
            <w:pPr>
              <w:keepNext w:val="0"/>
              <w:keepLines w:val="0"/>
              <w:pageBreakBefore w:val="0"/>
              <w:tabs>
                <w:tab w:val="left" w:pos="3000"/>
              </w:tabs>
              <w:kinsoku/>
              <w:wordWrap/>
              <w:overflowPunct/>
              <w:topLinePunct w:val="0"/>
              <w:autoSpaceDE/>
              <w:autoSpaceDN/>
              <w:bidi w:val="0"/>
              <w:adjustRightInd/>
              <w:snapToGrid/>
              <w:spacing w:line="360" w:lineRule="auto"/>
              <w:ind w:firstLine="422" w:firstLineChars="200"/>
              <w:textAlignment w:val="auto"/>
              <w:outlineLvl w:val="3"/>
              <w:rPr>
                <w:rFonts w:hint="eastAsia" w:ascii="宋体" w:hAnsi="宋体" w:eastAsia="宋体" w:cs="宋体"/>
                <w:sz w:val="21"/>
                <w:szCs w:val="21"/>
                <w:lang w:val="en-US" w:eastAsia="zh-CN"/>
              </w:rPr>
            </w:pPr>
            <w:r>
              <w:rPr>
                <w:rFonts w:hint="eastAsia" w:ascii="宋体" w:hAnsi="宋体" w:eastAsia="宋体" w:cs="宋体"/>
                <w:b/>
                <w:color w:val="auto"/>
                <w:sz w:val="21"/>
                <w:szCs w:val="21"/>
                <w:highlight w:val="none"/>
                <w:lang w:val="en-US" w:eastAsia="zh-CN"/>
              </w:rPr>
              <w:t>（采购数量按招标清单为准，这里只表示每台采购设备应配置的备件或耗材数量）</w:t>
            </w:r>
          </w:p>
          <w:tbl>
            <w:tblPr>
              <w:tblStyle w:val="23"/>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6"/>
              <w:gridCol w:w="2459"/>
              <w:gridCol w:w="4459"/>
              <w:gridCol w:w="1169"/>
            </w:tblGrid>
            <w:tr w14:paraId="4C421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611" w:type="pct"/>
                  <w:noWrap w:val="0"/>
                  <w:vAlign w:val="center"/>
                </w:tcPr>
                <w:p w14:paraId="3E80883C">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p>
              </w:tc>
              <w:tc>
                <w:tcPr>
                  <w:tcW w:w="1334" w:type="pct"/>
                  <w:noWrap w:val="0"/>
                  <w:vAlign w:val="center"/>
                </w:tcPr>
                <w:p w14:paraId="2F8D9B8F">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2419" w:type="pct"/>
                  <w:noWrap w:val="0"/>
                  <w:vAlign w:val="center"/>
                </w:tcPr>
                <w:p w14:paraId="47073B56">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c>
                <w:tcPr>
                  <w:tcW w:w="634" w:type="pct"/>
                  <w:noWrap w:val="0"/>
                  <w:vAlign w:val="center"/>
                </w:tcPr>
                <w:p w14:paraId="50A0D1CB">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p w14:paraId="79507F8A">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（台/套）</w:t>
                  </w:r>
                </w:p>
              </w:tc>
            </w:tr>
            <w:tr w14:paraId="0D506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11" w:type="pct"/>
                  <w:noWrap w:val="0"/>
                  <w:vAlign w:val="center"/>
                </w:tcPr>
                <w:p w14:paraId="3E5D909A">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主机</w:t>
                  </w:r>
                </w:p>
              </w:tc>
              <w:tc>
                <w:tcPr>
                  <w:tcW w:w="1334" w:type="pct"/>
                  <w:noWrap w:val="0"/>
                  <w:vAlign w:val="center"/>
                </w:tcPr>
                <w:p w14:paraId="1D8C85FD">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全自动红外分光测油仪</w:t>
                  </w:r>
                </w:p>
              </w:tc>
              <w:tc>
                <w:tcPr>
                  <w:tcW w:w="2419" w:type="pct"/>
                  <w:noWrap w:val="0"/>
                  <w:vAlign w:val="center"/>
                </w:tcPr>
                <w:p w14:paraId="52CE9EA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含主机，前处理单元，检测单元、操控系统等必需部件</w:t>
                  </w:r>
                </w:p>
              </w:tc>
              <w:tc>
                <w:tcPr>
                  <w:tcW w:w="634" w:type="pct"/>
                  <w:noWrap w:val="0"/>
                  <w:vAlign w:val="center"/>
                </w:tcPr>
                <w:p w14:paraId="156C67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p>
              </w:tc>
            </w:tr>
            <w:tr w14:paraId="5F565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pct"/>
                  <w:vMerge w:val="restart"/>
                  <w:noWrap w:val="0"/>
                  <w:vAlign w:val="center"/>
                </w:tcPr>
                <w:p w14:paraId="5F549B97">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备件/耗材</w:t>
                  </w:r>
                </w:p>
              </w:tc>
              <w:tc>
                <w:tcPr>
                  <w:tcW w:w="1334" w:type="pct"/>
                  <w:noWrap w:val="0"/>
                  <w:vAlign w:val="center"/>
                </w:tcPr>
                <w:p w14:paraId="41F95C11">
                  <w:pPr>
                    <w:pageBreakBefore w:val="0"/>
                    <w:kinsoku/>
                    <w:wordWrap/>
                    <w:overflowPunct/>
                    <w:topLinePunct w:val="0"/>
                    <w:autoSpaceDE/>
                    <w:autoSpaceDN/>
                    <w:bidi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数据处理系统</w:t>
                  </w:r>
                </w:p>
              </w:tc>
              <w:tc>
                <w:tcPr>
                  <w:tcW w:w="2419" w:type="pct"/>
                  <w:noWrap w:val="0"/>
                  <w:vAlign w:val="center"/>
                </w:tcPr>
                <w:p w14:paraId="39BB3982">
                  <w:pPr>
                    <w:pageBreakBefore w:val="0"/>
                    <w:kinsoku/>
                    <w:wordWrap/>
                    <w:overflowPunct/>
                    <w:topLinePunct w:val="0"/>
                    <w:autoSpaceDE/>
                    <w:autoSpaceDN/>
                    <w:bidi w:val="0"/>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预装有正版windows操作系统及office软件、原装工作站和数据处理软件等</w:t>
                  </w:r>
                </w:p>
              </w:tc>
              <w:tc>
                <w:tcPr>
                  <w:tcW w:w="634" w:type="pct"/>
                  <w:noWrap w:val="0"/>
                  <w:vAlign w:val="center"/>
                </w:tcPr>
                <w:p w14:paraId="38F556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r>
            <w:tr w14:paraId="40915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11" w:type="pct"/>
                  <w:vMerge w:val="continue"/>
                  <w:noWrap w:val="0"/>
                  <w:vAlign w:val="center"/>
                </w:tcPr>
                <w:p w14:paraId="7A100CEA">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p>
              </w:tc>
              <w:tc>
                <w:tcPr>
                  <w:tcW w:w="1334" w:type="pct"/>
                  <w:noWrap w:val="0"/>
                  <w:vAlign w:val="center"/>
                </w:tcPr>
                <w:p w14:paraId="00D0FB3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自动采样器</w:t>
                  </w:r>
                </w:p>
              </w:tc>
              <w:tc>
                <w:tcPr>
                  <w:tcW w:w="2419" w:type="pct"/>
                  <w:noWrap w:val="0"/>
                  <w:vAlign w:val="center"/>
                </w:tcPr>
                <w:p w14:paraId="3FACE3C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石油类</w:t>
                  </w:r>
                </w:p>
              </w:tc>
              <w:tc>
                <w:tcPr>
                  <w:tcW w:w="634" w:type="pct"/>
                  <w:noWrap w:val="0"/>
                  <w:vAlign w:val="center"/>
                </w:tcPr>
                <w:p w14:paraId="66C6F1C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r>
            <w:tr w14:paraId="1773E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11" w:type="pct"/>
                  <w:vMerge w:val="continue"/>
                  <w:noWrap w:val="0"/>
                  <w:vAlign w:val="center"/>
                </w:tcPr>
                <w:p w14:paraId="09B6B270">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p>
              </w:tc>
              <w:tc>
                <w:tcPr>
                  <w:tcW w:w="1334" w:type="pct"/>
                  <w:shd w:val="clear" w:color="auto" w:fill="auto"/>
                  <w:noWrap w:val="0"/>
                  <w:vAlign w:val="center"/>
                </w:tcPr>
                <w:p w14:paraId="1DE9B1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便携样品箱</w:t>
                  </w:r>
                </w:p>
              </w:tc>
              <w:tc>
                <w:tcPr>
                  <w:tcW w:w="2419" w:type="pct"/>
                  <w:shd w:val="clear" w:color="auto" w:fill="auto"/>
                  <w:noWrap w:val="0"/>
                  <w:vAlign w:val="center"/>
                </w:tcPr>
                <w:p w14:paraId="13F1560B">
                  <w:pPr>
                    <w:pageBreakBefore w:val="0"/>
                    <w:kinsoku/>
                    <w:wordWrap/>
                    <w:overflowPunct/>
                    <w:topLinePunct w:val="0"/>
                    <w:autoSpaceDE/>
                    <w:autoSpaceDN/>
                    <w:bidi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与采样瓶适配，可同时盛放≥15个采样瓶</w:t>
                  </w:r>
                </w:p>
              </w:tc>
              <w:tc>
                <w:tcPr>
                  <w:tcW w:w="634" w:type="pct"/>
                  <w:noWrap w:val="0"/>
                  <w:vAlign w:val="center"/>
                </w:tcPr>
                <w:p w14:paraId="6290C72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r>
            <w:tr w14:paraId="36B55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11" w:type="pct"/>
                  <w:vMerge w:val="continue"/>
                  <w:noWrap w:val="0"/>
                  <w:vAlign w:val="center"/>
                </w:tcPr>
                <w:p w14:paraId="4B95AE57">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p>
              </w:tc>
              <w:tc>
                <w:tcPr>
                  <w:tcW w:w="1334" w:type="pct"/>
                  <w:noWrap w:val="0"/>
                  <w:vAlign w:val="center"/>
                </w:tcPr>
                <w:p w14:paraId="1026ED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采样瓶</w:t>
                  </w:r>
                </w:p>
              </w:tc>
              <w:tc>
                <w:tcPr>
                  <w:tcW w:w="2419" w:type="pct"/>
                  <w:noWrap w:val="0"/>
                  <w:vAlign w:val="center"/>
                </w:tcPr>
                <w:p w14:paraId="1AD78FDE">
                  <w:pPr>
                    <w:pageBreakBefore w:val="0"/>
                    <w:kinsoku/>
                    <w:wordWrap/>
                    <w:overflowPunct/>
                    <w:topLinePunct w:val="0"/>
                    <w:autoSpaceDE/>
                    <w:autoSpaceDN/>
                    <w:bidi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与自动采样器适配，含配套盖子</w:t>
                  </w:r>
                </w:p>
              </w:tc>
              <w:tc>
                <w:tcPr>
                  <w:tcW w:w="634" w:type="pct"/>
                  <w:noWrap w:val="0"/>
                  <w:vAlign w:val="center"/>
                </w:tcPr>
                <w:p w14:paraId="0F8C24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w:t>
                  </w:r>
                </w:p>
              </w:tc>
            </w:tr>
            <w:tr w14:paraId="1D619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11" w:type="pct"/>
                  <w:vMerge w:val="continue"/>
                  <w:noWrap w:val="0"/>
                  <w:vAlign w:val="center"/>
                </w:tcPr>
                <w:p w14:paraId="49DC71B6">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p>
              </w:tc>
              <w:tc>
                <w:tcPr>
                  <w:tcW w:w="1334" w:type="pct"/>
                  <w:noWrap w:val="0"/>
                  <w:vAlign w:val="center"/>
                </w:tcPr>
                <w:p w14:paraId="66369E5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1000mL废液瓶</w:t>
                  </w:r>
                </w:p>
              </w:tc>
              <w:tc>
                <w:tcPr>
                  <w:tcW w:w="2419" w:type="pct"/>
                  <w:noWrap w:val="0"/>
                  <w:vAlign w:val="center"/>
                </w:tcPr>
                <w:p w14:paraId="5CED559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634" w:type="pct"/>
                  <w:noWrap w:val="0"/>
                  <w:vAlign w:val="center"/>
                </w:tcPr>
                <w:p w14:paraId="459C71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r>
            <w:tr w14:paraId="7B31A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11" w:type="pct"/>
                  <w:vMerge w:val="continue"/>
                  <w:noWrap w:val="0"/>
                  <w:vAlign w:val="center"/>
                </w:tcPr>
                <w:p w14:paraId="1B74BAB4">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p>
              </w:tc>
              <w:tc>
                <w:tcPr>
                  <w:tcW w:w="1334" w:type="pct"/>
                  <w:noWrap w:val="0"/>
                  <w:vAlign w:val="center"/>
                </w:tcPr>
                <w:p w14:paraId="30DD19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废液桶</w:t>
                  </w:r>
                </w:p>
              </w:tc>
              <w:tc>
                <w:tcPr>
                  <w:tcW w:w="2419" w:type="pct"/>
                  <w:noWrap w:val="0"/>
                  <w:vAlign w:val="center"/>
                </w:tcPr>
                <w:p w14:paraId="39E51AC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10L</w:t>
                  </w:r>
                </w:p>
              </w:tc>
              <w:tc>
                <w:tcPr>
                  <w:tcW w:w="634" w:type="pct"/>
                  <w:noWrap w:val="0"/>
                  <w:vAlign w:val="center"/>
                </w:tcPr>
                <w:p w14:paraId="24546E2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r>
            <w:tr w14:paraId="59708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11" w:type="pct"/>
                  <w:vMerge w:val="continue"/>
                  <w:noWrap w:val="0"/>
                  <w:vAlign w:val="center"/>
                </w:tcPr>
                <w:p w14:paraId="17D6C4A1">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p>
              </w:tc>
              <w:tc>
                <w:tcPr>
                  <w:tcW w:w="1334" w:type="pct"/>
                  <w:noWrap w:val="0"/>
                  <w:vAlign w:val="center"/>
                </w:tcPr>
                <w:p w14:paraId="061D4F9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其他相关配件</w:t>
                  </w:r>
                </w:p>
              </w:tc>
              <w:tc>
                <w:tcPr>
                  <w:tcW w:w="2419" w:type="pct"/>
                  <w:noWrap w:val="0"/>
                  <w:vAlign w:val="center"/>
                </w:tcPr>
                <w:p w14:paraId="07DAE5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634" w:type="pct"/>
                  <w:noWrap w:val="0"/>
                  <w:vAlign w:val="center"/>
                </w:tcPr>
                <w:p w14:paraId="5EA707F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r>
            <w:tr w14:paraId="50956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11" w:type="pct"/>
                  <w:vMerge w:val="continue"/>
                  <w:noWrap w:val="0"/>
                  <w:vAlign w:val="center"/>
                </w:tcPr>
                <w:p w14:paraId="65392113">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p>
              </w:tc>
              <w:tc>
                <w:tcPr>
                  <w:tcW w:w="1334" w:type="pct"/>
                  <w:noWrap w:val="0"/>
                  <w:vAlign w:val="center"/>
                </w:tcPr>
                <w:p w14:paraId="07CC1F3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专用工具包</w:t>
                  </w:r>
                </w:p>
              </w:tc>
              <w:tc>
                <w:tcPr>
                  <w:tcW w:w="2419" w:type="pct"/>
                  <w:noWrap w:val="0"/>
                  <w:vAlign w:val="center"/>
                </w:tcPr>
                <w:p w14:paraId="5CFFC3F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p>
              </w:tc>
              <w:tc>
                <w:tcPr>
                  <w:tcW w:w="634" w:type="pct"/>
                  <w:noWrap w:val="0"/>
                  <w:vAlign w:val="center"/>
                </w:tcPr>
                <w:p w14:paraId="198D7B8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r>
          </w:tbl>
          <w:p w14:paraId="0ACDF911">
            <w:pPr>
              <w:pageBreakBefore w:val="0"/>
              <w:widowControl w:val="0"/>
              <w:kinsoku/>
              <w:wordWrap/>
              <w:overflowPunct/>
              <w:topLinePunct w:val="0"/>
              <w:autoSpaceDE/>
              <w:autoSpaceDN/>
              <w:bidi w:val="0"/>
              <w:adjustRightInd/>
              <w:snapToGrid/>
              <w:spacing w:line="360" w:lineRule="auto"/>
              <w:ind w:firstLine="422" w:firstLineChars="200"/>
              <w:textAlignment w:val="auto"/>
              <w:outlineLvl w:val="3"/>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2.工作条件</w:t>
            </w:r>
          </w:p>
          <w:p w14:paraId="36DA47DB">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GB" w:eastAsia="zh-CN"/>
              </w:rPr>
            </w:pPr>
            <w:r>
              <w:rPr>
                <w:rFonts w:hint="eastAsia" w:ascii="宋体" w:hAnsi="宋体" w:eastAsia="宋体" w:cs="宋体"/>
                <w:b w:val="0"/>
                <w:bCs w:val="0"/>
                <w:color w:val="auto"/>
                <w:sz w:val="21"/>
                <w:szCs w:val="21"/>
                <w:highlight w:val="none"/>
                <w:lang w:val="en-GB" w:eastAsia="zh-CN"/>
              </w:rPr>
              <w:t>2.1工作环境温度：10</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GB" w:eastAsia="zh-CN"/>
              </w:rPr>
              <w:t>40℃。</w:t>
            </w:r>
          </w:p>
          <w:p w14:paraId="56C88F5A">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GB" w:eastAsia="zh-CN"/>
              </w:rPr>
            </w:pPr>
            <w:r>
              <w:rPr>
                <w:rFonts w:hint="eastAsia" w:ascii="宋体" w:hAnsi="宋体" w:eastAsia="宋体" w:cs="宋体"/>
                <w:b w:val="0"/>
                <w:bCs w:val="0"/>
                <w:color w:val="auto"/>
                <w:sz w:val="21"/>
                <w:szCs w:val="21"/>
                <w:highlight w:val="none"/>
                <w:lang w:val="en-GB" w:eastAsia="zh-CN"/>
              </w:rPr>
              <w:t>2.2工作环境</w:t>
            </w:r>
            <w:r>
              <w:rPr>
                <w:rFonts w:hint="eastAsia" w:ascii="宋体" w:hAnsi="宋体" w:eastAsia="宋体" w:cs="宋体"/>
                <w:b w:val="0"/>
                <w:bCs w:val="0"/>
                <w:color w:val="auto"/>
                <w:sz w:val="21"/>
                <w:szCs w:val="21"/>
                <w:highlight w:val="none"/>
                <w:lang w:val="en-US" w:eastAsia="zh-CN"/>
              </w:rPr>
              <w:t>相对</w:t>
            </w:r>
            <w:r>
              <w:rPr>
                <w:rFonts w:hint="eastAsia" w:ascii="宋体" w:hAnsi="宋体" w:eastAsia="宋体" w:cs="宋体"/>
                <w:b w:val="0"/>
                <w:bCs w:val="0"/>
                <w:color w:val="auto"/>
                <w:sz w:val="21"/>
                <w:szCs w:val="21"/>
                <w:highlight w:val="none"/>
                <w:lang w:val="en-GB" w:eastAsia="zh-CN"/>
              </w:rPr>
              <w:t>湿度：20%～80%。</w:t>
            </w:r>
          </w:p>
          <w:p w14:paraId="07C6D3D0">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GB" w:eastAsia="zh-CN"/>
              </w:rPr>
            </w:pPr>
            <w:r>
              <w:rPr>
                <w:rFonts w:hint="eastAsia" w:ascii="宋体" w:hAnsi="宋体" w:eastAsia="宋体" w:cs="宋体"/>
                <w:b w:val="0"/>
                <w:bCs w:val="0"/>
                <w:color w:val="auto"/>
                <w:sz w:val="21"/>
                <w:szCs w:val="21"/>
                <w:highlight w:val="none"/>
                <w:lang w:val="en-GB" w:eastAsia="zh-CN"/>
              </w:rPr>
              <w:t>2.3电源：</w:t>
            </w:r>
            <w:r>
              <w:rPr>
                <w:rFonts w:hint="eastAsia" w:ascii="宋体" w:hAnsi="宋体" w:eastAsia="宋体" w:cs="宋体"/>
                <w:b w:val="0"/>
                <w:bCs w:val="0"/>
                <w:color w:val="auto"/>
                <w:sz w:val="21"/>
                <w:szCs w:val="21"/>
                <w:highlight w:val="none"/>
                <w:lang w:val="en-US" w:eastAsia="zh-CN"/>
              </w:rPr>
              <w:t>AC 200V～240v</w:t>
            </w:r>
            <w:r>
              <w:rPr>
                <w:rFonts w:hint="eastAsia" w:ascii="宋体" w:hAnsi="宋体" w:eastAsia="宋体" w:cs="宋体"/>
                <w:b w:val="0"/>
                <w:bCs w:val="0"/>
                <w:color w:val="auto"/>
                <w:sz w:val="21"/>
                <w:szCs w:val="21"/>
                <w:highlight w:val="none"/>
                <w:lang w:val="en-GB" w:eastAsia="zh-CN"/>
              </w:rPr>
              <w:t>。</w:t>
            </w:r>
          </w:p>
          <w:p w14:paraId="1A04A4DB">
            <w:pPr>
              <w:pageBreakBefore w:val="0"/>
              <w:widowControl w:val="0"/>
              <w:kinsoku/>
              <w:wordWrap/>
              <w:overflowPunct/>
              <w:topLinePunct w:val="0"/>
              <w:autoSpaceDE/>
              <w:autoSpaceDN/>
              <w:bidi w:val="0"/>
              <w:adjustRightInd/>
              <w:snapToGrid/>
              <w:spacing w:line="360" w:lineRule="auto"/>
              <w:ind w:firstLine="422" w:firstLineChars="200"/>
              <w:textAlignment w:val="auto"/>
              <w:outlineLvl w:val="3"/>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3.仪器用途</w:t>
            </w:r>
          </w:p>
          <w:p w14:paraId="13D9AE03">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GB" w:eastAsia="zh-CN"/>
              </w:rPr>
            </w:pPr>
            <w:r>
              <w:rPr>
                <w:rFonts w:hint="eastAsia" w:ascii="宋体" w:hAnsi="宋体" w:eastAsia="宋体" w:cs="宋体"/>
                <w:b w:val="0"/>
                <w:bCs w:val="0"/>
                <w:color w:val="auto"/>
                <w:sz w:val="21"/>
                <w:szCs w:val="21"/>
                <w:highlight w:val="none"/>
                <w:lang w:val="en-US" w:eastAsia="zh-CN"/>
              </w:rPr>
              <w:t xml:space="preserve">3.1 </w:t>
            </w:r>
            <w:r>
              <w:rPr>
                <w:rFonts w:hint="eastAsia" w:ascii="宋体" w:hAnsi="宋体" w:eastAsia="宋体" w:cs="宋体"/>
                <w:b w:val="0"/>
                <w:bCs w:val="0"/>
                <w:color w:val="auto"/>
                <w:sz w:val="21"/>
                <w:szCs w:val="21"/>
                <w:highlight w:val="none"/>
                <w:lang w:val="en-GB" w:eastAsia="zh-CN"/>
              </w:rPr>
              <w:t>适用于</w:t>
            </w:r>
            <w:r>
              <w:rPr>
                <w:rFonts w:hint="eastAsia" w:ascii="宋体" w:hAnsi="宋体" w:eastAsia="宋体" w:cs="宋体"/>
                <w:b w:val="0"/>
                <w:bCs w:val="0"/>
                <w:color w:val="auto"/>
                <w:sz w:val="21"/>
                <w:szCs w:val="21"/>
                <w:highlight w:val="none"/>
                <w:lang w:val="en-US" w:eastAsia="zh-CN"/>
              </w:rPr>
              <w:t>地表水、地下水、</w:t>
            </w:r>
            <w:r>
              <w:rPr>
                <w:rFonts w:hint="eastAsia" w:ascii="宋体" w:hAnsi="宋体" w:eastAsia="宋体" w:cs="宋体"/>
                <w:b w:val="0"/>
                <w:bCs w:val="0"/>
                <w:color w:val="auto"/>
                <w:sz w:val="21"/>
                <w:szCs w:val="21"/>
                <w:highlight w:val="none"/>
                <w:lang w:val="en-GB" w:eastAsia="zh-CN"/>
              </w:rPr>
              <w:t>工业废水和生活污水中石油类和动植物油类的测定。</w:t>
            </w:r>
          </w:p>
          <w:p w14:paraId="7597EBCA">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GB" w:eastAsia="zh-CN"/>
              </w:rPr>
            </w:pPr>
            <w:r>
              <w:rPr>
                <w:rFonts w:hint="eastAsia" w:ascii="宋体" w:hAnsi="宋体" w:eastAsia="宋体" w:cs="宋体"/>
                <w:b w:val="0"/>
                <w:bCs w:val="0"/>
                <w:color w:val="auto"/>
                <w:sz w:val="21"/>
                <w:szCs w:val="21"/>
                <w:highlight w:val="none"/>
                <w:lang w:val="en-US" w:eastAsia="zh-CN"/>
              </w:rPr>
              <w:t>3.2</w:t>
            </w:r>
            <w:r>
              <w:rPr>
                <w:rFonts w:hint="eastAsia" w:ascii="宋体" w:hAnsi="宋体" w:eastAsia="宋体" w:cs="宋体"/>
                <w:b w:val="0"/>
                <w:bCs w:val="0"/>
                <w:color w:val="auto"/>
                <w:sz w:val="21"/>
                <w:szCs w:val="21"/>
                <w:highlight w:val="none"/>
                <w:lang w:val="en-GB" w:eastAsia="zh-CN"/>
              </w:rPr>
              <w:t>满足《水质石油类和动植物油</w:t>
            </w:r>
            <w:r>
              <w:rPr>
                <w:rFonts w:hint="eastAsia" w:ascii="宋体" w:hAnsi="宋体" w:eastAsia="宋体" w:cs="宋体"/>
                <w:b w:val="0"/>
                <w:bCs w:val="0"/>
                <w:color w:val="auto"/>
                <w:sz w:val="21"/>
                <w:szCs w:val="21"/>
                <w:highlight w:val="none"/>
                <w:lang w:val="en-US" w:eastAsia="zh-CN"/>
              </w:rPr>
              <w:t>类</w:t>
            </w:r>
            <w:r>
              <w:rPr>
                <w:rFonts w:hint="eastAsia" w:ascii="宋体" w:hAnsi="宋体" w:eastAsia="宋体" w:cs="宋体"/>
                <w:b w:val="0"/>
                <w:bCs w:val="0"/>
                <w:color w:val="auto"/>
                <w:sz w:val="21"/>
                <w:szCs w:val="21"/>
                <w:highlight w:val="none"/>
                <w:lang w:val="en-GB" w:eastAsia="zh-CN"/>
              </w:rPr>
              <w:t>的测定红外分光光度法》（HJ</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GB" w:eastAsia="zh-CN"/>
              </w:rPr>
              <w:t>637-2018）、《土壤石油类的测定红外分光光度法》（HJ</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GB" w:eastAsia="zh-CN"/>
              </w:rPr>
              <w:t>1051-2019）、《固定污染源废气油烟和油雾的测定红外分光光度法》（HJ</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GB" w:eastAsia="zh-CN"/>
              </w:rPr>
              <w:t>1077-2019）</w:t>
            </w:r>
            <w:r>
              <w:rPr>
                <w:rFonts w:hint="eastAsia" w:ascii="宋体" w:hAnsi="宋体" w:eastAsia="宋体" w:cs="宋体"/>
                <w:b w:val="0"/>
                <w:bCs w:val="0"/>
                <w:color w:val="auto"/>
                <w:sz w:val="21"/>
                <w:szCs w:val="21"/>
                <w:highlight w:val="none"/>
                <w:lang w:val="en-US" w:eastAsia="zh-CN"/>
              </w:rPr>
              <w:t>等有关红外法测定油类的国家</w:t>
            </w:r>
            <w:r>
              <w:rPr>
                <w:rFonts w:hint="eastAsia" w:ascii="宋体" w:hAnsi="宋体" w:eastAsia="宋体" w:cs="宋体"/>
                <w:b w:val="0"/>
                <w:bCs w:val="0"/>
                <w:color w:val="auto"/>
                <w:sz w:val="21"/>
                <w:szCs w:val="21"/>
                <w:highlight w:val="none"/>
                <w:lang w:val="en-GB" w:eastAsia="zh-CN"/>
              </w:rPr>
              <w:t>标准方法的</w:t>
            </w:r>
            <w:r>
              <w:rPr>
                <w:rFonts w:hint="eastAsia" w:ascii="宋体" w:hAnsi="宋体" w:eastAsia="宋体" w:cs="宋体"/>
                <w:b w:val="0"/>
                <w:bCs w:val="0"/>
                <w:color w:val="auto"/>
                <w:sz w:val="21"/>
                <w:szCs w:val="21"/>
                <w:highlight w:val="none"/>
                <w:lang w:val="en-US" w:eastAsia="zh-CN"/>
              </w:rPr>
              <w:t>分析</w:t>
            </w:r>
            <w:r>
              <w:rPr>
                <w:rFonts w:hint="eastAsia" w:ascii="宋体" w:hAnsi="宋体" w:eastAsia="宋体" w:cs="宋体"/>
                <w:b w:val="0"/>
                <w:bCs w:val="0"/>
                <w:color w:val="auto"/>
                <w:sz w:val="21"/>
                <w:szCs w:val="21"/>
                <w:highlight w:val="none"/>
                <w:lang w:val="en-GB" w:eastAsia="zh-CN"/>
              </w:rPr>
              <w:t>要求。</w:t>
            </w:r>
          </w:p>
          <w:p w14:paraId="515CFE01">
            <w:pPr>
              <w:pageBreakBefore w:val="0"/>
              <w:widowControl w:val="0"/>
              <w:kinsoku/>
              <w:wordWrap/>
              <w:overflowPunct/>
              <w:topLinePunct w:val="0"/>
              <w:autoSpaceDE/>
              <w:autoSpaceDN/>
              <w:bidi w:val="0"/>
              <w:adjustRightInd/>
              <w:snapToGrid/>
              <w:spacing w:line="360" w:lineRule="auto"/>
              <w:ind w:firstLine="422" w:firstLineChars="200"/>
              <w:textAlignment w:val="auto"/>
              <w:outlineLvl w:val="3"/>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4.技术参数</w:t>
            </w:r>
          </w:p>
          <w:p w14:paraId="08C7A68B">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4.1仪器需包含但不限于前处理单元、检测单元、数据分析单元，可相互联机工作，亦可分别独立使用，独立使用时可适用于油烟和油雾的测定。</w:t>
            </w:r>
          </w:p>
          <w:p w14:paraId="2BE4CBC6">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4.2联机工作时从水样的体积读取，萃取、分离、吸附到进样、分析、清洗、排废等全流程实现自动化。</w:t>
            </w:r>
          </w:p>
          <w:p w14:paraId="108064F7">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4.3分离方式：萃取、分离管、隔水膜三次分离。</w:t>
            </w:r>
          </w:p>
          <w:p w14:paraId="0B40DE2A">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4.4体积输入：仪器自动读取传输至软件界面。</w:t>
            </w:r>
          </w:p>
          <w:p w14:paraId="57D938A7">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■4.5采样方式：兼容市售500mL和1000mL广口瓶现场采样，直接上机萃取，自动测量、自动读取水样体积，样品无需转移。</w:t>
            </w:r>
          </w:p>
          <w:p w14:paraId="63888552">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4.6校正方法：标准物质校正、标准曲线校正、单点快速校正。</w:t>
            </w:r>
          </w:p>
          <w:p w14:paraId="551F780E">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▲4.7样品位：≥10位，支持批量连续做样，兼容500mL和1000mL广口瓶。</w:t>
            </w:r>
          </w:p>
          <w:p w14:paraId="3CB3B5C0">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■4.8测量时间：单个样品测量耗时≤10分钟。</w:t>
            </w:r>
          </w:p>
          <w:p w14:paraId="482FD915">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4.9紧急样品可中途加样，标记优先样品，对于标记优先样品优先测量。</w:t>
            </w:r>
          </w:p>
          <w:p w14:paraId="2E2D528F">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4.10测量前蠕动泵自动闭合，避免因人工操作失误导致样品没有转移，测量失效，测量结束蠕动泵自动打开，避免泵管长期夹住导致泵管失去弹性无法工作，使用寿命减少。</w:t>
            </w:r>
          </w:p>
          <w:p w14:paraId="1C42C4D9">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▲4.10对于乳化水样，仪器可以自动添加破乳剂。</w:t>
            </w:r>
          </w:p>
          <w:p w14:paraId="694A5F1D">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4.11自带废气处理装置和废液回收装置，废液中的试剂与水完全自动分离，废水自动排放，有毒有机试剂自动收集。</w:t>
            </w:r>
          </w:p>
          <w:p w14:paraId="57104910">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4.12测量范围：0～50000mg/L，超量可自动稀释。</w:t>
            </w:r>
          </w:p>
          <w:p w14:paraId="28678452">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■4.13检出限：＜0.06mg/L（500mL水样，萃取液体积50mL）。</w:t>
            </w:r>
          </w:p>
          <w:p w14:paraId="3C191220">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4.14精密度：RSD&lt;2%（1.0mg/L左右浓度标液，连续测定6次）。</w:t>
            </w:r>
          </w:p>
          <w:p w14:paraId="305DFE5D">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4.15准确度：使用至少1个有证标准物质进行检验，测定结果在证书质控要求范围内。</w:t>
            </w:r>
          </w:p>
          <w:p w14:paraId="0D8CC084">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4.16注射泵精密度：RSD&lt;0.05%（重复10次、20次，注射25mL水，重量法称重）；RSD&lt;0.5%（重复10次，注射2.5mL水，重量法称重）。</w:t>
            </w:r>
          </w:p>
          <w:p w14:paraId="19DE3A01">
            <w:pPr>
              <w:pageBreakBefore w:val="0"/>
              <w:widowControl w:val="0"/>
              <w:kinsoku/>
              <w:wordWrap/>
              <w:overflowPunct/>
              <w:topLinePunct w:val="0"/>
              <w:autoSpaceDE/>
              <w:autoSpaceDN/>
              <w:bidi w:val="0"/>
              <w:adjustRightInd/>
              <w:snapToGrid/>
              <w:spacing w:line="360" w:lineRule="auto"/>
              <w:ind w:firstLine="422" w:firstLineChars="200"/>
              <w:textAlignment w:val="auto"/>
              <w:outlineLvl w:val="3"/>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5.数据处理系统</w:t>
            </w:r>
          </w:p>
          <w:p w14:paraId="034E1166">
            <w:pPr>
              <w:pageBreakBefore w:val="0"/>
              <w:kinsoku/>
              <w:wordWrap/>
              <w:overflowPunct/>
              <w:topLinePunct w:val="0"/>
              <w:autoSpaceDE/>
              <w:autoSpaceDN/>
              <w:bidi w:val="0"/>
              <w:adjustRightInd/>
              <w:spacing w:line="360" w:lineRule="auto"/>
              <w:ind w:firstLine="420" w:firstLineChars="200"/>
              <w:textAlignment w:val="auto"/>
              <w:outlineLvl w:val="3"/>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color w:val="auto"/>
                <w:sz w:val="21"/>
                <w:szCs w:val="21"/>
                <w:highlight w:val="none"/>
                <w:lang w:val="en-US" w:eastAsia="zh-CN"/>
              </w:rPr>
              <w:t>数据输出和输入系统1套（品牌计算机，I5十二代及以上， 内存16G及以上， DVD刻录， 固态硬盘1T以上， ≥22液晶专用显示器，中文正版Win10 64位专业系统；A4黑白激光打印机1套。）</w:t>
            </w:r>
          </w:p>
        </w:tc>
      </w:tr>
      <w:tr w14:paraId="4951A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932" w:type="dxa"/>
            <w:vAlign w:val="center"/>
          </w:tcPr>
          <w:p w14:paraId="7B5BE3C9">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5</w:t>
            </w:r>
          </w:p>
        </w:tc>
        <w:tc>
          <w:tcPr>
            <w:tcW w:w="2739" w:type="dxa"/>
            <w:vAlign w:val="center"/>
          </w:tcPr>
          <w:p w14:paraId="3EFDA5C8">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超纯水机</w:t>
            </w:r>
          </w:p>
        </w:tc>
        <w:tc>
          <w:tcPr>
            <w:tcW w:w="9188" w:type="dxa"/>
            <w:vAlign w:val="center"/>
          </w:tcPr>
          <w:p w14:paraId="355C7C84">
            <w:pPr>
              <w:pStyle w:val="5"/>
              <w:pageBreakBefore w:val="0"/>
              <w:numPr>
                <w:ilvl w:val="0"/>
                <w:numId w:val="0"/>
              </w:numPr>
              <w:kinsoku/>
              <w:wordWrap/>
              <w:overflowPunct/>
              <w:topLinePunct w:val="0"/>
              <w:autoSpaceDE/>
              <w:autoSpaceDN/>
              <w:bidi w:val="0"/>
              <w:adjustRightInd w:val="0"/>
              <w:snapToGrid w:val="0"/>
              <w:spacing w:line="360" w:lineRule="auto"/>
              <w:ind w:left="425" w:leftChars="0" w:hanging="425" w:firstLineChars="0"/>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SA"/>
              </w:rPr>
              <w:t>1.</w:t>
            </w:r>
            <w:r>
              <w:rPr>
                <w:rFonts w:hint="eastAsia" w:ascii="宋体" w:hAnsi="宋体" w:eastAsia="宋体" w:cs="宋体"/>
                <w:b/>
                <w:bCs/>
                <w:sz w:val="21"/>
                <w:szCs w:val="21"/>
              </w:rPr>
              <w:t>主机配置及配件</w:t>
            </w:r>
          </w:p>
          <w:p w14:paraId="0D564354">
            <w:pPr>
              <w:keepNext w:val="0"/>
              <w:keepLines w:val="0"/>
              <w:pageBreakBefore w:val="0"/>
              <w:tabs>
                <w:tab w:val="left" w:pos="3000"/>
              </w:tabs>
              <w:kinsoku/>
              <w:wordWrap/>
              <w:overflowPunct/>
              <w:topLinePunct w:val="0"/>
              <w:autoSpaceDE/>
              <w:autoSpaceDN/>
              <w:bidi w:val="0"/>
              <w:adjustRightInd/>
              <w:snapToGrid/>
              <w:spacing w:line="360" w:lineRule="auto"/>
              <w:ind w:firstLine="422" w:firstLineChars="200"/>
              <w:textAlignment w:val="auto"/>
              <w:outlineLvl w:val="3"/>
              <w:rPr>
                <w:rFonts w:hint="eastAsia" w:ascii="宋体" w:hAnsi="宋体" w:eastAsia="宋体" w:cs="宋体"/>
                <w:sz w:val="21"/>
                <w:szCs w:val="21"/>
              </w:rPr>
            </w:pPr>
            <w:r>
              <w:rPr>
                <w:rFonts w:hint="eastAsia" w:ascii="宋体" w:hAnsi="宋体" w:eastAsia="宋体" w:cs="宋体"/>
                <w:b/>
                <w:color w:val="auto"/>
                <w:sz w:val="21"/>
                <w:szCs w:val="21"/>
                <w:highlight w:val="none"/>
                <w:lang w:val="en-US" w:eastAsia="zh-CN"/>
              </w:rPr>
              <w:t>（采购数量按招标清单为准，这里只表示每台采购设备应配置的备件或耗材数量）</w:t>
            </w: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
              <w:gridCol w:w="1573"/>
              <w:gridCol w:w="4700"/>
              <w:gridCol w:w="1389"/>
            </w:tblGrid>
            <w:tr w14:paraId="6D55B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60" w:type="dxa"/>
                  <w:noWrap w:val="0"/>
                  <w:vAlign w:val="center"/>
                </w:tcPr>
                <w:p w14:paraId="2442FCDE">
                  <w:pPr>
                    <w:pageBreakBefore w:val="0"/>
                    <w:kinsoku/>
                    <w:wordWrap/>
                    <w:overflowPunct/>
                    <w:topLinePunct w:val="0"/>
                    <w:autoSpaceDE/>
                    <w:autoSpaceDN/>
                    <w:bidi w:val="0"/>
                    <w:snapToGrid w:val="0"/>
                    <w:spacing w:line="360" w:lineRule="auto"/>
                    <w:ind w:left="0" w:leftChars="0" w:right="0" w:rightChars="0" w:firstLine="0" w:firstLineChars="0"/>
                    <w:jc w:val="center"/>
                    <w:rPr>
                      <w:rFonts w:hint="eastAsia" w:ascii="宋体" w:hAnsi="宋体" w:eastAsia="宋体" w:cs="宋体"/>
                      <w:b/>
                      <w:bCs/>
                      <w:sz w:val="21"/>
                      <w:szCs w:val="21"/>
                    </w:rPr>
                  </w:pPr>
                </w:p>
              </w:tc>
              <w:tc>
                <w:tcPr>
                  <w:tcW w:w="1573" w:type="dxa"/>
                  <w:noWrap w:val="0"/>
                  <w:vAlign w:val="center"/>
                </w:tcPr>
                <w:p w14:paraId="0BD0A969">
                  <w:pPr>
                    <w:pageBreakBefore w:val="0"/>
                    <w:kinsoku/>
                    <w:wordWrap/>
                    <w:overflowPunct/>
                    <w:topLinePunct w:val="0"/>
                    <w:autoSpaceDE/>
                    <w:autoSpaceDN/>
                    <w:bidi w:val="0"/>
                    <w:snapToGrid w:val="0"/>
                    <w:spacing w:line="360" w:lineRule="auto"/>
                    <w:ind w:left="0" w:leftChars="0" w:right="0" w:rightChars="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名称</w:t>
                  </w:r>
                </w:p>
              </w:tc>
              <w:tc>
                <w:tcPr>
                  <w:tcW w:w="4700" w:type="dxa"/>
                  <w:noWrap w:val="0"/>
                  <w:vAlign w:val="center"/>
                </w:tcPr>
                <w:p w14:paraId="09F83C64">
                  <w:pPr>
                    <w:pageBreakBefore w:val="0"/>
                    <w:kinsoku/>
                    <w:wordWrap/>
                    <w:overflowPunct/>
                    <w:topLinePunct w:val="0"/>
                    <w:autoSpaceDE/>
                    <w:autoSpaceDN/>
                    <w:bidi w:val="0"/>
                    <w:snapToGrid w:val="0"/>
                    <w:spacing w:line="360" w:lineRule="auto"/>
                    <w:ind w:left="0" w:leftChars="0" w:right="0" w:rightChars="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说明</w:t>
                  </w:r>
                </w:p>
              </w:tc>
              <w:tc>
                <w:tcPr>
                  <w:tcW w:w="1389" w:type="dxa"/>
                  <w:noWrap w:val="0"/>
                  <w:vAlign w:val="center"/>
                </w:tcPr>
                <w:p w14:paraId="0A3A3701">
                  <w:pPr>
                    <w:pageBreakBefore w:val="0"/>
                    <w:kinsoku/>
                    <w:wordWrap/>
                    <w:overflowPunct/>
                    <w:topLinePunct w:val="0"/>
                    <w:autoSpaceDE/>
                    <w:autoSpaceDN/>
                    <w:bidi w:val="0"/>
                    <w:snapToGrid w:val="0"/>
                    <w:spacing w:line="360" w:lineRule="auto"/>
                    <w:ind w:left="0" w:leftChars="0" w:right="0" w:rightChars="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数量</w:t>
                  </w:r>
                </w:p>
                <w:p w14:paraId="06A1D2F0">
                  <w:pPr>
                    <w:pageBreakBefore w:val="0"/>
                    <w:kinsoku/>
                    <w:wordWrap/>
                    <w:overflowPunct/>
                    <w:topLinePunct w:val="0"/>
                    <w:autoSpaceDE/>
                    <w:autoSpaceDN/>
                    <w:bidi w:val="0"/>
                    <w:snapToGrid w:val="0"/>
                    <w:spacing w:line="360" w:lineRule="auto"/>
                    <w:ind w:left="0" w:leftChars="0" w:right="0" w:rightChars="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（台/套）</w:t>
                  </w:r>
                </w:p>
              </w:tc>
            </w:tr>
            <w:tr w14:paraId="7121D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0" w:type="dxa"/>
                  <w:noWrap w:val="0"/>
                  <w:vAlign w:val="center"/>
                </w:tcPr>
                <w:p w14:paraId="744C3D4D">
                  <w:pPr>
                    <w:pageBreakBefore w:val="0"/>
                    <w:kinsoku/>
                    <w:wordWrap/>
                    <w:overflowPunct/>
                    <w:topLinePunct w:val="0"/>
                    <w:autoSpaceDE/>
                    <w:autoSpaceDN/>
                    <w:bidi w:val="0"/>
                    <w:snapToGrid w:val="0"/>
                    <w:spacing w:line="360" w:lineRule="auto"/>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b/>
                      <w:bCs/>
                      <w:sz w:val="21"/>
                      <w:szCs w:val="21"/>
                    </w:rPr>
                    <w:t>主机</w:t>
                  </w:r>
                </w:p>
              </w:tc>
              <w:tc>
                <w:tcPr>
                  <w:tcW w:w="1573" w:type="dxa"/>
                  <w:noWrap w:val="0"/>
                  <w:vAlign w:val="center"/>
                </w:tcPr>
                <w:p w14:paraId="5EA88681">
                  <w:pPr>
                    <w:pageBreakBefore w:val="0"/>
                    <w:kinsoku/>
                    <w:wordWrap/>
                    <w:overflowPunct/>
                    <w:topLinePunct w:val="0"/>
                    <w:autoSpaceDE/>
                    <w:autoSpaceDN/>
                    <w:bidi w:val="0"/>
                    <w:snapToGrid w:val="0"/>
                    <w:spacing w:line="36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超纯水机</w:t>
                  </w:r>
                </w:p>
              </w:tc>
              <w:tc>
                <w:tcPr>
                  <w:tcW w:w="4700" w:type="dxa"/>
                  <w:noWrap w:val="0"/>
                  <w:vAlign w:val="center"/>
                </w:tcPr>
                <w:p w14:paraId="6A096D98">
                  <w:pPr>
                    <w:pageBreakBefore w:val="0"/>
                    <w:kinsoku/>
                    <w:wordWrap/>
                    <w:overflowPunct/>
                    <w:topLinePunct w:val="0"/>
                    <w:autoSpaceDE/>
                    <w:autoSpaceDN/>
                    <w:bidi w:val="0"/>
                    <w:snapToGrid w:val="0"/>
                    <w:spacing w:line="36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标准配置</w:t>
                  </w:r>
                </w:p>
              </w:tc>
              <w:tc>
                <w:tcPr>
                  <w:tcW w:w="1389" w:type="dxa"/>
                  <w:noWrap w:val="0"/>
                  <w:vAlign w:val="center"/>
                </w:tcPr>
                <w:p w14:paraId="0131FD2C">
                  <w:pPr>
                    <w:pageBreakBefore w:val="0"/>
                    <w:kinsoku/>
                    <w:wordWrap/>
                    <w:overflowPunct/>
                    <w:topLinePunct w:val="0"/>
                    <w:autoSpaceDE/>
                    <w:autoSpaceDN/>
                    <w:bidi w:val="0"/>
                    <w:snapToGrid w:val="0"/>
                    <w:spacing w:line="360" w:lineRule="auto"/>
                    <w:ind w:left="0" w:leftChars="0" w:right="0" w:righ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p>
              </w:tc>
            </w:tr>
            <w:tr w14:paraId="0572D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0" w:type="dxa"/>
                  <w:vMerge w:val="restart"/>
                  <w:noWrap w:val="0"/>
                  <w:vAlign w:val="center"/>
                </w:tcPr>
                <w:p w14:paraId="48B4444B">
                  <w:pPr>
                    <w:pageBreakBefore w:val="0"/>
                    <w:kinsoku/>
                    <w:wordWrap/>
                    <w:overflowPunct/>
                    <w:topLinePunct w:val="0"/>
                    <w:autoSpaceDE/>
                    <w:autoSpaceDN/>
                    <w:bidi w:val="0"/>
                    <w:snapToGrid w:val="0"/>
                    <w:spacing w:line="360" w:lineRule="auto"/>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b/>
                      <w:bCs/>
                      <w:sz w:val="21"/>
                      <w:szCs w:val="21"/>
                    </w:rPr>
                    <w:t>配件</w:t>
                  </w:r>
                </w:p>
              </w:tc>
              <w:tc>
                <w:tcPr>
                  <w:tcW w:w="1573" w:type="dxa"/>
                  <w:noWrap w:val="0"/>
                  <w:vAlign w:val="center"/>
                </w:tcPr>
                <w:p w14:paraId="007AD6B9">
                  <w:pPr>
                    <w:pageBreakBefore w:val="0"/>
                    <w:kinsoku/>
                    <w:wordWrap/>
                    <w:overflowPunct/>
                    <w:topLinePunct w:val="0"/>
                    <w:autoSpaceDE/>
                    <w:autoSpaceDN/>
                    <w:bidi w:val="0"/>
                    <w:snapToGrid w:val="0"/>
                    <w:spacing w:line="36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纯化柱</w:t>
                  </w:r>
                </w:p>
              </w:tc>
              <w:tc>
                <w:tcPr>
                  <w:tcW w:w="4700" w:type="dxa"/>
                  <w:noWrap w:val="0"/>
                  <w:vAlign w:val="center"/>
                </w:tcPr>
                <w:p w14:paraId="5CA233A5">
                  <w:pPr>
                    <w:pageBreakBefore w:val="0"/>
                    <w:kinsoku/>
                    <w:wordWrap/>
                    <w:overflowPunct/>
                    <w:topLinePunct w:val="0"/>
                    <w:autoSpaceDE/>
                    <w:autoSpaceDN/>
                    <w:bidi w:val="0"/>
                    <w:snapToGrid w:val="0"/>
                    <w:spacing w:line="36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含PP纯化柱、活性碳纤维PC纯化柱，进口反渗透柱、超纯化柱等。</w:t>
                  </w:r>
                </w:p>
              </w:tc>
              <w:tc>
                <w:tcPr>
                  <w:tcW w:w="1389" w:type="dxa"/>
                  <w:noWrap w:val="0"/>
                  <w:vAlign w:val="center"/>
                </w:tcPr>
                <w:p w14:paraId="0FDDCAA5">
                  <w:pPr>
                    <w:pageBreakBefore w:val="0"/>
                    <w:kinsoku/>
                    <w:wordWrap/>
                    <w:overflowPunct/>
                    <w:topLinePunct w:val="0"/>
                    <w:autoSpaceDE/>
                    <w:autoSpaceDN/>
                    <w:bidi w:val="0"/>
                    <w:snapToGrid w:val="0"/>
                    <w:spacing w:line="360" w:lineRule="auto"/>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14:paraId="29F1F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0" w:type="dxa"/>
                  <w:vMerge w:val="continue"/>
                  <w:noWrap w:val="0"/>
                  <w:vAlign w:val="center"/>
                </w:tcPr>
                <w:p w14:paraId="1CCB0FAB">
                  <w:pPr>
                    <w:pageBreakBefore w:val="0"/>
                    <w:kinsoku/>
                    <w:wordWrap/>
                    <w:overflowPunct/>
                    <w:topLinePunct w:val="0"/>
                    <w:autoSpaceDE/>
                    <w:autoSpaceDN/>
                    <w:bidi w:val="0"/>
                    <w:snapToGrid w:val="0"/>
                    <w:spacing w:line="360" w:lineRule="auto"/>
                    <w:ind w:left="0" w:leftChars="0" w:right="0" w:rightChars="0" w:firstLine="0" w:firstLineChars="0"/>
                    <w:jc w:val="center"/>
                    <w:rPr>
                      <w:rFonts w:hint="eastAsia" w:ascii="宋体" w:hAnsi="宋体" w:eastAsia="宋体" w:cs="宋体"/>
                      <w:sz w:val="21"/>
                      <w:szCs w:val="21"/>
                    </w:rPr>
                  </w:pPr>
                </w:p>
              </w:tc>
              <w:tc>
                <w:tcPr>
                  <w:tcW w:w="1573" w:type="dxa"/>
                  <w:noWrap w:val="0"/>
                  <w:vAlign w:val="center"/>
                </w:tcPr>
                <w:p w14:paraId="5B2D4454">
                  <w:pPr>
                    <w:pageBreakBefore w:val="0"/>
                    <w:kinsoku/>
                    <w:wordWrap/>
                    <w:overflowPunct/>
                    <w:topLinePunct w:val="0"/>
                    <w:autoSpaceDE/>
                    <w:autoSpaceDN/>
                    <w:bidi w:val="0"/>
                    <w:snapToGrid w:val="0"/>
                    <w:spacing w:line="36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取水手臂</w:t>
                  </w:r>
                </w:p>
              </w:tc>
              <w:tc>
                <w:tcPr>
                  <w:tcW w:w="4700" w:type="dxa"/>
                  <w:noWrap w:val="0"/>
                  <w:vAlign w:val="center"/>
                </w:tcPr>
                <w:p w14:paraId="57DFA346">
                  <w:pPr>
                    <w:pageBreakBefore w:val="0"/>
                    <w:kinsoku/>
                    <w:wordWrap/>
                    <w:overflowPunct/>
                    <w:topLinePunct w:val="0"/>
                    <w:autoSpaceDE/>
                    <w:autoSpaceDN/>
                    <w:bidi w:val="0"/>
                    <w:snapToGrid w:val="0"/>
                    <w:spacing w:line="36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w:t>
                  </w:r>
                </w:p>
              </w:tc>
              <w:tc>
                <w:tcPr>
                  <w:tcW w:w="1389" w:type="dxa"/>
                  <w:noWrap w:val="0"/>
                  <w:vAlign w:val="center"/>
                </w:tcPr>
                <w:p w14:paraId="1AAADDA6">
                  <w:pPr>
                    <w:pageBreakBefore w:val="0"/>
                    <w:kinsoku/>
                    <w:wordWrap/>
                    <w:overflowPunct/>
                    <w:topLinePunct w:val="0"/>
                    <w:autoSpaceDE/>
                    <w:autoSpaceDN/>
                    <w:bidi w:val="0"/>
                    <w:snapToGrid w:val="0"/>
                    <w:spacing w:line="360" w:lineRule="auto"/>
                    <w:ind w:left="0" w:leftChars="0" w:right="0" w:righ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p>
              </w:tc>
            </w:tr>
            <w:tr w14:paraId="118BF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0" w:type="dxa"/>
                  <w:vMerge w:val="continue"/>
                  <w:noWrap w:val="0"/>
                  <w:vAlign w:val="center"/>
                </w:tcPr>
                <w:p w14:paraId="7743C6B2">
                  <w:pPr>
                    <w:pageBreakBefore w:val="0"/>
                    <w:kinsoku/>
                    <w:wordWrap/>
                    <w:overflowPunct/>
                    <w:topLinePunct w:val="0"/>
                    <w:autoSpaceDE/>
                    <w:autoSpaceDN/>
                    <w:bidi w:val="0"/>
                    <w:snapToGrid w:val="0"/>
                    <w:spacing w:line="360" w:lineRule="auto"/>
                    <w:ind w:left="0" w:leftChars="0" w:right="0" w:rightChars="0" w:firstLine="0" w:firstLineChars="0"/>
                    <w:jc w:val="center"/>
                    <w:rPr>
                      <w:rFonts w:hint="eastAsia" w:ascii="宋体" w:hAnsi="宋体" w:eastAsia="宋体" w:cs="宋体"/>
                      <w:sz w:val="21"/>
                      <w:szCs w:val="21"/>
                    </w:rPr>
                  </w:pPr>
                </w:p>
              </w:tc>
              <w:tc>
                <w:tcPr>
                  <w:tcW w:w="1573" w:type="dxa"/>
                  <w:noWrap w:val="0"/>
                  <w:vAlign w:val="center"/>
                </w:tcPr>
                <w:p w14:paraId="7AFE4A72">
                  <w:pPr>
                    <w:pageBreakBefore w:val="0"/>
                    <w:kinsoku/>
                    <w:wordWrap/>
                    <w:overflowPunct/>
                    <w:topLinePunct w:val="0"/>
                    <w:autoSpaceDE/>
                    <w:autoSpaceDN/>
                    <w:bidi w:val="0"/>
                    <w:snapToGrid w:val="0"/>
                    <w:spacing w:line="36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终端微滤器</w:t>
                  </w:r>
                </w:p>
              </w:tc>
              <w:tc>
                <w:tcPr>
                  <w:tcW w:w="4700" w:type="dxa"/>
                  <w:noWrap w:val="0"/>
                  <w:vAlign w:val="center"/>
                </w:tcPr>
                <w:p w14:paraId="5871799C">
                  <w:pPr>
                    <w:pageBreakBefore w:val="0"/>
                    <w:kinsoku/>
                    <w:wordWrap/>
                    <w:overflowPunct/>
                    <w:topLinePunct w:val="0"/>
                    <w:autoSpaceDE/>
                    <w:autoSpaceDN/>
                    <w:bidi w:val="0"/>
                    <w:snapToGrid w:val="0"/>
                    <w:spacing w:line="360" w:lineRule="auto"/>
                    <w:ind w:left="0" w:leftChars="0" w:right="0" w:rightChars="0" w:firstLine="0" w:firstLineChars="0"/>
                    <w:jc w:val="left"/>
                    <w:rPr>
                      <w:rFonts w:hint="eastAsia" w:ascii="宋体" w:hAnsi="宋体" w:eastAsia="宋体" w:cs="宋体"/>
                      <w:bCs/>
                      <w:sz w:val="21"/>
                      <w:szCs w:val="21"/>
                    </w:rPr>
                  </w:pPr>
                  <w:r>
                    <w:rPr>
                      <w:rFonts w:hint="eastAsia" w:ascii="宋体" w:hAnsi="宋体" w:eastAsia="宋体" w:cs="宋体"/>
                      <w:bCs/>
                      <w:sz w:val="21"/>
                      <w:szCs w:val="21"/>
                    </w:rPr>
                    <w:t>孔径≤0.22μm</w:t>
                  </w:r>
                </w:p>
              </w:tc>
              <w:tc>
                <w:tcPr>
                  <w:tcW w:w="1389" w:type="dxa"/>
                  <w:noWrap w:val="0"/>
                  <w:vAlign w:val="center"/>
                </w:tcPr>
                <w:p w14:paraId="3D868AD2">
                  <w:pPr>
                    <w:pageBreakBefore w:val="0"/>
                    <w:kinsoku/>
                    <w:wordWrap/>
                    <w:overflowPunct/>
                    <w:topLinePunct w:val="0"/>
                    <w:autoSpaceDE/>
                    <w:autoSpaceDN/>
                    <w:bidi w:val="0"/>
                    <w:snapToGrid w:val="0"/>
                    <w:spacing w:line="360" w:lineRule="auto"/>
                    <w:ind w:left="0" w:leftChars="0" w:right="0" w:righ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p>
              </w:tc>
            </w:tr>
            <w:tr w14:paraId="4EAF1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0" w:type="dxa"/>
                  <w:vMerge w:val="continue"/>
                  <w:noWrap w:val="0"/>
                  <w:vAlign w:val="center"/>
                </w:tcPr>
                <w:p w14:paraId="0326490A">
                  <w:pPr>
                    <w:pageBreakBefore w:val="0"/>
                    <w:kinsoku/>
                    <w:wordWrap/>
                    <w:overflowPunct/>
                    <w:topLinePunct w:val="0"/>
                    <w:autoSpaceDE/>
                    <w:autoSpaceDN/>
                    <w:bidi w:val="0"/>
                    <w:snapToGrid w:val="0"/>
                    <w:spacing w:line="360" w:lineRule="auto"/>
                    <w:ind w:left="0" w:leftChars="0" w:right="0" w:rightChars="0" w:firstLine="0" w:firstLineChars="0"/>
                    <w:jc w:val="center"/>
                    <w:rPr>
                      <w:rFonts w:hint="eastAsia" w:ascii="宋体" w:hAnsi="宋体" w:eastAsia="宋体" w:cs="宋体"/>
                      <w:bCs/>
                      <w:sz w:val="21"/>
                      <w:szCs w:val="21"/>
                    </w:rPr>
                  </w:pPr>
                </w:p>
              </w:tc>
              <w:tc>
                <w:tcPr>
                  <w:tcW w:w="1573" w:type="dxa"/>
                  <w:noWrap w:val="0"/>
                  <w:vAlign w:val="center"/>
                </w:tcPr>
                <w:p w14:paraId="74CAE538">
                  <w:pPr>
                    <w:pageBreakBefore w:val="0"/>
                    <w:kinsoku/>
                    <w:wordWrap/>
                    <w:overflowPunct/>
                    <w:topLinePunct w:val="0"/>
                    <w:autoSpaceDE/>
                    <w:autoSpaceDN/>
                    <w:bidi w:val="0"/>
                    <w:snapToGrid w:val="0"/>
                    <w:spacing w:line="36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紫外线杀菌装置</w:t>
                  </w:r>
                </w:p>
              </w:tc>
              <w:tc>
                <w:tcPr>
                  <w:tcW w:w="4700" w:type="dxa"/>
                  <w:noWrap w:val="0"/>
                  <w:vAlign w:val="center"/>
                </w:tcPr>
                <w:p w14:paraId="0B1831D7">
                  <w:pPr>
                    <w:pageBreakBefore w:val="0"/>
                    <w:kinsoku/>
                    <w:wordWrap/>
                    <w:overflowPunct/>
                    <w:topLinePunct w:val="0"/>
                    <w:autoSpaceDE/>
                    <w:autoSpaceDN/>
                    <w:bidi w:val="0"/>
                    <w:snapToGrid w:val="0"/>
                    <w:spacing w:line="360" w:lineRule="auto"/>
                    <w:ind w:left="0" w:leftChars="0" w:right="0" w:rightChars="0" w:firstLine="0" w:firstLineChars="0"/>
                    <w:jc w:val="left"/>
                    <w:rPr>
                      <w:rFonts w:hint="eastAsia" w:ascii="宋体" w:hAnsi="宋体" w:eastAsia="宋体" w:cs="宋体"/>
                      <w:bCs/>
                      <w:sz w:val="21"/>
                      <w:szCs w:val="21"/>
                    </w:rPr>
                  </w:pPr>
                  <w:r>
                    <w:rPr>
                      <w:rFonts w:hint="eastAsia" w:ascii="宋体" w:hAnsi="宋体" w:eastAsia="宋体" w:cs="宋体"/>
                      <w:bCs/>
                      <w:sz w:val="21"/>
                      <w:szCs w:val="21"/>
                    </w:rPr>
                    <w:t>185/254nm</w:t>
                  </w:r>
                </w:p>
              </w:tc>
              <w:tc>
                <w:tcPr>
                  <w:tcW w:w="1389" w:type="dxa"/>
                  <w:noWrap w:val="0"/>
                  <w:vAlign w:val="center"/>
                </w:tcPr>
                <w:p w14:paraId="57D34B9C">
                  <w:pPr>
                    <w:pageBreakBefore w:val="0"/>
                    <w:kinsoku/>
                    <w:wordWrap/>
                    <w:overflowPunct/>
                    <w:topLinePunct w:val="0"/>
                    <w:autoSpaceDE/>
                    <w:autoSpaceDN/>
                    <w:bidi w:val="0"/>
                    <w:snapToGrid w:val="0"/>
                    <w:spacing w:line="360" w:lineRule="auto"/>
                    <w:ind w:left="0" w:leftChars="0" w:right="0" w:righ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p>
              </w:tc>
            </w:tr>
            <w:tr w14:paraId="32334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0" w:type="dxa"/>
                  <w:vMerge w:val="continue"/>
                  <w:noWrap w:val="0"/>
                  <w:vAlign w:val="center"/>
                </w:tcPr>
                <w:p w14:paraId="1032EC53">
                  <w:pPr>
                    <w:pageBreakBefore w:val="0"/>
                    <w:kinsoku/>
                    <w:wordWrap/>
                    <w:overflowPunct/>
                    <w:topLinePunct w:val="0"/>
                    <w:autoSpaceDE/>
                    <w:autoSpaceDN/>
                    <w:bidi w:val="0"/>
                    <w:snapToGrid w:val="0"/>
                    <w:spacing w:line="360" w:lineRule="auto"/>
                    <w:ind w:left="0" w:leftChars="0" w:right="0" w:rightChars="0" w:firstLine="0" w:firstLineChars="0"/>
                    <w:jc w:val="center"/>
                    <w:rPr>
                      <w:rFonts w:hint="eastAsia" w:ascii="宋体" w:hAnsi="宋体" w:eastAsia="宋体" w:cs="宋体"/>
                      <w:bCs/>
                      <w:sz w:val="21"/>
                      <w:szCs w:val="21"/>
                    </w:rPr>
                  </w:pPr>
                </w:p>
              </w:tc>
              <w:tc>
                <w:tcPr>
                  <w:tcW w:w="1573" w:type="dxa"/>
                  <w:noWrap w:val="0"/>
                  <w:vAlign w:val="center"/>
                </w:tcPr>
                <w:p w14:paraId="15D77B77">
                  <w:pPr>
                    <w:pageBreakBefore w:val="0"/>
                    <w:kinsoku/>
                    <w:wordWrap/>
                    <w:overflowPunct/>
                    <w:topLinePunct w:val="0"/>
                    <w:autoSpaceDE/>
                    <w:autoSpaceDN/>
                    <w:bidi w:val="0"/>
                    <w:snapToGrid w:val="0"/>
                    <w:spacing w:line="36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无菌水箱</w:t>
                  </w:r>
                </w:p>
              </w:tc>
              <w:tc>
                <w:tcPr>
                  <w:tcW w:w="4700" w:type="dxa"/>
                  <w:noWrap w:val="0"/>
                  <w:vAlign w:val="center"/>
                </w:tcPr>
                <w:p w14:paraId="15E80112">
                  <w:pPr>
                    <w:pageBreakBefore w:val="0"/>
                    <w:kinsoku/>
                    <w:wordWrap/>
                    <w:overflowPunct/>
                    <w:topLinePunct w:val="0"/>
                    <w:autoSpaceDE/>
                    <w:autoSpaceDN/>
                    <w:bidi w:val="0"/>
                    <w:snapToGrid w:val="0"/>
                    <w:spacing w:line="360" w:lineRule="auto"/>
                    <w:ind w:left="0" w:leftChars="0" w:right="0" w:rightChars="0" w:firstLine="0" w:firstLineChars="0"/>
                    <w:jc w:val="left"/>
                    <w:rPr>
                      <w:rFonts w:hint="eastAsia" w:ascii="宋体" w:hAnsi="宋体" w:eastAsia="宋体" w:cs="宋体"/>
                      <w:bCs/>
                      <w:sz w:val="21"/>
                      <w:szCs w:val="21"/>
                      <w:lang w:val="en-US" w:eastAsia="zh-CN"/>
                    </w:rPr>
                  </w:pPr>
                  <w:bookmarkStart w:id="111" w:name="OLE_LINK2"/>
                  <w:r>
                    <w:rPr>
                      <w:rFonts w:hint="eastAsia" w:ascii="宋体" w:hAnsi="宋体" w:eastAsia="宋体" w:cs="宋体"/>
                      <w:bCs/>
                      <w:sz w:val="21"/>
                      <w:szCs w:val="21"/>
                    </w:rPr>
                    <w:t>≥</w:t>
                  </w:r>
                  <w:r>
                    <w:rPr>
                      <w:rFonts w:hint="eastAsia" w:ascii="宋体" w:hAnsi="宋体" w:eastAsia="宋体" w:cs="宋体"/>
                      <w:bCs/>
                      <w:sz w:val="21"/>
                      <w:szCs w:val="21"/>
                      <w:lang w:val="en-US" w:eastAsia="zh-CN"/>
                    </w:rPr>
                    <w:t>15L</w:t>
                  </w:r>
                  <w:r>
                    <w:rPr>
                      <w:rFonts w:hint="eastAsia" w:ascii="宋体" w:hAnsi="宋体" w:eastAsia="宋体" w:cs="宋体"/>
                      <w:bCs/>
                      <w:sz w:val="21"/>
                      <w:szCs w:val="21"/>
                    </w:rPr>
                    <w:t>，带空气过滤器</w:t>
                  </w:r>
                  <w:bookmarkEnd w:id="111"/>
                  <w:r>
                    <w:rPr>
                      <w:rFonts w:hint="eastAsia" w:ascii="宋体" w:hAnsi="宋体" w:eastAsia="宋体" w:cs="宋体"/>
                      <w:bCs/>
                      <w:sz w:val="21"/>
                      <w:szCs w:val="21"/>
                      <w:lang w:val="en-US" w:eastAsia="zh-CN"/>
                    </w:rPr>
                    <w:t>和紫外</w:t>
                  </w:r>
                </w:p>
              </w:tc>
              <w:tc>
                <w:tcPr>
                  <w:tcW w:w="1389" w:type="dxa"/>
                  <w:noWrap w:val="0"/>
                  <w:vAlign w:val="center"/>
                </w:tcPr>
                <w:p w14:paraId="56EB6742">
                  <w:pPr>
                    <w:pageBreakBefore w:val="0"/>
                    <w:kinsoku/>
                    <w:wordWrap/>
                    <w:overflowPunct/>
                    <w:topLinePunct w:val="0"/>
                    <w:autoSpaceDE/>
                    <w:autoSpaceDN/>
                    <w:bidi w:val="0"/>
                    <w:snapToGrid w:val="0"/>
                    <w:spacing w:line="360" w:lineRule="auto"/>
                    <w:ind w:left="0" w:leftChars="0" w:right="0" w:righ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p>
              </w:tc>
            </w:tr>
            <w:tr w14:paraId="65717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0" w:type="dxa"/>
                  <w:vMerge w:val="continue"/>
                  <w:noWrap w:val="0"/>
                  <w:vAlign w:val="center"/>
                </w:tcPr>
                <w:p w14:paraId="130416DF">
                  <w:pPr>
                    <w:pageBreakBefore w:val="0"/>
                    <w:kinsoku/>
                    <w:wordWrap/>
                    <w:overflowPunct/>
                    <w:topLinePunct w:val="0"/>
                    <w:autoSpaceDE/>
                    <w:autoSpaceDN/>
                    <w:bidi w:val="0"/>
                    <w:snapToGrid w:val="0"/>
                    <w:spacing w:line="360" w:lineRule="auto"/>
                    <w:ind w:left="0" w:leftChars="0" w:right="0" w:rightChars="0" w:firstLine="0" w:firstLineChars="0"/>
                    <w:jc w:val="center"/>
                    <w:rPr>
                      <w:rFonts w:hint="eastAsia" w:ascii="宋体" w:hAnsi="宋体" w:eastAsia="宋体" w:cs="宋体"/>
                      <w:color w:val="000000"/>
                      <w:sz w:val="21"/>
                      <w:szCs w:val="21"/>
                    </w:rPr>
                  </w:pPr>
                </w:p>
              </w:tc>
              <w:tc>
                <w:tcPr>
                  <w:tcW w:w="1573" w:type="dxa"/>
                  <w:noWrap w:val="0"/>
                  <w:vAlign w:val="center"/>
                </w:tcPr>
                <w:p w14:paraId="67CA74E2">
                  <w:pPr>
                    <w:pageBreakBefore w:val="0"/>
                    <w:kinsoku/>
                    <w:wordWrap/>
                    <w:overflowPunct/>
                    <w:topLinePunct w:val="0"/>
                    <w:autoSpaceDE/>
                    <w:autoSpaceDN/>
                    <w:bidi w:val="0"/>
                    <w:snapToGrid w:val="0"/>
                    <w:spacing w:line="36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维修（护）工具包</w:t>
                  </w:r>
                </w:p>
              </w:tc>
              <w:tc>
                <w:tcPr>
                  <w:tcW w:w="4700" w:type="dxa"/>
                  <w:noWrap w:val="0"/>
                  <w:vAlign w:val="center"/>
                </w:tcPr>
                <w:p w14:paraId="5E7F0471">
                  <w:pPr>
                    <w:pageBreakBefore w:val="0"/>
                    <w:kinsoku/>
                    <w:wordWrap/>
                    <w:overflowPunct/>
                    <w:topLinePunct w:val="0"/>
                    <w:autoSpaceDE/>
                    <w:autoSpaceDN/>
                    <w:bidi w:val="0"/>
                    <w:snapToGrid w:val="0"/>
                    <w:spacing w:line="36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w:t>
                  </w:r>
                </w:p>
              </w:tc>
              <w:tc>
                <w:tcPr>
                  <w:tcW w:w="1389" w:type="dxa"/>
                  <w:noWrap w:val="0"/>
                  <w:vAlign w:val="center"/>
                </w:tcPr>
                <w:p w14:paraId="2F6A64A3">
                  <w:pPr>
                    <w:pageBreakBefore w:val="0"/>
                    <w:kinsoku/>
                    <w:wordWrap/>
                    <w:overflowPunct/>
                    <w:topLinePunct w:val="0"/>
                    <w:autoSpaceDE/>
                    <w:autoSpaceDN/>
                    <w:bidi w:val="0"/>
                    <w:snapToGrid w:val="0"/>
                    <w:spacing w:line="360" w:lineRule="auto"/>
                    <w:ind w:left="0" w:leftChars="0" w:right="0" w:righ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p>
              </w:tc>
            </w:tr>
          </w:tbl>
          <w:p w14:paraId="0150BF1D">
            <w:pPr>
              <w:pageBreakBefore w:val="0"/>
              <w:numPr>
                <w:ilvl w:val="0"/>
                <w:numId w:val="0"/>
              </w:numPr>
              <w:kinsoku/>
              <w:wordWrap/>
              <w:overflowPunct/>
              <w:topLinePunct w:val="0"/>
              <w:autoSpaceDE/>
              <w:autoSpaceDN/>
              <w:bidi w:val="0"/>
              <w:spacing w:line="360" w:lineRule="auto"/>
              <w:ind w:left="425" w:leftChars="0" w:hanging="425" w:firstLineChars="0"/>
              <w:rPr>
                <w:rFonts w:hint="eastAsia" w:ascii="宋体" w:hAnsi="宋体" w:eastAsia="宋体" w:cs="宋体"/>
                <w:b/>
                <w:bCs/>
                <w:sz w:val="21"/>
                <w:szCs w:val="21"/>
              </w:rPr>
            </w:pPr>
            <w:r>
              <w:rPr>
                <w:rFonts w:hint="eastAsia" w:ascii="宋体" w:hAnsi="宋体" w:eastAsia="宋体" w:cs="宋体"/>
                <w:b/>
                <w:bCs/>
                <w:kern w:val="2"/>
                <w:sz w:val="21"/>
                <w:szCs w:val="21"/>
                <w:lang w:val="en-US" w:eastAsia="zh-CN" w:bidi="ar-SA"/>
              </w:rPr>
              <w:t>2.</w:t>
            </w:r>
            <w:r>
              <w:rPr>
                <w:rFonts w:hint="eastAsia" w:ascii="宋体" w:hAnsi="宋体" w:eastAsia="宋体" w:cs="宋体"/>
                <w:b/>
                <w:bCs/>
                <w:sz w:val="21"/>
                <w:szCs w:val="21"/>
                <w:lang w:val="en-US" w:eastAsia="zh-CN"/>
              </w:rPr>
              <w:t>技术指标</w:t>
            </w:r>
          </w:p>
          <w:p w14:paraId="523E3702">
            <w:pPr>
              <w:pageBreakBefore w:val="0"/>
              <w:numPr>
                <w:ilvl w:val="1"/>
                <w:numId w:val="0"/>
              </w:numPr>
              <w:kinsoku/>
              <w:wordWrap/>
              <w:overflowPunct/>
              <w:topLinePunct w:val="0"/>
              <w:autoSpaceDE/>
              <w:autoSpaceDN/>
              <w:bidi w:val="0"/>
              <w:spacing w:line="360" w:lineRule="auto"/>
              <w:ind w:left="567" w:leftChars="0" w:hanging="567" w:firstLineChars="0"/>
              <w:rPr>
                <w:rFonts w:hint="eastAsia" w:ascii="宋体" w:hAnsi="宋体" w:eastAsia="宋体" w:cs="宋体"/>
                <w:sz w:val="21"/>
                <w:szCs w:val="21"/>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kern w:val="2"/>
                <w:sz w:val="21"/>
                <w:szCs w:val="21"/>
                <w:lang w:val="en-US" w:eastAsia="zh-CN" w:bidi="ar-SA"/>
              </w:rPr>
              <w:t>2.1.</w:t>
            </w:r>
            <w:r>
              <w:rPr>
                <w:rFonts w:hint="eastAsia" w:ascii="宋体" w:hAnsi="宋体" w:eastAsia="宋体" w:cs="宋体"/>
                <w:sz w:val="21"/>
                <w:szCs w:val="21"/>
              </w:rPr>
              <w:t>以城市自来水为水源，</w:t>
            </w:r>
            <w:r>
              <w:rPr>
                <w:rFonts w:hint="eastAsia" w:ascii="宋体" w:hAnsi="宋体" w:eastAsia="宋体" w:cs="宋体"/>
                <w:sz w:val="21"/>
                <w:szCs w:val="21"/>
                <w:lang w:val="en-US" w:eastAsia="zh-CN"/>
              </w:rPr>
              <w:t>配预处理立柱，</w:t>
            </w:r>
            <w:r>
              <w:rPr>
                <w:rFonts w:hint="eastAsia" w:ascii="宋体" w:hAnsi="宋体" w:eastAsia="宋体" w:cs="宋体"/>
                <w:sz w:val="21"/>
                <w:szCs w:val="21"/>
              </w:rPr>
              <w:t>可同时生产、超纯水、RO纯水。</w:t>
            </w:r>
          </w:p>
          <w:p w14:paraId="021492FA">
            <w:pPr>
              <w:pageBreakBefore w:val="0"/>
              <w:numPr>
                <w:ilvl w:val="1"/>
                <w:numId w:val="0"/>
              </w:numPr>
              <w:kinsoku/>
              <w:wordWrap/>
              <w:overflowPunct/>
              <w:topLinePunct w:val="0"/>
              <w:autoSpaceDE/>
              <w:autoSpaceDN/>
              <w:bidi w:val="0"/>
              <w:spacing w:line="360" w:lineRule="auto"/>
              <w:ind w:left="567" w:leftChars="0" w:hanging="567" w:firstLineChars="0"/>
              <w:rPr>
                <w:rFonts w:hint="eastAsia" w:ascii="宋体" w:hAnsi="宋体" w:eastAsia="宋体" w:cs="宋体"/>
                <w:sz w:val="21"/>
                <w:szCs w:val="21"/>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kern w:val="2"/>
                <w:sz w:val="21"/>
                <w:szCs w:val="21"/>
                <w:lang w:val="en-US" w:eastAsia="zh-CN" w:bidi="ar-SA"/>
              </w:rPr>
              <w:t>2.2.</w:t>
            </w:r>
            <w:r>
              <w:rPr>
                <w:rFonts w:hint="eastAsia" w:ascii="宋体" w:hAnsi="宋体" w:eastAsia="宋体" w:cs="宋体"/>
                <w:sz w:val="21"/>
                <w:szCs w:val="21"/>
              </w:rPr>
              <w:t>制水量≥</w:t>
            </w:r>
            <w:r>
              <w:rPr>
                <w:rFonts w:hint="eastAsia" w:ascii="宋体" w:hAnsi="宋体" w:eastAsia="宋体" w:cs="宋体"/>
                <w:sz w:val="21"/>
                <w:szCs w:val="21"/>
                <w:lang w:val="en-US" w:eastAsia="zh-CN"/>
              </w:rPr>
              <w:t>15</w:t>
            </w:r>
            <w:r>
              <w:rPr>
                <w:rFonts w:hint="eastAsia" w:ascii="宋体" w:hAnsi="宋体" w:eastAsia="宋体" w:cs="宋体"/>
                <w:sz w:val="21"/>
                <w:szCs w:val="21"/>
              </w:rPr>
              <w:t>L/h，产水水质：</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"mailto:纯水---电导率1μs/cm*@25℃（在线监测），UP超纯水---电阻率18.25MΩ.cm*@25℃（在线监测）" </w:instrText>
            </w:r>
            <w:r>
              <w:rPr>
                <w:rFonts w:hint="eastAsia" w:ascii="宋体" w:hAnsi="宋体" w:eastAsia="宋体" w:cs="宋体"/>
                <w:sz w:val="21"/>
                <w:szCs w:val="21"/>
              </w:rPr>
              <w:fldChar w:fldCharType="separate"/>
            </w:r>
            <w:r>
              <w:rPr>
                <w:rFonts w:hint="eastAsia" w:ascii="宋体" w:hAnsi="宋体" w:eastAsia="宋体" w:cs="宋体"/>
                <w:sz w:val="21"/>
                <w:szCs w:val="21"/>
              </w:rPr>
              <w:t>纯水电阻率&gt;0.2 MΩ.cm（25℃），吸光度（254nm,1cm光程：≤0.001），微粒及细菌去除率&gt;99%；超纯水</w:t>
            </w:r>
            <w:bookmarkStart w:id="112" w:name="_Hlk190018939"/>
            <w:r>
              <w:rPr>
                <w:rFonts w:hint="eastAsia" w:ascii="宋体" w:hAnsi="宋体" w:eastAsia="宋体" w:cs="宋体"/>
                <w:sz w:val="21"/>
                <w:szCs w:val="21"/>
              </w:rPr>
              <w:t>电阻率</w:t>
            </w:r>
            <w:bookmarkEnd w:id="112"/>
            <w:r>
              <w:rPr>
                <w:rFonts w:hint="eastAsia" w:ascii="宋体" w:hAnsi="宋体" w:eastAsia="宋体" w:cs="宋体"/>
                <w:sz w:val="21"/>
                <w:szCs w:val="21"/>
              </w:rPr>
              <w:t>达到18.2MΩ.cm（25℃），电导率达到0.055μs/cm（25℃）</w:t>
            </w:r>
            <w:r>
              <w:rPr>
                <w:rFonts w:hint="eastAsia" w:ascii="宋体" w:hAnsi="宋体" w:eastAsia="宋体" w:cs="宋体"/>
                <w:sz w:val="21"/>
                <w:szCs w:val="21"/>
              </w:rPr>
              <w:fldChar w:fldCharType="end"/>
            </w:r>
            <w:r>
              <w:rPr>
                <w:rFonts w:hint="eastAsia" w:ascii="宋体" w:hAnsi="宋体" w:eastAsia="宋体" w:cs="宋体"/>
                <w:sz w:val="21"/>
                <w:szCs w:val="21"/>
              </w:rPr>
              <w:t>，TOC≤2ppb，微粒&lt;1/mL(&gt;0.2μm)，细菌&lt;0.01CFU/mL。</w:t>
            </w:r>
          </w:p>
          <w:p w14:paraId="449A67C1">
            <w:pPr>
              <w:pageBreakBefore w:val="0"/>
              <w:numPr>
                <w:ilvl w:val="1"/>
                <w:numId w:val="0"/>
              </w:numPr>
              <w:kinsoku/>
              <w:wordWrap/>
              <w:overflowPunct/>
              <w:topLinePunct w:val="0"/>
              <w:autoSpaceDE/>
              <w:autoSpaceDN/>
              <w:bidi w:val="0"/>
              <w:spacing w:line="360" w:lineRule="auto"/>
              <w:ind w:left="567" w:leftChars="0" w:hanging="567" w:firstLineChars="0"/>
              <w:rPr>
                <w:rFonts w:hint="eastAsia" w:ascii="宋体" w:hAnsi="宋体" w:eastAsia="宋体" w:cs="宋体"/>
                <w:sz w:val="21"/>
                <w:szCs w:val="21"/>
              </w:rPr>
            </w:pPr>
            <w:r>
              <w:rPr>
                <w:rFonts w:hint="eastAsia" w:ascii="宋体" w:hAnsi="宋体" w:eastAsia="宋体" w:cs="宋体"/>
                <w:kern w:val="2"/>
                <w:sz w:val="21"/>
                <w:szCs w:val="21"/>
                <w:lang w:val="en-US" w:eastAsia="zh-CN" w:bidi="ar-SA"/>
              </w:rPr>
              <w:t>2.3.</w:t>
            </w:r>
            <w:r>
              <w:rPr>
                <w:rFonts w:hint="eastAsia" w:ascii="宋体" w:hAnsi="宋体" w:eastAsia="宋体" w:cs="宋体"/>
                <w:sz w:val="21"/>
                <w:szCs w:val="21"/>
              </w:rPr>
              <w:t>超纯水机可连接到LIMS实验室信息管理系统，具有可导出运行数据的USB接口。</w:t>
            </w:r>
          </w:p>
          <w:p w14:paraId="488715A4">
            <w:pPr>
              <w:pageBreakBefore w:val="0"/>
              <w:numPr>
                <w:ilvl w:val="1"/>
                <w:numId w:val="0"/>
              </w:numPr>
              <w:kinsoku/>
              <w:wordWrap/>
              <w:overflowPunct/>
              <w:topLinePunct w:val="0"/>
              <w:autoSpaceDE/>
              <w:autoSpaceDN/>
              <w:bidi w:val="0"/>
              <w:spacing w:line="360" w:lineRule="auto"/>
              <w:ind w:left="567" w:leftChars="0" w:hanging="567" w:firstLineChars="0"/>
              <w:rPr>
                <w:rFonts w:hint="eastAsia" w:ascii="宋体" w:hAnsi="宋体" w:eastAsia="宋体" w:cs="宋体"/>
                <w:sz w:val="21"/>
                <w:szCs w:val="21"/>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kern w:val="2"/>
                <w:sz w:val="21"/>
                <w:szCs w:val="21"/>
                <w:lang w:val="en-US" w:eastAsia="zh-CN" w:bidi="ar-SA"/>
              </w:rPr>
              <w:t>2.4.</w:t>
            </w:r>
            <w:r>
              <w:rPr>
                <w:rFonts w:hint="eastAsia" w:ascii="宋体" w:hAnsi="宋体" w:eastAsia="宋体" w:cs="宋体"/>
                <w:sz w:val="21"/>
                <w:szCs w:val="21"/>
              </w:rPr>
              <w:t>取水手臂</w:t>
            </w:r>
            <w:r>
              <w:rPr>
                <w:rFonts w:hint="eastAsia" w:ascii="宋体" w:hAnsi="宋体" w:eastAsia="宋体" w:cs="宋体"/>
                <w:sz w:val="21"/>
                <w:szCs w:val="21"/>
                <w:lang w:val="en-US" w:eastAsia="zh-CN"/>
              </w:rPr>
              <w:t>或主机</w:t>
            </w:r>
            <w:r>
              <w:rPr>
                <w:rFonts w:hint="eastAsia" w:ascii="宋体" w:hAnsi="宋体" w:eastAsia="宋体" w:cs="宋体"/>
                <w:sz w:val="21"/>
                <w:szCs w:val="21"/>
              </w:rPr>
              <w:t>配有显示屏，可在线监测取水电阻率、水温、流速、取水量等信息，具有常规、定量、即时3种取水模式，出口端装终端微滤器。</w:t>
            </w:r>
          </w:p>
          <w:p w14:paraId="46D882EE">
            <w:pPr>
              <w:pageBreakBefore w:val="0"/>
              <w:numPr>
                <w:ilvl w:val="1"/>
                <w:numId w:val="0"/>
              </w:numPr>
              <w:kinsoku/>
              <w:wordWrap/>
              <w:overflowPunct/>
              <w:topLinePunct w:val="0"/>
              <w:autoSpaceDE/>
              <w:autoSpaceDN/>
              <w:bidi w:val="0"/>
              <w:spacing w:line="360" w:lineRule="auto"/>
              <w:ind w:left="567" w:leftChars="0" w:hanging="567" w:firstLineChars="0"/>
              <w:rPr>
                <w:rFonts w:hint="eastAsia" w:ascii="宋体" w:hAnsi="宋体" w:eastAsia="宋体" w:cs="宋体"/>
                <w:sz w:val="21"/>
                <w:szCs w:val="21"/>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kern w:val="2"/>
                <w:sz w:val="21"/>
                <w:szCs w:val="21"/>
                <w:lang w:val="en-US" w:eastAsia="zh-CN" w:bidi="ar-SA"/>
              </w:rPr>
              <w:t>2.5.</w:t>
            </w:r>
            <w:r>
              <w:rPr>
                <w:rFonts w:hint="eastAsia" w:ascii="宋体" w:hAnsi="宋体" w:eastAsia="宋体" w:cs="宋体"/>
                <w:sz w:val="21"/>
                <w:szCs w:val="21"/>
              </w:rPr>
              <w:t>无菌水箱，总体积</w:t>
            </w:r>
            <w:r>
              <w:rPr>
                <w:rFonts w:hint="eastAsia" w:ascii="宋体" w:hAnsi="宋体" w:eastAsia="宋体" w:cs="宋体"/>
                <w:sz w:val="21"/>
                <w:szCs w:val="21"/>
                <w:lang w:val="en-US" w:eastAsia="zh-CN"/>
              </w:rPr>
              <w:t>≥30</w:t>
            </w:r>
            <w:r>
              <w:rPr>
                <w:rFonts w:hint="eastAsia" w:ascii="宋体" w:hAnsi="宋体" w:eastAsia="宋体" w:cs="宋体"/>
                <w:sz w:val="21"/>
                <w:szCs w:val="21"/>
              </w:rPr>
              <w:t>升，带空气过滤器。</w:t>
            </w:r>
          </w:p>
          <w:p w14:paraId="17D61E60">
            <w:pPr>
              <w:pageBreakBefore w:val="0"/>
              <w:numPr>
                <w:ilvl w:val="1"/>
                <w:numId w:val="0"/>
              </w:numPr>
              <w:kinsoku/>
              <w:wordWrap/>
              <w:overflowPunct/>
              <w:topLinePunct w:val="0"/>
              <w:autoSpaceDE/>
              <w:autoSpaceDN/>
              <w:bidi w:val="0"/>
              <w:spacing w:line="360" w:lineRule="auto"/>
              <w:ind w:left="567" w:leftChars="0" w:hanging="567" w:firstLineChars="0"/>
              <w:rPr>
                <w:rFonts w:hint="eastAsia" w:ascii="宋体" w:hAnsi="宋体" w:eastAsia="宋体" w:cs="宋体"/>
                <w:sz w:val="21"/>
                <w:szCs w:val="21"/>
              </w:rPr>
            </w:pPr>
            <w:r>
              <w:rPr>
                <w:rFonts w:hint="eastAsia" w:ascii="宋体" w:hAnsi="宋体" w:eastAsia="宋体" w:cs="宋体"/>
                <w:kern w:val="2"/>
                <w:sz w:val="21"/>
                <w:szCs w:val="21"/>
                <w:lang w:val="en-US" w:eastAsia="zh-CN" w:bidi="ar-SA"/>
              </w:rPr>
              <w:t>2.6.</w:t>
            </w:r>
            <w:r>
              <w:rPr>
                <w:rFonts w:hint="eastAsia" w:ascii="宋体" w:hAnsi="宋体" w:eastAsia="宋体" w:cs="宋体"/>
                <w:sz w:val="21"/>
                <w:szCs w:val="21"/>
              </w:rPr>
              <w:t>超纯水配185/254双波长紫外灯。</w:t>
            </w:r>
          </w:p>
          <w:p w14:paraId="3FEB4342">
            <w:pPr>
              <w:pageBreakBefore w:val="0"/>
              <w:numPr>
                <w:ilvl w:val="1"/>
                <w:numId w:val="0"/>
              </w:numPr>
              <w:kinsoku/>
              <w:wordWrap/>
              <w:overflowPunct/>
              <w:topLinePunct w:val="0"/>
              <w:autoSpaceDE/>
              <w:autoSpaceDN/>
              <w:bidi w:val="0"/>
              <w:spacing w:line="360" w:lineRule="auto"/>
              <w:ind w:left="567" w:leftChars="0" w:hanging="567" w:firstLineChars="0"/>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2"/>
                <w:sz w:val="21"/>
                <w:szCs w:val="21"/>
                <w:lang w:val="en-US" w:eastAsia="zh-CN" w:bidi="ar-SA"/>
              </w:rPr>
              <w:t>2.7.</w:t>
            </w:r>
            <w:r>
              <w:rPr>
                <w:rFonts w:hint="eastAsia" w:ascii="宋体" w:hAnsi="宋体" w:eastAsia="宋体" w:cs="宋体"/>
                <w:sz w:val="21"/>
                <w:szCs w:val="21"/>
              </w:rPr>
              <w:t>彩色触摸屏操作，可任意设置定时、定量取水，具有不少于3年历史数据查询功能，水箱储量、取水量、滤芯和水质状况（温度、电阻率、TOC等）等数据实时显示，具有更换纯化柱、水质异常和漏水报警以及系统自动清洗等维护信息提示功能。</w:t>
            </w:r>
          </w:p>
        </w:tc>
      </w:tr>
      <w:tr w14:paraId="0C9C7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932" w:type="dxa"/>
            <w:vAlign w:val="center"/>
          </w:tcPr>
          <w:p w14:paraId="750088FF">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6</w:t>
            </w:r>
          </w:p>
        </w:tc>
        <w:tc>
          <w:tcPr>
            <w:tcW w:w="2739" w:type="dxa"/>
            <w:vAlign w:val="center"/>
          </w:tcPr>
          <w:p w14:paraId="7C161661">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便携式离心机</w:t>
            </w:r>
          </w:p>
        </w:tc>
        <w:tc>
          <w:tcPr>
            <w:tcW w:w="9188" w:type="dxa"/>
            <w:vAlign w:val="center"/>
          </w:tcPr>
          <w:p w14:paraId="5ADB18BC">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rPr>
              <w:t>1、体积小巧、拉杆箱一体式设计、耗电量低、适配便携式移动电源、便于现场操作。</w:t>
            </w:r>
          </w:p>
          <w:p w14:paraId="4F7493FE">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rPr>
              <w:t>2、操作简单，一键式操作，免维护。</w:t>
            </w:r>
          </w:p>
          <w:p w14:paraId="5E8A53A2">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rPr>
              <w:t>3、独有的腔体设计，整体结构厚实可靠，腔体外设计自动通风循环系统，电路板全部悬挂，具有很好的防潮效果。</w:t>
            </w:r>
          </w:p>
          <w:p w14:paraId="0C6BAFBE">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rPr>
              <w:t>4、离心腔腔内与盖子风道形成循环风道系统，使整个腔体、电机等部件保持极好的散热作用，提高整机的稳定性能及高可靠性。</w:t>
            </w:r>
          </w:p>
          <w:p w14:paraId="13D41D4F">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rPr>
              <w:t>5、风道结构采用独创的半圆弧形特殊点位结构使其达到最佳的散热传热效果。</w:t>
            </w:r>
          </w:p>
          <w:p w14:paraId="5A89A62B">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rPr>
              <w:t>6、内部采用独创的复合多层环保高密度材料，具有极强的隔音隔热作用。</w:t>
            </w:r>
          </w:p>
          <w:p w14:paraId="4A0DD26F">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rPr>
              <w:t>7、最佳三角平衡点牢牢地固定在电机底部，使整套系统运行平稳，高可靠性，高稳定性。</w:t>
            </w:r>
          </w:p>
          <w:p w14:paraId="0DA3AF58">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rPr>
              <w:t>8、仪器用于地表水、地下水、废水的户外现场水质离心处理。</w:t>
            </w:r>
          </w:p>
          <w:p w14:paraId="70BA8922">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rPr>
              <w:t>▲9、转速0-2500r/min可调或2000r/min，最大容量</w:t>
            </w:r>
            <w:r>
              <w:rPr>
                <w:rFonts w:hint="eastAsia" w:ascii="宋体" w:hAnsi="宋体" w:eastAsia="宋体" w:cs="宋体"/>
                <w:sz w:val="21"/>
                <w:szCs w:val="21"/>
                <w:lang w:val="en-US"/>
              </w:rPr>
              <w:t>4*300</w:t>
            </w:r>
            <w:r>
              <w:rPr>
                <w:rFonts w:hint="eastAsia" w:ascii="宋体" w:hAnsi="宋体" w:eastAsia="宋体" w:cs="宋体"/>
                <w:sz w:val="21"/>
                <w:szCs w:val="21"/>
                <w:lang w:val="en-US" w:eastAsia="zh-CN"/>
              </w:rPr>
              <w:t>或≥1000</w:t>
            </w:r>
            <w:r>
              <w:rPr>
                <w:rFonts w:hint="eastAsia" w:ascii="宋体" w:hAnsi="宋体" w:eastAsia="宋体" w:cs="宋体"/>
                <w:sz w:val="21"/>
                <w:szCs w:val="21"/>
              </w:rPr>
              <w:t>ml</w:t>
            </w:r>
          </w:p>
          <w:p w14:paraId="4F1133C8">
            <w:pPr>
              <w:pageBreakBefore w:val="0"/>
              <w:kinsoku/>
              <w:wordWrap/>
              <w:overflowPunct/>
              <w:topLinePunct w:val="0"/>
              <w:autoSpaceDE/>
              <w:autoSpaceDN/>
              <w:bidi w:val="0"/>
              <w:spacing w:after="0"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0</w:t>
            </w:r>
            <w:r>
              <w:rPr>
                <w:rFonts w:hint="eastAsia" w:ascii="宋体" w:hAnsi="宋体" w:eastAsia="宋体" w:cs="宋体"/>
                <w:color w:val="000000" w:themeColor="text1"/>
                <w:sz w:val="21"/>
                <w:szCs w:val="21"/>
                <w14:textFill>
                  <w14:solidFill>
                    <w14:schemeClr w14:val="tx1"/>
                  </w14:solidFill>
                </w14:textFill>
              </w:rPr>
              <w:t>、相对离心力</w:t>
            </w:r>
            <w:r>
              <w:rPr>
                <w:rFonts w:hint="eastAsia" w:ascii="宋体" w:hAnsi="宋体" w:eastAsia="宋体" w:cs="宋体"/>
                <w:color w:val="000000" w:themeColor="text1"/>
                <w:sz w:val="21"/>
                <w:szCs w:val="21"/>
                <w:lang w:val="en-US" w:eastAsia="zh-CN"/>
                <w14:textFill>
                  <w14:solidFill>
                    <w14:schemeClr w14:val="tx1"/>
                  </w14:solidFill>
                </w14:textFill>
              </w:rPr>
              <w:t>≥1091</w:t>
            </w:r>
            <w:r>
              <w:rPr>
                <w:rFonts w:hint="eastAsia" w:ascii="宋体" w:hAnsi="宋体" w:eastAsia="宋体" w:cs="宋体"/>
                <w:color w:val="000000" w:themeColor="text1"/>
                <w:sz w:val="21"/>
                <w:szCs w:val="21"/>
                <w14:textFill>
                  <w14:solidFill>
                    <w14:schemeClr w14:val="tx1"/>
                  </w14:solidFill>
                </w14:textFill>
              </w:rPr>
              <w:t>xg</w:t>
            </w:r>
          </w:p>
          <w:p w14:paraId="72CDB371">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1</w:t>
            </w:r>
            <w:r>
              <w:rPr>
                <w:rFonts w:hint="eastAsia" w:ascii="宋体" w:hAnsi="宋体" w:eastAsia="宋体" w:cs="宋体"/>
                <w:sz w:val="21"/>
                <w:szCs w:val="21"/>
              </w:rPr>
              <w:t>、时间设置：1min-99min</w:t>
            </w:r>
          </w:p>
          <w:p w14:paraId="15FEC58F">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2</w:t>
            </w:r>
            <w:r>
              <w:rPr>
                <w:rFonts w:hint="eastAsia" w:ascii="宋体" w:hAnsi="宋体" w:eastAsia="宋体" w:cs="宋体"/>
                <w:sz w:val="21"/>
                <w:szCs w:val="21"/>
              </w:rPr>
              <w:t>、转速精度：±20r/min</w:t>
            </w:r>
          </w:p>
          <w:p w14:paraId="7E456405">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3</w:t>
            </w:r>
            <w:r>
              <w:rPr>
                <w:rFonts w:hint="eastAsia" w:ascii="宋体" w:hAnsi="宋体" w:eastAsia="宋体" w:cs="宋体"/>
                <w:sz w:val="21"/>
                <w:szCs w:val="21"/>
              </w:rPr>
              <w:t>、能够在野外，没有交流电源的情况下正常工作。</w:t>
            </w:r>
          </w:p>
          <w:p w14:paraId="3973B1C7">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4</w:t>
            </w:r>
            <w:r>
              <w:rPr>
                <w:rFonts w:hint="eastAsia" w:ascii="宋体" w:hAnsi="宋体" w:eastAsia="宋体" w:cs="宋体"/>
                <w:sz w:val="21"/>
                <w:szCs w:val="21"/>
              </w:rPr>
              <w:t>、仪器不需要额外添加任何配件配置，即可开展以上工作并达到以上功能、性能及技术指标要求。</w:t>
            </w:r>
          </w:p>
          <w:p w14:paraId="0CA0513E">
            <w:pPr>
              <w:pageBreakBefore w:val="0"/>
              <w:kinsoku/>
              <w:wordWrap/>
              <w:overflowPunct/>
              <w:topLinePunct w:val="0"/>
              <w:autoSpaceDE/>
              <w:autoSpaceDN/>
              <w:bidi w:val="0"/>
              <w:spacing w:after="0"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1</w:t>
            </w:r>
            <w:r>
              <w:rPr>
                <w:rFonts w:hint="eastAsia" w:ascii="宋体" w:hAnsi="宋体" w:eastAsia="宋体" w:cs="宋体"/>
                <w:sz w:val="21"/>
                <w:szCs w:val="21"/>
                <w:lang w:val="en-US" w:eastAsia="zh-CN"/>
              </w:rPr>
              <w:t>5</w:t>
            </w:r>
            <w:r>
              <w:rPr>
                <w:rFonts w:hint="eastAsia" w:ascii="宋体" w:hAnsi="宋体" w:eastAsia="宋体" w:cs="宋体"/>
                <w:sz w:val="21"/>
                <w:szCs w:val="21"/>
              </w:rPr>
              <w:t>、基本配置：主机1台，</w:t>
            </w:r>
            <w:r>
              <w:rPr>
                <w:rFonts w:hint="eastAsia" w:ascii="宋体" w:hAnsi="宋体" w:eastAsia="宋体" w:cs="宋体"/>
                <w:sz w:val="21"/>
                <w:szCs w:val="21"/>
                <w:lang w:val="en-US" w:eastAsia="zh-CN"/>
              </w:rPr>
              <w:t>≥</w:t>
            </w:r>
            <w:r>
              <w:rPr>
                <w:rFonts w:hint="eastAsia" w:ascii="宋体" w:hAnsi="宋体" w:eastAsia="宋体" w:cs="宋体"/>
                <w:sz w:val="21"/>
                <w:szCs w:val="21"/>
              </w:rPr>
              <w:t>4个离心瓶。</w:t>
            </w:r>
          </w:p>
        </w:tc>
      </w:tr>
      <w:tr w14:paraId="2B8AC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932" w:type="dxa"/>
            <w:vAlign w:val="center"/>
          </w:tcPr>
          <w:p w14:paraId="65E46CAF">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7</w:t>
            </w:r>
          </w:p>
        </w:tc>
        <w:tc>
          <w:tcPr>
            <w:tcW w:w="2739" w:type="dxa"/>
            <w:vAlign w:val="center"/>
          </w:tcPr>
          <w:p w14:paraId="3198A38A">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专用药品柜</w:t>
            </w:r>
          </w:p>
        </w:tc>
        <w:tc>
          <w:tcPr>
            <w:tcW w:w="9188" w:type="dxa"/>
            <w:vAlign w:val="center"/>
          </w:tcPr>
          <w:p w14:paraId="7101D47E">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rPr>
              <w:t>1.金属部分材质：镀锌钢板，并涂有抗酸碱的环氧聚酯涂层；</w:t>
            </w:r>
          </w:p>
          <w:p w14:paraId="518D6C41">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rPr>
              <w:t>2. 柜体需配可调节功能支脚；</w:t>
            </w:r>
          </w:p>
          <w:p w14:paraId="4E0667FB">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rPr>
              <w:t>3.层板材质：层板采用聚丙烯（PP）材质一次冲压成型；</w:t>
            </w:r>
          </w:p>
          <w:p w14:paraId="4C0420D3">
            <w:pPr>
              <w:pageBreakBefore w:val="0"/>
              <w:kinsoku/>
              <w:wordWrap/>
              <w:overflowPunct/>
              <w:topLinePunct w:val="0"/>
              <w:autoSpaceDE/>
              <w:autoSpaceDN/>
              <w:bidi w:val="0"/>
              <w:spacing w:after="0" w:line="360" w:lineRule="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容积：</w:t>
            </w:r>
            <w:r>
              <w:rPr>
                <w:rFonts w:hint="eastAsia" w:ascii="宋体" w:hAnsi="宋体" w:eastAsia="宋体" w:cs="宋体"/>
                <w:b w:val="0"/>
                <w:bCs w:val="0"/>
                <w:color w:val="auto"/>
                <w:sz w:val="21"/>
                <w:szCs w:val="21"/>
                <w:highlight w:val="none"/>
                <w:lang w:val="en-US" w:eastAsia="zh-CN"/>
              </w:rPr>
              <w:t>≥630L</w:t>
            </w:r>
          </w:p>
          <w:p w14:paraId="6620E3D0">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 显示屏： LED智能显示屏，显示过滤器工作温度，风机转速，门忘关报警器，过滤器寿命倒计时，过滤器出风口TVOC浓度探头，风机转速用户可根据使用情况调节保证柜体内负压</w:t>
            </w:r>
          </w:p>
          <w:p w14:paraId="2DE8C346">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.过滤系统具备模块化功能，可针对液体或粉尘及混合实验，进行配置相应的过滤器。对常见的500种化学物质有吸附功能。</w:t>
            </w:r>
          </w:p>
          <w:p w14:paraId="4329D991">
            <w:pPr>
              <w:pageBreakBefore w:val="0"/>
              <w:kinsoku/>
              <w:wordWrap/>
              <w:overflowPunct/>
              <w:topLinePunct w:val="0"/>
              <w:autoSpaceDE/>
              <w:autoSpaceDN/>
              <w:bidi w:val="0"/>
              <w:spacing w:after="0"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r>
              <w:rPr>
                <w:rFonts w:hint="eastAsia" w:ascii="宋体" w:hAnsi="宋体" w:eastAsia="宋体" w:cs="宋体"/>
                <w:sz w:val="21"/>
                <w:szCs w:val="21"/>
              </w:rPr>
              <w:t>. 当储药柜未关门时，具备关门提醒功能</w:t>
            </w:r>
            <w:r>
              <w:rPr>
                <w:rFonts w:hint="eastAsia" w:ascii="宋体" w:hAnsi="宋体" w:cs="宋体"/>
                <w:sz w:val="21"/>
                <w:szCs w:val="21"/>
                <w:lang w:val="en-US" w:eastAsia="zh-CN"/>
              </w:rPr>
              <w:t>.</w:t>
            </w:r>
          </w:p>
          <w:p w14:paraId="642BECDE">
            <w:pPr>
              <w:pageBreakBefore w:val="0"/>
              <w:kinsoku/>
              <w:wordWrap/>
              <w:overflowPunct/>
              <w:topLinePunct w:val="0"/>
              <w:autoSpaceDE/>
              <w:autoSpaceDN/>
              <w:bidi w:val="0"/>
              <w:spacing w:after="0" w:line="360" w:lineRule="auto"/>
              <w:rPr>
                <w:rFonts w:hint="eastAsia" w:ascii="宋体" w:hAnsi="宋体" w:cs="宋体"/>
                <w:sz w:val="21"/>
                <w:szCs w:val="21"/>
                <w:lang w:eastAsia="zh-CN"/>
              </w:rPr>
            </w:pPr>
            <w:r>
              <w:rPr>
                <w:rFonts w:hint="eastAsia" w:ascii="宋体" w:hAnsi="宋体" w:eastAsia="宋体" w:cs="宋体"/>
                <w:sz w:val="21"/>
                <w:szCs w:val="21"/>
                <w:lang w:val="en-US" w:eastAsia="zh-CN"/>
              </w:rPr>
              <w:t>8</w:t>
            </w:r>
            <w:r>
              <w:rPr>
                <w:rFonts w:hint="eastAsia" w:ascii="宋体" w:hAnsi="宋体" w:eastAsia="宋体" w:cs="宋体"/>
                <w:sz w:val="21"/>
                <w:szCs w:val="21"/>
              </w:rPr>
              <w:t>. 风机VAV联动，当门打开时风机转速自动调节增大，保证柜体内负压值</w:t>
            </w:r>
            <w:r>
              <w:rPr>
                <w:rFonts w:hint="eastAsia" w:ascii="宋体" w:hAnsi="宋体" w:cs="宋体"/>
                <w:sz w:val="21"/>
                <w:szCs w:val="21"/>
                <w:lang w:eastAsia="zh-CN"/>
              </w:rPr>
              <w:t>。</w:t>
            </w:r>
          </w:p>
          <w:p w14:paraId="246A81BF">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 标配过滤模块TVOC检测探头，实时在线显示出风口TVOC浓度值，精确到0.1PPM值</w:t>
            </w:r>
          </w:p>
          <w:p w14:paraId="314AF0FA">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rPr>
              <w:t>配置清单：</w:t>
            </w:r>
          </w:p>
          <w:p w14:paraId="27F098B5">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rPr>
              <w:t>1.风机箱：</w:t>
            </w:r>
            <w:r>
              <w:rPr>
                <w:rFonts w:hint="eastAsia" w:ascii="宋体" w:hAnsi="宋体" w:eastAsia="宋体" w:cs="宋体"/>
                <w:sz w:val="21"/>
                <w:szCs w:val="21"/>
                <w:lang w:val="en-US" w:eastAsia="zh-CN"/>
              </w:rPr>
              <w:t>至少</w:t>
            </w:r>
            <w:r>
              <w:rPr>
                <w:rFonts w:hint="eastAsia" w:ascii="宋体" w:hAnsi="宋体" w:eastAsia="宋体" w:cs="宋体"/>
                <w:sz w:val="21"/>
                <w:szCs w:val="21"/>
              </w:rPr>
              <w:t xml:space="preserve">含1套风机； </w:t>
            </w:r>
          </w:p>
          <w:p w14:paraId="79DF8D21">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rPr>
              <w:t>2.双柜体加透明门板：</w:t>
            </w:r>
            <w:r>
              <w:rPr>
                <w:rFonts w:hint="eastAsia" w:ascii="宋体" w:hAnsi="宋体" w:eastAsia="宋体" w:cs="宋体"/>
                <w:sz w:val="21"/>
                <w:szCs w:val="21"/>
                <w:lang w:val="en-US" w:eastAsia="zh-CN"/>
              </w:rPr>
              <w:t>≥</w:t>
            </w:r>
            <w:r>
              <w:rPr>
                <w:rFonts w:hint="eastAsia" w:ascii="宋体" w:hAnsi="宋体" w:eastAsia="宋体" w:cs="宋体"/>
                <w:sz w:val="21"/>
                <w:szCs w:val="21"/>
              </w:rPr>
              <w:t>6mm厚亚克力双门；</w:t>
            </w:r>
          </w:p>
          <w:p w14:paraId="7B3D4808">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rPr>
              <w:t>3.门锁：双门双锁安全设计（符合双人管理）；</w:t>
            </w:r>
          </w:p>
          <w:p w14:paraId="0378B099">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.PP层板：</w:t>
            </w:r>
            <w:r>
              <w:rPr>
                <w:rFonts w:hint="eastAsia" w:ascii="宋体" w:hAnsi="宋体" w:eastAsia="宋体" w:cs="宋体"/>
                <w:sz w:val="21"/>
                <w:szCs w:val="21"/>
                <w:lang w:val="en-US" w:eastAsia="zh-CN"/>
              </w:rPr>
              <w:t>≥</w:t>
            </w:r>
            <w:r>
              <w:rPr>
                <w:rFonts w:hint="eastAsia" w:ascii="宋体" w:hAnsi="宋体" w:eastAsia="宋体" w:cs="宋体"/>
                <w:sz w:val="21"/>
                <w:szCs w:val="21"/>
              </w:rPr>
              <w:t>8块；</w:t>
            </w:r>
          </w:p>
          <w:p w14:paraId="71735013">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 2块同种规格的PP材质分子过滤器。</w:t>
            </w:r>
          </w:p>
          <w:p w14:paraId="6C4121E7">
            <w:pPr>
              <w:pageBreakBefore w:val="0"/>
              <w:kinsoku/>
              <w:wordWrap/>
              <w:overflowPunct/>
              <w:topLinePunct w:val="0"/>
              <w:autoSpaceDE/>
              <w:autoSpaceDN/>
              <w:bidi w:val="0"/>
              <w:spacing w:after="0"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val="en-US" w:eastAsia="zh-CN"/>
              </w:rPr>
              <w:t>6</w:t>
            </w:r>
            <w:r>
              <w:rPr>
                <w:rFonts w:hint="eastAsia" w:ascii="宋体" w:hAnsi="宋体" w:eastAsia="宋体" w:cs="宋体"/>
                <w:sz w:val="21"/>
                <w:szCs w:val="21"/>
              </w:rPr>
              <w:t>.强酸储存盒</w:t>
            </w:r>
            <w:r>
              <w:rPr>
                <w:rFonts w:hint="eastAsia" w:ascii="宋体" w:hAnsi="宋体" w:eastAsia="宋体" w:cs="宋体"/>
                <w:sz w:val="21"/>
                <w:szCs w:val="21"/>
                <w:lang w:val="en-US" w:eastAsia="zh-CN"/>
              </w:rPr>
              <w:t>≥</w:t>
            </w:r>
            <w:r>
              <w:rPr>
                <w:rFonts w:hint="eastAsia" w:ascii="宋体" w:hAnsi="宋体" w:eastAsia="宋体" w:cs="宋体"/>
                <w:sz w:val="21"/>
                <w:szCs w:val="21"/>
              </w:rPr>
              <w:t>1个</w:t>
            </w:r>
          </w:p>
        </w:tc>
      </w:tr>
      <w:tr w14:paraId="3C16E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932" w:type="dxa"/>
            <w:vAlign w:val="center"/>
          </w:tcPr>
          <w:p w14:paraId="4DB15CA4">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8</w:t>
            </w:r>
          </w:p>
        </w:tc>
        <w:tc>
          <w:tcPr>
            <w:tcW w:w="2739" w:type="dxa"/>
            <w:vAlign w:val="center"/>
          </w:tcPr>
          <w:p w14:paraId="11E47BB3">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瓶口分液器</w:t>
            </w:r>
          </w:p>
        </w:tc>
        <w:tc>
          <w:tcPr>
            <w:tcW w:w="9188" w:type="dxa"/>
            <w:vAlign w:val="center"/>
          </w:tcPr>
          <w:p w14:paraId="0522F556">
            <w:pPr>
              <w:pStyle w:val="5"/>
              <w:pageBreakBefore w:val="0"/>
              <w:numPr>
                <w:ilvl w:val="0"/>
                <w:numId w:val="7"/>
              </w:numPr>
              <w:kinsoku/>
              <w:wordWrap/>
              <w:overflowPunct/>
              <w:topLinePunct w:val="0"/>
              <w:autoSpaceDE/>
              <w:autoSpaceDN/>
              <w:bidi w:val="0"/>
              <w:adjustRightInd w:val="0"/>
              <w:snapToGrid w:val="0"/>
              <w:spacing w:line="360" w:lineRule="auto"/>
              <w:ind w:left="425" w:leftChars="0" w:hanging="425" w:firstLineChars="0"/>
              <w:rPr>
                <w:rFonts w:hint="eastAsia" w:ascii="宋体" w:hAnsi="宋体" w:eastAsia="宋体" w:cs="宋体"/>
                <w:b/>
                <w:bCs/>
                <w:sz w:val="21"/>
                <w:szCs w:val="21"/>
              </w:rPr>
            </w:pPr>
            <w:r>
              <w:rPr>
                <w:rFonts w:hint="eastAsia" w:ascii="宋体" w:hAnsi="宋体" w:eastAsia="宋体" w:cs="宋体"/>
                <w:b/>
                <w:bCs/>
                <w:sz w:val="21"/>
                <w:szCs w:val="21"/>
              </w:rPr>
              <w:t>配置及配件</w:t>
            </w:r>
          </w:p>
          <w:p w14:paraId="7E162C50">
            <w:pPr>
              <w:pageBreakBefore w:val="0"/>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b/>
                <w:color w:val="auto"/>
                <w:sz w:val="21"/>
                <w:szCs w:val="21"/>
                <w:highlight w:val="none"/>
                <w:lang w:val="en-US" w:eastAsia="zh-CN"/>
              </w:rPr>
              <w:t>（采购数量按招标清单为准，这里只表示每台采购设备应配置的备件或耗材数量）</w:t>
            </w:r>
          </w:p>
          <w:tbl>
            <w:tblPr>
              <w:tblStyle w:val="23"/>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1493"/>
              <w:gridCol w:w="5172"/>
              <w:gridCol w:w="994"/>
            </w:tblGrid>
            <w:tr w14:paraId="0D4EC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64" w:type="dxa"/>
                  <w:noWrap w:val="0"/>
                  <w:vAlign w:val="center"/>
                </w:tcPr>
                <w:p w14:paraId="04951F4E">
                  <w:pPr>
                    <w:pageBreakBefore w:val="0"/>
                    <w:kinsoku/>
                    <w:wordWrap/>
                    <w:overflowPunct/>
                    <w:topLinePunct w:val="0"/>
                    <w:autoSpaceDE/>
                    <w:autoSpaceDN/>
                    <w:bidi w:val="0"/>
                    <w:snapToGrid w:val="0"/>
                    <w:spacing w:line="360" w:lineRule="auto"/>
                    <w:ind w:left="0" w:leftChars="0" w:right="0" w:rightChars="0" w:firstLine="0" w:firstLineChars="0"/>
                    <w:jc w:val="center"/>
                    <w:rPr>
                      <w:rFonts w:hint="eastAsia" w:ascii="宋体" w:hAnsi="宋体" w:eastAsia="宋体" w:cs="宋体"/>
                      <w:b/>
                      <w:bCs/>
                      <w:sz w:val="21"/>
                      <w:szCs w:val="21"/>
                    </w:rPr>
                  </w:pPr>
                </w:p>
              </w:tc>
              <w:tc>
                <w:tcPr>
                  <w:tcW w:w="1493" w:type="dxa"/>
                  <w:noWrap w:val="0"/>
                  <w:vAlign w:val="center"/>
                </w:tcPr>
                <w:p w14:paraId="77B47D74">
                  <w:pPr>
                    <w:pageBreakBefore w:val="0"/>
                    <w:kinsoku/>
                    <w:wordWrap/>
                    <w:overflowPunct/>
                    <w:topLinePunct w:val="0"/>
                    <w:autoSpaceDE/>
                    <w:autoSpaceDN/>
                    <w:bidi w:val="0"/>
                    <w:snapToGrid w:val="0"/>
                    <w:spacing w:line="360" w:lineRule="auto"/>
                    <w:ind w:left="0" w:leftChars="0" w:right="0" w:rightChars="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名称</w:t>
                  </w:r>
                </w:p>
              </w:tc>
              <w:tc>
                <w:tcPr>
                  <w:tcW w:w="5172" w:type="dxa"/>
                  <w:noWrap w:val="0"/>
                  <w:vAlign w:val="center"/>
                </w:tcPr>
                <w:p w14:paraId="3A62F24F">
                  <w:pPr>
                    <w:pageBreakBefore w:val="0"/>
                    <w:kinsoku/>
                    <w:wordWrap/>
                    <w:overflowPunct/>
                    <w:topLinePunct w:val="0"/>
                    <w:autoSpaceDE/>
                    <w:autoSpaceDN/>
                    <w:bidi w:val="0"/>
                    <w:snapToGrid w:val="0"/>
                    <w:spacing w:line="360" w:lineRule="auto"/>
                    <w:ind w:left="0" w:leftChars="0" w:right="0" w:rightChars="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说明</w:t>
                  </w:r>
                </w:p>
              </w:tc>
              <w:tc>
                <w:tcPr>
                  <w:tcW w:w="994" w:type="dxa"/>
                  <w:noWrap w:val="0"/>
                  <w:vAlign w:val="center"/>
                </w:tcPr>
                <w:p w14:paraId="06A361EC">
                  <w:pPr>
                    <w:pageBreakBefore w:val="0"/>
                    <w:kinsoku/>
                    <w:wordWrap/>
                    <w:overflowPunct/>
                    <w:topLinePunct w:val="0"/>
                    <w:autoSpaceDE/>
                    <w:autoSpaceDN/>
                    <w:bidi w:val="0"/>
                    <w:snapToGrid w:val="0"/>
                    <w:spacing w:line="360" w:lineRule="auto"/>
                    <w:ind w:left="0" w:leftChars="0" w:right="0" w:rightChars="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数量</w:t>
                  </w:r>
                </w:p>
              </w:tc>
            </w:tr>
            <w:tr w14:paraId="7B552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4" w:type="dxa"/>
                  <w:noWrap w:val="0"/>
                  <w:vAlign w:val="center"/>
                </w:tcPr>
                <w:p w14:paraId="7E6C1921">
                  <w:pPr>
                    <w:pageBreakBefore w:val="0"/>
                    <w:kinsoku/>
                    <w:wordWrap/>
                    <w:overflowPunct/>
                    <w:topLinePunct w:val="0"/>
                    <w:autoSpaceDE/>
                    <w:autoSpaceDN/>
                    <w:bidi w:val="0"/>
                    <w:snapToGrid w:val="0"/>
                    <w:spacing w:line="360" w:lineRule="auto"/>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b/>
                      <w:bCs/>
                      <w:sz w:val="21"/>
                      <w:szCs w:val="21"/>
                    </w:rPr>
                    <w:t>主机</w:t>
                  </w:r>
                </w:p>
              </w:tc>
              <w:tc>
                <w:tcPr>
                  <w:tcW w:w="1493" w:type="dxa"/>
                  <w:noWrap w:val="0"/>
                  <w:vAlign w:val="center"/>
                </w:tcPr>
                <w:p w14:paraId="23B79360">
                  <w:pPr>
                    <w:pageBreakBefore w:val="0"/>
                    <w:kinsoku/>
                    <w:wordWrap/>
                    <w:overflowPunct/>
                    <w:topLinePunct w:val="0"/>
                    <w:autoSpaceDE/>
                    <w:autoSpaceDN/>
                    <w:bidi w:val="0"/>
                    <w:snapToGrid w:val="0"/>
                    <w:spacing w:line="360" w:lineRule="auto"/>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瓶口分液器</w:t>
                  </w:r>
                </w:p>
              </w:tc>
              <w:tc>
                <w:tcPr>
                  <w:tcW w:w="5172" w:type="dxa"/>
                  <w:noWrap w:val="0"/>
                  <w:vAlign w:val="center"/>
                </w:tcPr>
                <w:p w14:paraId="16533657">
                  <w:pPr>
                    <w:pageBreakBefore w:val="0"/>
                    <w:kinsoku/>
                    <w:wordWrap/>
                    <w:overflowPunct/>
                    <w:topLinePunct w:val="0"/>
                    <w:autoSpaceDE/>
                    <w:autoSpaceDN/>
                    <w:bidi w:val="0"/>
                    <w:snapToGrid w:val="0"/>
                    <w:spacing w:line="360" w:lineRule="auto"/>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含：（0.5-5）ml；（5-50）ml；（10-100）ml各一台</w:t>
                  </w:r>
                </w:p>
              </w:tc>
              <w:tc>
                <w:tcPr>
                  <w:tcW w:w="994" w:type="dxa"/>
                  <w:noWrap w:val="0"/>
                  <w:vAlign w:val="center"/>
                </w:tcPr>
                <w:p w14:paraId="01FE5005">
                  <w:pPr>
                    <w:pageBreakBefore w:val="0"/>
                    <w:kinsoku/>
                    <w:wordWrap/>
                    <w:overflowPunct/>
                    <w:topLinePunct w:val="0"/>
                    <w:autoSpaceDE/>
                    <w:autoSpaceDN/>
                    <w:bidi w:val="0"/>
                    <w:snapToGrid w:val="0"/>
                    <w:spacing w:line="360" w:lineRule="auto"/>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1套</w:t>
                  </w:r>
                </w:p>
              </w:tc>
            </w:tr>
            <w:tr w14:paraId="32A0A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4" w:type="dxa"/>
                  <w:noWrap w:val="0"/>
                  <w:vAlign w:val="center"/>
                </w:tcPr>
                <w:p w14:paraId="4398E733">
                  <w:pPr>
                    <w:pageBreakBefore w:val="0"/>
                    <w:kinsoku/>
                    <w:wordWrap/>
                    <w:overflowPunct/>
                    <w:topLinePunct w:val="0"/>
                    <w:autoSpaceDE/>
                    <w:autoSpaceDN/>
                    <w:bidi w:val="0"/>
                    <w:snapToGrid w:val="0"/>
                    <w:spacing w:line="360" w:lineRule="auto"/>
                    <w:ind w:left="0" w:leftChars="0" w:right="0" w:rightChars="0" w:firstLine="0" w:firstLineChars="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配件</w:t>
                  </w:r>
                </w:p>
              </w:tc>
              <w:tc>
                <w:tcPr>
                  <w:tcW w:w="1493" w:type="dxa"/>
                  <w:noWrap w:val="0"/>
                  <w:vAlign w:val="center"/>
                </w:tcPr>
                <w:p w14:paraId="44D4734F">
                  <w:pPr>
                    <w:pageBreakBefore w:val="0"/>
                    <w:kinsoku/>
                    <w:wordWrap/>
                    <w:overflowPunct/>
                    <w:topLinePunct w:val="0"/>
                    <w:autoSpaceDE/>
                    <w:autoSpaceDN/>
                    <w:bidi w:val="0"/>
                    <w:snapToGrid w:val="0"/>
                    <w:spacing w:line="360" w:lineRule="auto"/>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进液管</w:t>
                  </w:r>
                </w:p>
              </w:tc>
              <w:tc>
                <w:tcPr>
                  <w:tcW w:w="5172" w:type="dxa"/>
                  <w:noWrap w:val="0"/>
                  <w:vAlign w:val="center"/>
                </w:tcPr>
                <w:p w14:paraId="58C7E5A6">
                  <w:pPr>
                    <w:pageBreakBefore w:val="0"/>
                    <w:kinsoku/>
                    <w:wordWrap/>
                    <w:overflowPunct/>
                    <w:topLinePunct w:val="0"/>
                    <w:autoSpaceDE/>
                    <w:autoSpaceDN/>
                    <w:bidi w:val="0"/>
                    <w:snapToGrid w:val="0"/>
                    <w:spacing w:line="360" w:lineRule="auto"/>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994" w:type="dxa"/>
                  <w:noWrap w:val="0"/>
                  <w:vAlign w:val="center"/>
                </w:tcPr>
                <w:p w14:paraId="101CF256">
                  <w:pPr>
                    <w:pageBreakBefore w:val="0"/>
                    <w:kinsoku/>
                    <w:wordWrap/>
                    <w:overflowPunct/>
                    <w:topLinePunct w:val="0"/>
                    <w:autoSpaceDE/>
                    <w:autoSpaceDN/>
                    <w:bidi w:val="0"/>
                    <w:snapToGrid w:val="0"/>
                    <w:spacing w:line="360" w:lineRule="auto"/>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2根/台</w:t>
                  </w:r>
                </w:p>
              </w:tc>
            </w:tr>
          </w:tbl>
          <w:p w14:paraId="654E1906">
            <w:pPr>
              <w:pageBreakBefore w:val="0"/>
              <w:widowControl/>
              <w:numPr>
                <w:ilvl w:val="0"/>
                <w:numId w:val="7"/>
              </w:numPr>
              <w:shd w:val="clear" w:color="auto" w:fill="FFFFFF"/>
              <w:kinsoku/>
              <w:wordWrap/>
              <w:overflowPunct/>
              <w:topLinePunct w:val="0"/>
              <w:autoSpaceDE/>
              <w:autoSpaceDN/>
              <w:bidi w:val="0"/>
              <w:spacing w:line="360" w:lineRule="auto"/>
              <w:ind w:left="425" w:leftChars="0" w:hanging="425" w:firstLineChars="0"/>
              <w:jc w:val="left"/>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技术指标</w:t>
            </w:r>
          </w:p>
          <w:p w14:paraId="02EC542B">
            <w:pPr>
              <w:pageBreakBefore w:val="0"/>
              <w:widowControl/>
              <w:numPr>
                <w:ilvl w:val="1"/>
                <w:numId w:val="7"/>
              </w:numPr>
              <w:shd w:val="clear" w:color="auto" w:fill="FFFFFF"/>
              <w:kinsoku/>
              <w:wordWrap/>
              <w:overflowPunct/>
              <w:topLinePunct w:val="0"/>
              <w:autoSpaceDE/>
              <w:autoSpaceDN/>
              <w:bidi w:val="0"/>
              <w:spacing w:line="360" w:lineRule="auto"/>
              <w:ind w:left="567" w:leftChars="0" w:hanging="567" w:firstLineChars="0"/>
              <w:jc w:val="left"/>
              <w:rPr>
                <w:rFonts w:hint="eastAsia" w:ascii="宋体" w:hAnsi="宋体" w:eastAsia="宋体" w:cs="宋体"/>
                <w:sz w:val="21"/>
                <w:szCs w:val="21"/>
              </w:rPr>
            </w:pPr>
            <w:r>
              <w:rPr>
                <w:rFonts w:hint="eastAsia" w:ascii="宋体" w:hAnsi="宋体" w:eastAsia="宋体" w:cs="宋体"/>
                <w:sz w:val="21"/>
                <w:szCs w:val="21"/>
                <w:lang w:eastAsia="zh-CN"/>
              </w:rPr>
              <w:t>能够量取盐酸、浓硫酸、硝酸、正己烷、三氯甲烷、四氯化碳等强腐蚀性、挥发性试剂。</w:t>
            </w:r>
          </w:p>
          <w:p w14:paraId="4CA0FE86">
            <w:pPr>
              <w:pageBreakBefore w:val="0"/>
              <w:widowControl/>
              <w:numPr>
                <w:ilvl w:val="1"/>
                <w:numId w:val="7"/>
              </w:numPr>
              <w:shd w:val="clear" w:color="auto" w:fill="FFFFFF"/>
              <w:kinsoku/>
              <w:wordWrap/>
              <w:overflowPunct/>
              <w:topLinePunct w:val="0"/>
              <w:autoSpaceDE/>
              <w:autoSpaceDN/>
              <w:bidi w:val="0"/>
              <w:spacing w:line="360" w:lineRule="auto"/>
              <w:ind w:left="567" w:leftChars="0" w:hanging="567" w:firstLineChars="0"/>
              <w:jc w:val="left"/>
              <w:rPr>
                <w:rFonts w:hint="eastAsia" w:ascii="宋体" w:hAnsi="宋体" w:eastAsia="宋体" w:cs="宋体"/>
                <w:sz w:val="21"/>
                <w:szCs w:val="21"/>
              </w:rPr>
            </w:pPr>
            <w:r>
              <w:rPr>
                <w:rFonts w:hint="eastAsia" w:ascii="宋体" w:hAnsi="宋体" w:eastAsia="宋体" w:cs="宋体"/>
                <w:sz w:val="21"/>
                <w:szCs w:val="21"/>
              </w:rPr>
              <w:t>具有极强的化学耐受性；</w:t>
            </w:r>
          </w:p>
          <w:p w14:paraId="57513B69">
            <w:pPr>
              <w:pageBreakBefore w:val="0"/>
              <w:widowControl/>
              <w:numPr>
                <w:ilvl w:val="1"/>
                <w:numId w:val="7"/>
              </w:numPr>
              <w:shd w:val="clear" w:color="auto" w:fill="FFFFFF"/>
              <w:kinsoku/>
              <w:wordWrap/>
              <w:overflowPunct/>
              <w:topLinePunct w:val="0"/>
              <w:autoSpaceDE/>
              <w:autoSpaceDN/>
              <w:bidi w:val="0"/>
              <w:spacing w:line="360" w:lineRule="auto"/>
              <w:ind w:left="567" w:leftChars="0" w:hanging="567" w:firstLineChars="0"/>
              <w:jc w:val="left"/>
              <w:rPr>
                <w:rFonts w:hint="eastAsia" w:ascii="宋体" w:hAnsi="宋体" w:eastAsia="宋体" w:cs="宋体"/>
                <w:sz w:val="21"/>
                <w:szCs w:val="21"/>
              </w:rPr>
            </w:pPr>
            <w:r>
              <w:rPr>
                <w:rFonts w:hint="eastAsia" w:ascii="宋体" w:hAnsi="宋体" w:eastAsia="宋体" w:cs="宋体"/>
                <w:sz w:val="21"/>
                <w:szCs w:val="21"/>
              </w:rPr>
              <w:t>可高温消毒灭菌；</w:t>
            </w:r>
          </w:p>
          <w:p w14:paraId="30D6FCDB">
            <w:pPr>
              <w:pageBreakBefore w:val="0"/>
              <w:widowControl/>
              <w:numPr>
                <w:ilvl w:val="1"/>
                <w:numId w:val="7"/>
              </w:numPr>
              <w:shd w:val="clear" w:color="auto" w:fill="FFFFFF"/>
              <w:kinsoku/>
              <w:wordWrap/>
              <w:overflowPunct/>
              <w:topLinePunct w:val="0"/>
              <w:autoSpaceDE/>
              <w:autoSpaceDN/>
              <w:bidi w:val="0"/>
              <w:spacing w:line="360" w:lineRule="auto"/>
              <w:ind w:left="567" w:leftChars="0" w:hanging="567" w:firstLineChars="0"/>
              <w:jc w:val="left"/>
              <w:rPr>
                <w:rFonts w:hint="eastAsia" w:ascii="宋体" w:hAnsi="宋体" w:eastAsia="宋体" w:cs="宋体"/>
                <w:sz w:val="21"/>
                <w:szCs w:val="21"/>
              </w:rPr>
            </w:pPr>
            <w:r>
              <w:rPr>
                <w:rFonts w:hint="eastAsia" w:ascii="宋体" w:hAnsi="宋体" w:eastAsia="宋体" w:cs="宋体"/>
                <w:sz w:val="21"/>
                <w:szCs w:val="21"/>
              </w:rPr>
              <w:t>采用PTFE、FEP、哈氏合金、 PP等材料制成；</w:t>
            </w:r>
          </w:p>
          <w:p w14:paraId="42AF183A">
            <w:pPr>
              <w:pageBreakBefore w:val="0"/>
              <w:widowControl/>
              <w:numPr>
                <w:ilvl w:val="1"/>
                <w:numId w:val="7"/>
              </w:numPr>
              <w:shd w:val="clear" w:color="auto" w:fill="FFFFFF"/>
              <w:kinsoku/>
              <w:wordWrap/>
              <w:overflowPunct/>
              <w:topLinePunct w:val="0"/>
              <w:autoSpaceDE/>
              <w:autoSpaceDN/>
              <w:bidi w:val="0"/>
              <w:spacing w:line="360" w:lineRule="auto"/>
              <w:ind w:left="567" w:leftChars="0" w:hanging="567" w:firstLineChars="0"/>
              <w:jc w:val="left"/>
              <w:rPr>
                <w:rFonts w:hint="eastAsia" w:ascii="宋体" w:hAnsi="宋体" w:eastAsia="宋体" w:cs="宋体"/>
                <w:sz w:val="21"/>
                <w:szCs w:val="21"/>
              </w:rPr>
            </w:pPr>
            <w:r>
              <w:rPr>
                <w:rFonts w:hint="eastAsia" w:ascii="宋体" w:hAnsi="宋体" w:eastAsia="宋体" w:cs="宋体"/>
                <w:sz w:val="21"/>
                <w:szCs w:val="21"/>
              </w:rPr>
              <w:t>最大耐压500mbar，最大耐粘性500mm</w:t>
            </w:r>
            <w:r>
              <w:rPr>
                <w:rFonts w:hint="eastAsia" w:ascii="宋体" w:hAnsi="宋体" w:eastAsia="宋体" w:cs="宋体"/>
                <w:sz w:val="21"/>
                <w:szCs w:val="21"/>
                <w:vertAlign w:val="superscript"/>
              </w:rPr>
              <w:t>2</w:t>
            </w:r>
            <w:r>
              <w:rPr>
                <w:rFonts w:hint="eastAsia" w:ascii="宋体" w:hAnsi="宋体" w:eastAsia="宋体" w:cs="宋体"/>
                <w:sz w:val="21"/>
                <w:szCs w:val="21"/>
              </w:rPr>
              <w:t>/s，最大耐液体温度为40℃，最大耐液体密度2.2g/cm3；</w:t>
            </w:r>
          </w:p>
          <w:p w14:paraId="66482CDC">
            <w:pPr>
              <w:pageBreakBefore w:val="0"/>
              <w:widowControl/>
              <w:numPr>
                <w:ilvl w:val="1"/>
                <w:numId w:val="7"/>
              </w:numPr>
              <w:shd w:val="clear" w:color="auto" w:fill="FFFFFF"/>
              <w:kinsoku/>
              <w:wordWrap/>
              <w:overflowPunct/>
              <w:topLinePunct w:val="0"/>
              <w:autoSpaceDE/>
              <w:autoSpaceDN/>
              <w:bidi w:val="0"/>
              <w:spacing w:line="360" w:lineRule="auto"/>
              <w:ind w:left="567" w:leftChars="0" w:hanging="567"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配备两根进液管，适配不同高度的瓶子；</w:t>
            </w:r>
          </w:p>
          <w:p w14:paraId="7DF6FC49">
            <w:pPr>
              <w:pageBreakBefore w:val="0"/>
              <w:widowControl/>
              <w:numPr>
                <w:ilvl w:val="1"/>
                <w:numId w:val="7"/>
              </w:numPr>
              <w:shd w:val="clear" w:color="auto" w:fill="FFFFFF"/>
              <w:kinsoku/>
              <w:wordWrap/>
              <w:overflowPunct/>
              <w:topLinePunct w:val="0"/>
              <w:autoSpaceDE/>
              <w:autoSpaceDN/>
              <w:bidi w:val="0"/>
              <w:spacing w:line="360" w:lineRule="auto"/>
              <w:ind w:left="567" w:leftChars="0" w:hanging="567" w:firstLineChars="0"/>
              <w:jc w:val="left"/>
              <w:rPr>
                <w:rFonts w:hint="eastAsia" w:ascii="宋体" w:hAnsi="宋体" w:eastAsia="宋体" w:cs="宋体"/>
                <w:sz w:val="21"/>
                <w:szCs w:val="21"/>
              </w:rPr>
            </w:pPr>
            <w:r>
              <w:rPr>
                <w:rFonts w:hint="eastAsia" w:ascii="宋体" w:hAnsi="宋体" w:eastAsia="宋体" w:cs="宋体"/>
                <w:sz w:val="21"/>
                <w:szCs w:val="21"/>
              </w:rPr>
              <w:t>带有回流阀，可轻松回收多余试剂。</w:t>
            </w:r>
          </w:p>
          <w:p w14:paraId="1BF0AC3E">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技术参数:</w:t>
            </w:r>
          </w:p>
          <w:p w14:paraId="2D686D5B">
            <w:pPr>
              <w:pageBreakBefore w:val="0"/>
              <w:widowControl/>
              <w:shd w:val="clear" w:color="auto" w:fill="FFFFFF"/>
              <w:kinsoku/>
              <w:wordWrap/>
              <w:overflowPunct/>
              <w:topLinePunct w:val="0"/>
              <w:autoSpaceDE/>
              <w:autoSpaceDN/>
              <w:bidi w:val="0"/>
              <w:spacing w:line="360" w:lineRule="auto"/>
              <w:jc w:val="right"/>
              <w:rPr>
                <w:rFonts w:hint="eastAsia" w:ascii="宋体" w:hAnsi="宋体" w:eastAsia="宋体" w:cs="宋体"/>
                <w:sz w:val="21"/>
                <w:szCs w:val="21"/>
              </w:rPr>
            </w:pPr>
            <w:r>
              <w:rPr>
                <w:rFonts w:hint="eastAsia" w:ascii="宋体" w:hAnsi="宋体" w:eastAsia="宋体" w:cs="宋体"/>
                <w:sz w:val="21"/>
                <w:szCs w:val="21"/>
              </w:rPr>
              <w:t>A= 准确度 CV=偏差系数</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1"/>
              <w:gridCol w:w="2276"/>
              <w:gridCol w:w="1065"/>
              <w:gridCol w:w="1072"/>
              <w:gridCol w:w="1065"/>
              <w:gridCol w:w="903"/>
            </w:tblGrid>
            <w:tr w14:paraId="7066D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439" w:type="pct"/>
                  <w:vMerge w:val="restart"/>
                  <w:vAlign w:val="center"/>
                </w:tcPr>
                <w:p w14:paraId="73F4F280">
                  <w:pPr>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量程范围ml</w:t>
                  </w:r>
                </w:p>
              </w:tc>
              <w:tc>
                <w:tcPr>
                  <w:tcW w:w="1269" w:type="pct"/>
                  <w:vMerge w:val="restart"/>
                  <w:vAlign w:val="center"/>
                </w:tcPr>
                <w:p w14:paraId="17081376">
                  <w:pPr>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刻度</w:t>
                  </w:r>
                  <w:r>
                    <w:rPr>
                      <w:rFonts w:hint="eastAsia" w:ascii="宋体" w:hAnsi="宋体" w:eastAsia="宋体" w:cs="宋体"/>
                      <w:sz w:val="21"/>
                      <w:szCs w:val="21"/>
                    </w:rPr>
                    <w:br w:type="textWrapping"/>
                  </w:r>
                  <w:r>
                    <w:rPr>
                      <w:rFonts w:hint="eastAsia" w:ascii="宋体" w:hAnsi="宋体" w:eastAsia="宋体" w:cs="宋体"/>
                      <w:sz w:val="21"/>
                      <w:szCs w:val="21"/>
                    </w:rPr>
                    <w:t>ml</w:t>
                  </w:r>
                </w:p>
              </w:tc>
              <w:tc>
                <w:tcPr>
                  <w:tcW w:w="1192" w:type="pct"/>
                  <w:gridSpan w:val="2"/>
                  <w:vAlign w:val="center"/>
                </w:tcPr>
                <w:p w14:paraId="2BDF4C31">
                  <w:pPr>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A≤±</w:t>
                  </w:r>
                </w:p>
              </w:tc>
              <w:tc>
                <w:tcPr>
                  <w:tcW w:w="1097" w:type="pct"/>
                  <w:gridSpan w:val="2"/>
                  <w:vAlign w:val="center"/>
                </w:tcPr>
                <w:p w14:paraId="307AC1BA">
                  <w:pPr>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CV≤</w:t>
                  </w:r>
                </w:p>
              </w:tc>
            </w:tr>
            <w:tr w14:paraId="09DF9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439" w:type="pct"/>
                  <w:vMerge w:val="continue"/>
                  <w:vAlign w:val="center"/>
                </w:tcPr>
                <w:p w14:paraId="5B018FB6">
                  <w:pPr>
                    <w:pageBreakBefore w:val="0"/>
                    <w:kinsoku/>
                    <w:wordWrap/>
                    <w:overflowPunct/>
                    <w:topLinePunct w:val="0"/>
                    <w:autoSpaceDE/>
                    <w:autoSpaceDN/>
                    <w:bidi w:val="0"/>
                    <w:spacing w:line="360" w:lineRule="auto"/>
                    <w:jc w:val="center"/>
                    <w:rPr>
                      <w:rFonts w:hint="eastAsia" w:ascii="宋体" w:hAnsi="宋体" w:eastAsia="宋体" w:cs="宋体"/>
                      <w:sz w:val="21"/>
                      <w:szCs w:val="21"/>
                    </w:rPr>
                  </w:pPr>
                </w:p>
              </w:tc>
              <w:tc>
                <w:tcPr>
                  <w:tcW w:w="1269" w:type="pct"/>
                  <w:vMerge w:val="continue"/>
                  <w:vAlign w:val="center"/>
                </w:tcPr>
                <w:p w14:paraId="65F329A8">
                  <w:pPr>
                    <w:pageBreakBefore w:val="0"/>
                    <w:kinsoku/>
                    <w:wordWrap/>
                    <w:overflowPunct/>
                    <w:topLinePunct w:val="0"/>
                    <w:autoSpaceDE/>
                    <w:autoSpaceDN/>
                    <w:bidi w:val="0"/>
                    <w:spacing w:line="360" w:lineRule="auto"/>
                    <w:jc w:val="center"/>
                    <w:rPr>
                      <w:rFonts w:hint="eastAsia" w:ascii="宋体" w:hAnsi="宋体" w:eastAsia="宋体" w:cs="宋体"/>
                      <w:sz w:val="21"/>
                      <w:szCs w:val="21"/>
                    </w:rPr>
                  </w:pPr>
                </w:p>
              </w:tc>
              <w:tc>
                <w:tcPr>
                  <w:tcW w:w="594" w:type="pct"/>
                  <w:vAlign w:val="center"/>
                </w:tcPr>
                <w:p w14:paraId="3C920B7E">
                  <w:pPr>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598" w:type="pct"/>
                  <w:vAlign w:val="center"/>
                </w:tcPr>
                <w:p w14:paraId="49CFA51C">
                  <w:pPr>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μl</w:t>
                  </w:r>
                </w:p>
              </w:tc>
              <w:tc>
                <w:tcPr>
                  <w:tcW w:w="594" w:type="pct"/>
                  <w:vAlign w:val="center"/>
                </w:tcPr>
                <w:p w14:paraId="3DFDEFD3">
                  <w:pPr>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503" w:type="pct"/>
                  <w:vAlign w:val="center"/>
                </w:tcPr>
                <w:p w14:paraId="51E64486">
                  <w:pPr>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μl</w:t>
                  </w:r>
                </w:p>
              </w:tc>
            </w:tr>
            <w:tr w14:paraId="4C74B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439" w:type="pct"/>
                  <w:vAlign w:val="center"/>
                </w:tcPr>
                <w:p w14:paraId="48C80234">
                  <w:pPr>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0.5-5</w:t>
                  </w:r>
                </w:p>
              </w:tc>
              <w:tc>
                <w:tcPr>
                  <w:tcW w:w="1269" w:type="pct"/>
                  <w:vAlign w:val="center"/>
                </w:tcPr>
                <w:p w14:paraId="3C096540">
                  <w:pPr>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0.1</w:t>
                  </w:r>
                </w:p>
              </w:tc>
              <w:tc>
                <w:tcPr>
                  <w:tcW w:w="594" w:type="pct"/>
                  <w:vAlign w:val="center"/>
                </w:tcPr>
                <w:p w14:paraId="4F7E125A">
                  <w:pPr>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0.5</w:t>
                  </w:r>
                </w:p>
              </w:tc>
              <w:tc>
                <w:tcPr>
                  <w:tcW w:w="598" w:type="pct"/>
                  <w:vAlign w:val="center"/>
                </w:tcPr>
                <w:p w14:paraId="3292F930">
                  <w:pPr>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25</w:t>
                  </w:r>
                </w:p>
              </w:tc>
              <w:tc>
                <w:tcPr>
                  <w:tcW w:w="594" w:type="pct"/>
                  <w:vAlign w:val="center"/>
                </w:tcPr>
                <w:p w14:paraId="4B6E6EE5">
                  <w:pPr>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0.2</w:t>
                  </w:r>
                </w:p>
              </w:tc>
              <w:tc>
                <w:tcPr>
                  <w:tcW w:w="503" w:type="pct"/>
                  <w:vAlign w:val="center"/>
                </w:tcPr>
                <w:p w14:paraId="66A11377">
                  <w:pPr>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10</w:t>
                  </w:r>
                </w:p>
              </w:tc>
            </w:tr>
            <w:tr w14:paraId="14373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439" w:type="pct"/>
                  <w:vAlign w:val="center"/>
                </w:tcPr>
                <w:p w14:paraId="5991F7EF">
                  <w:pPr>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5.0-50</w:t>
                  </w:r>
                </w:p>
              </w:tc>
              <w:tc>
                <w:tcPr>
                  <w:tcW w:w="1269" w:type="pct"/>
                  <w:vAlign w:val="center"/>
                </w:tcPr>
                <w:p w14:paraId="4FE183DC">
                  <w:pPr>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1.0</w:t>
                  </w:r>
                </w:p>
              </w:tc>
              <w:tc>
                <w:tcPr>
                  <w:tcW w:w="594" w:type="pct"/>
                  <w:vAlign w:val="center"/>
                </w:tcPr>
                <w:p w14:paraId="198C6850">
                  <w:pPr>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0.5</w:t>
                  </w:r>
                </w:p>
              </w:tc>
              <w:tc>
                <w:tcPr>
                  <w:tcW w:w="598" w:type="pct"/>
                  <w:vAlign w:val="center"/>
                </w:tcPr>
                <w:p w14:paraId="3A8A934A">
                  <w:pPr>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250</w:t>
                  </w:r>
                </w:p>
              </w:tc>
              <w:tc>
                <w:tcPr>
                  <w:tcW w:w="594" w:type="pct"/>
                  <w:vAlign w:val="center"/>
                </w:tcPr>
                <w:p w14:paraId="714149A2">
                  <w:pPr>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0.2</w:t>
                  </w:r>
                </w:p>
              </w:tc>
              <w:tc>
                <w:tcPr>
                  <w:tcW w:w="503" w:type="pct"/>
                  <w:vAlign w:val="center"/>
                </w:tcPr>
                <w:p w14:paraId="70B2BE31">
                  <w:pPr>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100</w:t>
                  </w:r>
                </w:p>
              </w:tc>
            </w:tr>
            <w:tr w14:paraId="207A7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439" w:type="pct"/>
                  <w:vAlign w:val="center"/>
                </w:tcPr>
                <w:p w14:paraId="6C562018">
                  <w:pPr>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10-100</w:t>
                  </w:r>
                </w:p>
              </w:tc>
              <w:tc>
                <w:tcPr>
                  <w:tcW w:w="1269" w:type="pct"/>
                  <w:vAlign w:val="center"/>
                </w:tcPr>
                <w:p w14:paraId="3F1A3121">
                  <w:pPr>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2.0</w:t>
                  </w:r>
                </w:p>
              </w:tc>
              <w:tc>
                <w:tcPr>
                  <w:tcW w:w="594" w:type="pct"/>
                  <w:vAlign w:val="center"/>
                </w:tcPr>
                <w:p w14:paraId="6ADB94EE">
                  <w:pPr>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0.5</w:t>
                  </w:r>
                </w:p>
              </w:tc>
              <w:tc>
                <w:tcPr>
                  <w:tcW w:w="598" w:type="pct"/>
                  <w:vAlign w:val="center"/>
                </w:tcPr>
                <w:p w14:paraId="04ED556B">
                  <w:pPr>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500</w:t>
                  </w:r>
                </w:p>
              </w:tc>
              <w:tc>
                <w:tcPr>
                  <w:tcW w:w="594" w:type="pct"/>
                  <w:vAlign w:val="center"/>
                </w:tcPr>
                <w:p w14:paraId="1FF28D2A">
                  <w:pPr>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0.2</w:t>
                  </w:r>
                </w:p>
              </w:tc>
              <w:tc>
                <w:tcPr>
                  <w:tcW w:w="503" w:type="pct"/>
                  <w:vAlign w:val="center"/>
                </w:tcPr>
                <w:p w14:paraId="371E4CF0">
                  <w:pPr>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200</w:t>
                  </w:r>
                </w:p>
              </w:tc>
            </w:tr>
          </w:tbl>
          <w:p w14:paraId="515B88AC">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p>
        </w:tc>
      </w:tr>
      <w:tr w14:paraId="2BAB4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932" w:type="dxa"/>
            <w:vAlign w:val="center"/>
          </w:tcPr>
          <w:p w14:paraId="0B884DBE">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9</w:t>
            </w:r>
          </w:p>
        </w:tc>
        <w:tc>
          <w:tcPr>
            <w:tcW w:w="2739" w:type="dxa"/>
            <w:vAlign w:val="center"/>
          </w:tcPr>
          <w:p w14:paraId="5FD9236D">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紫外分光光度计</w:t>
            </w:r>
          </w:p>
        </w:tc>
        <w:tc>
          <w:tcPr>
            <w:tcW w:w="9188" w:type="dxa"/>
            <w:vAlign w:val="center"/>
          </w:tcPr>
          <w:p w14:paraId="73905A33">
            <w:pPr>
              <w:pageBreakBefore w:val="0"/>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sz w:val="21"/>
                <w:szCs w:val="21"/>
              </w:rPr>
              <w:t>光学系统：双光束</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p>
          <w:p w14:paraId="36A9C0C3">
            <w:pPr>
              <w:pageBreakBefore w:val="0"/>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sz w:val="21"/>
                <w:szCs w:val="21"/>
              </w:rPr>
              <w:t>光谱带宽：1.8nm</w:t>
            </w:r>
          </w:p>
          <w:p w14:paraId="13DD7DA5">
            <w:pPr>
              <w:pageBreakBefore w:val="0"/>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sz w:val="21"/>
                <w:szCs w:val="21"/>
              </w:rPr>
              <w:t>波长范围：190 ~ 1100 nm</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p>
          <w:p w14:paraId="0828AF06">
            <w:pPr>
              <w:pageBreakBefore w:val="0"/>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sz w:val="21"/>
                <w:szCs w:val="21"/>
              </w:rPr>
              <w:t>波长准确度：±0.3 nm</w:t>
            </w:r>
            <w:r>
              <w:rPr>
                <w:rFonts w:hint="eastAsia" w:ascii="宋体" w:hAnsi="宋体" w:eastAsia="宋体" w:cs="宋体"/>
                <w:sz w:val="21"/>
                <w:szCs w:val="21"/>
              </w:rPr>
              <w:tab/>
            </w:r>
            <w:r>
              <w:rPr>
                <w:rFonts w:hint="eastAsia" w:ascii="宋体" w:hAnsi="宋体" w:eastAsia="宋体" w:cs="宋体"/>
                <w:sz w:val="21"/>
                <w:szCs w:val="21"/>
              </w:rPr>
              <w:tab/>
            </w:r>
          </w:p>
          <w:p w14:paraId="79FCF987">
            <w:pPr>
              <w:pageBreakBefore w:val="0"/>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sz w:val="21"/>
                <w:szCs w:val="21"/>
              </w:rPr>
              <w:t>波长重复性：≤0.2 nm</w:t>
            </w:r>
            <w:r>
              <w:rPr>
                <w:rFonts w:hint="eastAsia" w:ascii="宋体" w:hAnsi="宋体" w:eastAsia="宋体" w:cs="宋体"/>
                <w:sz w:val="21"/>
                <w:szCs w:val="21"/>
              </w:rPr>
              <w:tab/>
            </w:r>
            <w:r>
              <w:rPr>
                <w:rFonts w:hint="eastAsia" w:ascii="宋体" w:hAnsi="宋体" w:eastAsia="宋体" w:cs="宋体"/>
                <w:sz w:val="21"/>
                <w:szCs w:val="21"/>
              </w:rPr>
              <w:tab/>
            </w:r>
          </w:p>
          <w:p w14:paraId="6099D74F">
            <w:pPr>
              <w:pageBreakBefore w:val="0"/>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sz w:val="21"/>
                <w:szCs w:val="21"/>
              </w:rPr>
              <w:t>波长显示：0.1 nm</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p>
          <w:p w14:paraId="48BCB117">
            <w:pPr>
              <w:pageBreakBefore w:val="0"/>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sz w:val="21"/>
                <w:szCs w:val="21"/>
              </w:rPr>
              <w:t>波长移动速度：5000 nm/min</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p>
          <w:p w14:paraId="56E495E0">
            <w:pPr>
              <w:pageBreakBefore w:val="0"/>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sz w:val="21"/>
                <w:szCs w:val="21"/>
              </w:rPr>
              <w:t>扫描速度：100 ~ 4500 nm/min</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p>
          <w:p w14:paraId="7DC23B31">
            <w:pPr>
              <w:pageBreakBefore w:val="0"/>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sz w:val="21"/>
                <w:szCs w:val="21"/>
              </w:rPr>
              <w:t>光度范围：-3 ~ 3 A，0 ~ 400 %T</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p>
          <w:p w14:paraId="0AE7D2AC">
            <w:pPr>
              <w:pageBreakBefore w:val="0"/>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光度准确度：±0.3 %T </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p>
          <w:p w14:paraId="4E406D0C">
            <w:pPr>
              <w:pageBreakBefore w:val="0"/>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光度重复性：≤0.15 %T </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p>
          <w:p w14:paraId="6DA7537B">
            <w:pPr>
              <w:pageBreakBefore w:val="0"/>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sz w:val="21"/>
                <w:szCs w:val="21"/>
              </w:rPr>
              <w:t>噪声： ≤0.0008 A @ 2 A，500 nm</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p>
          <w:p w14:paraId="459C8F29">
            <w:pPr>
              <w:pageBreakBefore w:val="0"/>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sz w:val="21"/>
                <w:szCs w:val="21"/>
              </w:rPr>
              <w:t>漂移：</w:t>
            </w:r>
            <w:r>
              <w:rPr>
                <w:rFonts w:hint="eastAsia" w:ascii="宋体" w:hAnsi="宋体" w:eastAsia="宋体" w:cs="宋体"/>
                <w:sz w:val="21"/>
                <w:szCs w:val="21"/>
              </w:rPr>
              <w:tab/>
            </w:r>
            <w:r>
              <w:rPr>
                <w:rFonts w:hint="eastAsia" w:ascii="宋体" w:hAnsi="宋体" w:eastAsia="宋体" w:cs="宋体"/>
                <w:sz w:val="21"/>
                <w:szCs w:val="21"/>
              </w:rPr>
              <w:t>≤0.0005A/h</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p>
          <w:p w14:paraId="4378F87D">
            <w:pPr>
              <w:pageBreakBefore w:val="0"/>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sz w:val="21"/>
                <w:szCs w:val="21"/>
              </w:rPr>
              <w:t>基线平直度：±0.001 A</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p>
          <w:p w14:paraId="134F9378">
            <w:pPr>
              <w:pageBreakBefore w:val="0"/>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sz w:val="21"/>
                <w:szCs w:val="21"/>
              </w:rPr>
              <w:t>■杂散光≤0.0</w:t>
            </w: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 %</w:t>
            </w:r>
            <w:r>
              <w:rPr>
                <w:rFonts w:hint="eastAsia" w:ascii="宋体" w:hAnsi="宋体" w:eastAsia="宋体" w:cs="宋体"/>
                <w:sz w:val="21"/>
                <w:szCs w:val="21"/>
              </w:rPr>
              <w:tab/>
            </w:r>
          </w:p>
          <w:p w14:paraId="33B89F32">
            <w:pPr>
              <w:pageBreakBefore w:val="0"/>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sz w:val="21"/>
                <w:szCs w:val="21"/>
              </w:rPr>
              <w:t>测量模式：光度测量，定量测量，光谱测量，动力学，时间扫描，多波长测量，生物方法测量，自定义方法测量</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p>
          <w:p w14:paraId="4C5C3F03">
            <w:pPr>
              <w:pageBreakBefore w:val="0"/>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sz w:val="21"/>
                <w:szCs w:val="21"/>
              </w:rPr>
              <w:t>接收器</w:t>
            </w:r>
            <w:r>
              <w:rPr>
                <w:rFonts w:hint="eastAsia" w:ascii="宋体" w:hAnsi="宋体" w:eastAsia="宋体" w:cs="宋体"/>
                <w:sz w:val="21"/>
                <w:szCs w:val="21"/>
              </w:rPr>
              <w:tab/>
            </w:r>
            <w:r>
              <w:rPr>
                <w:rFonts w:hint="eastAsia" w:ascii="宋体" w:hAnsi="宋体" w:eastAsia="宋体" w:cs="宋体"/>
                <w:sz w:val="21"/>
                <w:szCs w:val="21"/>
              </w:rPr>
              <w:t>硅光电池</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p>
          <w:p w14:paraId="56E05A4E">
            <w:pPr>
              <w:pageBreakBefore w:val="0"/>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sz w:val="21"/>
                <w:szCs w:val="21"/>
              </w:rPr>
              <w:t>测量：内置7种测量方法（260/280，260/230，Lowery法，UV法，BCA法，CBB法，Biuret），</w:t>
            </w:r>
          </w:p>
          <w:p w14:paraId="64BA0A90">
            <w:pPr>
              <w:pageBreakBefore w:val="0"/>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sz w:val="21"/>
                <w:szCs w:val="21"/>
              </w:rPr>
              <w:t>▲仪器自带性能验证：波长精度，波长重复性验证，光度精度，光度重复性验证、杂散光验证，分辨率验证等功能。</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p>
          <w:p w14:paraId="02483EFE">
            <w:pPr>
              <w:pageBreakBefore w:val="0"/>
              <w:kinsoku/>
              <w:wordWrap/>
              <w:overflowPunct/>
              <w:topLinePunct w:val="0"/>
              <w:autoSpaceDE/>
              <w:autoSpaceDN/>
              <w:bidi w:val="0"/>
              <w:spacing w:line="360" w:lineRule="auto"/>
              <w:rPr>
                <w:rFonts w:hint="eastAsia" w:ascii="宋体" w:hAnsi="宋体" w:eastAsia="宋体" w:cs="宋体"/>
                <w:b w:val="0"/>
                <w:bCs w:val="0"/>
                <w:kern w:val="0"/>
                <w:sz w:val="21"/>
                <w:szCs w:val="21"/>
                <w:lang w:bidi="ar"/>
              </w:rPr>
            </w:pPr>
            <w:r>
              <w:rPr>
                <w:rFonts w:hint="eastAsia" w:ascii="宋体" w:hAnsi="宋体" w:eastAsia="宋体" w:cs="宋体"/>
                <w:sz w:val="21"/>
                <w:szCs w:val="21"/>
              </w:rPr>
              <w:t>内置电脑</w:t>
            </w:r>
            <w:r>
              <w:rPr>
                <w:rFonts w:hint="eastAsia" w:ascii="宋体" w:hAnsi="宋体" w:eastAsia="宋体" w:cs="宋体"/>
                <w:sz w:val="21"/>
                <w:szCs w:val="21"/>
                <w:lang w:val="en-US" w:eastAsia="zh-CN"/>
              </w:rPr>
              <w:t>或微处理机</w:t>
            </w:r>
            <w:r>
              <w:rPr>
                <w:rFonts w:hint="eastAsia" w:ascii="宋体" w:hAnsi="宋体" w:eastAsia="宋体" w:cs="宋体"/>
                <w:sz w:val="21"/>
                <w:szCs w:val="21"/>
              </w:rPr>
              <w:t>（2GB内存/64GB SSD存储器</w:t>
            </w:r>
            <w:r>
              <w:rPr>
                <w:rFonts w:hint="eastAsia" w:ascii="宋体" w:hAnsi="宋体" w:eastAsia="宋体" w:cs="宋体"/>
                <w:sz w:val="21"/>
                <w:szCs w:val="21"/>
                <w:lang w:val="en-US" w:eastAsia="zh-CN"/>
              </w:rPr>
              <w:t>或</w:t>
            </w:r>
            <w:r>
              <w:rPr>
                <w:rFonts w:hint="eastAsia" w:ascii="宋体" w:hAnsi="宋体" w:eastAsia="宋体" w:cs="宋体"/>
                <w:sz w:val="21"/>
                <w:szCs w:val="21"/>
              </w:rPr>
              <w:t>工业嵌入式系统，彩色液晶触摸屏</w:t>
            </w:r>
            <w:r>
              <w:rPr>
                <w:rFonts w:hint="eastAsia" w:ascii="宋体" w:hAnsi="宋体" w:cs="宋体"/>
                <w:sz w:val="21"/>
                <w:szCs w:val="21"/>
                <w:lang w:val="en-US" w:eastAsia="zh-CN"/>
              </w:rPr>
              <w:t>或按键</w:t>
            </w:r>
            <w:r>
              <w:rPr>
                <w:rFonts w:hint="eastAsia" w:ascii="宋体" w:hAnsi="宋体" w:eastAsia="宋体" w:cs="宋体"/>
                <w:sz w:val="21"/>
                <w:szCs w:val="21"/>
              </w:rPr>
              <w:t>，彩色液晶屏像素不低于1280×800）；</w:t>
            </w:r>
          </w:p>
          <w:p w14:paraId="14667CDC">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样品室适配5~100mm的样品池架及</w:t>
            </w:r>
            <w:r>
              <w:rPr>
                <w:rFonts w:hint="eastAsia" w:ascii="宋体" w:hAnsi="宋体" w:eastAsia="宋体" w:cs="宋体"/>
                <w:sz w:val="21"/>
                <w:szCs w:val="21"/>
                <w:lang w:val="en-US" w:eastAsia="zh-CN"/>
              </w:rPr>
              <w:t>配10、20、30、40、50mm比色皿各4只，配10mm石英比色皿2只。</w:t>
            </w:r>
            <w:r>
              <w:rPr>
                <w:rFonts w:hint="eastAsia" w:ascii="宋体" w:hAnsi="宋体" w:eastAsia="宋体" w:cs="宋体"/>
                <w:sz w:val="21"/>
                <w:szCs w:val="21"/>
              </w:rPr>
              <w:t>；</w:t>
            </w:r>
            <w:r>
              <w:rPr>
                <w:rFonts w:hint="eastAsia" w:ascii="宋体" w:hAnsi="宋体" w:eastAsia="宋体" w:cs="宋体"/>
                <w:sz w:val="21"/>
                <w:szCs w:val="21"/>
              </w:rPr>
              <w:cr/>
            </w:r>
            <w:r>
              <w:rPr>
                <w:rFonts w:hint="eastAsia" w:ascii="宋体" w:hAnsi="宋体" w:eastAsia="宋体" w:cs="宋体"/>
                <w:sz w:val="21"/>
                <w:szCs w:val="21"/>
              </w:rPr>
              <w:t>开机自校准系统和预热；</w:t>
            </w:r>
          </w:p>
        </w:tc>
      </w:tr>
      <w:tr w14:paraId="75958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932" w:type="dxa"/>
            <w:vAlign w:val="center"/>
          </w:tcPr>
          <w:p w14:paraId="2DB0928E">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10</w:t>
            </w:r>
          </w:p>
        </w:tc>
        <w:tc>
          <w:tcPr>
            <w:tcW w:w="2739" w:type="dxa"/>
            <w:vAlign w:val="center"/>
          </w:tcPr>
          <w:p w14:paraId="18C24457">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垂直震动器</w:t>
            </w:r>
          </w:p>
        </w:tc>
        <w:tc>
          <w:tcPr>
            <w:tcW w:w="9188" w:type="dxa"/>
            <w:vAlign w:val="center"/>
          </w:tcPr>
          <w:p w14:paraId="10925C42">
            <w:pPr>
              <w:pStyle w:val="4"/>
              <w:pageBreakBefore w:val="0"/>
              <w:numPr>
                <w:ilvl w:val="2"/>
                <w:numId w:val="0"/>
              </w:numPr>
              <w:tabs>
                <w:tab w:val="left" w:pos="0"/>
                <w:tab w:val="left" w:pos="312"/>
                <w:tab w:val="clear" w:pos="900"/>
              </w:tabs>
              <w:kinsoku/>
              <w:wordWrap/>
              <w:overflowPunct/>
              <w:topLinePunct w:val="0"/>
              <w:autoSpaceDE/>
              <w:autoSpaceDN/>
              <w:bidi w:val="0"/>
              <w:spacing w:line="360" w:lineRule="auto"/>
              <w:ind w:leftChars="0"/>
              <w:rPr>
                <w:rFonts w:hint="eastAsia" w:ascii="宋体" w:hAnsi="宋体" w:eastAsia="宋体" w:cs="宋体"/>
                <w:sz w:val="21"/>
                <w:szCs w:val="21"/>
              </w:rPr>
            </w:pPr>
            <w:bookmarkStart w:id="113" w:name="_Toc19525"/>
            <w:r>
              <w:rPr>
                <w:rFonts w:hint="eastAsia" w:ascii="宋体" w:hAnsi="宋体" w:eastAsia="宋体" w:cs="宋体"/>
                <w:sz w:val="21"/>
                <w:szCs w:val="21"/>
                <w:lang w:val="en-US" w:eastAsia="zh-CN"/>
              </w:rPr>
              <w:t>一、主机配置及附件</w:t>
            </w:r>
            <w:bookmarkEnd w:id="113"/>
          </w:p>
          <w:p w14:paraId="74C285D1">
            <w:pPr>
              <w:keepNext w:val="0"/>
              <w:keepLines w:val="0"/>
              <w:pageBreakBefore w:val="0"/>
              <w:tabs>
                <w:tab w:val="left" w:pos="3000"/>
              </w:tabs>
              <w:kinsoku/>
              <w:wordWrap/>
              <w:overflowPunct/>
              <w:topLinePunct w:val="0"/>
              <w:autoSpaceDE/>
              <w:autoSpaceDN/>
              <w:bidi w:val="0"/>
              <w:adjustRightInd/>
              <w:snapToGrid/>
              <w:spacing w:line="360" w:lineRule="auto"/>
              <w:ind w:firstLine="422" w:firstLineChars="200"/>
              <w:textAlignment w:val="auto"/>
              <w:outlineLvl w:val="3"/>
              <w:rPr>
                <w:rFonts w:hint="eastAsia" w:ascii="宋体" w:hAnsi="宋体" w:eastAsia="宋体" w:cs="宋体"/>
                <w:sz w:val="21"/>
                <w:szCs w:val="21"/>
              </w:rPr>
            </w:pPr>
            <w:r>
              <w:rPr>
                <w:rFonts w:hint="eastAsia" w:ascii="宋体" w:hAnsi="宋体" w:eastAsia="宋体" w:cs="宋体"/>
                <w:b/>
                <w:color w:val="auto"/>
                <w:sz w:val="21"/>
                <w:szCs w:val="21"/>
                <w:highlight w:val="none"/>
                <w:lang w:val="en-US" w:eastAsia="zh-CN"/>
              </w:rPr>
              <w:t>（采购数量按招标清单为准，这里只表示每台采购设备应配置的备件或耗材数量）</w:t>
            </w:r>
          </w:p>
          <w:tbl>
            <w:tblPr>
              <w:tblStyle w:val="23"/>
              <w:tblW w:w="77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0"/>
              <w:gridCol w:w="2870"/>
              <w:gridCol w:w="2218"/>
              <w:gridCol w:w="1692"/>
            </w:tblGrid>
            <w:tr w14:paraId="2D207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960" w:type="dxa"/>
                  <w:tcBorders>
                    <w:top w:val="single" w:color="000000" w:sz="8" w:space="0"/>
                    <w:left w:val="single" w:color="000000" w:sz="8" w:space="0"/>
                    <w:bottom w:val="single" w:color="000000" w:sz="8" w:space="0"/>
                    <w:right w:val="single" w:color="000000" w:sz="8" w:space="0"/>
                  </w:tcBorders>
                  <w:noWrap/>
                  <w:vAlign w:val="center"/>
                </w:tcPr>
                <w:p w14:paraId="3433DB6B">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870" w:type="dxa"/>
                  <w:tcBorders>
                    <w:top w:val="single" w:color="000000" w:sz="8" w:space="0"/>
                    <w:left w:val="nil"/>
                    <w:bottom w:val="single" w:color="000000" w:sz="8" w:space="0"/>
                    <w:right w:val="single" w:color="000000" w:sz="8" w:space="0"/>
                  </w:tcBorders>
                  <w:noWrap w:val="0"/>
                  <w:vAlign w:val="center"/>
                </w:tcPr>
                <w:p w14:paraId="2816A74D">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设备名称</w:t>
                  </w:r>
                </w:p>
              </w:tc>
              <w:tc>
                <w:tcPr>
                  <w:tcW w:w="2218" w:type="dxa"/>
                  <w:tcBorders>
                    <w:top w:val="single" w:color="000000" w:sz="8" w:space="0"/>
                    <w:left w:val="nil"/>
                    <w:bottom w:val="single" w:color="000000" w:sz="8" w:space="0"/>
                    <w:right w:val="single" w:color="000000" w:sz="8" w:space="0"/>
                  </w:tcBorders>
                  <w:noWrap w:val="0"/>
                  <w:vAlign w:val="center"/>
                </w:tcPr>
                <w:p w14:paraId="32BFE617">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692" w:type="dxa"/>
                  <w:tcBorders>
                    <w:top w:val="single" w:color="000000" w:sz="8" w:space="0"/>
                    <w:left w:val="nil"/>
                    <w:bottom w:val="single" w:color="000000" w:sz="8" w:space="0"/>
                    <w:right w:val="single" w:color="000000" w:sz="8" w:space="0"/>
                  </w:tcBorders>
                  <w:noWrap w:val="0"/>
                  <w:vAlign w:val="center"/>
                </w:tcPr>
                <w:p w14:paraId="466D792B">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r>
            <w:tr w14:paraId="347B3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8" w:space="0"/>
                    <w:bottom w:val="single" w:color="000000" w:sz="8" w:space="0"/>
                    <w:right w:val="single" w:color="000000" w:sz="8" w:space="0"/>
                  </w:tcBorders>
                  <w:noWrap/>
                  <w:vAlign w:val="center"/>
                </w:tcPr>
                <w:p w14:paraId="7A555BBC">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70" w:type="dxa"/>
                  <w:tcBorders>
                    <w:top w:val="nil"/>
                    <w:left w:val="nil"/>
                    <w:bottom w:val="single" w:color="000000" w:sz="8" w:space="0"/>
                    <w:right w:val="single" w:color="000000" w:sz="8" w:space="0"/>
                  </w:tcBorders>
                  <w:noWrap/>
                  <w:vAlign w:val="center"/>
                </w:tcPr>
                <w:p w14:paraId="20477D8F">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主机</w:t>
                  </w:r>
                </w:p>
              </w:tc>
              <w:tc>
                <w:tcPr>
                  <w:tcW w:w="2218" w:type="dxa"/>
                  <w:tcBorders>
                    <w:top w:val="nil"/>
                    <w:left w:val="nil"/>
                    <w:bottom w:val="single" w:color="000000" w:sz="8" w:space="0"/>
                    <w:right w:val="single" w:color="000000" w:sz="8" w:space="0"/>
                  </w:tcBorders>
                  <w:noWrap/>
                  <w:vAlign w:val="center"/>
                </w:tcPr>
                <w:p w14:paraId="50377975">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692" w:type="dxa"/>
                  <w:tcBorders>
                    <w:top w:val="nil"/>
                    <w:left w:val="nil"/>
                    <w:bottom w:val="single" w:color="000000" w:sz="8" w:space="0"/>
                    <w:right w:val="single" w:color="000000" w:sz="8" w:space="0"/>
                  </w:tcBorders>
                  <w:noWrap w:val="0"/>
                  <w:vAlign w:val="center"/>
                </w:tcPr>
                <w:p w14:paraId="35F13D13">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FAD1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8" w:space="0"/>
                    <w:bottom w:val="single" w:color="000000" w:sz="8" w:space="0"/>
                    <w:right w:val="single" w:color="000000" w:sz="8" w:space="0"/>
                  </w:tcBorders>
                  <w:noWrap/>
                  <w:vAlign w:val="center"/>
                </w:tcPr>
                <w:p w14:paraId="2D411E29">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870" w:type="dxa"/>
                  <w:tcBorders>
                    <w:top w:val="nil"/>
                    <w:left w:val="nil"/>
                    <w:bottom w:val="single" w:color="000000" w:sz="8" w:space="0"/>
                    <w:right w:val="single" w:color="000000" w:sz="8" w:space="0"/>
                  </w:tcBorders>
                  <w:noWrap/>
                  <w:vAlign w:val="center"/>
                </w:tcPr>
                <w:p w14:paraId="734C6334">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管路</w:t>
                  </w:r>
                </w:p>
              </w:tc>
              <w:tc>
                <w:tcPr>
                  <w:tcW w:w="2218" w:type="dxa"/>
                  <w:tcBorders>
                    <w:top w:val="nil"/>
                    <w:left w:val="nil"/>
                    <w:bottom w:val="single" w:color="000000" w:sz="8" w:space="0"/>
                    <w:right w:val="single" w:color="000000" w:sz="8" w:space="0"/>
                  </w:tcBorders>
                  <w:noWrap/>
                  <w:vAlign w:val="center"/>
                </w:tcPr>
                <w:p w14:paraId="12EE09FA">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692" w:type="dxa"/>
                  <w:tcBorders>
                    <w:top w:val="nil"/>
                    <w:left w:val="nil"/>
                    <w:bottom w:val="single" w:color="000000" w:sz="8" w:space="0"/>
                    <w:right w:val="single" w:color="000000" w:sz="8" w:space="0"/>
                  </w:tcBorders>
                  <w:noWrap w:val="0"/>
                  <w:vAlign w:val="center"/>
                </w:tcPr>
                <w:p w14:paraId="12D463E4">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AFC0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8" w:space="0"/>
                    <w:bottom w:val="single" w:color="000000" w:sz="8" w:space="0"/>
                    <w:right w:val="single" w:color="000000" w:sz="8" w:space="0"/>
                  </w:tcBorders>
                  <w:noWrap/>
                  <w:vAlign w:val="center"/>
                </w:tcPr>
                <w:p w14:paraId="43AC9732">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870" w:type="dxa"/>
                  <w:tcBorders>
                    <w:top w:val="nil"/>
                    <w:left w:val="nil"/>
                    <w:bottom w:val="single" w:color="000000" w:sz="8" w:space="0"/>
                    <w:right w:val="single" w:color="000000" w:sz="8" w:space="0"/>
                  </w:tcBorders>
                  <w:noWrap/>
                  <w:vAlign w:val="center"/>
                </w:tcPr>
                <w:p w14:paraId="72DFC494">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说明书</w:t>
                  </w:r>
                </w:p>
              </w:tc>
              <w:tc>
                <w:tcPr>
                  <w:tcW w:w="2218" w:type="dxa"/>
                  <w:tcBorders>
                    <w:top w:val="nil"/>
                    <w:left w:val="nil"/>
                    <w:bottom w:val="single" w:color="000000" w:sz="8" w:space="0"/>
                    <w:right w:val="single" w:color="000000" w:sz="8" w:space="0"/>
                  </w:tcBorders>
                  <w:noWrap/>
                  <w:vAlign w:val="center"/>
                </w:tcPr>
                <w:p w14:paraId="740856EF">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份</w:t>
                  </w:r>
                </w:p>
              </w:tc>
              <w:tc>
                <w:tcPr>
                  <w:tcW w:w="1692" w:type="dxa"/>
                  <w:tcBorders>
                    <w:top w:val="nil"/>
                    <w:left w:val="nil"/>
                    <w:bottom w:val="single" w:color="000000" w:sz="8" w:space="0"/>
                    <w:right w:val="single" w:color="000000" w:sz="8" w:space="0"/>
                  </w:tcBorders>
                  <w:noWrap w:val="0"/>
                  <w:vAlign w:val="center"/>
                </w:tcPr>
                <w:p w14:paraId="75F6ED2F">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81B3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8" w:space="0"/>
                    <w:bottom w:val="single" w:color="000000" w:sz="8" w:space="0"/>
                    <w:right w:val="single" w:color="000000" w:sz="8" w:space="0"/>
                  </w:tcBorders>
                  <w:noWrap/>
                  <w:vAlign w:val="center"/>
                </w:tcPr>
                <w:p w14:paraId="7EFCDF69">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870" w:type="dxa"/>
                  <w:tcBorders>
                    <w:top w:val="nil"/>
                    <w:left w:val="nil"/>
                    <w:bottom w:val="single" w:color="000000" w:sz="8" w:space="0"/>
                    <w:right w:val="single" w:color="000000" w:sz="8" w:space="0"/>
                  </w:tcBorders>
                  <w:noWrap/>
                  <w:vAlign w:val="center"/>
                </w:tcPr>
                <w:p w14:paraId="715500CF">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合格证</w:t>
                  </w:r>
                </w:p>
              </w:tc>
              <w:tc>
                <w:tcPr>
                  <w:tcW w:w="2218" w:type="dxa"/>
                  <w:tcBorders>
                    <w:top w:val="nil"/>
                    <w:left w:val="nil"/>
                    <w:bottom w:val="single" w:color="000000" w:sz="8" w:space="0"/>
                    <w:right w:val="single" w:color="000000" w:sz="8" w:space="0"/>
                  </w:tcBorders>
                  <w:noWrap/>
                  <w:vAlign w:val="center"/>
                </w:tcPr>
                <w:p w14:paraId="18B24576">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份</w:t>
                  </w:r>
                </w:p>
              </w:tc>
              <w:tc>
                <w:tcPr>
                  <w:tcW w:w="1692" w:type="dxa"/>
                  <w:tcBorders>
                    <w:top w:val="nil"/>
                    <w:left w:val="nil"/>
                    <w:bottom w:val="single" w:color="000000" w:sz="8" w:space="0"/>
                    <w:right w:val="single" w:color="000000" w:sz="8" w:space="0"/>
                  </w:tcBorders>
                  <w:noWrap w:val="0"/>
                  <w:vAlign w:val="center"/>
                </w:tcPr>
                <w:p w14:paraId="65C002E5">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8AE4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8" w:space="0"/>
                    <w:bottom w:val="single" w:color="000000" w:sz="8" w:space="0"/>
                    <w:right w:val="single" w:color="000000" w:sz="8" w:space="0"/>
                  </w:tcBorders>
                  <w:noWrap/>
                  <w:vAlign w:val="center"/>
                </w:tcPr>
                <w:p w14:paraId="048D1B99">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870" w:type="dxa"/>
                  <w:tcBorders>
                    <w:top w:val="nil"/>
                    <w:left w:val="nil"/>
                    <w:bottom w:val="single" w:color="000000" w:sz="8" w:space="0"/>
                    <w:right w:val="single" w:color="000000" w:sz="8" w:space="0"/>
                  </w:tcBorders>
                  <w:noWrap/>
                  <w:vAlign w:val="center"/>
                </w:tcPr>
                <w:p w14:paraId="0165213C">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装箱单</w:t>
                  </w:r>
                </w:p>
              </w:tc>
              <w:tc>
                <w:tcPr>
                  <w:tcW w:w="2218" w:type="dxa"/>
                  <w:tcBorders>
                    <w:top w:val="nil"/>
                    <w:left w:val="nil"/>
                    <w:bottom w:val="single" w:color="000000" w:sz="8" w:space="0"/>
                    <w:right w:val="single" w:color="000000" w:sz="8" w:space="0"/>
                  </w:tcBorders>
                  <w:noWrap/>
                  <w:vAlign w:val="center"/>
                </w:tcPr>
                <w:p w14:paraId="2E81C480">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份</w:t>
                  </w:r>
                </w:p>
              </w:tc>
              <w:tc>
                <w:tcPr>
                  <w:tcW w:w="1692" w:type="dxa"/>
                  <w:tcBorders>
                    <w:top w:val="nil"/>
                    <w:left w:val="nil"/>
                    <w:bottom w:val="single" w:color="000000" w:sz="8" w:space="0"/>
                    <w:right w:val="single" w:color="000000" w:sz="8" w:space="0"/>
                  </w:tcBorders>
                  <w:noWrap w:val="0"/>
                  <w:vAlign w:val="center"/>
                </w:tcPr>
                <w:p w14:paraId="6F65F891">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B76D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8" w:space="0"/>
                    <w:bottom w:val="nil"/>
                    <w:right w:val="single" w:color="000000" w:sz="8" w:space="0"/>
                  </w:tcBorders>
                  <w:noWrap/>
                  <w:vAlign w:val="center"/>
                </w:tcPr>
                <w:p w14:paraId="16FD50A3">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870" w:type="dxa"/>
                  <w:tcBorders>
                    <w:top w:val="nil"/>
                    <w:left w:val="nil"/>
                    <w:bottom w:val="nil"/>
                    <w:right w:val="single" w:color="000000" w:sz="8" w:space="0"/>
                  </w:tcBorders>
                  <w:noWrap w:val="0"/>
                  <w:vAlign w:val="center"/>
                </w:tcPr>
                <w:p w14:paraId="442179EB">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电源线</w:t>
                  </w:r>
                </w:p>
              </w:tc>
              <w:tc>
                <w:tcPr>
                  <w:tcW w:w="2218" w:type="dxa"/>
                  <w:tcBorders>
                    <w:top w:val="nil"/>
                    <w:left w:val="nil"/>
                    <w:bottom w:val="nil"/>
                    <w:right w:val="single" w:color="000000" w:sz="8" w:space="0"/>
                  </w:tcBorders>
                  <w:noWrap w:val="0"/>
                  <w:vAlign w:val="center"/>
                </w:tcPr>
                <w:p w14:paraId="34CDF19A">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692" w:type="dxa"/>
                  <w:tcBorders>
                    <w:top w:val="nil"/>
                    <w:left w:val="nil"/>
                    <w:bottom w:val="nil"/>
                    <w:right w:val="single" w:color="000000" w:sz="8" w:space="0"/>
                  </w:tcBorders>
                  <w:noWrap w:val="0"/>
                  <w:vAlign w:val="center"/>
                </w:tcPr>
                <w:p w14:paraId="1E138D5C">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EADA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8" w:space="0"/>
                    <w:bottom w:val="single" w:color="000000" w:sz="8" w:space="0"/>
                    <w:right w:val="single" w:color="000000" w:sz="8" w:space="0"/>
                  </w:tcBorders>
                  <w:noWrap/>
                  <w:vAlign w:val="center"/>
                </w:tcPr>
                <w:p w14:paraId="78907DFF">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2870" w:type="dxa"/>
                  <w:tcBorders>
                    <w:top w:val="nil"/>
                    <w:left w:val="nil"/>
                    <w:bottom w:val="single" w:color="000000" w:sz="8" w:space="0"/>
                    <w:right w:val="single" w:color="000000" w:sz="8" w:space="0"/>
                  </w:tcBorders>
                  <w:noWrap w:val="0"/>
                  <w:vAlign w:val="center"/>
                </w:tcPr>
                <w:p w14:paraId="356BDC08">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分液漏斗（四氟活塞）</w:t>
                  </w:r>
                </w:p>
              </w:tc>
              <w:tc>
                <w:tcPr>
                  <w:tcW w:w="2218" w:type="dxa"/>
                  <w:tcBorders>
                    <w:top w:val="nil"/>
                    <w:left w:val="nil"/>
                    <w:bottom w:val="single" w:color="000000" w:sz="8" w:space="0"/>
                    <w:right w:val="single" w:color="000000" w:sz="8" w:space="0"/>
                  </w:tcBorders>
                  <w:noWrap w:val="0"/>
                  <w:vAlign w:val="center"/>
                </w:tcPr>
                <w:p w14:paraId="6F0B25B4">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500和1000mL</w:t>
                  </w:r>
                </w:p>
              </w:tc>
              <w:tc>
                <w:tcPr>
                  <w:tcW w:w="1692" w:type="dxa"/>
                  <w:tcBorders>
                    <w:top w:val="nil"/>
                    <w:left w:val="nil"/>
                    <w:bottom w:val="single" w:color="000000" w:sz="8" w:space="0"/>
                    <w:right w:val="single" w:color="000000" w:sz="8" w:space="0"/>
                  </w:tcBorders>
                  <w:noWrap w:val="0"/>
                  <w:vAlign w:val="center"/>
                </w:tcPr>
                <w:p w14:paraId="07D12B35">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各6个</w:t>
                  </w:r>
                </w:p>
              </w:tc>
            </w:tr>
          </w:tbl>
          <w:p w14:paraId="2DF4F124">
            <w:pPr>
              <w:pageBreakBefore w:val="0"/>
              <w:numPr>
                <w:ilvl w:val="0"/>
                <w:numId w:val="0"/>
              </w:numPr>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sz w:val="21"/>
                <w:szCs w:val="21"/>
              </w:rPr>
              <w:br w:type="textWrapping"/>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sz w:val="21"/>
                <w:szCs w:val="21"/>
              </w:rPr>
              <w:t>1、振荡方式：垂直振荡或倾斜振荡可选；</w:t>
            </w:r>
            <w:r>
              <w:rPr>
                <w:rFonts w:hint="eastAsia" w:ascii="宋体" w:hAnsi="宋体" w:eastAsia="宋体" w:cs="宋体"/>
                <w:sz w:val="21"/>
                <w:szCs w:val="21"/>
              </w:rPr>
              <w:br w:type="textWrapping"/>
            </w:r>
            <w:r>
              <w:rPr>
                <w:rFonts w:hint="eastAsia" w:ascii="宋体" w:hAnsi="宋体" w:eastAsia="宋体" w:cs="宋体"/>
                <w:sz w:val="21"/>
                <w:szCs w:val="21"/>
              </w:rPr>
              <w:t>2、配备伺服电机；</w:t>
            </w:r>
            <w:r>
              <w:rPr>
                <w:rFonts w:hint="eastAsia" w:ascii="宋体" w:hAnsi="宋体" w:eastAsia="宋体" w:cs="宋体"/>
                <w:sz w:val="21"/>
                <w:szCs w:val="21"/>
              </w:rPr>
              <w:br w:type="textWrapping"/>
            </w:r>
            <w:r>
              <w:rPr>
                <w:rFonts w:hint="eastAsia" w:ascii="宋体" w:hAnsi="宋体" w:eastAsia="宋体" w:cs="宋体"/>
                <w:sz w:val="21"/>
                <w:szCs w:val="21"/>
              </w:rPr>
              <w:t>3、操作方式：自动放气款设定转速和实测转速及设定时间和剩余时间可在同一界面显示；</w:t>
            </w:r>
            <w:r>
              <w:rPr>
                <w:rFonts w:hint="eastAsia" w:ascii="宋体" w:hAnsi="宋体" w:eastAsia="宋体" w:cs="宋体"/>
                <w:sz w:val="21"/>
                <w:szCs w:val="21"/>
              </w:rPr>
              <w:br w:type="textWrapping"/>
            </w:r>
            <w:r>
              <w:rPr>
                <w:rFonts w:hint="eastAsia" w:ascii="宋体" w:hAnsi="宋体" w:eastAsia="宋体" w:cs="宋体"/>
                <w:sz w:val="21"/>
                <w:szCs w:val="21"/>
              </w:rPr>
              <w:t>4、弹性无级可调一体式夹具，可自由滑动，适用于分液漏斗比色管、试管、离心管等多种容器；</w:t>
            </w:r>
            <w:r>
              <w:rPr>
                <w:rFonts w:hint="eastAsia" w:ascii="宋体" w:hAnsi="宋体" w:eastAsia="宋体" w:cs="宋体"/>
                <w:sz w:val="21"/>
                <w:szCs w:val="21"/>
              </w:rPr>
              <w:br w:type="textWrapping"/>
            </w:r>
            <w:r>
              <w:rPr>
                <w:rFonts w:hint="eastAsia" w:ascii="宋体" w:hAnsi="宋体" w:eastAsia="宋体" w:cs="宋体"/>
                <w:sz w:val="21"/>
                <w:szCs w:val="21"/>
              </w:rPr>
              <w:t>5、装有前部防护板，使用起来安全放心；</w:t>
            </w:r>
            <w:r>
              <w:rPr>
                <w:rFonts w:hint="eastAsia" w:ascii="宋体" w:hAnsi="宋体" w:eastAsia="宋体" w:cs="宋体"/>
                <w:sz w:val="21"/>
                <w:szCs w:val="21"/>
              </w:rPr>
              <w:br w:type="textWrapping"/>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sz w:val="21"/>
                <w:szCs w:val="21"/>
              </w:rPr>
              <w:t>6、不锈钢设计，耐酸碱，耐腐蚀；</w:t>
            </w:r>
            <w:r>
              <w:rPr>
                <w:rFonts w:hint="eastAsia" w:ascii="宋体" w:hAnsi="宋体" w:eastAsia="宋体" w:cs="宋体"/>
                <w:sz w:val="21"/>
                <w:szCs w:val="21"/>
              </w:rPr>
              <w:br w:type="textWrapping"/>
            </w:r>
            <w:r>
              <w:rPr>
                <w:rFonts w:hint="eastAsia" w:ascii="宋体" w:hAnsi="宋体" w:eastAsia="宋体" w:cs="宋体"/>
                <w:sz w:val="21"/>
                <w:szCs w:val="21"/>
              </w:rPr>
              <w:t>7、选用优质杆式轴承，长久耐用；</w:t>
            </w:r>
            <w:r>
              <w:rPr>
                <w:rFonts w:hint="eastAsia" w:ascii="宋体" w:hAnsi="宋体" w:eastAsia="宋体" w:cs="宋体"/>
                <w:sz w:val="21"/>
                <w:szCs w:val="21"/>
              </w:rPr>
              <w:br w:type="textWrapping"/>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sz w:val="21"/>
                <w:szCs w:val="21"/>
              </w:rPr>
              <w:t>8、</w:t>
            </w:r>
            <w:r>
              <w:rPr>
                <w:rFonts w:hint="eastAsia" w:ascii="宋体" w:hAnsi="宋体" w:eastAsia="宋体" w:cs="宋体"/>
                <w:sz w:val="21"/>
                <w:szCs w:val="21"/>
                <w:lang w:val="en-US" w:eastAsia="zh-CN"/>
              </w:rPr>
              <w:t>具有</w:t>
            </w:r>
            <w:r>
              <w:rPr>
                <w:rFonts w:hint="eastAsia" w:ascii="宋体" w:hAnsi="宋体" w:eastAsia="宋体" w:cs="宋体"/>
                <w:sz w:val="21"/>
                <w:szCs w:val="21"/>
              </w:rPr>
              <w:t>自动放气</w:t>
            </w:r>
            <w:r>
              <w:rPr>
                <w:rFonts w:hint="eastAsia" w:ascii="宋体" w:hAnsi="宋体" w:eastAsia="宋体" w:cs="宋体"/>
                <w:sz w:val="21"/>
                <w:szCs w:val="21"/>
                <w:lang w:val="en-US" w:eastAsia="zh-CN"/>
              </w:rPr>
              <w:t>功能</w:t>
            </w:r>
            <w:r>
              <w:rPr>
                <w:rFonts w:hint="eastAsia" w:ascii="宋体" w:hAnsi="宋体" w:eastAsia="宋体" w:cs="宋体"/>
                <w:sz w:val="21"/>
                <w:szCs w:val="21"/>
              </w:rPr>
              <w:t>，放气时间可自行设定，萃取次数、时间、转数可分段程序设置；</w:t>
            </w:r>
            <w:r>
              <w:rPr>
                <w:rFonts w:hint="eastAsia" w:ascii="宋体" w:hAnsi="宋体" w:eastAsia="宋体" w:cs="宋体"/>
                <w:sz w:val="21"/>
                <w:szCs w:val="21"/>
              </w:rPr>
              <w:br w:type="textWrapping"/>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sz w:val="21"/>
                <w:szCs w:val="21"/>
              </w:rPr>
              <w:t>9、自动放气款设备每一路都有独立的电磁阀，电磁阀数量与位数相同，废气独立收集；</w:t>
            </w:r>
            <w:r>
              <w:rPr>
                <w:rFonts w:hint="eastAsia" w:ascii="宋体" w:hAnsi="宋体" w:eastAsia="宋体" w:cs="宋体"/>
                <w:sz w:val="21"/>
                <w:szCs w:val="21"/>
              </w:rPr>
              <w:br w:type="textWrapping"/>
            </w:r>
            <w:r>
              <w:rPr>
                <w:rFonts w:hint="eastAsia" w:ascii="宋体" w:hAnsi="宋体" w:eastAsia="宋体" w:cs="宋体"/>
                <w:sz w:val="21"/>
                <w:szCs w:val="21"/>
              </w:rPr>
              <w:t>10、选配分液漏斗可实现快速对接。</w:t>
            </w:r>
            <w:r>
              <w:rPr>
                <w:rFonts w:hint="eastAsia" w:ascii="宋体" w:hAnsi="宋体" w:eastAsia="宋体" w:cs="宋体"/>
                <w:sz w:val="21"/>
                <w:szCs w:val="21"/>
              </w:rPr>
              <w:br w:type="textWrapping"/>
            </w:r>
            <w:r>
              <w:rPr>
                <w:rFonts w:hint="eastAsia" w:ascii="宋体" w:hAnsi="宋体" w:eastAsia="宋体" w:cs="宋体"/>
                <w:sz w:val="21"/>
                <w:szCs w:val="21"/>
                <w:lang w:val="en-US" w:eastAsia="zh-CN"/>
              </w:rPr>
              <w:t>二、</w:t>
            </w:r>
            <w:r>
              <w:rPr>
                <w:rStyle w:val="39"/>
                <w:rFonts w:hint="eastAsia" w:ascii="宋体" w:hAnsi="宋体" w:eastAsia="宋体" w:cs="宋体"/>
                <w:sz w:val="21"/>
                <w:szCs w:val="21"/>
              </w:rPr>
              <w:t>技术参数</w:t>
            </w:r>
          </w:p>
          <w:tbl>
            <w:tblPr>
              <w:tblStyle w:val="23"/>
              <w:tblW w:w="710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00"/>
              <w:gridCol w:w="5305"/>
            </w:tblGrid>
            <w:tr w14:paraId="3394C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AE1D435">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自动放气功能</w:t>
                  </w:r>
                </w:p>
              </w:tc>
              <w:tc>
                <w:tcPr>
                  <w:tcW w:w="5305" w:type="dxa"/>
                  <w:tcBorders>
                    <w:top w:val="single" w:color="000000" w:sz="4" w:space="0"/>
                    <w:left w:val="single" w:color="000000" w:sz="4" w:space="0"/>
                    <w:bottom w:val="single" w:color="000000" w:sz="4" w:space="0"/>
                    <w:right w:val="single" w:color="000000" w:sz="4" w:space="0"/>
                  </w:tcBorders>
                  <w:noWrap w:val="0"/>
                  <w:vAlign w:val="center"/>
                </w:tcPr>
                <w:p w14:paraId="098961D3">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w:t>
                  </w:r>
                </w:p>
              </w:tc>
            </w:tr>
            <w:tr w14:paraId="2945D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DDB2883">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显示屏</w:t>
                  </w:r>
                </w:p>
              </w:tc>
              <w:tc>
                <w:tcPr>
                  <w:tcW w:w="5305" w:type="dxa"/>
                  <w:tcBorders>
                    <w:top w:val="single" w:color="000000" w:sz="4" w:space="0"/>
                    <w:left w:val="single" w:color="000000" w:sz="4" w:space="0"/>
                    <w:bottom w:val="single" w:color="000000" w:sz="4" w:space="0"/>
                    <w:right w:val="single" w:color="000000" w:sz="4" w:space="0"/>
                  </w:tcBorders>
                  <w:noWrap w:val="0"/>
                  <w:vAlign w:val="center"/>
                </w:tcPr>
                <w:p w14:paraId="077DFA25">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彩色触摸屏</w:t>
                  </w:r>
                </w:p>
              </w:tc>
            </w:tr>
            <w:tr w14:paraId="0C8B4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FCA7D17">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无极调速</w:t>
                  </w:r>
                </w:p>
              </w:tc>
              <w:tc>
                <w:tcPr>
                  <w:tcW w:w="5305" w:type="dxa"/>
                  <w:tcBorders>
                    <w:top w:val="single" w:color="000000" w:sz="4" w:space="0"/>
                    <w:left w:val="single" w:color="000000" w:sz="4" w:space="0"/>
                    <w:bottom w:val="single" w:color="000000" w:sz="4" w:space="0"/>
                    <w:right w:val="single" w:color="000000" w:sz="4" w:space="0"/>
                  </w:tcBorders>
                  <w:noWrap w:val="0"/>
                  <w:vAlign w:val="center"/>
                </w:tcPr>
                <w:p w14:paraId="388A805A">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振荡频率范围：</w:t>
                  </w:r>
                  <w:r>
                    <w:rPr>
                      <w:rStyle w:val="41"/>
                      <w:rFonts w:hint="eastAsia" w:ascii="宋体" w:hAnsi="宋体" w:eastAsia="宋体" w:cs="宋体"/>
                      <w:sz w:val="21"/>
                      <w:szCs w:val="21"/>
                      <w:lang w:val="en-US" w:eastAsia="zh-CN" w:bidi="ar"/>
                    </w:rPr>
                    <w:t>0~350rpm</w:t>
                  </w:r>
                  <w:r>
                    <w:rPr>
                      <w:rStyle w:val="40"/>
                      <w:rFonts w:hint="eastAsia" w:ascii="宋体" w:hAnsi="宋体" w:eastAsia="宋体" w:cs="宋体"/>
                      <w:sz w:val="21"/>
                      <w:szCs w:val="21"/>
                      <w:lang w:val="en-US" w:eastAsia="zh-CN" w:bidi="ar"/>
                    </w:rPr>
                    <w:t>；频率精度</w:t>
                  </w:r>
                  <w:r>
                    <w:rPr>
                      <w:rStyle w:val="41"/>
                      <w:rFonts w:hint="eastAsia" w:ascii="宋体" w:hAnsi="宋体" w:eastAsia="宋体" w:cs="宋体"/>
                      <w:sz w:val="21"/>
                      <w:szCs w:val="21"/>
                      <w:lang w:val="en-US" w:eastAsia="zh-CN" w:bidi="ar"/>
                    </w:rPr>
                    <w:t>±1rpm</w:t>
                  </w:r>
                  <w:r>
                    <w:rPr>
                      <w:rStyle w:val="40"/>
                      <w:rFonts w:hint="eastAsia" w:ascii="宋体" w:hAnsi="宋体" w:eastAsia="宋体" w:cs="宋体"/>
                      <w:sz w:val="21"/>
                      <w:szCs w:val="21"/>
                      <w:lang w:val="en-US" w:eastAsia="zh-CN" w:bidi="ar"/>
                    </w:rPr>
                    <w:t>；</w:t>
                  </w:r>
                </w:p>
              </w:tc>
            </w:tr>
            <w:tr w14:paraId="1290C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709C373">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定时功能</w:t>
                  </w:r>
                </w:p>
              </w:tc>
              <w:tc>
                <w:tcPr>
                  <w:tcW w:w="5305" w:type="dxa"/>
                  <w:tcBorders>
                    <w:top w:val="single" w:color="000000" w:sz="4" w:space="0"/>
                    <w:left w:val="single" w:color="000000" w:sz="4" w:space="0"/>
                    <w:bottom w:val="single" w:color="000000" w:sz="4" w:space="0"/>
                    <w:right w:val="single" w:color="000000" w:sz="4" w:space="0"/>
                  </w:tcBorders>
                  <w:noWrap w:val="0"/>
                  <w:vAlign w:val="center"/>
                </w:tcPr>
                <w:p w14:paraId="23D713AF">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0~9999(</w:t>
                  </w:r>
                  <w:r>
                    <w:rPr>
                      <w:rStyle w:val="40"/>
                      <w:rFonts w:hint="eastAsia" w:ascii="宋体" w:hAnsi="宋体" w:eastAsia="宋体" w:cs="宋体"/>
                      <w:sz w:val="21"/>
                      <w:szCs w:val="21"/>
                      <w:lang w:val="en-US" w:eastAsia="zh-CN" w:bidi="ar"/>
                    </w:rPr>
                    <w:t>秒、分、时单位可选</w:t>
                  </w:r>
                  <w:r>
                    <w:rPr>
                      <w:rStyle w:val="41"/>
                      <w:rFonts w:hint="eastAsia" w:ascii="宋体" w:hAnsi="宋体" w:eastAsia="宋体" w:cs="宋体"/>
                      <w:sz w:val="21"/>
                      <w:szCs w:val="21"/>
                      <w:lang w:val="en-US" w:eastAsia="zh-CN" w:bidi="ar"/>
                    </w:rPr>
                    <w:t>)</w:t>
                  </w:r>
                </w:p>
              </w:tc>
            </w:tr>
            <w:tr w14:paraId="4D580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45CAF91">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i w:val="0"/>
                      <w:iCs w:val="0"/>
                      <w:color w:val="000000"/>
                      <w:kern w:val="0"/>
                      <w:sz w:val="21"/>
                      <w:szCs w:val="21"/>
                      <w:u w:val="none"/>
                      <w:lang w:val="en-US" w:eastAsia="zh-CN" w:bidi="ar"/>
                    </w:rPr>
                    <w:t>样品位数</w:t>
                  </w:r>
                </w:p>
              </w:tc>
              <w:tc>
                <w:tcPr>
                  <w:tcW w:w="5305" w:type="dxa"/>
                  <w:tcBorders>
                    <w:top w:val="single" w:color="000000" w:sz="4" w:space="0"/>
                    <w:left w:val="single" w:color="000000" w:sz="4" w:space="0"/>
                    <w:bottom w:val="single" w:color="000000" w:sz="4" w:space="0"/>
                    <w:right w:val="single" w:color="000000" w:sz="4" w:space="0"/>
                  </w:tcBorders>
                  <w:noWrap w:val="0"/>
                  <w:vAlign w:val="center"/>
                </w:tcPr>
                <w:p w14:paraId="1A6CAABC">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r>
                    <w:rPr>
                      <w:rStyle w:val="40"/>
                      <w:rFonts w:hint="eastAsia" w:ascii="宋体" w:hAnsi="宋体" w:eastAsia="宋体" w:cs="宋体"/>
                      <w:sz w:val="21"/>
                      <w:szCs w:val="21"/>
                      <w:lang w:val="en-US" w:eastAsia="zh-CN" w:bidi="ar"/>
                    </w:rPr>
                    <w:t>位</w:t>
                  </w:r>
                </w:p>
              </w:tc>
            </w:tr>
            <w:tr w14:paraId="610B2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A93B56D">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样品容量</w:t>
                  </w:r>
                </w:p>
              </w:tc>
              <w:tc>
                <w:tcPr>
                  <w:tcW w:w="5305" w:type="dxa"/>
                  <w:tcBorders>
                    <w:top w:val="single" w:color="000000" w:sz="4" w:space="0"/>
                    <w:left w:val="single" w:color="000000" w:sz="4" w:space="0"/>
                    <w:bottom w:val="single" w:color="000000" w:sz="4" w:space="0"/>
                    <w:right w:val="single" w:color="000000" w:sz="4" w:space="0"/>
                  </w:tcBorders>
                  <w:noWrap w:val="0"/>
                  <w:vAlign w:val="center"/>
                </w:tcPr>
                <w:p w14:paraId="12D1A252">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0~1000ml</w:t>
                  </w:r>
                </w:p>
              </w:tc>
            </w:tr>
            <w:tr w14:paraId="1C01C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D1149A9">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振荡幅度</w:t>
                  </w:r>
                </w:p>
              </w:tc>
              <w:tc>
                <w:tcPr>
                  <w:tcW w:w="5305" w:type="dxa"/>
                  <w:tcBorders>
                    <w:top w:val="single" w:color="000000" w:sz="4" w:space="0"/>
                    <w:left w:val="single" w:color="000000" w:sz="4" w:space="0"/>
                    <w:bottom w:val="single" w:color="000000" w:sz="4" w:space="0"/>
                    <w:right w:val="single" w:color="000000" w:sz="4" w:space="0"/>
                  </w:tcBorders>
                  <w:noWrap w:val="0"/>
                  <w:vAlign w:val="center"/>
                </w:tcPr>
                <w:p w14:paraId="42C9CD4F">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40mm</w:t>
                  </w:r>
                </w:p>
              </w:tc>
            </w:tr>
            <w:tr w14:paraId="1AEA2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F11D685">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倾斜角度</w:t>
                  </w:r>
                </w:p>
              </w:tc>
              <w:tc>
                <w:tcPr>
                  <w:tcW w:w="5305" w:type="dxa"/>
                  <w:tcBorders>
                    <w:top w:val="single" w:color="000000" w:sz="4" w:space="0"/>
                    <w:left w:val="single" w:color="000000" w:sz="4" w:space="0"/>
                    <w:bottom w:val="single" w:color="000000" w:sz="4" w:space="0"/>
                    <w:right w:val="single" w:color="000000" w:sz="4" w:space="0"/>
                  </w:tcBorders>
                  <w:noWrap w:val="0"/>
                  <w:vAlign w:val="center"/>
                </w:tcPr>
                <w:p w14:paraId="55044C78">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0°~20°</w:t>
                  </w:r>
                </w:p>
              </w:tc>
            </w:tr>
            <w:tr w14:paraId="6F73F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96C4CA8">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转速精度</w:t>
                  </w:r>
                </w:p>
              </w:tc>
              <w:tc>
                <w:tcPr>
                  <w:tcW w:w="5305" w:type="dxa"/>
                  <w:tcBorders>
                    <w:top w:val="single" w:color="000000" w:sz="4" w:space="0"/>
                    <w:left w:val="single" w:color="000000" w:sz="4" w:space="0"/>
                    <w:bottom w:val="single" w:color="000000" w:sz="4" w:space="0"/>
                    <w:right w:val="single" w:color="000000" w:sz="4" w:space="0"/>
                  </w:tcBorders>
                  <w:noWrap w:val="0"/>
                  <w:vAlign w:val="center"/>
                </w:tcPr>
                <w:p w14:paraId="0AE0C8E4">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Style w:val="40"/>
                      <w:rFonts w:hint="eastAsia" w:ascii="宋体" w:hAnsi="宋体" w:eastAsia="宋体" w:cs="宋体"/>
                      <w:sz w:val="21"/>
                      <w:szCs w:val="21"/>
                      <w:lang w:val="en-US" w:eastAsia="zh-CN" w:bidi="ar"/>
                    </w:rPr>
                    <w:t>％</w:t>
                  </w:r>
                </w:p>
              </w:tc>
            </w:tr>
          </w:tbl>
          <w:p w14:paraId="43D8364B">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p>
        </w:tc>
      </w:tr>
      <w:tr w14:paraId="5E9AD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932" w:type="dxa"/>
            <w:vAlign w:val="center"/>
          </w:tcPr>
          <w:p w14:paraId="7FE9A4B4">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11</w:t>
            </w:r>
          </w:p>
        </w:tc>
        <w:tc>
          <w:tcPr>
            <w:tcW w:w="2739" w:type="dxa"/>
            <w:vAlign w:val="center"/>
          </w:tcPr>
          <w:p w14:paraId="1A1F046F">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全自动液液萃取仪</w:t>
            </w:r>
          </w:p>
        </w:tc>
        <w:tc>
          <w:tcPr>
            <w:tcW w:w="9188" w:type="dxa"/>
            <w:vAlign w:val="center"/>
          </w:tcPr>
          <w:p w14:paraId="60B7E003">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、整个萃取及清洗过程中，实验人员与有害挥发溶剂无接触，保障了实验人员的身心健康；</w:t>
            </w:r>
          </w:p>
          <w:p w14:paraId="5AF7833C">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rPr>
              <w:t>、萃取过程无需人工放气，</w:t>
            </w:r>
            <w:r>
              <w:rPr>
                <w:rFonts w:hint="eastAsia" w:ascii="宋体" w:hAnsi="宋体" w:eastAsia="宋体" w:cs="宋体"/>
                <w:sz w:val="21"/>
                <w:szCs w:val="21"/>
                <w:lang w:val="en-US" w:eastAsia="zh-CN"/>
              </w:rPr>
              <w:t>并</w:t>
            </w:r>
            <w:r>
              <w:rPr>
                <w:rFonts w:hint="eastAsia" w:ascii="宋体" w:hAnsi="宋体" w:eastAsia="宋体" w:cs="宋体"/>
                <w:sz w:val="21"/>
                <w:szCs w:val="21"/>
              </w:rPr>
              <w:t>自动完成萃取作业；</w:t>
            </w:r>
          </w:p>
          <w:p w14:paraId="394C87C7">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、大屏幕触摸屏操作，界面友好方便，实验人员容易上手操作；</w:t>
            </w:r>
          </w:p>
          <w:p w14:paraId="2862CA4B">
            <w:pPr>
              <w:pageBreakBefore w:val="0"/>
              <w:kinsoku/>
              <w:wordWrap/>
              <w:overflowPunct/>
              <w:topLinePunct w:val="0"/>
              <w:autoSpaceDE/>
              <w:autoSpaceDN/>
              <w:bidi w:val="0"/>
              <w:spacing w:after="0"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rPr>
              <w:t>、采用半封闭式</w:t>
            </w:r>
            <w:r>
              <w:rPr>
                <w:rFonts w:hint="eastAsia" w:ascii="宋体" w:hAnsi="宋体" w:eastAsia="宋体" w:cs="宋体"/>
                <w:sz w:val="21"/>
                <w:szCs w:val="21"/>
                <w:lang w:val="en-US" w:eastAsia="zh-CN"/>
              </w:rPr>
              <w:t>或</w:t>
            </w:r>
            <w:r>
              <w:rPr>
                <w:rFonts w:hint="eastAsia" w:ascii="宋体" w:hAnsi="宋体" w:eastAsia="宋体" w:cs="宋体"/>
                <w:i w:val="0"/>
                <w:iCs w:val="0"/>
                <w:kern w:val="2"/>
                <w:sz w:val="21"/>
                <w:szCs w:val="21"/>
                <w:u w:val="none"/>
                <w:lang w:val="en-US" w:eastAsia="zh-CN" w:bidi="ar"/>
              </w:rPr>
              <w:t>全封闭式</w:t>
            </w:r>
            <w:r>
              <w:rPr>
                <w:rFonts w:hint="eastAsia" w:ascii="宋体" w:hAnsi="宋体" w:eastAsia="宋体" w:cs="宋体"/>
                <w:sz w:val="21"/>
                <w:szCs w:val="21"/>
              </w:rPr>
              <w:t>气流振荡原理</w:t>
            </w:r>
            <w:r>
              <w:rPr>
                <w:rFonts w:hint="eastAsia" w:ascii="宋体" w:hAnsi="宋体" w:eastAsia="宋体" w:cs="宋体"/>
                <w:sz w:val="21"/>
                <w:szCs w:val="21"/>
                <w:lang w:eastAsia="zh-CN"/>
              </w:rPr>
              <w:t>；</w:t>
            </w:r>
          </w:p>
          <w:p w14:paraId="697394A2">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、采用定压散射式广角清洗；</w:t>
            </w:r>
          </w:p>
          <w:p w14:paraId="3EA65CAD">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、一键萃取震荡，自动静置分层，每个样品可单独控制；</w:t>
            </w:r>
          </w:p>
          <w:p w14:paraId="3373A8CF">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、一次性可萃取1至6个样品；</w:t>
            </w:r>
          </w:p>
          <w:p w14:paraId="277D0F21">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、智能微电脑操作,自主设定各项仪器参数；</w:t>
            </w:r>
          </w:p>
          <w:p w14:paraId="4025884D">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、萃取及清洗均可设定时间定时操作；</w:t>
            </w:r>
          </w:p>
          <w:p w14:paraId="576082F5">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0</w:t>
            </w:r>
            <w:r>
              <w:rPr>
                <w:rFonts w:hint="eastAsia" w:ascii="宋体" w:hAnsi="宋体" w:eastAsia="宋体" w:cs="宋体"/>
                <w:sz w:val="21"/>
                <w:szCs w:val="21"/>
              </w:rPr>
              <w:t>、仪器机身采用全不锈钢材质；</w:t>
            </w:r>
          </w:p>
          <w:p w14:paraId="542531AD">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1</w:t>
            </w:r>
            <w:r>
              <w:rPr>
                <w:rFonts w:hint="eastAsia" w:ascii="宋体" w:hAnsi="宋体" w:eastAsia="宋体" w:cs="宋体"/>
                <w:sz w:val="21"/>
                <w:szCs w:val="21"/>
              </w:rPr>
              <w:t>、萃取时间及方式：0-999秒之间可调，每个样品单独控制</w:t>
            </w:r>
          </w:p>
          <w:p w14:paraId="760EBADC">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2</w:t>
            </w:r>
            <w:r>
              <w:rPr>
                <w:rFonts w:hint="eastAsia" w:ascii="宋体" w:hAnsi="宋体" w:eastAsia="宋体" w:cs="宋体"/>
                <w:sz w:val="21"/>
                <w:szCs w:val="21"/>
              </w:rPr>
              <w:t>、清洗时间及方式：0-999秒之间可调，每个样品单独控制</w:t>
            </w:r>
          </w:p>
          <w:p w14:paraId="20A649E7">
            <w:pPr>
              <w:pageBreakBefore w:val="0"/>
              <w:kinsoku/>
              <w:wordWrap/>
              <w:overflowPunct/>
              <w:topLinePunct w:val="0"/>
              <w:autoSpaceDE/>
              <w:autoSpaceDN/>
              <w:bidi w:val="0"/>
              <w:spacing w:after="0"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sz w:val="21"/>
                <w:szCs w:val="21"/>
              </w:rPr>
              <w:t>1</w:t>
            </w:r>
            <w:r>
              <w:rPr>
                <w:rFonts w:hint="eastAsia" w:ascii="宋体" w:hAnsi="宋体" w:eastAsia="宋体" w:cs="宋体"/>
                <w:sz w:val="21"/>
                <w:szCs w:val="21"/>
                <w:lang w:val="en-US" w:eastAsia="zh-CN"/>
              </w:rPr>
              <w:t>3</w:t>
            </w:r>
            <w:r>
              <w:rPr>
                <w:rFonts w:hint="eastAsia" w:ascii="宋体" w:hAnsi="宋体" w:eastAsia="宋体" w:cs="宋体"/>
                <w:sz w:val="21"/>
                <w:szCs w:val="21"/>
              </w:rPr>
              <w:t>、萃取样品大小及数量 ：</w:t>
            </w:r>
            <w:r>
              <w:rPr>
                <w:rFonts w:hint="eastAsia" w:ascii="宋体" w:hAnsi="宋体" w:eastAsia="宋体" w:cs="宋体"/>
                <w:sz w:val="21"/>
                <w:szCs w:val="21"/>
                <w:highlight w:val="none"/>
                <w:lang w:val="en-US" w:eastAsia="zh-CN"/>
              </w:rPr>
              <w:t>根据用户需求，</w:t>
            </w:r>
            <w:r>
              <w:rPr>
                <w:rFonts w:hint="eastAsia" w:ascii="宋体" w:hAnsi="宋体" w:eastAsia="宋体" w:cs="宋体"/>
                <w:sz w:val="21"/>
                <w:szCs w:val="21"/>
                <w:lang w:val="en-US" w:eastAsia="zh-CN"/>
              </w:rPr>
              <w:t>在</w:t>
            </w:r>
            <w:r>
              <w:rPr>
                <w:rFonts w:hint="eastAsia" w:ascii="宋体" w:hAnsi="宋体" w:eastAsia="宋体" w:cs="宋体"/>
                <w:i w:val="0"/>
                <w:iCs w:val="0"/>
                <w:kern w:val="2"/>
                <w:sz w:val="21"/>
                <w:szCs w:val="21"/>
                <w:u w:val="none"/>
                <w:lang w:val="en-US" w:eastAsia="zh-CN" w:bidi="ar"/>
              </w:rPr>
              <w:t>250、500、1000ml、2000ml</w:t>
            </w:r>
            <w:r>
              <w:rPr>
                <w:rFonts w:hint="eastAsia" w:ascii="宋体" w:hAnsi="宋体" w:eastAsia="宋体" w:cs="宋体"/>
                <w:sz w:val="21"/>
                <w:szCs w:val="21"/>
                <w:highlight w:val="none"/>
                <w:lang w:val="en-US" w:eastAsia="zh-CN"/>
              </w:rPr>
              <w:t>选择两种规格，共计12个。</w:t>
            </w:r>
          </w:p>
        </w:tc>
      </w:tr>
      <w:tr w14:paraId="5DB9E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932" w:type="dxa"/>
            <w:vAlign w:val="center"/>
          </w:tcPr>
          <w:p w14:paraId="54B534DC">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12</w:t>
            </w:r>
          </w:p>
        </w:tc>
        <w:tc>
          <w:tcPr>
            <w:tcW w:w="2739" w:type="dxa"/>
            <w:vAlign w:val="center"/>
          </w:tcPr>
          <w:p w14:paraId="5AA3385F">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叶绿素研磨仪（包括抽滤装置全套）</w:t>
            </w:r>
          </w:p>
        </w:tc>
        <w:tc>
          <w:tcPr>
            <w:tcW w:w="9188" w:type="dxa"/>
            <w:vAlign w:val="center"/>
          </w:tcPr>
          <w:p w14:paraId="7AC32F31">
            <w:pPr>
              <w:pageBreakBefore w:val="0"/>
              <w:numPr>
                <w:ilvl w:val="0"/>
                <w:numId w:val="0"/>
              </w:numPr>
              <w:kinsoku/>
              <w:wordWrap/>
              <w:overflowPunct/>
              <w:topLinePunct w:val="0"/>
              <w:autoSpaceDE/>
              <w:autoSpaceDN/>
              <w:bidi w:val="0"/>
              <w:spacing w:line="360" w:lineRule="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1、主要特点：</w:t>
            </w:r>
          </w:p>
          <w:p w14:paraId="75275838">
            <w:pPr>
              <w:pageBreakBefore w:val="0"/>
              <w:kinsoku/>
              <w:wordWrap/>
              <w:overflowPunct/>
              <w:topLinePunct w:val="0"/>
              <w:autoSpaceDE/>
              <w:autoSpaceDN/>
              <w:bidi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val="en-US" w:eastAsia="zh-Hans"/>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高通量:可同时研磨8个样品，可适用于多种尺寸样品的研磨1</w:t>
            </w:r>
            <w:r>
              <w:rPr>
                <w:rFonts w:hint="eastAsia" w:ascii="宋体" w:hAnsi="宋体" w:eastAsia="宋体" w:cs="宋体"/>
                <w:color w:val="auto"/>
                <w:sz w:val="21"/>
                <w:szCs w:val="21"/>
                <w:lang w:val="en-US" w:eastAsia="zh-Hans"/>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每个样品只需要1-2分钟即可完成，符合《水质叶绿素a的测定分光光度法》（HJ 897-2017）法。</w:t>
            </w:r>
          </w:p>
          <w:p w14:paraId="31B4A9F9">
            <w:pPr>
              <w:pageBreakBefore w:val="0"/>
              <w:kinsoku/>
              <w:wordWrap/>
              <w:overflowPunct/>
              <w:topLinePunct w:val="0"/>
              <w:autoSpaceDE/>
              <w:autoSpaceDN/>
              <w:bidi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val="en-US" w:eastAsia="zh-Hans"/>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可设置研磨时间、研磨速率和循环次数，保证每次 研磨和下一次研磨条件的一致性。</w:t>
            </w:r>
          </w:p>
          <w:p w14:paraId="4554B320">
            <w:pPr>
              <w:pageBreakBefore w:val="0"/>
              <w:kinsoku/>
              <w:wordWrap/>
              <w:overflowPunct/>
              <w:topLinePunct w:val="0"/>
              <w:autoSpaceDE/>
              <w:autoSpaceDN/>
              <w:bidi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val="en-US" w:eastAsia="zh-Hans"/>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内置两个安全锁扣及一个样品舱盖联锁。</w:t>
            </w:r>
          </w:p>
          <w:p w14:paraId="17F0B6B1">
            <w:pPr>
              <w:pageBreakBefore w:val="0"/>
              <w:kinsoku/>
              <w:wordWrap/>
              <w:overflowPunct/>
              <w:topLinePunct w:val="0"/>
              <w:autoSpaceDE/>
              <w:autoSpaceDN/>
              <w:bidi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val="en-US" w:eastAsia="zh-Hans"/>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开始和停止按钮可使使用者随时启动或者停止研磨进程。</w:t>
            </w:r>
          </w:p>
          <w:p w14:paraId="25AF5210">
            <w:pPr>
              <w:pageBreakBefore w:val="0"/>
              <w:kinsoku/>
              <w:wordWrap/>
              <w:overflowPunct/>
              <w:topLinePunct w:val="0"/>
              <w:autoSpaceDE/>
              <w:autoSpaceDN/>
              <w:bidi w:val="0"/>
              <w:spacing w:line="360" w:lineRule="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2、技术参数：</w:t>
            </w:r>
          </w:p>
          <w:p w14:paraId="1EA93D19">
            <w:pPr>
              <w:pageBreakBefore w:val="0"/>
              <w:kinsoku/>
              <w:wordWrap/>
              <w:overflowPunct/>
              <w:topLinePunct w:val="0"/>
              <w:autoSpaceDE/>
              <w:autoSpaceDN/>
              <w:bidi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val="en-US" w:eastAsia="zh-Hans"/>
              </w:rPr>
              <w:t>.</w:t>
            </w:r>
            <w:r>
              <w:rPr>
                <w:rFonts w:hint="eastAsia" w:ascii="宋体" w:hAnsi="宋体" w:eastAsia="宋体" w:cs="宋体"/>
                <w:color w:val="auto"/>
                <w:sz w:val="21"/>
                <w:szCs w:val="21"/>
                <w:lang w:eastAsia="zh-Hans"/>
              </w:rPr>
              <w:t>1</w:t>
            </w:r>
            <w:r>
              <w:rPr>
                <w:rFonts w:hint="eastAsia" w:ascii="宋体" w:hAnsi="宋体" w:eastAsia="宋体" w:cs="宋体"/>
                <w:color w:val="auto"/>
                <w:sz w:val="21"/>
                <w:szCs w:val="21"/>
                <w:lang w:val="en-US" w:eastAsia="zh-CN"/>
              </w:rPr>
              <w:t>、应用领域： 组织均质、研磨、细胞破碎、匀浆、材料分散、制备、样品混匀、振荡</w:t>
            </w:r>
          </w:p>
          <w:p w14:paraId="0B15409D">
            <w:pPr>
              <w:pageBreakBefore w:val="0"/>
              <w:kinsoku/>
              <w:wordWrap/>
              <w:overflowPunct/>
              <w:topLinePunct w:val="0"/>
              <w:autoSpaceDE/>
              <w:autoSpaceDN/>
              <w:bidi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val="en-US" w:eastAsia="zh-Hans"/>
              </w:rPr>
              <w:t>.</w:t>
            </w:r>
            <w:r>
              <w:rPr>
                <w:rFonts w:hint="eastAsia" w:ascii="宋体" w:hAnsi="宋体" w:eastAsia="宋体" w:cs="宋体"/>
                <w:color w:val="auto"/>
                <w:sz w:val="21"/>
                <w:szCs w:val="21"/>
                <w:lang w:val="en-US" w:eastAsia="zh-CN"/>
              </w:rPr>
              <w:t>2、触摸屏显示,可以方便直观的操作</w:t>
            </w:r>
          </w:p>
          <w:p w14:paraId="2F436518">
            <w:pPr>
              <w:pageBreakBefore w:val="0"/>
              <w:kinsoku/>
              <w:wordWrap/>
              <w:overflowPunct/>
              <w:topLinePunct w:val="0"/>
              <w:autoSpaceDE/>
              <w:autoSpaceDN/>
              <w:bidi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val="en-US" w:eastAsia="zh-Hans"/>
              </w:rPr>
              <w:t>.</w:t>
            </w:r>
            <w:r>
              <w:rPr>
                <w:rFonts w:hint="eastAsia" w:ascii="宋体" w:hAnsi="宋体" w:eastAsia="宋体" w:cs="宋体"/>
                <w:color w:val="auto"/>
                <w:sz w:val="21"/>
                <w:szCs w:val="21"/>
                <w:lang w:val="en-US" w:eastAsia="zh-CN"/>
              </w:rPr>
              <w:t>3、可存储二十组实验数据</w:t>
            </w:r>
          </w:p>
          <w:p w14:paraId="2E246C13">
            <w:pPr>
              <w:pageBreakBefore w:val="0"/>
              <w:kinsoku/>
              <w:wordWrap/>
              <w:overflowPunct/>
              <w:topLinePunct w:val="0"/>
              <w:autoSpaceDE/>
              <w:autoSpaceDN/>
              <w:bidi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val="en-US" w:eastAsia="zh-Hans"/>
              </w:rPr>
              <w:t>.</w:t>
            </w:r>
            <w:r>
              <w:rPr>
                <w:rFonts w:hint="eastAsia" w:ascii="宋体" w:hAnsi="宋体" w:eastAsia="宋体" w:cs="宋体"/>
                <w:color w:val="auto"/>
                <w:sz w:val="21"/>
                <w:szCs w:val="21"/>
                <w:lang w:val="en-US" w:eastAsia="zh-CN"/>
              </w:rPr>
              <w:t>4、模式循环：根据设置的实验参数，可在几个设置好的参数间不断循环</w:t>
            </w:r>
          </w:p>
          <w:p w14:paraId="33BEBD84">
            <w:pPr>
              <w:pageBreakBefore w:val="0"/>
              <w:kinsoku/>
              <w:wordWrap/>
              <w:overflowPunct/>
              <w:topLinePunct w:val="0"/>
              <w:autoSpaceDE/>
              <w:autoSpaceDN/>
              <w:bidi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val="en-US" w:eastAsia="zh-Hans"/>
              </w:rPr>
              <w:t>.</w:t>
            </w:r>
            <w:r>
              <w:rPr>
                <w:rFonts w:hint="eastAsia" w:ascii="宋体" w:hAnsi="宋体" w:eastAsia="宋体" w:cs="宋体"/>
                <w:color w:val="auto"/>
                <w:sz w:val="21"/>
                <w:szCs w:val="21"/>
                <w:lang w:val="en-US" w:eastAsia="zh-CN"/>
              </w:rPr>
              <w:t>9、均质速度：0—70 HZ/秒</w:t>
            </w:r>
          </w:p>
          <w:p w14:paraId="5DBDCA45">
            <w:pPr>
              <w:pageBreakBefore w:val="0"/>
              <w:kinsoku/>
              <w:wordWrap/>
              <w:overflowPunct/>
              <w:topLinePunct w:val="0"/>
              <w:autoSpaceDE/>
              <w:autoSpaceDN/>
              <w:bidi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val="en-US" w:eastAsia="zh-Hans"/>
              </w:rPr>
              <w:t>.</w:t>
            </w:r>
            <w:r>
              <w:rPr>
                <w:rFonts w:hint="eastAsia" w:ascii="宋体" w:hAnsi="宋体" w:eastAsia="宋体" w:cs="宋体"/>
                <w:color w:val="auto"/>
                <w:sz w:val="21"/>
                <w:szCs w:val="21"/>
                <w:lang w:eastAsia="zh-Hans"/>
              </w:rPr>
              <w:t>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工作时间：0秒-9999</w:t>
            </w:r>
            <w:r>
              <w:rPr>
                <w:rFonts w:hint="eastAsia" w:ascii="宋体" w:hAnsi="宋体" w:eastAsia="宋体" w:cs="宋体"/>
                <w:color w:val="auto"/>
                <w:sz w:val="21"/>
                <w:szCs w:val="21"/>
                <w:lang w:val="en-US" w:eastAsia="zh-Hans"/>
              </w:rPr>
              <w:t>秒</w:t>
            </w:r>
            <w:r>
              <w:rPr>
                <w:rFonts w:hint="eastAsia" w:ascii="宋体" w:hAnsi="宋体" w:eastAsia="宋体" w:cs="宋体"/>
                <w:color w:val="auto"/>
                <w:sz w:val="21"/>
                <w:szCs w:val="21"/>
                <w:lang w:val="en-US" w:eastAsia="zh-CN"/>
              </w:rPr>
              <w:t>，用户可自行设定</w:t>
            </w:r>
            <w:r>
              <w:rPr>
                <w:rFonts w:hint="eastAsia" w:ascii="宋体" w:hAnsi="宋体" w:cs="宋体"/>
                <w:color w:val="auto"/>
                <w:sz w:val="21"/>
                <w:szCs w:val="21"/>
                <w:lang w:val="en-US" w:eastAsia="zh-CN"/>
              </w:rPr>
              <w:t>；</w:t>
            </w:r>
          </w:p>
          <w:p w14:paraId="2657959D">
            <w:pPr>
              <w:pageBreakBefore w:val="0"/>
              <w:kinsoku/>
              <w:wordWrap/>
              <w:overflowPunct/>
              <w:topLinePunct w:val="0"/>
              <w:autoSpaceDE/>
              <w:autoSpaceDN/>
              <w:bidi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val="en-US" w:eastAsia="zh-Hans"/>
              </w:rPr>
              <w:t>.</w:t>
            </w:r>
            <w:r>
              <w:rPr>
                <w:rFonts w:hint="eastAsia" w:ascii="宋体" w:hAnsi="宋体" w:eastAsia="宋体" w:cs="宋体"/>
                <w:color w:val="auto"/>
                <w:sz w:val="21"/>
                <w:szCs w:val="21"/>
                <w:lang w:eastAsia="zh-Hans"/>
              </w:rPr>
              <w:t>1</w:t>
            </w:r>
            <w:r>
              <w:rPr>
                <w:rFonts w:hint="eastAsia" w:ascii="宋体" w:hAnsi="宋体" w:eastAsia="宋体" w:cs="宋体"/>
                <w:color w:val="auto"/>
                <w:sz w:val="21"/>
                <w:szCs w:val="21"/>
                <w:lang w:val="en-US" w:eastAsia="zh-CN"/>
              </w:rPr>
              <w:t>1、研磨方式：湿磨，干磨，低温研磨都可</w:t>
            </w:r>
          </w:p>
          <w:p w14:paraId="7595BA8C">
            <w:pPr>
              <w:pageBreakBefore w:val="0"/>
              <w:kinsoku/>
              <w:wordWrap/>
              <w:overflowPunct/>
              <w:topLinePunct w:val="0"/>
              <w:autoSpaceDE/>
              <w:autoSpaceDN/>
              <w:bidi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val="en-US" w:eastAsia="zh-Hans"/>
              </w:rPr>
              <w:t>.</w:t>
            </w:r>
            <w:r>
              <w:rPr>
                <w:rFonts w:hint="eastAsia" w:ascii="宋体" w:hAnsi="宋体" w:eastAsia="宋体" w:cs="宋体"/>
                <w:color w:val="auto"/>
                <w:sz w:val="21"/>
                <w:szCs w:val="21"/>
                <w:lang w:val="en-US" w:eastAsia="zh-CN"/>
              </w:rPr>
              <w:t>12、适配器材质：聚四氟乙烯 或 合金钢</w:t>
            </w:r>
          </w:p>
          <w:p w14:paraId="3F0D8335">
            <w:pPr>
              <w:pageBreakBefore w:val="0"/>
              <w:kinsoku/>
              <w:wordWrap/>
              <w:overflowPunct/>
              <w:topLinePunct w:val="0"/>
              <w:autoSpaceDE/>
              <w:autoSpaceDN/>
              <w:bidi w:val="0"/>
              <w:spacing w:line="360" w:lineRule="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3、基本配置：</w:t>
            </w:r>
          </w:p>
          <w:p w14:paraId="766CC67C">
            <w:pPr>
              <w:pageBreakBefore w:val="0"/>
              <w:kinsoku/>
              <w:wordWrap/>
              <w:overflowPunct/>
              <w:topLinePunct w:val="0"/>
              <w:autoSpaceDE/>
              <w:autoSpaceDN/>
              <w:bidi w:val="0"/>
              <w:spacing w:line="360" w:lineRule="auto"/>
              <w:rPr>
                <w:rFonts w:hint="eastAsia" w:ascii="宋体" w:hAnsi="宋体" w:eastAsia="宋体" w:cs="宋体"/>
                <w:color w:val="auto"/>
                <w:sz w:val="21"/>
                <w:szCs w:val="21"/>
                <w:lang w:eastAsia="zh-Hans"/>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val="en-US" w:eastAsia="zh-Hans"/>
              </w:rPr>
              <w:t>.</w:t>
            </w:r>
            <w:r>
              <w:rPr>
                <w:rFonts w:hint="eastAsia" w:ascii="宋体" w:hAnsi="宋体" w:eastAsia="宋体" w:cs="宋体"/>
                <w:color w:val="auto"/>
                <w:sz w:val="21"/>
                <w:szCs w:val="21"/>
                <w:lang w:eastAsia="zh-Hans"/>
              </w:rPr>
              <w:t>1</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Hans"/>
              </w:rPr>
              <w:t>主机1台</w:t>
            </w:r>
          </w:p>
          <w:p w14:paraId="25CBAAE6">
            <w:pPr>
              <w:pageBreakBefore w:val="0"/>
              <w:kinsoku/>
              <w:wordWrap/>
              <w:overflowPunct/>
              <w:topLinePunct w:val="0"/>
              <w:autoSpaceDE/>
              <w:autoSpaceDN/>
              <w:bidi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3.2、</w:t>
            </w:r>
            <w:r>
              <w:rPr>
                <w:rFonts w:hint="eastAsia" w:ascii="宋体" w:hAnsi="宋体" w:eastAsia="宋体" w:cs="宋体"/>
                <w:color w:val="auto"/>
                <w:sz w:val="21"/>
                <w:szCs w:val="21"/>
                <w:lang w:eastAsia="zh-Hans"/>
              </w:rPr>
              <w:t>适配器1</w:t>
            </w:r>
            <w:r>
              <w:rPr>
                <w:rFonts w:hint="eastAsia" w:ascii="宋体" w:hAnsi="宋体" w:eastAsia="宋体" w:cs="宋体"/>
                <w:color w:val="auto"/>
                <w:sz w:val="21"/>
                <w:szCs w:val="21"/>
                <w:lang w:val="en-US" w:eastAsia="zh-CN"/>
              </w:rPr>
              <w:t>套</w:t>
            </w:r>
          </w:p>
          <w:p w14:paraId="1F4EEAE7">
            <w:pPr>
              <w:pageBreakBefore w:val="0"/>
              <w:kinsoku/>
              <w:wordWrap/>
              <w:overflowPunct/>
              <w:topLinePunct w:val="0"/>
              <w:autoSpaceDE/>
              <w:autoSpaceDN/>
              <w:bidi w:val="0"/>
              <w:spacing w:line="360" w:lineRule="auto"/>
              <w:rPr>
                <w:rFonts w:hint="eastAsia" w:ascii="宋体" w:hAnsi="宋体" w:eastAsia="宋体" w:cs="宋体"/>
                <w:color w:val="auto"/>
                <w:sz w:val="21"/>
                <w:szCs w:val="21"/>
                <w:lang w:eastAsia="zh-Hans"/>
              </w:rPr>
            </w:pPr>
            <w:r>
              <w:rPr>
                <w:rFonts w:hint="eastAsia" w:ascii="宋体" w:hAnsi="宋体" w:eastAsia="宋体" w:cs="宋体"/>
                <w:color w:val="auto"/>
                <w:sz w:val="21"/>
                <w:szCs w:val="21"/>
                <w:lang w:val="en-US" w:eastAsia="zh-CN"/>
              </w:rPr>
              <w:t>3.3、</w:t>
            </w:r>
            <w:r>
              <w:rPr>
                <w:rFonts w:hint="eastAsia" w:ascii="宋体" w:hAnsi="宋体" w:eastAsia="宋体" w:cs="宋体"/>
                <w:color w:val="auto"/>
                <w:sz w:val="21"/>
                <w:szCs w:val="21"/>
                <w:lang w:eastAsia="zh-Hans"/>
              </w:rPr>
              <w:t>研磨管1包</w:t>
            </w:r>
          </w:p>
          <w:p w14:paraId="1AE39DA4">
            <w:pPr>
              <w:pageBreakBefore w:val="0"/>
              <w:kinsoku/>
              <w:wordWrap/>
              <w:overflowPunct/>
              <w:topLinePunct w:val="0"/>
              <w:autoSpaceDE/>
              <w:autoSpaceDN/>
              <w:bidi w:val="0"/>
              <w:spacing w:line="360" w:lineRule="auto"/>
              <w:rPr>
                <w:rFonts w:hint="eastAsia" w:ascii="宋体" w:hAnsi="宋体" w:eastAsia="宋体" w:cs="宋体"/>
                <w:color w:val="auto"/>
                <w:sz w:val="21"/>
                <w:szCs w:val="21"/>
                <w:lang w:eastAsia="zh-Hans"/>
              </w:rPr>
            </w:pPr>
            <w:r>
              <w:rPr>
                <w:rFonts w:hint="eastAsia" w:ascii="宋体" w:hAnsi="宋体" w:eastAsia="宋体" w:cs="宋体"/>
                <w:color w:val="auto"/>
                <w:sz w:val="21"/>
                <w:szCs w:val="21"/>
                <w:lang w:val="en-US" w:eastAsia="zh-CN"/>
              </w:rPr>
              <w:t>3.4、</w:t>
            </w:r>
            <w:r>
              <w:rPr>
                <w:rFonts w:hint="eastAsia" w:ascii="宋体" w:hAnsi="宋体" w:eastAsia="宋体" w:cs="宋体"/>
                <w:color w:val="auto"/>
                <w:sz w:val="21"/>
                <w:szCs w:val="21"/>
                <w:lang w:eastAsia="zh-Hans"/>
              </w:rPr>
              <w:t>配套研磨珠1套</w:t>
            </w:r>
          </w:p>
          <w:p w14:paraId="2C4EEE32">
            <w:pPr>
              <w:pageBreakBefore w:val="0"/>
              <w:kinsoku/>
              <w:wordWrap/>
              <w:overflowPunct/>
              <w:topLinePunct w:val="0"/>
              <w:autoSpaceDE/>
              <w:autoSpaceDN/>
              <w:bidi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4、售后服务与培训 </w:t>
            </w:r>
          </w:p>
          <w:p w14:paraId="5EA44D40">
            <w:pPr>
              <w:pageBreakBefore w:val="0"/>
              <w:kinsoku/>
              <w:wordWrap/>
              <w:overflowPunct/>
              <w:topLinePunct w:val="0"/>
              <w:autoSpaceDE/>
              <w:autoSpaceDN/>
              <w:bidi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4.1、厂方负责安装调试和培训</w:t>
            </w:r>
          </w:p>
          <w:p w14:paraId="1CB72878">
            <w:pPr>
              <w:pageBreakBefore w:val="0"/>
              <w:kinsoku/>
              <w:wordWrap/>
              <w:overflowPunct/>
              <w:topLinePunct w:val="0"/>
              <w:autoSpaceDE/>
              <w:autoSpaceDN/>
              <w:bidi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4.2、安装调试后经用户确认合格次日起，质量保证期至少2年。</w:t>
            </w:r>
          </w:p>
          <w:p w14:paraId="1FF5067E">
            <w:pPr>
              <w:pageBreakBefore w:val="0"/>
              <w:kinsoku/>
              <w:wordWrap/>
              <w:overflowPunct/>
              <w:topLinePunct w:val="0"/>
              <w:autoSpaceDE/>
              <w:autoSpaceDN/>
              <w:bidi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4.3、维修响应时间一般情况下8小时</w:t>
            </w:r>
          </w:p>
          <w:p w14:paraId="7FFA10C5">
            <w:pPr>
              <w:pageBreakBefore w:val="0"/>
              <w:kinsoku/>
              <w:wordWrap/>
              <w:overflowPunct/>
              <w:topLinePunct w:val="0"/>
              <w:autoSpaceDE/>
              <w:autoSpaceDN/>
              <w:bidi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4.4、终身负责维修</w:t>
            </w:r>
          </w:p>
          <w:p w14:paraId="17C0FAC2">
            <w:pPr>
              <w:pageBreakBefore w:val="0"/>
              <w:numPr>
                <w:ilvl w:val="0"/>
                <w:numId w:val="0"/>
              </w:numPr>
              <w:kinsoku/>
              <w:wordWrap/>
              <w:overflowPunct/>
              <w:topLinePunct w:val="0"/>
              <w:autoSpaceDE/>
              <w:autoSpaceDN/>
              <w:bidi w:val="0"/>
              <w:spacing w:line="360" w:lineRule="auto"/>
              <w:ind w:leftChars="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全套抽滤装置：</w:t>
            </w:r>
          </w:p>
          <w:p w14:paraId="64BBDB03">
            <w:pPr>
              <w:pageBreakBefore w:val="0"/>
              <w:numPr>
                <w:ilvl w:val="0"/>
                <w:numId w:val="0"/>
              </w:numPr>
              <w:kinsoku/>
              <w:wordWrap/>
              <w:overflowPunct/>
              <w:topLinePunct w:val="0"/>
              <w:autoSpaceDE/>
              <w:autoSpaceDN/>
              <w:bidi w:val="0"/>
              <w:spacing w:line="360" w:lineRule="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仪器配置：</w:t>
            </w:r>
          </w:p>
          <w:tbl>
            <w:tblPr>
              <w:tblStyle w:val="23"/>
              <w:tblW w:w="859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79"/>
              <w:gridCol w:w="2720"/>
            </w:tblGrid>
            <w:tr w14:paraId="7DA0F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5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82C5">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隔膜真快泵（防腐型&amp;截流瓶）</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DE16">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1套</w:t>
                  </w:r>
                </w:p>
              </w:tc>
            </w:tr>
            <w:tr w14:paraId="762AC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5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59EB7">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3L集液瓶 </w:t>
                  </w:r>
                  <w:r>
                    <w:rPr>
                      <w:rStyle w:val="40"/>
                      <w:rFonts w:hint="eastAsia" w:ascii="宋体" w:hAnsi="宋体" w:eastAsia="宋体" w:cs="宋体"/>
                      <w:color w:val="auto"/>
                      <w:sz w:val="21"/>
                      <w:szCs w:val="21"/>
                      <w:lang w:val="en-US" w:eastAsia="zh-CN" w:bidi="ar"/>
                    </w:rPr>
                    <w:t xml:space="preserve"> </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E114">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1套</w:t>
                  </w:r>
                </w:p>
              </w:tc>
            </w:tr>
            <w:tr w14:paraId="35FED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5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49AB">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全不锈钢六连过滤器</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DDFE">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1套</w:t>
                  </w:r>
                </w:p>
              </w:tc>
            </w:tr>
            <w:tr w14:paraId="75B2F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5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FC16F">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微孔滤膜（φ50mm </w:t>
                  </w:r>
                  <w:r>
                    <w:rPr>
                      <w:rStyle w:val="40"/>
                      <w:rFonts w:hint="eastAsia" w:ascii="宋体" w:hAnsi="宋体" w:eastAsia="宋体" w:cs="宋体"/>
                      <w:color w:val="auto"/>
                      <w:sz w:val="21"/>
                      <w:szCs w:val="21"/>
                      <w:lang w:val="en-US" w:eastAsia="zh-CN" w:bidi="ar"/>
                    </w:rPr>
                    <w:t xml:space="preserve"> 0.45μm  MCE）  </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CE94E">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500片</w:t>
                  </w:r>
                </w:p>
              </w:tc>
            </w:tr>
          </w:tbl>
          <w:p w14:paraId="522AD57D">
            <w:pPr>
              <w:pageBreakBefore w:val="0"/>
              <w:numPr>
                <w:ilvl w:val="0"/>
                <w:numId w:val="0"/>
              </w:numPr>
              <w:kinsoku/>
              <w:wordWrap/>
              <w:overflowPunct/>
              <w:topLinePunct w:val="0"/>
              <w:autoSpaceDE/>
              <w:autoSpaceDN/>
              <w:bidi w:val="0"/>
              <w:spacing w:line="360" w:lineRule="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隔膜真空泵技术参数：</w:t>
            </w:r>
          </w:p>
          <w:p w14:paraId="28192E6E">
            <w:pPr>
              <w:pageBreakBefore w:val="0"/>
              <w:numPr>
                <w:ilvl w:val="0"/>
                <w:numId w:val="0"/>
              </w:numPr>
              <w:kinsoku/>
              <w:wordWrap/>
              <w:overflowPunct/>
              <w:topLinePunct w:val="0"/>
              <w:autoSpaceDE/>
              <w:autoSpaceDN/>
              <w:bidi w:val="0"/>
              <w:spacing w:line="360" w:lineRule="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i w:val="0"/>
                <w:iCs w:val="0"/>
                <w:color w:val="auto"/>
                <w:kern w:val="0"/>
                <w:sz w:val="21"/>
                <w:szCs w:val="21"/>
                <w:lang w:val="en-US" w:eastAsia="zh-CN" w:bidi="ar"/>
              </w:rPr>
              <w:t>1、</w:t>
            </w:r>
            <w:r>
              <w:rPr>
                <w:rFonts w:hint="eastAsia" w:ascii="宋体" w:hAnsi="宋体" w:eastAsia="宋体" w:cs="宋体"/>
                <w:i w:val="0"/>
                <w:iCs w:val="0"/>
                <w:color w:val="auto"/>
                <w:kern w:val="0"/>
                <w:sz w:val="21"/>
                <w:szCs w:val="21"/>
                <w:u w:val="none"/>
                <w:lang w:val="en-US" w:eastAsia="zh-CN" w:bidi="ar"/>
              </w:rPr>
              <w:t>抽气速度（L/min）：60；</w:t>
            </w:r>
          </w:p>
          <w:p w14:paraId="5FA3E328">
            <w:pPr>
              <w:pageBreakBefore w:val="0"/>
              <w:numPr>
                <w:ilvl w:val="0"/>
                <w:numId w:val="0"/>
              </w:numPr>
              <w:kinsoku/>
              <w:wordWrap/>
              <w:overflowPunct/>
              <w:topLinePunct w:val="0"/>
              <w:autoSpaceDE/>
              <w:autoSpaceDN/>
              <w:bidi w:val="0"/>
              <w:spacing w:line="360" w:lineRule="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lang w:val="en-US" w:eastAsia="zh-CN" w:bidi="ar"/>
              </w:rPr>
              <w:t>2、</w:t>
            </w:r>
            <w:r>
              <w:rPr>
                <w:rFonts w:hint="eastAsia" w:ascii="宋体" w:hAnsi="宋体" w:eastAsia="宋体" w:cs="宋体"/>
                <w:i w:val="0"/>
                <w:iCs w:val="0"/>
                <w:color w:val="auto"/>
                <w:kern w:val="0"/>
                <w:sz w:val="21"/>
                <w:szCs w:val="21"/>
                <w:u w:val="none"/>
                <w:lang w:val="en-US" w:eastAsia="zh-CN" w:bidi="ar"/>
              </w:rPr>
              <w:t>极限压力：≥0.08MPa;</w:t>
            </w:r>
          </w:p>
          <w:p w14:paraId="5C820A05">
            <w:pPr>
              <w:pageBreakBefore w:val="0"/>
              <w:numPr>
                <w:ilvl w:val="0"/>
                <w:numId w:val="0"/>
              </w:numPr>
              <w:kinsoku/>
              <w:wordWrap/>
              <w:overflowPunct/>
              <w:topLinePunct w:val="0"/>
              <w:autoSpaceDE/>
              <w:autoSpaceDN/>
              <w:bidi w:val="0"/>
              <w:spacing w:line="360" w:lineRule="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lang w:val="en-US" w:eastAsia="zh-CN" w:bidi="ar"/>
              </w:rPr>
              <w:t>3、</w:t>
            </w:r>
            <w:r>
              <w:rPr>
                <w:rFonts w:hint="eastAsia" w:ascii="宋体" w:hAnsi="宋体" w:eastAsia="宋体" w:cs="宋体"/>
                <w:i w:val="0"/>
                <w:iCs w:val="0"/>
                <w:color w:val="auto"/>
                <w:kern w:val="0"/>
                <w:sz w:val="21"/>
                <w:szCs w:val="21"/>
                <w:u w:val="none"/>
                <w:lang w:val="en-US" w:eastAsia="zh-CN" w:bidi="ar"/>
              </w:rPr>
              <w:t>工作环境温度（℃）：7-40；</w:t>
            </w:r>
          </w:p>
          <w:p w14:paraId="32952B88">
            <w:pPr>
              <w:pageBreakBefore w:val="0"/>
              <w:numPr>
                <w:ilvl w:val="0"/>
                <w:numId w:val="0"/>
              </w:numPr>
              <w:kinsoku/>
              <w:wordWrap/>
              <w:overflowPunct/>
              <w:topLinePunct w:val="0"/>
              <w:autoSpaceDE/>
              <w:autoSpaceDN/>
              <w:bidi w:val="0"/>
              <w:spacing w:line="360" w:lineRule="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i w:val="0"/>
                <w:iCs w:val="0"/>
                <w:color w:val="auto"/>
                <w:kern w:val="0"/>
                <w:sz w:val="21"/>
                <w:szCs w:val="21"/>
                <w:lang w:val="en-US" w:eastAsia="zh-CN" w:bidi="ar"/>
              </w:rPr>
              <w:t>4、</w:t>
            </w:r>
            <w:r>
              <w:rPr>
                <w:rFonts w:hint="eastAsia" w:ascii="宋体" w:hAnsi="宋体" w:eastAsia="宋体" w:cs="宋体"/>
                <w:i w:val="0"/>
                <w:iCs w:val="0"/>
                <w:color w:val="auto"/>
                <w:kern w:val="0"/>
                <w:sz w:val="21"/>
                <w:szCs w:val="21"/>
                <w:u w:val="none"/>
                <w:lang w:val="en-US" w:eastAsia="zh-CN" w:bidi="ar"/>
              </w:rPr>
              <w:t>泵头数量：2；</w:t>
            </w:r>
          </w:p>
          <w:p w14:paraId="7AC26393">
            <w:pPr>
              <w:pageBreakBefore w:val="0"/>
              <w:numPr>
                <w:ilvl w:val="0"/>
                <w:numId w:val="0"/>
              </w:numPr>
              <w:kinsoku/>
              <w:wordWrap/>
              <w:overflowPunct/>
              <w:topLinePunct w:val="0"/>
              <w:autoSpaceDE/>
              <w:autoSpaceDN/>
              <w:bidi w:val="0"/>
              <w:spacing w:line="360" w:lineRule="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lang w:val="en-US" w:eastAsia="zh-CN" w:bidi="ar"/>
              </w:rPr>
              <w:t>5、</w:t>
            </w:r>
            <w:r>
              <w:rPr>
                <w:rFonts w:hint="eastAsia" w:ascii="宋体" w:hAnsi="宋体" w:eastAsia="宋体" w:cs="宋体"/>
                <w:i w:val="0"/>
                <w:iCs w:val="0"/>
                <w:color w:val="auto"/>
                <w:kern w:val="0"/>
                <w:sz w:val="21"/>
                <w:szCs w:val="21"/>
                <w:u w:val="none"/>
                <w:lang w:val="en-US" w:eastAsia="zh-CN" w:bidi="ar"/>
              </w:rPr>
              <w:t>泵体温度（℃）：≤55</w:t>
            </w:r>
          </w:p>
          <w:p w14:paraId="35B46D55">
            <w:pPr>
              <w:pageBreakBefore w:val="0"/>
              <w:numPr>
                <w:ilvl w:val="0"/>
                <w:numId w:val="0"/>
              </w:numPr>
              <w:kinsoku/>
              <w:wordWrap/>
              <w:overflowPunct/>
              <w:topLinePunct w:val="0"/>
              <w:autoSpaceDE/>
              <w:autoSpaceDN/>
              <w:bidi w:val="0"/>
              <w:spacing w:line="360" w:lineRule="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lang w:val="en-US" w:eastAsia="zh-CN" w:bidi="ar"/>
              </w:rPr>
              <w:t>6、</w:t>
            </w:r>
            <w:r>
              <w:rPr>
                <w:rFonts w:hint="eastAsia" w:ascii="宋体" w:hAnsi="宋体" w:eastAsia="宋体" w:cs="宋体"/>
                <w:i w:val="0"/>
                <w:iCs w:val="0"/>
                <w:color w:val="auto"/>
                <w:kern w:val="0"/>
                <w:sz w:val="21"/>
                <w:szCs w:val="21"/>
                <w:u w:val="none"/>
                <w:lang w:val="en-US" w:eastAsia="zh-CN" w:bidi="ar"/>
              </w:rPr>
              <w:t>膜片及阀片材质：进口橡胶。</w:t>
            </w:r>
          </w:p>
          <w:p w14:paraId="328CFE5E">
            <w:pPr>
              <w:pageBreakBefore w:val="0"/>
              <w:numPr>
                <w:ilvl w:val="0"/>
                <w:numId w:val="0"/>
              </w:numPr>
              <w:kinsoku/>
              <w:wordWrap/>
              <w:overflowPunct/>
              <w:topLinePunct w:val="0"/>
              <w:autoSpaceDE/>
              <w:autoSpaceDN/>
              <w:bidi w:val="0"/>
              <w:spacing w:line="360" w:lineRule="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过滤器技术参数：</w:t>
            </w:r>
          </w:p>
          <w:p w14:paraId="560B7806">
            <w:pPr>
              <w:pageBreakBefore w:val="0"/>
              <w:numPr>
                <w:ilvl w:val="0"/>
                <w:numId w:val="0"/>
              </w:numPr>
              <w:kinsoku/>
              <w:wordWrap/>
              <w:overflowPunct/>
              <w:topLinePunct w:val="0"/>
              <w:autoSpaceDE/>
              <w:autoSpaceDN/>
              <w:bidi w:val="0"/>
              <w:spacing w:line="360" w:lineRule="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1、规格：六联；</w:t>
            </w:r>
          </w:p>
          <w:p w14:paraId="4433882E">
            <w:pPr>
              <w:pageBreakBefore w:val="0"/>
              <w:numPr>
                <w:ilvl w:val="0"/>
                <w:numId w:val="0"/>
              </w:numPr>
              <w:kinsoku/>
              <w:wordWrap/>
              <w:overflowPunct/>
              <w:topLinePunct w:val="0"/>
              <w:autoSpaceDE/>
              <w:autoSpaceDN/>
              <w:bidi w:val="0"/>
              <w:spacing w:line="360" w:lineRule="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2、滤杯：不锈钢316L；</w:t>
            </w:r>
          </w:p>
          <w:p w14:paraId="32DAF73D">
            <w:pPr>
              <w:pageBreakBefore w:val="0"/>
              <w:numPr>
                <w:ilvl w:val="0"/>
                <w:numId w:val="0"/>
              </w:numPr>
              <w:kinsoku/>
              <w:wordWrap/>
              <w:overflowPunct/>
              <w:topLinePunct w:val="0"/>
              <w:autoSpaceDE/>
              <w:autoSpaceDN/>
              <w:bidi w:val="0"/>
              <w:spacing w:line="360" w:lineRule="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3、阀门：不锈钢；</w:t>
            </w:r>
          </w:p>
          <w:p w14:paraId="6D8AA7B6">
            <w:pPr>
              <w:pageBreakBefore w:val="0"/>
              <w:numPr>
                <w:ilvl w:val="0"/>
                <w:numId w:val="0"/>
              </w:numPr>
              <w:kinsoku/>
              <w:wordWrap/>
              <w:overflowPunct/>
              <w:topLinePunct w:val="0"/>
              <w:autoSpaceDE/>
              <w:autoSpaceDN/>
              <w:bidi w:val="0"/>
              <w:spacing w:line="360" w:lineRule="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4、筛板：不锈钢316L（100μm）</w:t>
            </w:r>
          </w:p>
          <w:p w14:paraId="01A1DC34">
            <w:pPr>
              <w:pageBreakBefore w:val="0"/>
              <w:numPr>
                <w:ilvl w:val="0"/>
                <w:numId w:val="0"/>
              </w:numPr>
              <w:kinsoku/>
              <w:wordWrap/>
              <w:overflowPunct/>
              <w:topLinePunct w:val="0"/>
              <w:autoSpaceDE/>
              <w:autoSpaceDN/>
              <w:bidi w:val="0"/>
              <w:spacing w:line="360" w:lineRule="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5、连接方式：不锈钢胶塞式；</w:t>
            </w:r>
          </w:p>
          <w:p w14:paraId="471EE1F5">
            <w:pPr>
              <w:pageBreakBefore w:val="0"/>
              <w:kinsoku/>
              <w:wordWrap/>
              <w:overflowPunct/>
              <w:topLinePunct w:val="0"/>
              <w:autoSpaceDE/>
              <w:autoSpaceDN/>
              <w:bidi w:val="0"/>
              <w:snapToGrid w:val="0"/>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6、支架：不锈钢316L。</w:t>
            </w:r>
          </w:p>
        </w:tc>
      </w:tr>
      <w:tr w14:paraId="4D3F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932" w:type="dxa"/>
            <w:vAlign w:val="center"/>
          </w:tcPr>
          <w:p w14:paraId="02A470C6">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13</w:t>
            </w:r>
          </w:p>
        </w:tc>
        <w:tc>
          <w:tcPr>
            <w:tcW w:w="2739" w:type="dxa"/>
            <w:vAlign w:val="center"/>
          </w:tcPr>
          <w:p w14:paraId="39661F1D">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流速仪</w:t>
            </w:r>
          </w:p>
        </w:tc>
        <w:tc>
          <w:tcPr>
            <w:tcW w:w="9188" w:type="dxa"/>
            <w:vAlign w:val="center"/>
          </w:tcPr>
          <w:p w14:paraId="6CCF2742">
            <w:pPr>
              <w:pStyle w:val="5"/>
              <w:pageBreakBefore w:val="0"/>
              <w:numPr>
                <w:ilvl w:val="0"/>
                <w:numId w:val="8"/>
              </w:numPr>
              <w:kinsoku/>
              <w:wordWrap/>
              <w:overflowPunct/>
              <w:topLinePunct w:val="0"/>
              <w:autoSpaceDE/>
              <w:autoSpaceDN/>
              <w:bidi w:val="0"/>
              <w:adjustRightInd w:val="0"/>
              <w:snapToGrid w:val="0"/>
              <w:spacing w:line="360" w:lineRule="auto"/>
              <w:ind w:left="425" w:leftChars="0" w:hanging="425" w:firstLineChars="0"/>
              <w:rPr>
                <w:rFonts w:hint="eastAsia" w:ascii="宋体" w:hAnsi="宋体" w:eastAsia="宋体" w:cs="宋体"/>
                <w:b/>
                <w:bCs/>
                <w:sz w:val="21"/>
                <w:szCs w:val="21"/>
              </w:rPr>
            </w:pPr>
            <w:r>
              <w:rPr>
                <w:rFonts w:hint="eastAsia" w:ascii="宋体" w:hAnsi="宋体" w:eastAsia="宋体" w:cs="宋体"/>
                <w:b/>
                <w:bCs/>
                <w:sz w:val="21"/>
                <w:szCs w:val="21"/>
              </w:rPr>
              <w:t>主机配置及配件</w:t>
            </w:r>
          </w:p>
          <w:p w14:paraId="5CDC348B">
            <w:pPr>
              <w:keepNext w:val="0"/>
              <w:keepLines w:val="0"/>
              <w:pageBreakBefore w:val="0"/>
              <w:tabs>
                <w:tab w:val="left" w:pos="3000"/>
              </w:tabs>
              <w:kinsoku/>
              <w:wordWrap/>
              <w:overflowPunct/>
              <w:topLinePunct w:val="0"/>
              <w:autoSpaceDE/>
              <w:autoSpaceDN/>
              <w:bidi w:val="0"/>
              <w:adjustRightInd/>
              <w:snapToGrid/>
              <w:spacing w:line="360" w:lineRule="auto"/>
              <w:ind w:firstLine="422" w:firstLineChars="200"/>
              <w:textAlignment w:val="auto"/>
              <w:outlineLvl w:val="3"/>
              <w:rPr>
                <w:rFonts w:hint="eastAsia" w:ascii="宋体" w:hAnsi="宋体" w:eastAsia="宋体" w:cs="宋体"/>
                <w:sz w:val="21"/>
                <w:szCs w:val="21"/>
              </w:rPr>
            </w:pPr>
            <w:r>
              <w:rPr>
                <w:rFonts w:hint="eastAsia" w:ascii="宋体" w:hAnsi="宋体" w:eastAsia="宋体" w:cs="宋体"/>
                <w:b/>
                <w:color w:val="auto"/>
                <w:sz w:val="21"/>
                <w:szCs w:val="21"/>
                <w:highlight w:val="none"/>
                <w:lang w:val="en-US" w:eastAsia="zh-CN"/>
              </w:rPr>
              <w:t>（采购数量按招标清单为准，这里只表示每台采购设备应配置的备件或耗材数量）</w:t>
            </w:r>
          </w:p>
          <w:tbl>
            <w:tblPr>
              <w:tblStyle w:val="23"/>
              <w:tblW w:w="85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2"/>
              <w:gridCol w:w="5207"/>
              <w:gridCol w:w="2400"/>
            </w:tblGrid>
            <w:tr w14:paraId="1C178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D53F4">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序号</w:t>
                  </w:r>
                </w:p>
              </w:tc>
              <w:tc>
                <w:tcPr>
                  <w:tcW w:w="5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DE86">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设备名称</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CC02B">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数量（台/套）</w:t>
                  </w:r>
                </w:p>
              </w:tc>
            </w:tr>
            <w:tr w14:paraId="57C7F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BF60D">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207" w:type="dxa"/>
                  <w:tcBorders>
                    <w:top w:val="nil"/>
                    <w:left w:val="nil"/>
                    <w:bottom w:val="nil"/>
                    <w:right w:val="nil"/>
                  </w:tcBorders>
                  <w:shd w:val="clear" w:color="auto" w:fill="auto"/>
                  <w:vAlign w:val="center"/>
                </w:tcPr>
                <w:p w14:paraId="1000DD39">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拉杆箱</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8BC6">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4E4B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1154A">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FED8">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探头</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25F7">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466A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7D41D">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C11CF">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手持主机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2DDA">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E058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5D645">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0AC4">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不锈钢测杆（含夹具）</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478C">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6B827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B1A9">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5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2069B">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电源线</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CCC8">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1根</w:t>
                  </w:r>
                </w:p>
              </w:tc>
            </w:tr>
            <w:tr w14:paraId="5F900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7DDCB">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5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324C">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USB转232数据线</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EA5A">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1根</w:t>
                  </w:r>
                </w:p>
              </w:tc>
            </w:tr>
          </w:tbl>
          <w:p w14:paraId="3FE1C170">
            <w:pPr>
              <w:pageBreakBefore w:val="0"/>
              <w:numPr>
                <w:ilvl w:val="0"/>
                <w:numId w:val="8"/>
              </w:numPr>
              <w:kinsoku/>
              <w:wordWrap/>
              <w:overflowPunct/>
              <w:topLinePunct w:val="0"/>
              <w:autoSpaceDE/>
              <w:autoSpaceDN/>
              <w:bidi w:val="0"/>
              <w:spacing w:line="360" w:lineRule="auto"/>
              <w:ind w:left="425" w:leftChars="0" w:hanging="425"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仪器用途</w:t>
            </w:r>
          </w:p>
          <w:p w14:paraId="3ECF9DD3">
            <w:pPr>
              <w:pageBreakBefore w:val="0"/>
              <w:kinsoku/>
              <w:wordWrap/>
              <w:overflowPunct/>
              <w:topLinePunct w:val="0"/>
              <w:autoSpaceDE/>
              <w:autoSpaceDN/>
              <w:bidi w:val="0"/>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主要运用于自然河道、灌溉明渠、市政管网管道、水文流域等环境流速流量的测量。</w:t>
            </w:r>
          </w:p>
          <w:p w14:paraId="158BA2B8">
            <w:pPr>
              <w:pageBreakBefore w:val="0"/>
              <w:numPr>
                <w:ilvl w:val="0"/>
                <w:numId w:val="8"/>
              </w:numPr>
              <w:kinsoku/>
              <w:wordWrap/>
              <w:overflowPunct/>
              <w:topLinePunct w:val="0"/>
              <w:autoSpaceDE/>
              <w:autoSpaceDN/>
              <w:bidi w:val="0"/>
              <w:spacing w:line="360" w:lineRule="auto"/>
              <w:ind w:left="425" w:leftChars="0" w:hanging="425" w:firstLineChars="0"/>
              <w:jc w:val="left"/>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技术参数</w:t>
            </w:r>
          </w:p>
          <w:p w14:paraId="7E01E513">
            <w:pPr>
              <w:pageBreakBefore w:val="0"/>
              <w:numPr>
                <w:ilvl w:val="1"/>
                <w:numId w:val="8"/>
              </w:numPr>
              <w:kinsoku/>
              <w:wordWrap/>
              <w:overflowPunct/>
              <w:topLinePunct w:val="0"/>
              <w:autoSpaceDE/>
              <w:autoSpaceDN/>
              <w:bidi w:val="0"/>
              <w:spacing w:line="360" w:lineRule="auto"/>
              <w:ind w:left="567" w:leftChars="0" w:hanging="567"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流速测量范围：0.05m/s～8.00m/s</w:t>
            </w:r>
          </w:p>
          <w:p w14:paraId="7DF0E3C1">
            <w:pPr>
              <w:pageBreakBefore w:val="0"/>
              <w:numPr>
                <w:ilvl w:val="1"/>
                <w:numId w:val="8"/>
              </w:numPr>
              <w:kinsoku/>
              <w:wordWrap/>
              <w:overflowPunct/>
              <w:topLinePunct w:val="0"/>
              <w:autoSpaceDE/>
              <w:autoSpaceDN/>
              <w:bidi w:val="0"/>
              <w:spacing w:line="360" w:lineRule="auto"/>
              <w:ind w:left="567" w:leftChars="0" w:hanging="567"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流速测量分辨率：1mm/s</w:t>
            </w:r>
          </w:p>
          <w:p w14:paraId="6BB60106">
            <w:pPr>
              <w:pageBreakBefore w:val="0"/>
              <w:numPr>
                <w:ilvl w:val="1"/>
                <w:numId w:val="8"/>
              </w:numPr>
              <w:kinsoku/>
              <w:wordWrap/>
              <w:overflowPunct/>
              <w:topLinePunct w:val="0"/>
              <w:autoSpaceDE/>
              <w:autoSpaceDN/>
              <w:bidi w:val="0"/>
              <w:spacing w:line="360" w:lineRule="auto"/>
              <w:ind w:left="567" w:leftChars="0" w:hanging="567"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流速测量精度：≤1.5%</w:t>
            </w:r>
          </w:p>
          <w:p w14:paraId="580974BD">
            <w:pPr>
              <w:pageBreakBefore w:val="0"/>
              <w:numPr>
                <w:ilvl w:val="1"/>
                <w:numId w:val="8"/>
              </w:numPr>
              <w:kinsoku/>
              <w:wordWrap/>
              <w:overflowPunct/>
              <w:topLinePunct w:val="0"/>
              <w:autoSpaceDE/>
              <w:autoSpaceDN/>
              <w:bidi w:val="0"/>
              <w:spacing w:line="360" w:lineRule="auto"/>
              <w:ind w:left="567" w:leftChars="0" w:hanging="567"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水深测量：0.02m～10.00m；分辨率：2mm 精度：±0.5%</w:t>
            </w:r>
          </w:p>
          <w:p w14:paraId="5D5343C6">
            <w:pPr>
              <w:pageBreakBefore w:val="0"/>
              <w:numPr>
                <w:ilvl w:val="1"/>
                <w:numId w:val="8"/>
              </w:numPr>
              <w:kinsoku/>
              <w:wordWrap/>
              <w:overflowPunct/>
              <w:topLinePunct w:val="0"/>
              <w:autoSpaceDE/>
              <w:autoSpaceDN/>
              <w:bidi w:val="0"/>
              <w:spacing w:line="360" w:lineRule="auto"/>
              <w:ind w:left="567" w:leftChars="0" w:hanging="567"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温度范围：-10～60ºC；分辨率：0.1ºC</w:t>
            </w:r>
          </w:p>
          <w:p w14:paraId="77F2235B">
            <w:pPr>
              <w:pageBreakBefore w:val="0"/>
              <w:numPr>
                <w:ilvl w:val="1"/>
                <w:numId w:val="8"/>
              </w:numPr>
              <w:kinsoku/>
              <w:wordWrap/>
              <w:overflowPunct/>
              <w:topLinePunct w:val="0"/>
              <w:autoSpaceDE/>
              <w:autoSpaceDN/>
              <w:bidi w:val="0"/>
              <w:spacing w:line="360" w:lineRule="auto"/>
              <w:ind w:left="567" w:leftChars="0" w:hanging="567"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流量范围：1L/s～720000000m³/h；</w:t>
            </w:r>
          </w:p>
          <w:p w14:paraId="139C33CD">
            <w:pPr>
              <w:pageBreakBefore w:val="0"/>
              <w:numPr>
                <w:ilvl w:val="-1"/>
                <w:numId w:val="0"/>
              </w:numPr>
              <w:kinsoku/>
              <w:wordWrap/>
              <w:overflowPunct/>
              <w:topLinePunct w:val="0"/>
              <w:autoSpaceDE/>
              <w:autoSpaceDN/>
              <w:bidi w:val="0"/>
              <w:spacing w:line="360" w:lineRule="auto"/>
              <w:ind w:left="0" w:leftChars="0" w:firstLine="0" w:firstLineChars="0"/>
              <w:jc w:val="left"/>
              <w:rPr>
                <w:rFonts w:hint="eastAsia" w:ascii="宋体" w:hAnsi="宋体" w:eastAsia="宋体" w:cs="宋体"/>
                <w:sz w:val="21"/>
                <w:szCs w:val="21"/>
                <w:lang w:val="en-US" w:eastAsia="zh-CN"/>
              </w:rPr>
            </w:pPr>
            <w:r>
              <w:rPr>
                <w:rFonts w:hint="eastAsia" w:ascii="宋体" w:hAnsi="宋体" w:eastAsia="宋体" w:cs="宋体"/>
                <w:spacing w:val="0"/>
                <w:sz w:val="21"/>
                <w:szCs w:val="21"/>
              </w:rPr>
              <w:t>▲</w:t>
            </w:r>
            <w:r>
              <w:rPr>
                <w:rFonts w:hint="eastAsia" w:ascii="宋体" w:hAnsi="宋体" w:eastAsia="宋体" w:cs="宋体"/>
                <w:spacing w:val="0"/>
                <w:sz w:val="21"/>
                <w:szCs w:val="21"/>
                <w:lang w:val="en-US" w:eastAsia="zh-CN"/>
              </w:rPr>
              <w:t xml:space="preserve">3.7 </w:t>
            </w:r>
            <w:r>
              <w:rPr>
                <w:rFonts w:hint="eastAsia" w:ascii="宋体" w:hAnsi="宋体" w:eastAsia="宋体" w:cs="宋体"/>
                <w:sz w:val="21"/>
                <w:szCs w:val="21"/>
                <w:lang w:val="en-US" w:eastAsia="zh-CN"/>
              </w:rPr>
              <w:t>信号传输：</w:t>
            </w:r>
            <w:r>
              <w:rPr>
                <w:rFonts w:hint="eastAsia" w:ascii="宋体" w:hAnsi="宋体" w:eastAsia="宋体" w:cs="宋体"/>
                <w:i w:val="0"/>
                <w:iCs w:val="0"/>
                <w:caps w:val="0"/>
                <w:spacing w:val="0"/>
                <w:sz w:val="21"/>
                <w:szCs w:val="21"/>
                <w:shd w:val="clear"/>
              </w:rPr>
              <w:t>内置蓝牙</w:t>
            </w:r>
            <w:r>
              <w:rPr>
                <w:rFonts w:hint="eastAsia" w:ascii="宋体" w:hAnsi="宋体" w:cs="宋体"/>
                <w:i w:val="0"/>
                <w:iCs w:val="0"/>
                <w:caps w:val="0"/>
                <w:spacing w:val="0"/>
                <w:sz w:val="21"/>
                <w:szCs w:val="21"/>
                <w:shd w:val="clear"/>
                <w:lang w:val="en-US" w:eastAsia="zh-CN"/>
              </w:rPr>
              <w:t>或</w:t>
            </w:r>
            <w:r>
              <w:rPr>
                <w:rFonts w:hint="eastAsia" w:ascii="宋体" w:hAnsi="宋体" w:eastAsia="宋体" w:cs="宋体"/>
                <w:i w:val="0"/>
                <w:iCs w:val="0"/>
                <w:caps w:val="0"/>
                <w:spacing w:val="0"/>
                <w:sz w:val="21"/>
                <w:szCs w:val="21"/>
                <w:shd w:val="clear"/>
              </w:rPr>
              <w:t>支持</w:t>
            </w:r>
            <w:r>
              <w:rPr>
                <w:rFonts w:hint="eastAsia" w:ascii="宋体" w:hAnsi="宋体" w:cs="宋体"/>
                <w:i w:val="0"/>
                <w:iCs w:val="0"/>
                <w:caps w:val="0"/>
                <w:spacing w:val="0"/>
                <w:sz w:val="21"/>
                <w:szCs w:val="21"/>
                <w:shd w:val="clear"/>
                <w:lang w:val="en-US" w:eastAsia="zh-CN"/>
              </w:rPr>
              <w:t>其他</w:t>
            </w:r>
            <w:r>
              <w:rPr>
                <w:rFonts w:hint="eastAsia" w:ascii="宋体" w:hAnsi="宋体" w:eastAsia="宋体" w:cs="宋体"/>
                <w:i w:val="0"/>
                <w:iCs w:val="0"/>
                <w:caps w:val="0"/>
                <w:spacing w:val="0"/>
                <w:sz w:val="21"/>
                <w:szCs w:val="21"/>
                <w:shd w:val="clear"/>
              </w:rPr>
              <w:t>无线传输</w:t>
            </w:r>
            <w:r>
              <w:rPr>
                <w:rFonts w:hint="eastAsia" w:ascii="宋体" w:hAnsi="宋体" w:cs="宋体"/>
                <w:i w:val="0"/>
                <w:iCs w:val="0"/>
                <w:caps w:val="0"/>
                <w:spacing w:val="0"/>
                <w:sz w:val="21"/>
                <w:szCs w:val="21"/>
                <w:shd w:val="clear"/>
                <w:lang w:val="en-US" w:eastAsia="zh-CN"/>
              </w:rPr>
              <w:t>方式</w:t>
            </w:r>
            <w:r>
              <w:rPr>
                <w:rFonts w:hint="eastAsia" w:ascii="宋体" w:hAnsi="宋体" w:eastAsia="宋体" w:cs="宋体"/>
                <w:i w:val="0"/>
                <w:iCs w:val="0"/>
                <w:caps w:val="0"/>
                <w:spacing w:val="0"/>
                <w:sz w:val="21"/>
                <w:szCs w:val="21"/>
                <w:shd w:val="clear"/>
                <w:lang w:val="en-US" w:eastAsia="zh-CN"/>
              </w:rPr>
              <w:t>。</w:t>
            </w:r>
            <w:r>
              <w:rPr>
                <w:rFonts w:hint="eastAsia" w:ascii="宋体" w:hAnsi="宋体" w:eastAsia="宋体" w:cs="宋体"/>
                <w:sz w:val="21"/>
                <w:szCs w:val="21"/>
                <w:lang w:val="en-US" w:eastAsia="zh-CN"/>
              </w:rPr>
              <w:t xml:space="preserve">                                                                                                                          </w:t>
            </w:r>
          </w:p>
          <w:p w14:paraId="1942EF67">
            <w:pPr>
              <w:pageBreakBefore w:val="0"/>
              <w:numPr>
                <w:ilvl w:val="1"/>
                <w:numId w:val="8"/>
              </w:numPr>
              <w:kinsoku/>
              <w:wordWrap/>
              <w:overflowPunct/>
              <w:topLinePunct w:val="0"/>
              <w:autoSpaceDE/>
              <w:autoSpaceDN/>
              <w:bidi w:val="0"/>
              <w:spacing w:line="360" w:lineRule="auto"/>
              <w:ind w:left="567" w:leftChars="0" w:hanging="567"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输出信号：手持机存储：≥2M字节，流速、瞬时流量、累积流量、水位；</w:t>
            </w:r>
          </w:p>
          <w:p w14:paraId="52086D25">
            <w:pPr>
              <w:pageBreakBefore w:val="0"/>
              <w:numPr>
                <w:ilvl w:val="1"/>
                <w:numId w:val="8"/>
              </w:numPr>
              <w:kinsoku/>
              <w:wordWrap/>
              <w:overflowPunct/>
              <w:topLinePunct w:val="0"/>
              <w:autoSpaceDE/>
              <w:autoSpaceDN/>
              <w:bidi w:val="0"/>
              <w:spacing w:line="360" w:lineRule="auto"/>
              <w:ind w:left="567" w:leftChars="0" w:hanging="567"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传感器和变送器之间电缆长度：≥8米；</w:t>
            </w:r>
          </w:p>
          <w:p w14:paraId="71822700">
            <w:pPr>
              <w:pageBreakBefore w:val="0"/>
              <w:numPr>
                <w:ilvl w:val="1"/>
                <w:numId w:val="8"/>
              </w:numPr>
              <w:kinsoku/>
              <w:wordWrap/>
              <w:overflowPunct/>
              <w:topLinePunct w:val="0"/>
              <w:autoSpaceDE/>
              <w:autoSpaceDN/>
              <w:bidi w:val="0"/>
              <w:spacing w:line="360" w:lineRule="auto"/>
              <w:ind w:left="567" w:leftChars="0" w:hanging="567"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不锈钢</w:t>
            </w:r>
            <w:r>
              <w:rPr>
                <w:rFonts w:hint="eastAsia" w:ascii="宋体" w:hAnsi="宋体" w:cs="宋体"/>
                <w:sz w:val="21"/>
                <w:szCs w:val="21"/>
                <w:lang w:val="en-US" w:eastAsia="zh-CN"/>
              </w:rPr>
              <w:t>延长杆≥</w:t>
            </w:r>
            <w:r>
              <w:rPr>
                <w:rFonts w:hint="eastAsia" w:ascii="宋体" w:hAnsi="宋体" w:eastAsia="宋体" w:cs="宋体"/>
                <w:sz w:val="21"/>
                <w:szCs w:val="21"/>
                <w:lang w:val="en-US" w:eastAsia="zh-CN"/>
              </w:rPr>
              <w:t xml:space="preserve">2米 ；                                                                                                                                                                                              </w:t>
            </w:r>
          </w:p>
          <w:p w14:paraId="7E967D35">
            <w:pPr>
              <w:pageBreakBefore w:val="0"/>
              <w:numPr>
                <w:ilvl w:val="1"/>
                <w:numId w:val="8"/>
              </w:numPr>
              <w:kinsoku/>
              <w:wordWrap/>
              <w:overflowPunct/>
              <w:topLinePunct w:val="0"/>
              <w:autoSpaceDE/>
              <w:autoSpaceDN/>
              <w:bidi w:val="0"/>
              <w:spacing w:line="360" w:lineRule="auto"/>
              <w:ind w:left="567" w:leftChars="0" w:hanging="567"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被测水道类型：管道、渠道、天然溪流、河流；</w:t>
            </w:r>
          </w:p>
          <w:p w14:paraId="2EF17868">
            <w:pPr>
              <w:pageBreakBefore w:val="0"/>
              <w:numPr>
                <w:ilvl w:val="1"/>
                <w:numId w:val="8"/>
              </w:numPr>
              <w:kinsoku/>
              <w:wordWrap/>
              <w:overflowPunct/>
              <w:topLinePunct w:val="0"/>
              <w:autoSpaceDE/>
              <w:autoSpaceDN/>
              <w:bidi w:val="0"/>
              <w:spacing w:line="360" w:lineRule="auto"/>
              <w:ind w:left="567" w:leftChars="0" w:hanging="567"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产品满足：GB/T 11828.2-2005《水位测量仪器 第2部分：压力水位计》、GB/T 15966-2017《水文仪器基本参数及通用技术条件》；                                                                                                                                                                                   </w:t>
            </w:r>
          </w:p>
          <w:p w14:paraId="382090B3">
            <w:pPr>
              <w:pageBreakBefore w:val="0"/>
              <w:numPr>
                <w:ilvl w:val="1"/>
                <w:numId w:val="8"/>
              </w:numPr>
              <w:kinsoku/>
              <w:wordWrap/>
              <w:overflowPunct/>
              <w:topLinePunct w:val="0"/>
              <w:autoSpaceDE/>
              <w:autoSpaceDN/>
              <w:bidi w:val="0"/>
              <w:spacing w:line="360" w:lineRule="auto"/>
              <w:ind w:left="567" w:leftChars="0" w:hanging="567" w:firstLineChars="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val="en-US" w:eastAsia="zh-CN"/>
              </w:rPr>
              <w:t>传感器防护等级：IP68（ 符合GB/T 4208-2017规定）。</w:t>
            </w:r>
          </w:p>
        </w:tc>
      </w:tr>
      <w:tr w14:paraId="4C206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932" w:type="dxa"/>
            <w:vAlign w:val="center"/>
          </w:tcPr>
          <w:p w14:paraId="6754F47D">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14</w:t>
            </w:r>
          </w:p>
        </w:tc>
        <w:tc>
          <w:tcPr>
            <w:tcW w:w="2739" w:type="dxa"/>
            <w:vAlign w:val="center"/>
          </w:tcPr>
          <w:p w14:paraId="424AAD1F">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多联不锈钢溶液过滤器</w:t>
            </w:r>
          </w:p>
        </w:tc>
        <w:tc>
          <w:tcPr>
            <w:tcW w:w="9188" w:type="dxa"/>
            <w:vAlign w:val="center"/>
          </w:tcPr>
          <w:p w14:paraId="2B77FC61">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425" w:leftChars="0" w:hanging="425" w:firstLineChars="0"/>
              <w:textAlignment w:val="auto"/>
              <w:rPr>
                <w:rFonts w:hint="eastAsia" w:ascii="宋体" w:hAnsi="宋体" w:eastAsia="宋体" w:cs="宋体"/>
                <w:sz w:val="21"/>
                <w:szCs w:val="21"/>
                <w:lang w:eastAsia="zh-CN"/>
              </w:rPr>
            </w:pPr>
            <w:bookmarkStart w:id="114" w:name="_Toc20139"/>
            <w:r>
              <w:rPr>
                <w:rFonts w:hint="eastAsia" w:ascii="宋体" w:hAnsi="宋体" w:eastAsia="宋体" w:cs="宋体"/>
                <w:b/>
                <w:kern w:val="44"/>
                <w:sz w:val="21"/>
                <w:szCs w:val="21"/>
                <w:lang w:val="en-US" w:eastAsia="zh-CN" w:bidi="ar-SA"/>
              </w:rPr>
              <w:t>1.</w:t>
            </w:r>
            <w:r>
              <w:rPr>
                <w:rFonts w:hint="eastAsia" w:ascii="宋体" w:hAnsi="宋体" w:eastAsia="宋体" w:cs="宋体"/>
                <w:sz w:val="21"/>
                <w:szCs w:val="21"/>
                <w:lang w:eastAsia="zh-CN"/>
              </w:rPr>
              <w:t>仪器配置</w:t>
            </w:r>
            <w:bookmarkEnd w:id="114"/>
          </w:p>
          <w:p w14:paraId="4498A94F">
            <w:pPr>
              <w:keepNext w:val="0"/>
              <w:keepLines w:val="0"/>
              <w:pageBreakBefore w:val="0"/>
              <w:tabs>
                <w:tab w:val="left" w:pos="3000"/>
              </w:tabs>
              <w:kinsoku/>
              <w:wordWrap/>
              <w:overflowPunct/>
              <w:topLinePunct w:val="0"/>
              <w:autoSpaceDE/>
              <w:autoSpaceDN/>
              <w:bidi w:val="0"/>
              <w:adjustRightInd/>
              <w:snapToGrid/>
              <w:spacing w:line="360" w:lineRule="auto"/>
              <w:ind w:firstLine="422" w:firstLineChars="200"/>
              <w:textAlignment w:val="auto"/>
              <w:outlineLvl w:val="3"/>
              <w:rPr>
                <w:rFonts w:hint="eastAsia" w:ascii="宋体" w:hAnsi="宋体" w:eastAsia="宋体" w:cs="宋体"/>
                <w:sz w:val="21"/>
                <w:szCs w:val="21"/>
                <w:lang w:eastAsia="zh-CN"/>
              </w:rPr>
            </w:pPr>
            <w:r>
              <w:rPr>
                <w:rFonts w:hint="eastAsia" w:ascii="宋体" w:hAnsi="宋体" w:eastAsia="宋体" w:cs="宋体"/>
                <w:b/>
                <w:color w:val="auto"/>
                <w:sz w:val="21"/>
                <w:szCs w:val="21"/>
                <w:highlight w:val="none"/>
                <w:lang w:val="en-US" w:eastAsia="zh-CN"/>
              </w:rPr>
              <w:t>（采购数量按招标清单为准，这里只表示每台采购设备应配置的备件或耗材数量）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8"/>
              <w:gridCol w:w="4109"/>
              <w:gridCol w:w="1638"/>
              <w:gridCol w:w="1627"/>
            </w:tblGrid>
            <w:tr w14:paraId="21AFC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tcPr>
                <w:p w14:paraId="7524C0D0">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vertAlign w:val="baseline"/>
                      <w:lang w:val="en-US" w:eastAsia="zh-CN"/>
                    </w:rPr>
                  </w:pPr>
                </w:p>
              </w:tc>
              <w:tc>
                <w:tcPr>
                  <w:tcW w:w="4109" w:type="dxa"/>
                </w:tcPr>
                <w:p w14:paraId="5B30E5C8">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名称</w:t>
                  </w:r>
                </w:p>
              </w:tc>
              <w:tc>
                <w:tcPr>
                  <w:tcW w:w="1638" w:type="dxa"/>
                </w:tcPr>
                <w:p w14:paraId="3E51FB9E">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说明</w:t>
                  </w:r>
                </w:p>
              </w:tc>
              <w:tc>
                <w:tcPr>
                  <w:tcW w:w="1627" w:type="dxa"/>
                </w:tcPr>
                <w:p w14:paraId="238EF47B">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数量（台/套）</w:t>
                  </w:r>
                </w:p>
              </w:tc>
            </w:tr>
            <w:tr w14:paraId="3972C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tcPr>
                <w:p w14:paraId="568A7689">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主机</w:t>
                  </w:r>
                </w:p>
              </w:tc>
              <w:tc>
                <w:tcPr>
                  <w:tcW w:w="4109" w:type="dxa"/>
                </w:tcPr>
                <w:p w14:paraId="1100A0B6">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隔膜真空泵（防腐型&amp;截流瓶）</w:t>
                  </w:r>
                </w:p>
              </w:tc>
              <w:tc>
                <w:tcPr>
                  <w:tcW w:w="1638" w:type="dxa"/>
                </w:tcPr>
                <w:p w14:paraId="359BAFCD">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含电源线等</w:t>
                  </w:r>
                </w:p>
              </w:tc>
              <w:tc>
                <w:tcPr>
                  <w:tcW w:w="1627" w:type="dxa"/>
                </w:tcPr>
                <w:p w14:paraId="04518263">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r>
            <w:tr w14:paraId="1A657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shd w:val="clear" w:color="auto" w:fill="auto"/>
                  <w:vAlign w:val="top"/>
                </w:tcPr>
                <w:p w14:paraId="35D62258">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配件</w:t>
                  </w:r>
                </w:p>
              </w:tc>
              <w:tc>
                <w:tcPr>
                  <w:tcW w:w="4109" w:type="dxa"/>
                  <w:shd w:val="clear" w:color="auto" w:fill="auto"/>
                  <w:vAlign w:val="top"/>
                </w:tcPr>
                <w:p w14:paraId="21311AFD">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全不锈钢六联过滤器</w:t>
                  </w:r>
                </w:p>
              </w:tc>
              <w:tc>
                <w:tcPr>
                  <w:tcW w:w="1638" w:type="dxa"/>
                  <w:shd w:val="clear" w:color="auto" w:fill="auto"/>
                  <w:vAlign w:val="top"/>
                </w:tcPr>
                <w:p w14:paraId="677F29D8">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w:t>
                  </w:r>
                </w:p>
              </w:tc>
              <w:tc>
                <w:tcPr>
                  <w:tcW w:w="1627" w:type="dxa"/>
                  <w:shd w:val="clear" w:color="auto" w:fill="auto"/>
                  <w:vAlign w:val="top"/>
                </w:tcPr>
                <w:p w14:paraId="3694004C">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w:t>
                  </w:r>
                </w:p>
              </w:tc>
            </w:tr>
            <w:tr w14:paraId="40953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tcPr>
                <w:p w14:paraId="2F9BD206">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配件</w:t>
                  </w:r>
                </w:p>
              </w:tc>
              <w:tc>
                <w:tcPr>
                  <w:tcW w:w="4109" w:type="dxa"/>
                </w:tcPr>
                <w:p w14:paraId="41B4D8E5">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≥2L集液瓶</w:t>
                  </w:r>
                </w:p>
              </w:tc>
              <w:tc>
                <w:tcPr>
                  <w:tcW w:w="1638" w:type="dxa"/>
                </w:tcPr>
                <w:p w14:paraId="73F38ACC">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1627" w:type="dxa"/>
                </w:tcPr>
                <w:p w14:paraId="55173F60">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r>
            <w:tr w14:paraId="58339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tcPr>
                <w:p w14:paraId="6396FC4B">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配件</w:t>
                  </w:r>
                </w:p>
              </w:tc>
              <w:tc>
                <w:tcPr>
                  <w:tcW w:w="4109" w:type="dxa"/>
                </w:tcPr>
                <w:p w14:paraId="6FF641AC">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微孔滤膜（</w:t>
                  </w:r>
                  <w:r>
                    <w:rPr>
                      <w:rFonts w:hint="eastAsia" w:ascii="宋体" w:hAnsi="宋体" w:eastAsia="宋体" w:cs="宋体"/>
                      <w:sz w:val="21"/>
                      <w:szCs w:val="21"/>
                    </w:rPr>
                    <w:t>Φ47-Φ50</w:t>
                  </w:r>
                  <w:r>
                    <w:rPr>
                      <w:rFonts w:hint="eastAsia" w:ascii="宋体" w:hAnsi="宋体" w:eastAsia="宋体" w:cs="宋体"/>
                      <w:sz w:val="21"/>
                      <w:szCs w:val="21"/>
                      <w:vertAlign w:val="baseline"/>
                      <w:lang w:val="en-US" w:eastAsia="zh-CN"/>
                    </w:rPr>
                    <w:t>， 0.45μm  MCE）</w:t>
                  </w:r>
                </w:p>
              </w:tc>
              <w:tc>
                <w:tcPr>
                  <w:tcW w:w="1638" w:type="dxa"/>
                </w:tcPr>
                <w:p w14:paraId="0830EE2B">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与滤杯相匹配</w:t>
                  </w:r>
                </w:p>
              </w:tc>
              <w:tc>
                <w:tcPr>
                  <w:tcW w:w="1627" w:type="dxa"/>
                </w:tcPr>
                <w:p w14:paraId="2516C525">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500片</w:t>
                  </w:r>
                </w:p>
              </w:tc>
            </w:tr>
          </w:tbl>
          <w:p w14:paraId="02592ECC">
            <w:pPr>
              <w:pStyle w:val="42"/>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bCs/>
                <w:sz w:val="21"/>
                <w:szCs w:val="21"/>
                <w:lang w:eastAsia="zh-CN"/>
              </w:rPr>
            </w:pPr>
            <w:r>
              <w:rPr>
                <w:rFonts w:hint="eastAsia" w:ascii="宋体" w:hAnsi="宋体" w:eastAsia="宋体" w:cs="宋体"/>
                <w:b/>
                <w:bCs/>
                <w:kern w:val="2"/>
                <w:sz w:val="21"/>
                <w:szCs w:val="21"/>
                <w:lang w:val="en-US" w:eastAsia="zh-CN" w:bidi="ar-SA"/>
              </w:rPr>
              <w:t>2.</w:t>
            </w:r>
            <w:r>
              <w:rPr>
                <w:rFonts w:hint="eastAsia" w:ascii="宋体" w:hAnsi="宋体" w:eastAsia="宋体" w:cs="宋体"/>
                <w:b/>
                <w:bCs/>
                <w:sz w:val="21"/>
                <w:szCs w:val="21"/>
                <w:lang w:eastAsia="zh-CN"/>
              </w:rPr>
              <w:t>设备功能及要求</w:t>
            </w:r>
          </w:p>
          <w:p w14:paraId="06E305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广泛应用与化学分析、环境检测、水质分析、科学研究等。该产品可同时检测三个或者六个样品，灵敏度高，且操作简单；可根据操作者需要，选择不同材质滤膜，对不同样品进行过滤，如样品中悬浮物，细菌微粒，适合与实验室过滤工作。</w:t>
            </w:r>
          </w:p>
          <w:p w14:paraId="3ADBE5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bCs/>
                <w:sz w:val="21"/>
                <w:szCs w:val="21"/>
                <w:lang w:val="en-US" w:eastAsia="zh-CN"/>
              </w:rPr>
            </w:pPr>
            <w:r>
              <w:rPr>
                <w:rFonts w:hint="eastAsia" w:ascii="宋体" w:hAnsi="宋体" w:eastAsia="宋体" w:cs="宋体"/>
                <w:b/>
                <w:bCs/>
                <w:kern w:val="2"/>
                <w:sz w:val="21"/>
                <w:szCs w:val="21"/>
                <w:lang w:val="en-US" w:eastAsia="zh-CN" w:bidi="ar-SA"/>
              </w:rPr>
              <w:t>3.</w:t>
            </w:r>
            <w:r>
              <w:rPr>
                <w:rFonts w:hint="eastAsia" w:ascii="宋体" w:hAnsi="宋体" w:eastAsia="宋体" w:cs="宋体"/>
                <w:b/>
                <w:bCs/>
                <w:sz w:val="21"/>
                <w:szCs w:val="21"/>
                <w:lang w:val="en-US" w:eastAsia="zh-CN"/>
              </w:rPr>
              <w:t>技术参数</w:t>
            </w:r>
          </w:p>
          <w:p w14:paraId="613EFFBA">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567" w:leftChars="0" w:hanging="567" w:firstLineChars="0"/>
              <w:textAlignment w:val="auto"/>
              <w:rPr>
                <w:rFonts w:hint="eastAsia" w:ascii="宋体" w:hAnsi="宋体" w:eastAsia="宋体" w:cs="宋体"/>
                <w:b/>
                <w:bCs/>
                <w:sz w:val="21"/>
                <w:szCs w:val="21"/>
              </w:rPr>
            </w:pPr>
            <w:r>
              <w:rPr>
                <w:rFonts w:hint="eastAsia" w:ascii="宋体" w:hAnsi="宋体" w:eastAsia="宋体" w:cs="宋体"/>
                <w:b/>
                <w:bCs/>
                <w:kern w:val="2"/>
                <w:sz w:val="21"/>
                <w:szCs w:val="21"/>
                <w:lang w:val="en-US" w:eastAsia="zh-CN" w:bidi="ar-SA"/>
              </w:rPr>
              <w:t>3.1.</w:t>
            </w:r>
            <w:r>
              <w:rPr>
                <w:rFonts w:hint="eastAsia" w:ascii="宋体" w:hAnsi="宋体" w:eastAsia="宋体" w:cs="宋体"/>
                <w:b/>
                <w:bCs/>
                <w:sz w:val="21"/>
                <w:szCs w:val="21"/>
              </w:rPr>
              <w:t>真空泵：</w:t>
            </w:r>
          </w:p>
          <w:p w14:paraId="57D3FDD3">
            <w:pPr>
              <w:keepNext w:val="0"/>
              <w:keepLines w:val="0"/>
              <w:pageBreakBefore w:val="0"/>
              <w:widowControl w:val="0"/>
              <w:numPr>
                <w:ilvl w:val="2"/>
                <w:numId w:val="0"/>
              </w:numPr>
              <w:kinsoku/>
              <w:wordWrap/>
              <w:overflowPunct/>
              <w:topLinePunct w:val="0"/>
              <w:autoSpaceDE/>
              <w:autoSpaceDN/>
              <w:bidi w:val="0"/>
              <w:adjustRightInd/>
              <w:snapToGrid/>
              <w:spacing w:line="360" w:lineRule="auto"/>
              <w:ind w:left="709" w:leftChars="0" w:hanging="709" w:firstLineChars="0"/>
              <w:textAlignment w:val="auto"/>
              <w:rPr>
                <w:rFonts w:hint="eastAsia" w:ascii="宋体" w:hAnsi="宋体" w:eastAsia="宋体" w:cs="宋体"/>
                <w:sz w:val="21"/>
                <w:szCs w:val="21"/>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kern w:val="2"/>
                <w:sz w:val="21"/>
                <w:szCs w:val="21"/>
                <w:lang w:val="en-US" w:eastAsia="zh-CN" w:bidi="ar-SA"/>
              </w:rPr>
              <w:t>3.1.1.</w:t>
            </w:r>
            <w:r>
              <w:rPr>
                <w:rFonts w:hint="eastAsia" w:ascii="宋体" w:hAnsi="宋体" w:eastAsia="宋体" w:cs="宋体"/>
                <w:sz w:val="21"/>
                <w:szCs w:val="21"/>
              </w:rPr>
              <w:t>抽气速度（L/min）：60；</w:t>
            </w:r>
          </w:p>
          <w:p w14:paraId="2719E9E5">
            <w:pPr>
              <w:keepNext w:val="0"/>
              <w:keepLines w:val="0"/>
              <w:pageBreakBefore w:val="0"/>
              <w:widowControl w:val="0"/>
              <w:numPr>
                <w:ilvl w:val="2"/>
                <w:numId w:val="0"/>
              </w:numPr>
              <w:kinsoku/>
              <w:wordWrap/>
              <w:overflowPunct/>
              <w:topLinePunct w:val="0"/>
              <w:autoSpaceDE/>
              <w:autoSpaceDN/>
              <w:bidi w:val="0"/>
              <w:adjustRightInd/>
              <w:snapToGrid/>
              <w:spacing w:line="360" w:lineRule="auto"/>
              <w:ind w:left="709" w:leftChars="0" w:hanging="709"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3.1.2.</w:t>
            </w:r>
            <w:r>
              <w:rPr>
                <w:rFonts w:hint="eastAsia" w:ascii="宋体" w:hAnsi="宋体" w:eastAsia="宋体" w:cs="宋体"/>
                <w:sz w:val="21"/>
                <w:szCs w:val="21"/>
              </w:rPr>
              <w:t>极限压力：≥0.08MPa;</w:t>
            </w:r>
          </w:p>
          <w:p w14:paraId="7FCE668A">
            <w:pPr>
              <w:keepNext w:val="0"/>
              <w:keepLines w:val="0"/>
              <w:pageBreakBefore w:val="0"/>
              <w:widowControl w:val="0"/>
              <w:numPr>
                <w:ilvl w:val="2"/>
                <w:numId w:val="0"/>
              </w:numPr>
              <w:kinsoku/>
              <w:wordWrap/>
              <w:overflowPunct/>
              <w:topLinePunct w:val="0"/>
              <w:autoSpaceDE/>
              <w:autoSpaceDN/>
              <w:bidi w:val="0"/>
              <w:adjustRightInd/>
              <w:snapToGrid/>
              <w:spacing w:line="360" w:lineRule="auto"/>
              <w:ind w:left="709" w:leftChars="0" w:hanging="709"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3.1.3.</w:t>
            </w:r>
            <w:r>
              <w:rPr>
                <w:rFonts w:hint="eastAsia" w:ascii="宋体" w:hAnsi="宋体" w:eastAsia="宋体" w:cs="宋体"/>
                <w:sz w:val="21"/>
                <w:szCs w:val="21"/>
              </w:rPr>
              <w:t>电压：220V,50Hz；</w:t>
            </w:r>
          </w:p>
          <w:p w14:paraId="023D5970">
            <w:pPr>
              <w:keepNext w:val="0"/>
              <w:keepLines w:val="0"/>
              <w:pageBreakBefore w:val="0"/>
              <w:widowControl w:val="0"/>
              <w:numPr>
                <w:ilvl w:val="2"/>
                <w:numId w:val="0"/>
              </w:numPr>
              <w:kinsoku/>
              <w:wordWrap/>
              <w:overflowPunct/>
              <w:topLinePunct w:val="0"/>
              <w:autoSpaceDE/>
              <w:autoSpaceDN/>
              <w:bidi w:val="0"/>
              <w:adjustRightInd/>
              <w:snapToGrid/>
              <w:spacing w:line="360" w:lineRule="auto"/>
              <w:ind w:left="709" w:leftChars="0" w:hanging="709"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3.1.4.</w:t>
            </w:r>
            <w:r>
              <w:rPr>
                <w:rFonts w:hint="eastAsia" w:ascii="宋体" w:hAnsi="宋体" w:eastAsia="宋体" w:cs="宋体"/>
                <w:sz w:val="21"/>
                <w:szCs w:val="21"/>
              </w:rPr>
              <w:t>额定功率：160W；</w:t>
            </w:r>
          </w:p>
          <w:p w14:paraId="5140501C">
            <w:pPr>
              <w:keepNext w:val="0"/>
              <w:keepLines w:val="0"/>
              <w:pageBreakBefore w:val="0"/>
              <w:widowControl w:val="0"/>
              <w:numPr>
                <w:ilvl w:val="2"/>
                <w:numId w:val="0"/>
              </w:numPr>
              <w:kinsoku/>
              <w:wordWrap/>
              <w:overflowPunct/>
              <w:topLinePunct w:val="0"/>
              <w:autoSpaceDE/>
              <w:autoSpaceDN/>
              <w:bidi w:val="0"/>
              <w:adjustRightInd/>
              <w:snapToGrid/>
              <w:spacing w:line="360" w:lineRule="auto"/>
              <w:ind w:left="709" w:leftChars="0" w:hanging="709"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3.1.5.</w:t>
            </w:r>
            <w:r>
              <w:rPr>
                <w:rFonts w:hint="eastAsia" w:ascii="宋体" w:hAnsi="宋体" w:eastAsia="宋体" w:cs="宋体"/>
                <w:sz w:val="21"/>
                <w:szCs w:val="21"/>
              </w:rPr>
              <w:t>正压力：≥30psi；</w:t>
            </w:r>
          </w:p>
          <w:p w14:paraId="2AB6C510">
            <w:pPr>
              <w:keepNext w:val="0"/>
              <w:keepLines w:val="0"/>
              <w:pageBreakBefore w:val="0"/>
              <w:widowControl w:val="0"/>
              <w:numPr>
                <w:ilvl w:val="2"/>
                <w:numId w:val="0"/>
              </w:numPr>
              <w:kinsoku/>
              <w:wordWrap/>
              <w:overflowPunct/>
              <w:topLinePunct w:val="0"/>
              <w:autoSpaceDE/>
              <w:autoSpaceDN/>
              <w:bidi w:val="0"/>
              <w:adjustRightInd/>
              <w:snapToGrid/>
              <w:spacing w:line="360" w:lineRule="auto"/>
              <w:ind w:left="709" w:leftChars="0" w:hanging="709"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3.1.6.</w:t>
            </w:r>
            <w:r>
              <w:rPr>
                <w:rFonts w:hint="eastAsia" w:ascii="宋体" w:hAnsi="宋体" w:eastAsia="宋体" w:cs="宋体"/>
                <w:sz w:val="21"/>
                <w:szCs w:val="21"/>
              </w:rPr>
              <w:t>工作环境温度（℃）：7-40；</w:t>
            </w:r>
          </w:p>
          <w:p w14:paraId="091D5A16">
            <w:pPr>
              <w:keepNext w:val="0"/>
              <w:keepLines w:val="0"/>
              <w:pageBreakBefore w:val="0"/>
              <w:widowControl w:val="0"/>
              <w:numPr>
                <w:ilvl w:val="2"/>
                <w:numId w:val="0"/>
              </w:numPr>
              <w:kinsoku/>
              <w:wordWrap/>
              <w:overflowPunct/>
              <w:topLinePunct w:val="0"/>
              <w:autoSpaceDE/>
              <w:autoSpaceDN/>
              <w:bidi w:val="0"/>
              <w:adjustRightInd/>
              <w:snapToGrid/>
              <w:spacing w:line="360" w:lineRule="auto"/>
              <w:ind w:left="709" w:leftChars="0" w:hanging="709"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3.1.7.</w:t>
            </w:r>
            <w:r>
              <w:rPr>
                <w:rFonts w:hint="eastAsia" w:ascii="宋体" w:hAnsi="宋体" w:eastAsia="宋体" w:cs="宋体"/>
                <w:sz w:val="21"/>
                <w:szCs w:val="21"/>
              </w:rPr>
              <w:t>泵头数量：2；</w:t>
            </w:r>
          </w:p>
          <w:p w14:paraId="38D076D5">
            <w:pPr>
              <w:keepNext w:val="0"/>
              <w:keepLines w:val="0"/>
              <w:pageBreakBefore w:val="0"/>
              <w:widowControl w:val="0"/>
              <w:numPr>
                <w:ilvl w:val="2"/>
                <w:numId w:val="0"/>
              </w:numPr>
              <w:kinsoku/>
              <w:wordWrap/>
              <w:overflowPunct/>
              <w:topLinePunct w:val="0"/>
              <w:autoSpaceDE/>
              <w:autoSpaceDN/>
              <w:bidi w:val="0"/>
              <w:adjustRightInd/>
              <w:snapToGrid/>
              <w:spacing w:line="360" w:lineRule="auto"/>
              <w:ind w:left="709" w:leftChars="0" w:hanging="709"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3.1.8.</w:t>
            </w:r>
            <w:r>
              <w:rPr>
                <w:rFonts w:hint="eastAsia" w:ascii="宋体" w:hAnsi="宋体" w:eastAsia="宋体" w:cs="宋体"/>
                <w:sz w:val="21"/>
                <w:szCs w:val="21"/>
              </w:rPr>
              <w:t>泵体温度（℃）：≤55</w:t>
            </w:r>
          </w:p>
          <w:p w14:paraId="6D60EA37">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567" w:leftChars="0" w:hanging="567" w:firstLineChars="0"/>
              <w:textAlignment w:val="auto"/>
              <w:rPr>
                <w:rFonts w:hint="eastAsia" w:ascii="宋体" w:hAnsi="宋体" w:eastAsia="宋体" w:cs="宋体"/>
                <w:b/>
                <w:bCs/>
                <w:sz w:val="21"/>
                <w:szCs w:val="21"/>
              </w:rPr>
            </w:pPr>
            <w:r>
              <w:rPr>
                <w:rFonts w:hint="eastAsia" w:ascii="宋体" w:hAnsi="宋体" w:eastAsia="宋体" w:cs="宋体"/>
                <w:b/>
                <w:bCs/>
                <w:kern w:val="2"/>
                <w:sz w:val="21"/>
                <w:szCs w:val="21"/>
                <w:lang w:val="en-US" w:eastAsia="zh-CN" w:bidi="ar-SA"/>
              </w:rPr>
              <w:t>3.2.</w:t>
            </w:r>
            <w:r>
              <w:rPr>
                <w:rFonts w:hint="eastAsia" w:ascii="宋体" w:hAnsi="宋体" w:eastAsia="宋体" w:cs="宋体"/>
                <w:b/>
                <w:bCs/>
                <w:sz w:val="21"/>
                <w:szCs w:val="21"/>
                <w:lang w:val="en-US" w:eastAsia="zh-CN"/>
              </w:rPr>
              <w:t>全不锈钢六连过滤器</w:t>
            </w:r>
            <w:r>
              <w:rPr>
                <w:rFonts w:hint="eastAsia" w:ascii="宋体" w:hAnsi="宋体" w:eastAsia="宋体" w:cs="宋体"/>
                <w:b/>
                <w:bCs/>
                <w:sz w:val="21"/>
                <w:szCs w:val="21"/>
              </w:rPr>
              <w:t>：</w:t>
            </w:r>
          </w:p>
          <w:p w14:paraId="7FC38992">
            <w:pPr>
              <w:keepNext w:val="0"/>
              <w:keepLines w:val="0"/>
              <w:pageBreakBefore w:val="0"/>
              <w:widowControl w:val="0"/>
              <w:numPr>
                <w:ilvl w:val="2"/>
                <w:numId w:val="0"/>
              </w:numPr>
              <w:kinsoku/>
              <w:wordWrap/>
              <w:overflowPunct/>
              <w:topLinePunct w:val="0"/>
              <w:autoSpaceDE/>
              <w:autoSpaceDN/>
              <w:bidi w:val="0"/>
              <w:adjustRightInd/>
              <w:snapToGrid/>
              <w:spacing w:line="360" w:lineRule="auto"/>
              <w:ind w:left="709" w:leftChars="0" w:hanging="709" w:firstLineChars="0"/>
              <w:textAlignment w:val="auto"/>
              <w:rPr>
                <w:rFonts w:hint="eastAsia" w:ascii="宋体" w:hAnsi="宋体" w:eastAsia="宋体" w:cs="宋体"/>
                <w:sz w:val="21"/>
                <w:szCs w:val="21"/>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kern w:val="2"/>
                <w:sz w:val="21"/>
                <w:szCs w:val="21"/>
                <w:lang w:val="en-US" w:eastAsia="zh-CN" w:bidi="ar-SA"/>
              </w:rPr>
              <w:t>3.2.1.</w:t>
            </w:r>
            <w:r>
              <w:rPr>
                <w:rFonts w:hint="eastAsia" w:ascii="宋体" w:hAnsi="宋体" w:eastAsia="宋体" w:cs="宋体"/>
                <w:sz w:val="21"/>
                <w:szCs w:val="21"/>
              </w:rPr>
              <w:t>规格：六联；</w:t>
            </w:r>
          </w:p>
          <w:p w14:paraId="4609496F">
            <w:pPr>
              <w:keepNext w:val="0"/>
              <w:keepLines w:val="0"/>
              <w:pageBreakBefore w:val="0"/>
              <w:widowControl w:val="0"/>
              <w:numPr>
                <w:ilvl w:val="2"/>
                <w:numId w:val="0"/>
              </w:numPr>
              <w:kinsoku/>
              <w:wordWrap/>
              <w:overflowPunct/>
              <w:topLinePunct w:val="0"/>
              <w:autoSpaceDE/>
              <w:autoSpaceDN/>
              <w:bidi w:val="0"/>
              <w:adjustRightInd/>
              <w:snapToGrid/>
              <w:spacing w:line="360" w:lineRule="auto"/>
              <w:ind w:left="709" w:leftChars="0" w:hanging="709"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3.2.2.</w:t>
            </w:r>
            <w:r>
              <w:rPr>
                <w:rFonts w:hint="eastAsia" w:ascii="宋体" w:hAnsi="宋体" w:eastAsia="宋体" w:cs="宋体"/>
                <w:sz w:val="21"/>
                <w:szCs w:val="21"/>
              </w:rPr>
              <w:t>滤杯：不锈钢</w:t>
            </w:r>
            <w:r>
              <w:rPr>
                <w:rFonts w:hint="eastAsia" w:ascii="宋体" w:hAnsi="宋体" w:eastAsia="宋体" w:cs="宋体"/>
                <w:sz w:val="21"/>
                <w:szCs w:val="21"/>
                <w:lang w:val="en-US" w:eastAsia="zh-CN"/>
              </w:rPr>
              <w:t>304</w:t>
            </w:r>
            <w:r>
              <w:rPr>
                <w:rFonts w:hint="eastAsia" w:ascii="宋体" w:hAnsi="宋体" w:eastAsia="宋体" w:cs="宋体"/>
                <w:sz w:val="21"/>
                <w:szCs w:val="21"/>
              </w:rPr>
              <w:t>；</w:t>
            </w:r>
          </w:p>
          <w:p w14:paraId="5BC69B63">
            <w:pPr>
              <w:keepNext w:val="0"/>
              <w:keepLines w:val="0"/>
              <w:pageBreakBefore w:val="0"/>
              <w:widowControl w:val="0"/>
              <w:numPr>
                <w:ilvl w:val="2"/>
                <w:numId w:val="0"/>
              </w:numPr>
              <w:kinsoku/>
              <w:wordWrap/>
              <w:overflowPunct/>
              <w:topLinePunct w:val="0"/>
              <w:autoSpaceDE/>
              <w:autoSpaceDN/>
              <w:bidi w:val="0"/>
              <w:adjustRightInd/>
              <w:snapToGrid/>
              <w:spacing w:line="360" w:lineRule="auto"/>
              <w:ind w:left="709" w:leftChars="0" w:hanging="709"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3.2.3.</w:t>
            </w:r>
            <w:r>
              <w:rPr>
                <w:rFonts w:hint="eastAsia" w:ascii="宋体" w:hAnsi="宋体" w:eastAsia="宋体" w:cs="宋体"/>
                <w:sz w:val="21"/>
                <w:szCs w:val="21"/>
              </w:rPr>
              <w:t>阀门：不锈钢；</w:t>
            </w:r>
          </w:p>
          <w:p w14:paraId="7D1E7578">
            <w:pPr>
              <w:keepNext w:val="0"/>
              <w:keepLines w:val="0"/>
              <w:pageBreakBefore w:val="0"/>
              <w:widowControl w:val="0"/>
              <w:numPr>
                <w:ilvl w:val="2"/>
                <w:numId w:val="0"/>
              </w:numPr>
              <w:kinsoku/>
              <w:wordWrap/>
              <w:overflowPunct/>
              <w:topLinePunct w:val="0"/>
              <w:autoSpaceDE/>
              <w:autoSpaceDN/>
              <w:bidi w:val="0"/>
              <w:adjustRightInd/>
              <w:snapToGrid/>
              <w:spacing w:line="360" w:lineRule="auto"/>
              <w:ind w:left="709" w:leftChars="0" w:hanging="709"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3.2.4.</w:t>
            </w:r>
            <w:r>
              <w:rPr>
                <w:rFonts w:hint="eastAsia" w:ascii="宋体" w:hAnsi="宋体" w:eastAsia="宋体" w:cs="宋体"/>
                <w:sz w:val="21"/>
                <w:szCs w:val="21"/>
              </w:rPr>
              <w:t>筛板：不锈钢</w:t>
            </w:r>
            <w:r>
              <w:rPr>
                <w:rFonts w:hint="eastAsia" w:ascii="宋体" w:hAnsi="宋体" w:eastAsia="宋体" w:cs="宋体"/>
                <w:sz w:val="21"/>
                <w:szCs w:val="21"/>
                <w:lang w:val="en-US" w:eastAsia="zh-CN"/>
              </w:rPr>
              <w:t>304</w:t>
            </w:r>
            <w:r>
              <w:rPr>
                <w:rFonts w:hint="eastAsia" w:ascii="宋体" w:hAnsi="宋体" w:eastAsia="宋体" w:cs="宋体"/>
                <w:sz w:val="21"/>
                <w:szCs w:val="21"/>
              </w:rPr>
              <w:t>（100μm）</w:t>
            </w:r>
          </w:p>
          <w:p w14:paraId="37F1F0DB">
            <w:pPr>
              <w:keepNext w:val="0"/>
              <w:keepLines w:val="0"/>
              <w:pageBreakBefore w:val="0"/>
              <w:widowControl w:val="0"/>
              <w:numPr>
                <w:ilvl w:val="2"/>
                <w:numId w:val="0"/>
              </w:numPr>
              <w:kinsoku/>
              <w:wordWrap/>
              <w:overflowPunct/>
              <w:topLinePunct w:val="0"/>
              <w:autoSpaceDE/>
              <w:autoSpaceDN/>
              <w:bidi w:val="0"/>
              <w:adjustRightInd/>
              <w:snapToGrid/>
              <w:spacing w:line="360" w:lineRule="auto"/>
              <w:ind w:left="709" w:leftChars="0" w:hanging="709"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3.2.5.</w:t>
            </w:r>
            <w:r>
              <w:rPr>
                <w:rFonts w:hint="eastAsia" w:ascii="宋体" w:hAnsi="宋体" w:eastAsia="宋体" w:cs="宋体"/>
                <w:sz w:val="21"/>
                <w:szCs w:val="21"/>
              </w:rPr>
              <w:t>连接方式：不锈钢胶塞式；</w:t>
            </w:r>
          </w:p>
          <w:p w14:paraId="3DC7EE3B">
            <w:pPr>
              <w:keepNext w:val="0"/>
              <w:keepLines w:val="0"/>
              <w:pageBreakBefore w:val="0"/>
              <w:widowControl w:val="0"/>
              <w:numPr>
                <w:ilvl w:val="2"/>
                <w:numId w:val="0"/>
              </w:numPr>
              <w:kinsoku/>
              <w:wordWrap/>
              <w:overflowPunct/>
              <w:topLinePunct w:val="0"/>
              <w:autoSpaceDE/>
              <w:autoSpaceDN/>
              <w:bidi w:val="0"/>
              <w:adjustRightInd/>
              <w:snapToGrid/>
              <w:spacing w:line="360" w:lineRule="auto"/>
              <w:ind w:left="709" w:leftChars="0" w:hanging="709"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3.2.6.</w:t>
            </w:r>
            <w:r>
              <w:rPr>
                <w:rFonts w:hint="eastAsia" w:ascii="宋体" w:hAnsi="宋体" w:eastAsia="宋体" w:cs="宋体"/>
                <w:sz w:val="21"/>
                <w:szCs w:val="21"/>
              </w:rPr>
              <w:t>支架：不锈钢</w:t>
            </w:r>
            <w:r>
              <w:rPr>
                <w:rFonts w:hint="eastAsia" w:ascii="宋体" w:hAnsi="宋体" w:eastAsia="宋体" w:cs="宋体"/>
                <w:sz w:val="21"/>
                <w:szCs w:val="21"/>
                <w:lang w:val="en-US" w:eastAsia="zh-CN"/>
              </w:rPr>
              <w:t>304</w:t>
            </w:r>
            <w:r>
              <w:rPr>
                <w:rFonts w:hint="eastAsia" w:ascii="宋体" w:hAnsi="宋体" w:eastAsia="宋体" w:cs="宋体"/>
                <w:sz w:val="21"/>
                <w:szCs w:val="21"/>
              </w:rPr>
              <w:t>。</w:t>
            </w:r>
          </w:p>
          <w:p w14:paraId="7199808C">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567" w:leftChars="0" w:hanging="567" w:firstLineChars="0"/>
              <w:textAlignment w:val="auto"/>
              <w:rPr>
                <w:rFonts w:hint="eastAsia" w:ascii="宋体" w:hAnsi="宋体" w:eastAsia="宋体" w:cs="宋体"/>
                <w:b/>
                <w:bCs/>
                <w:sz w:val="21"/>
                <w:szCs w:val="21"/>
                <w:lang w:eastAsia="zh-CN"/>
              </w:rPr>
            </w:pPr>
            <w:r>
              <w:rPr>
                <w:rFonts w:hint="eastAsia" w:ascii="宋体" w:hAnsi="宋体" w:eastAsia="宋体" w:cs="宋体"/>
                <w:b/>
                <w:bCs/>
                <w:kern w:val="2"/>
                <w:sz w:val="21"/>
                <w:szCs w:val="21"/>
                <w:lang w:val="en-US" w:eastAsia="zh-CN" w:bidi="ar-SA"/>
              </w:rPr>
              <w:t>3.3.</w:t>
            </w:r>
            <w:r>
              <w:rPr>
                <w:rFonts w:hint="eastAsia" w:ascii="宋体" w:hAnsi="宋体" w:eastAsia="宋体" w:cs="宋体"/>
                <w:b/>
                <w:bCs/>
                <w:sz w:val="21"/>
                <w:szCs w:val="21"/>
                <w:lang w:val="en-US" w:eastAsia="zh-CN"/>
              </w:rPr>
              <w:t>微孔滤膜</w:t>
            </w:r>
          </w:p>
          <w:p w14:paraId="7FF7BA64">
            <w:pPr>
              <w:keepNext w:val="0"/>
              <w:keepLines w:val="0"/>
              <w:pageBreakBefore w:val="0"/>
              <w:widowControl w:val="0"/>
              <w:numPr>
                <w:ilvl w:val="2"/>
                <w:numId w:val="0"/>
              </w:numPr>
              <w:kinsoku/>
              <w:wordWrap/>
              <w:overflowPunct/>
              <w:topLinePunct w:val="0"/>
              <w:autoSpaceDE/>
              <w:autoSpaceDN/>
              <w:bidi w:val="0"/>
              <w:adjustRightInd/>
              <w:snapToGrid/>
              <w:spacing w:line="360" w:lineRule="auto"/>
              <w:ind w:left="709" w:leftChars="0" w:hanging="709"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3.3.1.</w:t>
            </w:r>
            <w:r>
              <w:rPr>
                <w:rFonts w:hint="eastAsia" w:ascii="宋体" w:hAnsi="宋体" w:eastAsia="宋体" w:cs="宋体"/>
                <w:sz w:val="21"/>
                <w:szCs w:val="21"/>
              </w:rPr>
              <w:t>滤膜材质：水系膜(标配)（需要其他材质采购时选择）</w:t>
            </w:r>
          </w:p>
          <w:p w14:paraId="3C9FB796">
            <w:pPr>
              <w:keepNext w:val="0"/>
              <w:keepLines w:val="0"/>
              <w:pageBreakBefore w:val="0"/>
              <w:widowControl w:val="0"/>
              <w:numPr>
                <w:ilvl w:val="2"/>
                <w:numId w:val="0"/>
              </w:numPr>
              <w:kinsoku/>
              <w:wordWrap/>
              <w:overflowPunct/>
              <w:topLinePunct w:val="0"/>
              <w:autoSpaceDE/>
              <w:autoSpaceDN/>
              <w:bidi w:val="0"/>
              <w:adjustRightInd/>
              <w:snapToGrid/>
              <w:spacing w:line="360" w:lineRule="auto"/>
              <w:ind w:left="709" w:leftChars="0" w:hanging="709"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3.3.2.</w:t>
            </w:r>
            <w:r>
              <w:rPr>
                <w:rFonts w:hint="eastAsia" w:ascii="宋体" w:hAnsi="宋体" w:eastAsia="宋体" w:cs="宋体"/>
                <w:sz w:val="21"/>
                <w:szCs w:val="21"/>
              </w:rPr>
              <w:t>滤膜孔径： 0.45μm（标配）（需要其他规格采购时选择）</w:t>
            </w:r>
          </w:p>
          <w:p w14:paraId="65BE5F3C">
            <w:pPr>
              <w:keepNext w:val="0"/>
              <w:keepLines w:val="0"/>
              <w:pageBreakBefore w:val="0"/>
              <w:widowControl w:val="0"/>
              <w:numPr>
                <w:ilvl w:val="2"/>
                <w:numId w:val="0"/>
              </w:numPr>
              <w:kinsoku/>
              <w:wordWrap/>
              <w:overflowPunct/>
              <w:topLinePunct w:val="0"/>
              <w:autoSpaceDE/>
              <w:autoSpaceDN/>
              <w:bidi w:val="0"/>
              <w:adjustRightInd/>
              <w:snapToGrid/>
              <w:spacing w:line="360" w:lineRule="auto"/>
              <w:ind w:left="709" w:leftChars="0" w:hanging="709" w:firstLineChars="0"/>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3.3.3.</w:t>
            </w:r>
            <w:r>
              <w:rPr>
                <w:rFonts w:hint="eastAsia" w:ascii="宋体" w:hAnsi="宋体" w:eastAsia="宋体" w:cs="宋体"/>
                <w:sz w:val="21"/>
                <w:szCs w:val="21"/>
              </w:rPr>
              <w:t>滤膜直径：Φ47-Φ50（mm）</w:t>
            </w:r>
          </w:p>
          <w:p w14:paraId="3A6DB949">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567" w:leftChars="0" w:hanging="567" w:firstLineChars="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kern w:val="2"/>
                <w:sz w:val="21"/>
                <w:szCs w:val="21"/>
                <w:lang w:val="en-US" w:eastAsia="zh-CN" w:bidi="ar-SA"/>
              </w:rPr>
              <w:t>3.4.</w:t>
            </w:r>
            <w:r>
              <w:rPr>
                <w:rFonts w:hint="eastAsia" w:ascii="宋体" w:hAnsi="宋体" w:eastAsia="宋体" w:cs="宋体"/>
                <w:b/>
                <w:bCs/>
                <w:sz w:val="21"/>
                <w:szCs w:val="21"/>
                <w:lang w:val="en-US" w:eastAsia="zh-CN"/>
              </w:rPr>
              <w:t>集液瓶</w:t>
            </w:r>
            <w:r>
              <w:rPr>
                <w:rFonts w:hint="eastAsia" w:ascii="宋体" w:hAnsi="宋体" w:eastAsia="宋体" w:cs="宋体"/>
                <w:b/>
                <w:bCs/>
                <w:sz w:val="21"/>
                <w:szCs w:val="21"/>
              </w:rPr>
              <w:t>容量：</w:t>
            </w:r>
            <w:r>
              <w:rPr>
                <w:rFonts w:hint="eastAsia" w:ascii="宋体" w:hAnsi="宋体" w:eastAsia="宋体" w:cs="宋体"/>
                <w:b/>
                <w:bCs/>
                <w:sz w:val="21"/>
                <w:szCs w:val="21"/>
                <w:lang w:val="en-US" w:eastAsia="zh-CN"/>
              </w:rPr>
              <w:t>≥2L</w:t>
            </w:r>
          </w:p>
        </w:tc>
      </w:tr>
      <w:tr w14:paraId="40793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32" w:type="dxa"/>
            <w:vAlign w:val="center"/>
          </w:tcPr>
          <w:p w14:paraId="5FA490DB">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15</w:t>
            </w:r>
          </w:p>
        </w:tc>
        <w:tc>
          <w:tcPr>
            <w:tcW w:w="2739" w:type="dxa"/>
            <w:vAlign w:val="center"/>
          </w:tcPr>
          <w:p w14:paraId="68C2FF44">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红外测油仪</w:t>
            </w:r>
          </w:p>
        </w:tc>
        <w:tc>
          <w:tcPr>
            <w:tcW w:w="9188" w:type="dxa"/>
            <w:vAlign w:val="center"/>
          </w:tcPr>
          <w:p w14:paraId="4455B2F9">
            <w:pPr>
              <w:pStyle w:val="34"/>
              <w:pageBreakBefore w:val="0"/>
              <w:numPr>
                <w:ilvl w:val="0"/>
                <w:numId w:val="0"/>
              </w:numPr>
              <w:kinsoku/>
              <w:wordWrap/>
              <w:overflowPunct/>
              <w:topLinePunct w:val="0"/>
              <w:autoSpaceDE/>
              <w:autoSpaceDN/>
              <w:bidi w:val="0"/>
              <w:spacing w:line="360" w:lineRule="auto"/>
              <w:ind w:left="420" w:hanging="420" w:firstLineChars="0"/>
              <w:rPr>
                <w:rFonts w:hint="eastAsia" w:ascii="宋体" w:hAnsi="宋体" w:eastAsia="宋体" w:cs="宋体"/>
                <w:b/>
                <w:bCs/>
                <w:sz w:val="21"/>
                <w:szCs w:val="21"/>
              </w:rPr>
            </w:pPr>
            <w:r>
              <w:rPr>
                <w:rFonts w:hint="eastAsia" w:ascii="宋体" w:hAnsi="宋体" w:eastAsia="宋体" w:cs="宋体"/>
                <w:b/>
                <w:bCs/>
                <w:kern w:val="2"/>
                <w:sz w:val="21"/>
                <w:szCs w:val="21"/>
                <w:lang w:val="en-US" w:eastAsia="zh-CN" w:bidi="ar-SA"/>
              </w:rPr>
              <w:t>1.</w:t>
            </w:r>
            <w:r>
              <w:rPr>
                <w:rFonts w:hint="eastAsia" w:ascii="宋体" w:hAnsi="宋体" w:eastAsia="宋体" w:cs="宋体"/>
                <w:b/>
                <w:bCs/>
                <w:sz w:val="21"/>
                <w:szCs w:val="21"/>
              </w:rPr>
              <w:t>符合标准</w:t>
            </w:r>
          </w:p>
          <w:p w14:paraId="74114854">
            <w:pPr>
              <w:pageBreakBefore w:val="0"/>
              <w:widowControl/>
              <w:shd w:val="clear" w:color="auto" w:fill="FFFFFF"/>
              <w:kinsoku/>
              <w:wordWrap/>
              <w:overflowPunct/>
              <w:topLinePunct w:val="0"/>
              <w:autoSpaceDE/>
              <w:autoSpaceDN/>
              <w:bidi w:val="0"/>
              <w:spacing w:line="360" w:lineRule="auto"/>
              <w:ind w:firstLine="210" w:firstLineChars="100"/>
              <w:jc w:val="left"/>
              <w:rPr>
                <w:rFonts w:hint="eastAsia" w:ascii="宋体" w:hAnsi="宋体" w:eastAsia="宋体" w:cs="宋体"/>
                <w:color w:val="474747"/>
                <w:kern w:val="0"/>
                <w:sz w:val="21"/>
                <w:szCs w:val="21"/>
              </w:rPr>
            </w:pPr>
            <w:r>
              <w:rPr>
                <w:rFonts w:hint="eastAsia" w:ascii="宋体" w:hAnsi="宋体" w:eastAsia="宋体" w:cs="宋体"/>
                <w:color w:val="474747"/>
                <w:kern w:val="0"/>
                <w:sz w:val="21"/>
                <w:szCs w:val="21"/>
              </w:rPr>
              <w:t>“HJ 637-2018 水质 石油类和动植物油类的测定 红外分光光度法”</w:t>
            </w:r>
          </w:p>
          <w:p w14:paraId="5F10A533">
            <w:pPr>
              <w:pageBreakBefore w:val="0"/>
              <w:widowControl/>
              <w:shd w:val="clear" w:color="auto" w:fill="FFFFFF"/>
              <w:kinsoku/>
              <w:wordWrap/>
              <w:overflowPunct/>
              <w:topLinePunct w:val="0"/>
              <w:autoSpaceDE/>
              <w:autoSpaceDN/>
              <w:bidi w:val="0"/>
              <w:spacing w:line="360" w:lineRule="auto"/>
              <w:ind w:firstLine="210" w:firstLineChars="100"/>
              <w:jc w:val="left"/>
              <w:rPr>
                <w:rFonts w:hint="eastAsia" w:ascii="宋体" w:hAnsi="宋体" w:eastAsia="宋体" w:cs="宋体"/>
                <w:color w:val="474747"/>
                <w:kern w:val="0"/>
                <w:sz w:val="21"/>
                <w:szCs w:val="21"/>
              </w:rPr>
            </w:pPr>
            <w:r>
              <w:rPr>
                <w:rFonts w:hint="eastAsia" w:ascii="宋体" w:hAnsi="宋体" w:eastAsia="宋体" w:cs="宋体"/>
                <w:color w:val="474747"/>
                <w:kern w:val="0"/>
                <w:sz w:val="21"/>
                <w:szCs w:val="21"/>
              </w:rPr>
              <w:t>“HJ 1077-2019 固定污染源废气 油烟和油雾的测定 红外分光光度法”</w:t>
            </w:r>
          </w:p>
          <w:p w14:paraId="3C178696">
            <w:pPr>
              <w:pageBreakBefore w:val="0"/>
              <w:widowControl/>
              <w:shd w:val="clear" w:color="auto" w:fill="FFFFFF"/>
              <w:kinsoku/>
              <w:wordWrap/>
              <w:overflowPunct/>
              <w:topLinePunct w:val="0"/>
              <w:autoSpaceDE/>
              <w:autoSpaceDN/>
              <w:bidi w:val="0"/>
              <w:spacing w:line="360" w:lineRule="auto"/>
              <w:ind w:firstLine="210" w:firstLineChars="100"/>
              <w:jc w:val="left"/>
              <w:rPr>
                <w:rFonts w:hint="eastAsia" w:ascii="宋体" w:hAnsi="宋体" w:eastAsia="宋体" w:cs="宋体"/>
                <w:color w:val="474747"/>
                <w:kern w:val="0"/>
                <w:sz w:val="21"/>
                <w:szCs w:val="21"/>
              </w:rPr>
            </w:pPr>
            <w:r>
              <w:rPr>
                <w:rFonts w:hint="eastAsia" w:ascii="宋体" w:hAnsi="宋体" w:eastAsia="宋体" w:cs="宋体"/>
                <w:color w:val="474747"/>
                <w:kern w:val="0"/>
                <w:sz w:val="21"/>
                <w:szCs w:val="21"/>
              </w:rPr>
              <w:t>“HJ 1051-2019 土壤 石油类的测定 红外分光光度法”</w:t>
            </w:r>
          </w:p>
          <w:p w14:paraId="7FC1C6D7">
            <w:pPr>
              <w:pStyle w:val="34"/>
              <w:pageBreakBefore w:val="0"/>
              <w:numPr>
                <w:ilvl w:val="0"/>
                <w:numId w:val="0"/>
              </w:numPr>
              <w:kinsoku/>
              <w:wordWrap/>
              <w:overflowPunct/>
              <w:topLinePunct w:val="0"/>
              <w:autoSpaceDE/>
              <w:autoSpaceDN/>
              <w:bidi w:val="0"/>
              <w:spacing w:line="360" w:lineRule="auto"/>
              <w:ind w:left="420" w:hanging="420" w:firstLineChars="0"/>
              <w:rPr>
                <w:rFonts w:hint="eastAsia" w:ascii="宋体" w:hAnsi="宋体" w:eastAsia="宋体" w:cs="宋体"/>
                <w:b/>
                <w:bCs/>
                <w:sz w:val="21"/>
                <w:szCs w:val="21"/>
              </w:rPr>
            </w:pPr>
            <w:r>
              <w:rPr>
                <w:rFonts w:hint="eastAsia" w:ascii="宋体" w:hAnsi="宋体" w:eastAsia="宋体" w:cs="宋体"/>
                <w:b/>
                <w:bCs/>
                <w:kern w:val="2"/>
                <w:sz w:val="21"/>
                <w:szCs w:val="21"/>
                <w:lang w:val="en-US" w:eastAsia="zh-CN" w:bidi="ar-SA"/>
              </w:rPr>
              <w:t>2.</w:t>
            </w:r>
            <w:r>
              <w:rPr>
                <w:rFonts w:hint="eastAsia" w:ascii="宋体" w:hAnsi="宋体" w:eastAsia="宋体" w:cs="宋体"/>
                <w:b/>
                <w:bCs/>
                <w:sz w:val="21"/>
                <w:szCs w:val="21"/>
              </w:rPr>
              <w:t>应用领域</w:t>
            </w:r>
          </w:p>
          <w:p w14:paraId="6D38B7BC">
            <w:pPr>
              <w:pageBreakBefore w:val="0"/>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sz w:val="21"/>
                <w:szCs w:val="21"/>
              </w:rPr>
              <w:t>用工业废水和生活污水中石油类和动植物油类的测定</w:t>
            </w:r>
          </w:p>
          <w:p w14:paraId="06B95609">
            <w:pPr>
              <w:pStyle w:val="34"/>
              <w:pageBreakBefore w:val="0"/>
              <w:numPr>
                <w:ilvl w:val="0"/>
                <w:numId w:val="0"/>
              </w:numPr>
              <w:kinsoku/>
              <w:wordWrap/>
              <w:overflowPunct/>
              <w:topLinePunct w:val="0"/>
              <w:autoSpaceDE/>
              <w:autoSpaceDN/>
              <w:bidi w:val="0"/>
              <w:spacing w:line="360" w:lineRule="auto"/>
              <w:ind w:left="420" w:hanging="420" w:firstLineChars="0"/>
              <w:rPr>
                <w:rFonts w:hint="eastAsia" w:ascii="宋体" w:hAnsi="宋体" w:eastAsia="宋体" w:cs="宋体"/>
                <w:b/>
                <w:bCs/>
                <w:sz w:val="21"/>
                <w:szCs w:val="21"/>
              </w:rPr>
            </w:pPr>
            <w:r>
              <w:rPr>
                <w:rFonts w:hint="eastAsia" w:ascii="宋体" w:hAnsi="宋体" w:eastAsia="宋体" w:cs="宋体"/>
                <w:b/>
                <w:bCs/>
                <w:kern w:val="2"/>
                <w:sz w:val="21"/>
                <w:szCs w:val="21"/>
                <w:lang w:val="en-US" w:eastAsia="zh-CN" w:bidi="ar-SA"/>
              </w:rPr>
              <w:t>3.</w:t>
            </w:r>
            <w:r>
              <w:rPr>
                <w:rFonts w:hint="eastAsia" w:ascii="宋体" w:hAnsi="宋体" w:eastAsia="宋体" w:cs="宋体"/>
                <w:b/>
                <w:bCs/>
                <w:sz w:val="21"/>
                <w:szCs w:val="21"/>
              </w:rPr>
              <w:t>技术指标和有关参数性能</w:t>
            </w:r>
          </w:p>
          <w:p w14:paraId="03E8D3AE">
            <w:pPr>
              <w:pageBreakBefore w:val="0"/>
              <w:kinsoku/>
              <w:wordWrap/>
              <w:overflowPunct/>
              <w:topLinePunct w:val="0"/>
              <w:autoSpaceDE/>
              <w:autoSpaceDN/>
              <w:bidi w:val="0"/>
              <w:spacing w:line="360" w:lineRule="auto"/>
              <w:ind w:left="210" w:hanging="210" w:hangingChars="100"/>
              <w:rPr>
                <w:rFonts w:hint="eastAsia" w:ascii="宋体" w:hAnsi="宋体" w:eastAsia="宋体" w:cs="宋体"/>
                <w:sz w:val="21"/>
                <w:szCs w:val="21"/>
              </w:rPr>
            </w:pPr>
            <w:r>
              <w:rPr>
                <w:rFonts w:hint="eastAsia" w:ascii="宋体" w:hAnsi="宋体" w:eastAsia="宋体" w:cs="宋体"/>
                <w:kern w:val="0"/>
                <w:sz w:val="21"/>
                <w:szCs w:val="21"/>
              </w:rPr>
              <w:t>▲</w:t>
            </w:r>
            <w:r>
              <w:rPr>
                <w:rFonts w:hint="eastAsia" w:ascii="宋体" w:hAnsi="宋体" w:eastAsia="宋体" w:cs="宋体"/>
                <w:sz w:val="21"/>
                <w:szCs w:val="21"/>
              </w:rPr>
              <w:t>软件系统：采用双系统分析,分别满足四氯化碳或四氯乙烯做萃取剂的使用方法</w:t>
            </w:r>
          </w:p>
          <w:p w14:paraId="16C571B1">
            <w:pPr>
              <w:pageBreakBefore w:val="0"/>
              <w:kinsoku/>
              <w:wordWrap/>
              <w:overflowPunct/>
              <w:topLinePunct w:val="0"/>
              <w:autoSpaceDE/>
              <w:autoSpaceDN/>
              <w:bidi w:val="0"/>
              <w:spacing w:line="360" w:lineRule="auto"/>
              <w:ind w:left="210" w:hanging="210" w:hangingChars="100"/>
              <w:rPr>
                <w:rFonts w:hint="eastAsia" w:ascii="宋体" w:hAnsi="宋体" w:eastAsia="宋体" w:cs="宋体"/>
                <w:sz w:val="21"/>
                <w:szCs w:val="21"/>
              </w:rPr>
            </w:pPr>
            <w:r>
              <w:rPr>
                <w:rFonts w:hint="eastAsia" w:ascii="宋体" w:hAnsi="宋体" w:eastAsia="宋体" w:cs="宋体"/>
                <w:kern w:val="0"/>
                <w:sz w:val="21"/>
                <w:szCs w:val="21"/>
              </w:rPr>
              <w:t>校准方式：</w:t>
            </w:r>
            <w:r>
              <w:rPr>
                <w:rFonts w:hint="eastAsia" w:ascii="宋体" w:hAnsi="宋体" w:eastAsia="宋体" w:cs="宋体"/>
                <w:sz w:val="21"/>
                <w:szCs w:val="21"/>
              </w:rPr>
              <w:t>仪器既可用标准曲线校准也可使用系数校准；</w:t>
            </w:r>
          </w:p>
          <w:p w14:paraId="5C1DC566">
            <w:pPr>
              <w:pageBreakBefore w:val="0"/>
              <w:kinsoku/>
              <w:wordWrap/>
              <w:overflowPunct/>
              <w:topLinePunct w:val="0"/>
              <w:autoSpaceDE/>
              <w:autoSpaceDN/>
              <w:bidi w:val="0"/>
              <w:spacing w:line="360" w:lineRule="auto"/>
              <w:ind w:left="210" w:hanging="210" w:hangingChars="100"/>
              <w:rPr>
                <w:rFonts w:hint="eastAsia" w:ascii="宋体" w:hAnsi="宋体" w:eastAsia="宋体" w:cs="宋体"/>
                <w:sz w:val="21"/>
                <w:szCs w:val="21"/>
              </w:rPr>
            </w:pPr>
            <w:r>
              <w:rPr>
                <w:rFonts w:hint="eastAsia" w:ascii="宋体" w:hAnsi="宋体" w:eastAsia="宋体" w:cs="宋体"/>
                <w:sz w:val="21"/>
                <w:szCs w:val="21"/>
              </w:rPr>
              <w:t>光源系统：光源使用寿命可达5000小时以上。光源使用电调制调解光源技术，防止仪器内部温度过高影响稳定性；</w:t>
            </w:r>
          </w:p>
          <w:p w14:paraId="463B79C2">
            <w:pPr>
              <w:pageBreakBefore w:val="0"/>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sz w:val="21"/>
                <w:szCs w:val="21"/>
              </w:rPr>
              <w:t>方法检出限：当样品体积为500ml，萃取液体积为50ml时，检出限为0.06mg/L；</w:t>
            </w:r>
          </w:p>
          <w:p w14:paraId="3FD21C04">
            <w:pPr>
              <w:pageBreakBefore w:val="0"/>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sz w:val="21"/>
                <w:szCs w:val="21"/>
              </w:rPr>
              <w:t>仪器检出限DL≤0.04mg/L(四氯乙烯空白液测定11次的3倍SD)；</w:t>
            </w:r>
          </w:p>
          <w:p w14:paraId="79C84381">
            <w:pPr>
              <w:pageBreakBefore w:val="0"/>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sz w:val="21"/>
                <w:szCs w:val="21"/>
              </w:rPr>
              <w:t>波数准确度及重复性：±0.5cm</w:t>
            </w:r>
            <w:r>
              <w:rPr>
                <w:rFonts w:hint="eastAsia" w:ascii="宋体" w:hAnsi="宋体" w:eastAsia="宋体" w:cs="宋体"/>
                <w:sz w:val="21"/>
                <w:szCs w:val="21"/>
                <w:vertAlign w:val="superscript"/>
              </w:rPr>
              <w:t>-1</w:t>
            </w:r>
            <w:r>
              <w:rPr>
                <w:rFonts w:hint="eastAsia" w:ascii="宋体" w:hAnsi="宋体" w:eastAsia="宋体" w:cs="宋体"/>
                <w:sz w:val="21"/>
                <w:szCs w:val="21"/>
              </w:rPr>
              <w:t>。 采用自动定位校准，30mg/L以上油样自动对2930cm</w:t>
            </w:r>
            <w:r>
              <w:rPr>
                <w:rFonts w:hint="eastAsia" w:ascii="宋体" w:hAnsi="宋体" w:eastAsia="宋体" w:cs="宋体"/>
                <w:sz w:val="21"/>
                <w:szCs w:val="21"/>
                <w:vertAlign w:val="superscript"/>
              </w:rPr>
              <w:t>-1</w:t>
            </w:r>
            <w:r>
              <w:rPr>
                <w:rFonts w:hint="eastAsia" w:ascii="宋体" w:hAnsi="宋体" w:eastAsia="宋体" w:cs="宋体"/>
                <w:sz w:val="21"/>
                <w:szCs w:val="21"/>
              </w:rPr>
              <w:t>、2960cm</w:t>
            </w:r>
            <w:r>
              <w:rPr>
                <w:rFonts w:hint="eastAsia" w:ascii="宋体" w:hAnsi="宋体" w:eastAsia="宋体" w:cs="宋体"/>
                <w:sz w:val="21"/>
                <w:szCs w:val="21"/>
                <w:vertAlign w:val="superscript"/>
              </w:rPr>
              <w:t>-1</w:t>
            </w:r>
            <w:r>
              <w:rPr>
                <w:rFonts w:hint="eastAsia" w:ascii="宋体" w:hAnsi="宋体" w:eastAsia="宋体" w:cs="宋体"/>
                <w:sz w:val="21"/>
                <w:szCs w:val="21"/>
              </w:rPr>
              <w:t>、3030cm</w:t>
            </w:r>
            <w:r>
              <w:rPr>
                <w:rFonts w:hint="eastAsia" w:ascii="宋体" w:hAnsi="宋体" w:eastAsia="宋体" w:cs="宋体"/>
                <w:sz w:val="21"/>
                <w:szCs w:val="21"/>
                <w:vertAlign w:val="superscript"/>
              </w:rPr>
              <w:t>-1</w:t>
            </w:r>
            <w:r>
              <w:rPr>
                <w:rFonts w:hint="eastAsia" w:ascii="宋体" w:hAnsi="宋体" w:eastAsia="宋体" w:cs="宋体"/>
                <w:sz w:val="21"/>
                <w:szCs w:val="21"/>
              </w:rPr>
              <w:t>处校准，消除了人为定位的影响；</w:t>
            </w:r>
          </w:p>
          <w:p w14:paraId="7D026C90">
            <w:pPr>
              <w:pageBreakBefore w:val="0"/>
              <w:kinsoku/>
              <w:wordWrap/>
              <w:overflowPunct/>
              <w:topLinePunct w:val="0"/>
              <w:autoSpaceDE/>
              <w:autoSpaceDN/>
              <w:bidi w:val="0"/>
              <w:spacing w:line="360" w:lineRule="auto"/>
              <w:ind w:left="210" w:hanging="210" w:hangingChars="100"/>
              <w:rPr>
                <w:rFonts w:hint="eastAsia" w:ascii="宋体" w:hAnsi="宋体" w:eastAsia="宋体" w:cs="宋体"/>
                <w:sz w:val="21"/>
                <w:szCs w:val="21"/>
              </w:rPr>
            </w:pPr>
            <w:r>
              <w:rPr>
                <w:rFonts w:hint="eastAsia" w:ascii="宋体" w:hAnsi="宋体" w:eastAsia="宋体" w:cs="宋体"/>
                <w:kern w:val="0"/>
                <w:sz w:val="21"/>
                <w:szCs w:val="21"/>
              </w:rPr>
              <w:t>■</w:t>
            </w:r>
            <w:r>
              <w:rPr>
                <w:rFonts w:hint="eastAsia" w:ascii="宋体" w:hAnsi="宋体" w:eastAsia="宋体" w:cs="宋体"/>
                <w:sz w:val="21"/>
                <w:szCs w:val="21"/>
              </w:rPr>
              <w:t>重复性：30～40mg/L油标样测定11次 RSD≤0.6%或0.5mg/L水样RSD≤5%，</w:t>
            </w:r>
          </w:p>
          <w:p w14:paraId="4DCC06D1">
            <w:pPr>
              <w:pageBreakBefore w:val="0"/>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kern w:val="0"/>
                <w:sz w:val="21"/>
                <w:szCs w:val="21"/>
              </w:rPr>
              <w:t>■</w:t>
            </w:r>
            <w:r>
              <w:rPr>
                <w:rFonts w:hint="eastAsia" w:ascii="宋体" w:hAnsi="宋体" w:eastAsia="宋体" w:cs="宋体"/>
                <w:sz w:val="21"/>
                <w:szCs w:val="21"/>
              </w:rPr>
              <w:t>准确度误差：≤1%;</w:t>
            </w:r>
          </w:p>
          <w:p w14:paraId="74FCBB27">
            <w:pPr>
              <w:pageBreakBefore w:val="0"/>
              <w:kinsoku/>
              <w:wordWrap/>
              <w:overflowPunct/>
              <w:topLinePunct w:val="0"/>
              <w:autoSpaceDE/>
              <w:autoSpaceDN/>
              <w:bidi w:val="0"/>
              <w:spacing w:line="360" w:lineRule="auto"/>
              <w:ind w:left="210" w:hanging="210" w:hangingChars="100"/>
              <w:rPr>
                <w:rFonts w:hint="eastAsia" w:ascii="宋体" w:hAnsi="宋体" w:eastAsia="宋体" w:cs="宋体"/>
                <w:sz w:val="21"/>
                <w:szCs w:val="21"/>
              </w:rPr>
            </w:pPr>
            <w:r>
              <w:rPr>
                <w:rFonts w:hint="eastAsia" w:ascii="宋体" w:hAnsi="宋体" w:eastAsia="宋体" w:cs="宋体"/>
                <w:sz w:val="21"/>
                <w:szCs w:val="21"/>
              </w:rPr>
              <w:t>校正系数准确度：误差±10%;</w:t>
            </w:r>
          </w:p>
          <w:p w14:paraId="38910255">
            <w:pPr>
              <w:pageBreakBefore w:val="0"/>
              <w:kinsoku/>
              <w:wordWrap/>
              <w:overflowPunct/>
              <w:topLinePunct w:val="0"/>
              <w:autoSpaceDE/>
              <w:autoSpaceDN/>
              <w:bidi w:val="0"/>
              <w:spacing w:line="360" w:lineRule="auto"/>
              <w:ind w:left="210" w:hanging="210" w:hangingChars="100"/>
              <w:rPr>
                <w:rFonts w:hint="eastAsia" w:ascii="宋体" w:hAnsi="宋体" w:eastAsia="宋体" w:cs="宋体"/>
                <w:kern w:val="0"/>
                <w:sz w:val="21"/>
                <w:szCs w:val="21"/>
              </w:rPr>
            </w:pPr>
            <w:r>
              <w:rPr>
                <w:rFonts w:hint="eastAsia" w:ascii="宋体" w:hAnsi="宋体" w:eastAsia="宋体" w:cs="宋体"/>
                <w:sz w:val="21"/>
                <w:szCs w:val="21"/>
              </w:rPr>
              <w:t>扫描速度：全谱扫描，45秒钟/次；</w:t>
            </w:r>
            <w:r>
              <w:rPr>
                <w:rFonts w:hint="eastAsia" w:ascii="宋体" w:hAnsi="宋体" w:eastAsia="宋体" w:cs="宋体"/>
                <w:kern w:val="0"/>
                <w:sz w:val="21"/>
                <w:szCs w:val="21"/>
              </w:rPr>
              <w:t>非分散红外法2秒钟</w:t>
            </w:r>
            <w:r>
              <w:rPr>
                <w:rFonts w:hint="eastAsia" w:ascii="宋体" w:hAnsi="宋体" w:eastAsia="宋体" w:cs="宋体"/>
                <w:sz w:val="21"/>
                <w:szCs w:val="21"/>
              </w:rPr>
              <w:t>/次</w:t>
            </w:r>
            <w:r>
              <w:rPr>
                <w:rFonts w:hint="eastAsia" w:ascii="宋体" w:hAnsi="宋体" w:eastAsia="宋体" w:cs="宋体"/>
                <w:kern w:val="0"/>
                <w:sz w:val="21"/>
                <w:szCs w:val="21"/>
              </w:rPr>
              <w:t>；</w:t>
            </w:r>
          </w:p>
          <w:p w14:paraId="36E34CD8">
            <w:pPr>
              <w:pageBreakBefore w:val="0"/>
              <w:numPr>
                <w:ilvl w:val="0"/>
                <w:numId w:val="0"/>
              </w:numPr>
              <w:kinsoku/>
              <w:wordWrap/>
              <w:overflowPunct/>
              <w:topLinePunct w:val="0"/>
              <w:autoSpaceDE/>
              <w:autoSpaceDN/>
              <w:bidi w:val="0"/>
              <w:spacing w:line="360" w:lineRule="auto"/>
              <w:ind w:left="420" w:hanging="420"/>
              <w:rPr>
                <w:rFonts w:hint="eastAsia" w:ascii="宋体" w:hAnsi="宋体" w:eastAsia="宋体" w:cs="宋体"/>
                <w:kern w:val="0"/>
                <w:sz w:val="21"/>
                <w:szCs w:val="21"/>
              </w:rPr>
            </w:pPr>
            <w:r>
              <w:rPr>
                <w:rFonts w:hint="eastAsia" w:ascii="宋体" w:hAnsi="宋体" w:eastAsia="宋体" w:cs="宋体"/>
                <w:b/>
                <w:bCs/>
                <w:kern w:val="0"/>
                <w:sz w:val="21"/>
                <w:szCs w:val="21"/>
                <w:lang w:val="en-US" w:eastAsia="zh-CN" w:bidi="ar-SA"/>
              </w:rPr>
              <w:t>4.</w:t>
            </w:r>
            <w:r>
              <w:rPr>
                <w:rFonts w:hint="eastAsia" w:ascii="宋体" w:hAnsi="宋体" w:eastAsia="宋体" w:cs="宋体"/>
                <w:b/>
                <w:bCs/>
                <w:sz w:val="21"/>
                <w:szCs w:val="21"/>
              </w:rPr>
              <w:t>技术参数</w:t>
            </w:r>
            <w:r>
              <w:rPr>
                <w:rFonts w:hint="eastAsia" w:ascii="宋体" w:hAnsi="宋体" w:eastAsia="宋体" w:cs="宋体"/>
                <w:kern w:val="0"/>
                <w:sz w:val="21"/>
                <w:szCs w:val="21"/>
              </w:rPr>
              <w:t xml:space="preserve"> </w:t>
            </w:r>
          </w:p>
          <w:p w14:paraId="18C5A097">
            <w:pPr>
              <w:pageBreakBefore w:val="0"/>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sz w:val="21"/>
                <w:szCs w:val="21"/>
              </w:rPr>
              <w:t>基本测量范围：0.0～800mg/L</w:t>
            </w:r>
          </w:p>
          <w:p w14:paraId="17AABCC2">
            <w:pPr>
              <w:pageBreakBefore w:val="0"/>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sz w:val="21"/>
                <w:szCs w:val="21"/>
              </w:rPr>
              <w:t>最低检出浓度：0.003mg/L(水样浓度)</w:t>
            </w:r>
          </w:p>
          <w:p w14:paraId="0AFE3410">
            <w:pPr>
              <w:pageBreakBefore w:val="0"/>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kern w:val="0"/>
                <w:sz w:val="21"/>
                <w:szCs w:val="21"/>
              </w:rPr>
              <w:t>■</w:t>
            </w:r>
            <w:r>
              <w:rPr>
                <w:rFonts w:hint="eastAsia" w:ascii="宋体" w:hAnsi="宋体" w:eastAsia="宋体" w:cs="宋体"/>
                <w:sz w:val="21"/>
                <w:szCs w:val="21"/>
              </w:rPr>
              <w:t>线性相关系数r﹥0.9995</w:t>
            </w:r>
          </w:p>
          <w:p w14:paraId="16A09DE7">
            <w:pPr>
              <w:pageBreakBefore w:val="0"/>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sz w:val="21"/>
                <w:szCs w:val="21"/>
              </w:rPr>
              <w:t>波数范围：3400cm</w:t>
            </w:r>
            <w:r>
              <w:rPr>
                <w:rFonts w:hint="eastAsia" w:ascii="宋体" w:hAnsi="宋体" w:eastAsia="宋体" w:cs="宋体"/>
                <w:sz w:val="21"/>
                <w:szCs w:val="21"/>
                <w:vertAlign w:val="superscript"/>
              </w:rPr>
              <w:t>-1</w:t>
            </w:r>
            <w:r>
              <w:rPr>
                <w:rFonts w:hint="eastAsia" w:ascii="宋体" w:hAnsi="宋体" w:eastAsia="宋体" w:cs="宋体"/>
                <w:sz w:val="21"/>
                <w:szCs w:val="21"/>
              </w:rPr>
              <w:t>～2400cm</w:t>
            </w:r>
            <w:r>
              <w:rPr>
                <w:rFonts w:hint="eastAsia" w:ascii="宋体" w:hAnsi="宋体" w:eastAsia="宋体" w:cs="宋体"/>
                <w:sz w:val="21"/>
                <w:szCs w:val="21"/>
                <w:vertAlign w:val="superscript"/>
              </w:rPr>
              <w:t>-1</w:t>
            </w:r>
            <w:r>
              <w:rPr>
                <w:rFonts w:hint="eastAsia" w:ascii="宋体" w:hAnsi="宋体" w:eastAsia="宋体" w:cs="宋体"/>
                <w:sz w:val="21"/>
                <w:szCs w:val="21"/>
              </w:rPr>
              <w:t>（即2941nm～4167nm）</w:t>
            </w:r>
          </w:p>
          <w:p w14:paraId="7CD0749D">
            <w:pPr>
              <w:pageBreakBefore w:val="0"/>
              <w:kinsoku/>
              <w:wordWrap/>
              <w:overflowPunct/>
              <w:topLinePunct w:val="0"/>
              <w:autoSpaceDE/>
              <w:autoSpaceDN/>
              <w:bidi w:val="0"/>
              <w:spacing w:line="360" w:lineRule="auto"/>
              <w:rPr>
                <w:rFonts w:hint="eastAsia" w:ascii="宋体" w:hAnsi="宋体" w:eastAsia="宋体" w:cs="宋体"/>
                <w:sz w:val="21"/>
                <w:szCs w:val="21"/>
                <w:vertAlign w:val="superscript"/>
              </w:rPr>
            </w:pPr>
            <w:r>
              <w:rPr>
                <w:rFonts w:hint="eastAsia" w:ascii="宋体" w:hAnsi="宋体" w:eastAsia="宋体" w:cs="宋体"/>
                <w:sz w:val="21"/>
                <w:szCs w:val="21"/>
              </w:rPr>
              <w:t>波长准确度：±1.0cm</w:t>
            </w:r>
            <w:r>
              <w:rPr>
                <w:rFonts w:hint="eastAsia" w:ascii="宋体" w:hAnsi="宋体" w:eastAsia="宋体" w:cs="宋体"/>
                <w:sz w:val="21"/>
                <w:szCs w:val="21"/>
                <w:vertAlign w:val="superscript"/>
              </w:rPr>
              <w:t>-1</w:t>
            </w:r>
          </w:p>
          <w:p w14:paraId="6B847313">
            <w:pPr>
              <w:pageBreakBefore w:val="0"/>
              <w:kinsoku/>
              <w:wordWrap/>
              <w:overflowPunct/>
              <w:topLinePunct w:val="0"/>
              <w:autoSpaceDE/>
              <w:autoSpaceDN/>
              <w:bidi w:val="0"/>
              <w:spacing w:line="360" w:lineRule="auto"/>
              <w:rPr>
                <w:rFonts w:hint="eastAsia" w:ascii="宋体" w:hAnsi="宋体" w:eastAsia="宋体" w:cs="宋体"/>
                <w:sz w:val="21"/>
                <w:szCs w:val="21"/>
                <w:vertAlign w:val="superscript"/>
              </w:rPr>
            </w:pPr>
            <w:r>
              <w:rPr>
                <w:rFonts w:hint="eastAsia" w:ascii="宋体" w:hAnsi="宋体" w:eastAsia="宋体" w:cs="宋体"/>
                <w:sz w:val="21"/>
                <w:szCs w:val="21"/>
              </w:rPr>
              <w:t>波数重复性：±0.5cm</w:t>
            </w:r>
            <w:r>
              <w:rPr>
                <w:rFonts w:hint="eastAsia" w:ascii="宋体" w:hAnsi="宋体" w:eastAsia="宋体" w:cs="宋体"/>
                <w:sz w:val="21"/>
                <w:szCs w:val="21"/>
                <w:vertAlign w:val="superscript"/>
              </w:rPr>
              <w:t>-1</w:t>
            </w:r>
          </w:p>
          <w:p w14:paraId="479AED91">
            <w:pPr>
              <w:pageBreakBefore w:val="0"/>
              <w:kinsoku/>
              <w:wordWrap/>
              <w:overflowPunct/>
              <w:topLinePunct w:val="0"/>
              <w:autoSpaceDE/>
              <w:autoSpaceDN/>
              <w:bidi w:val="0"/>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吸光度范围：0.0000～ 2.0000AU（即透过率100～1%T）</w:t>
            </w:r>
          </w:p>
        </w:tc>
      </w:tr>
      <w:tr w14:paraId="52781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932" w:type="dxa"/>
            <w:vAlign w:val="center"/>
          </w:tcPr>
          <w:p w14:paraId="58C31E19">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16</w:t>
            </w:r>
          </w:p>
        </w:tc>
        <w:tc>
          <w:tcPr>
            <w:tcW w:w="2739" w:type="dxa"/>
            <w:vAlign w:val="center"/>
          </w:tcPr>
          <w:p w14:paraId="71FF6DA7">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实验室台式离心机</w:t>
            </w:r>
          </w:p>
        </w:tc>
        <w:tc>
          <w:tcPr>
            <w:tcW w:w="9188" w:type="dxa"/>
            <w:vAlign w:val="center"/>
          </w:tcPr>
          <w:p w14:paraId="325D7116">
            <w:pPr>
              <w:pageBreakBefore w:val="0"/>
              <w:kinsoku/>
              <w:wordWrap/>
              <w:overflowPunct/>
              <w:topLinePunct w:val="0"/>
              <w:autoSpaceDE/>
              <w:autoSpaceDN/>
              <w:bidi w:val="0"/>
              <w:spacing w:after="0" w:line="360" w:lineRule="auto"/>
              <w:rPr>
                <w:rFonts w:hint="eastAsia" w:ascii="宋体" w:hAnsi="宋体" w:eastAsia="宋体" w:cs="宋体"/>
                <w:sz w:val="21"/>
                <w:szCs w:val="21"/>
                <w:lang w:eastAsia="zh-CN"/>
              </w:rPr>
            </w:pPr>
            <w:r>
              <w:rPr>
                <w:rFonts w:hint="eastAsia" w:ascii="宋体" w:hAnsi="宋体" w:eastAsia="宋体" w:cs="宋体"/>
                <w:sz w:val="21"/>
                <w:szCs w:val="21"/>
              </w:rPr>
              <w:t>1、高清液晶触控屏</w:t>
            </w:r>
            <w:r>
              <w:rPr>
                <w:rFonts w:hint="eastAsia" w:ascii="宋体" w:hAnsi="宋体" w:eastAsia="宋体" w:cs="宋体"/>
                <w:sz w:val="21"/>
                <w:szCs w:val="21"/>
                <w:lang w:eastAsia="zh-CN"/>
              </w:rPr>
              <w:t>。</w:t>
            </w:r>
          </w:p>
          <w:p w14:paraId="6183EEEB">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sz w:val="21"/>
                <w:szCs w:val="21"/>
              </w:rPr>
              <w:t>2、采用三轴陀螺仪</w:t>
            </w:r>
            <w:r>
              <w:rPr>
                <w:rFonts w:hint="eastAsia" w:ascii="宋体" w:hAnsi="宋体" w:eastAsia="宋体" w:cs="宋体"/>
                <w:sz w:val="21"/>
                <w:szCs w:val="21"/>
                <w:lang w:val="en-US" w:eastAsia="zh-CN"/>
              </w:rPr>
              <w:t>或</w:t>
            </w:r>
            <w:r>
              <w:rPr>
                <w:rFonts w:hint="eastAsia" w:ascii="宋体" w:hAnsi="宋体" w:eastAsia="宋体" w:cs="宋体"/>
                <w:sz w:val="21"/>
                <w:szCs w:val="21"/>
              </w:rPr>
              <w:t>高敏加速度</w:t>
            </w:r>
            <w:r>
              <w:rPr>
                <w:rFonts w:hint="eastAsia" w:ascii="宋体" w:hAnsi="宋体" w:eastAsia="宋体" w:cs="宋体"/>
                <w:sz w:val="21"/>
                <w:szCs w:val="21"/>
                <w:lang w:val="en-US" w:eastAsia="zh-CN"/>
              </w:rPr>
              <w:t>/高精度振动</w:t>
            </w:r>
            <w:r>
              <w:rPr>
                <w:rFonts w:hint="eastAsia" w:ascii="宋体" w:hAnsi="宋体" w:eastAsia="宋体" w:cs="宋体"/>
                <w:sz w:val="21"/>
                <w:szCs w:val="21"/>
              </w:rPr>
              <w:t>传感器</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+微机</w:t>
            </w:r>
            <w:r>
              <w:rPr>
                <w:rFonts w:hint="eastAsia" w:ascii="宋体" w:hAnsi="宋体" w:eastAsia="宋体" w:cs="宋体"/>
                <w:sz w:val="21"/>
                <w:szCs w:val="21"/>
              </w:rPr>
              <w:t>实时监测平衡状态</w:t>
            </w:r>
            <w:r>
              <w:rPr>
                <w:rFonts w:hint="eastAsia" w:ascii="宋体" w:hAnsi="宋体" w:eastAsia="宋体" w:cs="宋体"/>
                <w:sz w:val="21"/>
                <w:szCs w:val="21"/>
                <w:lang w:eastAsia="zh-CN"/>
              </w:rPr>
              <w:t>。</w:t>
            </w:r>
          </w:p>
          <w:p w14:paraId="5E4F9209">
            <w:pPr>
              <w:pageBreakBefore w:val="0"/>
              <w:kinsoku/>
              <w:wordWrap/>
              <w:overflowPunct/>
              <w:topLinePunct w:val="0"/>
              <w:autoSpaceDE/>
              <w:autoSpaceDN/>
              <w:bidi w:val="0"/>
              <w:spacing w:after="0" w:line="360" w:lineRule="auto"/>
              <w:rPr>
                <w:rFonts w:hint="eastAsia" w:ascii="宋体" w:hAnsi="宋体" w:eastAsia="宋体" w:cs="宋体"/>
                <w:sz w:val="21"/>
                <w:szCs w:val="21"/>
                <w:lang w:eastAsia="zh-CN"/>
              </w:rPr>
            </w:pPr>
            <w:r>
              <w:rPr>
                <w:rFonts w:hint="eastAsia" w:ascii="宋体" w:hAnsi="宋体" w:eastAsia="宋体" w:cs="宋体"/>
                <w:sz w:val="21"/>
                <w:szCs w:val="21"/>
              </w:rPr>
              <w:t>3、具有曲线显示功能，运行参数以曲线形式直观的显示在屏幕上，用以监测各参数的变化过程和稳定性</w:t>
            </w:r>
            <w:r>
              <w:rPr>
                <w:rFonts w:hint="eastAsia" w:ascii="宋体" w:hAnsi="宋体" w:eastAsia="宋体" w:cs="宋体"/>
                <w:sz w:val="21"/>
                <w:szCs w:val="21"/>
                <w:lang w:eastAsia="zh-CN"/>
              </w:rPr>
              <w:t>。</w:t>
            </w:r>
          </w:p>
          <w:p w14:paraId="4038A97D">
            <w:pPr>
              <w:pageBreakBefore w:val="0"/>
              <w:kinsoku/>
              <w:wordWrap/>
              <w:overflowPunct/>
              <w:topLinePunct w:val="0"/>
              <w:autoSpaceDE/>
              <w:autoSpaceDN/>
              <w:bidi w:val="0"/>
              <w:spacing w:after="0" w:line="360" w:lineRule="auto"/>
              <w:rPr>
                <w:rFonts w:hint="eastAsia" w:ascii="宋体" w:hAnsi="宋体" w:eastAsia="宋体" w:cs="宋体"/>
                <w:sz w:val="21"/>
                <w:szCs w:val="21"/>
                <w:lang w:eastAsia="zh-CN"/>
              </w:rPr>
            </w:pPr>
            <w:r>
              <w:rPr>
                <w:rFonts w:hint="eastAsia" w:ascii="宋体" w:hAnsi="宋体" w:eastAsia="宋体" w:cs="宋体"/>
                <w:sz w:val="21"/>
                <w:szCs w:val="21"/>
              </w:rPr>
              <w:t>4、超大储存空间，可存储多达1000个程序组，130000条日志记录，支持数据导出</w:t>
            </w:r>
            <w:r>
              <w:rPr>
                <w:rFonts w:hint="eastAsia" w:ascii="宋体" w:hAnsi="宋体" w:eastAsia="宋体" w:cs="宋体"/>
                <w:sz w:val="21"/>
                <w:szCs w:val="21"/>
                <w:lang w:eastAsia="zh-CN"/>
              </w:rPr>
              <w:t>。</w:t>
            </w:r>
          </w:p>
          <w:p w14:paraId="0E478D86">
            <w:pPr>
              <w:pageBreakBefore w:val="0"/>
              <w:kinsoku/>
              <w:wordWrap/>
              <w:overflowPunct/>
              <w:topLinePunct w:val="0"/>
              <w:autoSpaceDE/>
              <w:autoSpaceDN/>
              <w:bidi w:val="0"/>
              <w:spacing w:after="0" w:line="360" w:lineRule="auto"/>
              <w:rPr>
                <w:rFonts w:hint="eastAsia" w:ascii="宋体" w:hAnsi="宋体" w:eastAsia="宋体" w:cs="宋体"/>
                <w:sz w:val="21"/>
                <w:szCs w:val="21"/>
                <w:lang w:eastAsia="zh-CN"/>
              </w:rPr>
            </w:pPr>
            <w:r>
              <w:rPr>
                <w:rFonts w:hint="eastAsia" w:ascii="宋体" w:hAnsi="宋体" w:eastAsia="宋体" w:cs="宋体"/>
                <w:sz w:val="21"/>
                <w:szCs w:val="21"/>
              </w:rPr>
              <w:t>5、具有多级权限分配功能，可根据需求自由设置权限范围，账号期限等，最多管理1000个用户</w:t>
            </w:r>
            <w:r>
              <w:rPr>
                <w:rFonts w:hint="eastAsia" w:ascii="宋体" w:hAnsi="宋体" w:eastAsia="宋体" w:cs="宋体"/>
                <w:sz w:val="21"/>
                <w:szCs w:val="21"/>
                <w:lang w:eastAsia="zh-CN"/>
              </w:rPr>
              <w:t>。</w:t>
            </w:r>
          </w:p>
          <w:p w14:paraId="4632D574">
            <w:pPr>
              <w:pageBreakBefore w:val="0"/>
              <w:kinsoku/>
              <w:wordWrap/>
              <w:overflowPunct/>
              <w:topLinePunct w:val="0"/>
              <w:autoSpaceDE/>
              <w:autoSpaceDN/>
              <w:bidi w:val="0"/>
              <w:spacing w:after="0" w:line="360" w:lineRule="auto"/>
              <w:rPr>
                <w:rFonts w:hint="eastAsia" w:ascii="宋体" w:hAnsi="宋体" w:eastAsia="宋体" w:cs="宋体"/>
                <w:sz w:val="21"/>
                <w:szCs w:val="21"/>
                <w:lang w:eastAsia="zh-CN"/>
              </w:rPr>
            </w:pPr>
            <w:r>
              <w:rPr>
                <w:rFonts w:hint="eastAsia" w:ascii="宋体" w:hAnsi="宋体" w:eastAsia="宋体" w:cs="宋体"/>
                <w:sz w:val="21"/>
                <w:szCs w:val="21"/>
              </w:rPr>
              <w:t>6、可设置</w:t>
            </w:r>
            <w:r>
              <w:rPr>
                <w:rFonts w:hint="eastAsia" w:ascii="宋体" w:hAnsi="宋体" w:eastAsia="宋体" w:cs="宋体"/>
                <w:sz w:val="21"/>
                <w:szCs w:val="21"/>
                <w:lang w:val="en-US" w:eastAsia="zh-CN"/>
              </w:rPr>
              <w:t>≥</w:t>
            </w:r>
            <w:r>
              <w:rPr>
                <w:rFonts w:hint="eastAsia" w:ascii="宋体" w:hAnsi="宋体" w:eastAsia="宋体" w:cs="宋体"/>
                <w:sz w:val="21"/>
                <w:szCs w:val="21"/>
              </w:rPr>
              <w:t>10 组多段离心程序组，每组可设置10段离心参数，满足多元化试验要求</w:t>
            </w:r>
            <w:r>
              <w:rPr>
                <w:rFonts w:hint="eastAsia" w:ascii="宋体" w:hAnsi="宋体" w:eastAsia="宋体" w:cs="宋体"/>
                <w:sz w:val="21"/>
                <w:szCs w:val="21"/>
                <w:lang w:eastAsia="zh-CN"/>
              </w:rPr>
              <w:t>。</w:t>
            </w:r>
          </w:p>
          <w:p w14:paraId="10CC3AD7">
            <w:pPr>
              <w:pageBreakBefore w:val="0"/>
              <w:kinsoku/>
              <w:wordWrap/>
              <w:overflowPunct/>
              <w:topLinePunct w:val="0"/>
              <w:autoSpaceDE/>
              <w:autoSpaceDN/>
              <w:bidi w:val="0"/>
              <w:spacing w:after="0" w:line="360" w:lineRule="auto"/>
              <w:rPr>
                <w:rFonts w:hint="eastAsia" w:ascii="宋体" w:hAnsi="宋体" w:eastAsia="宋体" w:cs="宋体"/>
                <w:sz w:val="21"/>
                <w:szCs w:val="21"/>
                <w:lang w:eastAsia="zh-CN"/>
              </w:rPr>
            </w:pPr>
            <w:r>
              <w:rPr>
                <w:rFonts w:hint="eastAsia" w:ascii="宋体" w:hAnsi="宋体" w:eastAsia="宋体" w:cs="宋体"/>
                <w:sz w:val="21"/>
                <w:szCs w:val="21"/>
              </w:rPr>
              <w:t>7、具有门盖，超速，超温，过流，过压等多重保护功能</w:t>
            </w:r>
            <w:r>
              <w:rPr>
                <w:rFonts w:hint="eastAsia" w:ascii="宋体" w:hAnsi="宋体" w:eastAsia="宋体" w:cs="宋体"/>
                <w:sz w:val="21"/>
                <w:szCs w:val="21"/>
                <w:lang w:eastAsia="zh-CN"/>
              </w:rPr>
              <w:t>。</w:t>
            </w:r>
          </w:p>
          <w:p w14:paraId="38573706">
            <w:pPr>
              <w:pageBreakBefore w:val="0"/>
              <w:kinsoku/>
              <w:wordWrap/>
              <w:overflowPunct/>
              <w:topLinePunct w:val="0"/>
              <w:autoSpaceDE/>
              <w:autoSpaceDN/>
              <w:bidi w:val="0"/>
              <w:spacing w:after="0" w:line="360" w:lineRule="auto"/>
              <w:rPr>
                <w:rFonts w:hint="eastAsia" w:ascii="宋体" w:hAnsi="宋体" w:eastAsia="宋体" w:cs="宋体"/>
                <w:sz w:val="21"/>
                <w:szCs w:val="21"/>
                <w:lang w:eastAsia="zh-CN"/>
              </w:rPr>
            </w:pPr>
            <w:r>
              <w:rPr>
                <w:rFonts w:hint="eastAsia" w:ascii="宋体" w:hAnsi="宋体" w:eastAsia="宋体" w:cs="宋体"/>
                <w:sz w:val="21"/>
                <w:szCs w:val="21"/>
              </w:rPr>
              <w:t>8、具备转子离心半径修正功能</w:t>
            </w:r>
            <w:r>
              <w:rPr>
                <w:rFonts w:hint="eastAsia" w:ascii="宋体" w:hAnsi="宋体" w:eastAsia="宋体" w:cs="宋体"/>
                <w:sz w:val="21"/>
                <w:szCs w:val="21"/>
                <w:lang w:eastAsia="zh-CN"/>
              </w:rPr>
              <w:t>。</w:t>
            </w:r>
          </w:p>
          <w:p w14:paraId="74E67EFD">
            <w:pPr>
              <w:pageBreakBefore w:val="0"/>
              <w:kinsoku/>
              <w:wordWrap/>
              <w:overflowPunct/>
              <w:topLinePunct w:val="0"/>
              <w:autoSpaceDE/>
              <w:autoSpaceDN/>
              <w:bidi w:val="0"/>
              <w:spacing w:after="0"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9</w:t>
            </w:r>
            <w:r>
              <w:rPr>
                <w:rFonts w:hint="eastAsia" w:ascii="宋体" w:hAnsi="宋体" w:eastAsia="宋体" w:cs="宋体"/>
                <w:sz w:val="21"/>
                <w:szCs w:val="21"/>
              </w:rPr>
              <w:t>、所有转子、转子盖均可高温高压灭菌</w:t>
            </w:r>
            <w:r>
              <w:rPr>
                <w:rFonts w:hint="eastAsia" w:ascii="宋体" w:hAnsi="宋体" w:eastAsia="宋体" w:cs="宋体"/>
                <w:sz w:val="21"/>
                <w:szCs w:val="21"/>
                <w:lang w:eastAsia="zh-CN"/>
              </w:rPr>
              <w:t>。</w:t>
            </w:r>
          </w:p>
          <w:p w14:paraId="0429AA38">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sz w:val="21"/>
                <w:szCs w:val="21"/>
                <w:lang w:val="en-US" w:eastAsia="zh-CN"/>
              </w:rPr>
              <w:t>10</w:t>
            </w:r>
            <w:r>
              <w:rPr>
                <w:rFonts w:hint="eastAsia" w:ascii="宋体" w:hAnsi="宋体" w:eastAsia="宋体" w:cs="宋体"/>
                <w:sz w:val="21"/>
                <w:szCs w:val="21"/>
              </w:rPr>
              <w:t>、最高转速;</w:t>
            </w:r>
            <w:r>
              <w:rPr>
                <w:rFonts w:hint="eastAsia" w:ascii="宋体" w:hAnsi="宋体" w:eastAsia="宋体" w:cs="宋体"/>
                <w:sz w:val="21"/>
                <w:szCs w:val="21"/>
                <w:lang w:val="en-US" w:eastAsia="zh-CN"/>
              </w:rPr>
              <w:t>≥</w:t>
            </w:r>
            <w:r>
              <w:rPr>
                <w:rFonts w:hint="eastAsia" w:ascii="宋体" w:hAnsi="宋体" w:eastAsia="宋体" w:cs="宋体"/>
                <w:sz w:val="21"/>
                <w:szCs w:val="21"/>
              </w:rPr>
              <w:t>5000 r/min</w:t>
            </w:r>
          </w:p>
          <w:p w14:paraId="29B3E662">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lang w:val="en-US" w:eastAsia="zh-CN"/>
              </w:rPr>
              <w:t>11</w:t>
            </w:r>
            <w:r>
              <w:rPr>
                <w:rFonts w:hint="eastAsia" w:ascii="宋体" w:hAnsi="宋体" w:eastAsia="宋体" w:cs="宋体"/>
                <w:sz w:val="21"/>
                <w:szCs w:val="21"/>
              </w:rPr>
              <w:t>、最大离心力:</w:t>
            </w:r>
            <w:r>
              <w:rPr>
                <w:rFonts w:hint="eastAsia" w:ascii="宋体" w:hAnsi="宋体" w:eastAsia="宋体" w:cs="宋体"/>
                <w:sz w:val="21"/>
                <w:szCs w:val="21"/>
                <w:lang w:val="en-US" w:eastAsia="zh-CN"/>
              </w:rPr>
              <w:t>≥4390</w:t>
            </w:r>
            <w:r>
              <w:rPr>
                <w:rFonts w:hint="eastAsia" w:ascii="宋体" w:hAnsi="宋体" w:eastAsia="宋体" w:cs="宋体"/>
                <w:sz w:val="21"/>
                <w:szCs w:val="21"/>
              </w:rPr>
              <w:t>×g</w:t>
            </w:r>
          </w:p>
          <w:p w14:paraId="0B7020BE">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lang w:val="en-US" w:eastAsia="zh-CN"/>
              </w:rPr>
              <w:t>12</w:t>
            </w:r>
            <w:r>
              <w:rPr>
                <w:rFonts w:hint="eastAsia" w:ascii="宋体" w:hAnsi="宋体" w:eastAsia="宋体" w:cs="宋体"/>
                <w:sz w:val="21"/>
                <w:szCs w:val="21"/>
              </w:rPr>
              <w:t>、最大容量：</w:t>
            </w:r>
            <w:r>
              <w:rPr>
                <w:rFonts w:hint="eastAsia" w:ascii="宋体" w:hAnsi="宋体" w:eastAsia="宋体" w:cs="宋体"/>
                <w:sz w:val="21"/>
                <w:szCs w:val="21"/>
                <w:lang w:val="en-US" w:eastAsia="zh-CN"/>
              </w:rPr>
              <w:t>≥800</w:t>
            </w:r>
            <w:r>
              <w:rPr>
                <w:rFonts w:hint="eastAsia" w:ascii="宋体" w:hAnsi="宋体" w:eastAsia="宋体" w:cs="宋体"/>
                <w:sz w:val="21"/>
                <w:szCs w:val="21"/>
              </w:rPr>
              <w:t>ml</w:t>
            </w:r>
          </w:p>
          <w:p w14:paraId="45E99810">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lang w:val="en-US" w:eastAsia="zh-CN"/>
              </w:rPr>
              <w:t>13</w:t>
            </w:r>
            <w:r>
              <w:rPr>
                <w:rFonts w:hint="eastAsia" w:ascii="宋体" w:hAnsi="宋体" w:eastAsia="宋体" w:cs="宋体"/>
                <w:sz w:val="21"/>
                <w:szCs w:val="21"/>
              </w:rPr>
              <w:t>、转速精度：±10r/min</w:t>
            </w:r>
          </w:p>
          <w:p w14:paraId="3D045A53">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lang w:val="en-US" w:eastAsia="zh-CN"/>
              </w:rPr>
              <w:t>14</w:t>
            </w:r>
            <w:r>
              <w:rPr>
                <w:rFonts w:hint="eastAsia" w:ascii="宋体" w:hAnsi="宋体" w:eastAsia="宋体" w:cs="宋体"/>
                <w:sz w:val="21"/>
                <w:szCs w:val="21"/>
              </w:rPr>
              <w:t>、定时范围：1min~99h99 min59s/点动/连续</w:t>
            </w:r>
          </w:p>
          <w:p w14:paraId="3DFA65C7">
            <w:pPr>
              <w:pageBreakBefore w:val="0"/>
              <w:kinsoku/>
              <w:wordWrap/>
              <w:overflowPunct/>
              <w:topLinePunct w:val="0"/>
              <w:autoSpaceDE/>
              <w:autoSpaceDN/>
              <w:bidi w:val="0"/>
              <w:spacing w:after="0"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val="en-US" w:eastAsia="zh-CN"/>
              </w:rPr>
              <w:t>15</w:t>
            </w:r>
            <w:r>
              <w:rPr>
                <w:rFonts w:hint="eastAsia" w:ascii="宋体" w:hAnsi="宋体" w:eastAsia="宋体" w:cs="宋体"/>
                <w:sz w:val="21"/>
                <w:szCs w:val="21"/>
              </w:rPr>
              <w:t xml:space="preserve">、配置 </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标准配置所需要的</w:t>
            </w:r>
            <w:r>
              <w:rPr>
                <w:rFonts w:hint="eastAsia" w:ascii="宋体" w:hAnsi="宋体" w:eastAsia="宋体" w:cs="宋体"/>
                <w:sz w:val="21"/>
                <w:szCs w:val="21"/>
              </w:rPr>
              <w:t>水平转子</w:t>
            </w:r>
            <w:r>
              <w:rPr>
                <w:rFonts w:hint="eastAsia" w:ascii="宋体" w:hAnsi="宋体" w:eastAsia="宋体" w:cs="宋体"/>
                <w:sz w:val="21"/>
                <w:szCs w:val="21"/>
                <w:lang w:val="en-US" w:eastAsia="zh-CN"/>
              </w:rPr>
              <w:t>等</w:t>
            </w:r>
            <w:r>
              <w:rPr>
                <w:rFonts w:hint="eastAsia" w:ascii="宋体" w:hAnsi="宋体" w:eastAsia="宋体" w:cs="宋体"/>
                <w:sz w:val="21"/>
                <w:szCs w:val="21"/>
                <w:lang w:eastAsia="zh-CN"/>
              </w:rPr>
              <w:t>、</w:t>
            </w:r>
            <w:r>
              <w:rPr>
                <w:rFonts w:hint="eastAsia" w:ascii="宋体" w:hAnsi="宋体" w:eastAsia="宋体" w:cs="宋体"/>
                <w:sz w:val="21"/>
                <w:szCs w:val="21"/>
              </w:rPr>
              <w:t>玻璃管适配器</w:t>
            </w:r>
            <w:r>
              <w:rPr>
                <w:rFonts w:hint="eastAsia" w:ascii="宋体" w:hAnsi="宋体" w:eastAsia="宋体" w:cs="宋体"/>
                <w:sz w:val="21"/>
                <w:szCs w:val="21"/>
                <w:lang w:val="en-US" w:eastAsia="zh-CN"/>
              </w:rPr>
              <w:t>等</w:t>
            </w:r>
            <w:r>
              <w:rPr>
                <w:rFonts w:hint="eastAsia" w:ascii="宋体" w:hAnsi="宋体" w:eastAsia="宋体" w:cs="宋体"/>
                <w:sz w:val="21"/>
                <w:szCs w:val="21"/>
              </w:rPr>
              <w:t>，离心管</w:t>
            </w:r>
            <w:r>
              <w:rPr>
                <w:rFonts w:hint="eastAsia" w:ascii="宋体" w:hAnsi="宋体" w:eastAsia="宋体" w:cs="宋体"/>
                <w:sz w:val="21"/>
                <w:szCs w:val="21"/>
                <w:lang w:val="en-US" w:eastAsia="zh-CN"/>
              </w:rPr>
              <w:t>≥</w:t>
            </w:r>
            <w:r>
              <w:rPr>
                <w:rFonts w:hint="eastAsia" w:ascii="宋体" w:hAnsi="宋体" w:eastAsia="宋体" w:cs="宋体"/>
                <w:sz w:val="21"/>
                <w:szCs w:val="21"/>
              </w:rPr>
              <w:t>50支。</w:t>
            </w:r>
          </w:p>
        </w:tc>
      </w:tr>
      <w:tr w14:paraId="07D16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32" w:type="dxa"/>
            <w:vAlign w:val="center"/>
          </w:tcPr>
          <w:p w14:paraId="09BD96FC">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17</w:t>
            </w:r>
          </w:p>
        </w:tc>
        <w:tc>
          <w:tcPr>
            <w:tcW w:w="2739" w:type="dxa"/>
            <w:vAlign w:val="center"/>
          </w:tcPr>
          <w:p w14:paraId="6235F678">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氟化物离子计</w:t>
            </w:r>
          </w:p>
        </w:tc>
        <w:tc>
          <w:tcPr>
            <w:tcW w:w="9188" w:type="dxa"/>
            <w:vAlign w:val="center"/>
          </w:tcPr>
          <w:p w14:paraId="2515B848">
            <w:pPr>
              <w:keepNext w:val="0"/>
              <w:keepLines w:val="0"/>
              <w:pageBreakBefore w:val="0"/>
              <w:widowControl w:val="0"/>
              <w:numPr>
                <w:ilvl w:val="0"/>
                <w:numId w:val="0"/>
              </w:numPr>
              <w:kinsoku/>
              <w:wordWrap/>
              <w:overflowPunct/>
              <w:topLinePunct w:val="0"/>
              <w:autoSpaceDE/>
              <w:autoSpaceDN/>
              <w:bidi w:val="0"/>
              <w:adjustRightInd/>
              <w:spacing w:line="360" w:lineRule="auto"/>
              <w:ind w:left="425" w:leftChars="0" w:hanging="425" w:firstLineChars="0"/>
              <w:textAlignment w:val="auto"/>
              <w:rPr>
                <w:rFonts w:hint="eastAsia" w:ascii="宋体" w:hAnsi="宋体" w:eastAsia="宋体" w:cs="宋体"/>
                <w:b/>
                <w:bCs/>
                <w:sz w:val="21"/>
                <w:szCs w:val="21"/>
                <w:lang w:val="en-US" w:eastAsia="zh-CN"/>
              </w:rPr>
            </w:pPr>
            <w:r>
              <w:rPr>
                <w:rFonts w:hint="eastAsia" w:ascii="宋体" w:hAnsi="宋体" w:eastAsia="宋体" w:cs="宋体"/>
                <w:b/>
                <w:bCs/>
                <w:kern w:val="2"/>
                <w:sz w:val="21"/>
                <w:szCs w:val="21"/>
                <w:lang w:val="en-US" w:eastAsia="zh-CN" w:bidi="ar-SA"/>
              </w:rPr>
              <w:t>1.</w:t>
            </w:r>
            <w:r>
              <w:rPr>
                <w:rFonts w:hint="eastAsia" w:ascii="宋体" w:hAnsi="宋体" w:eastAsia="宋体" w:cs="宋体"/>
                <w:b/>
                <w:bCs/>
                <w:sz w:val="21"/>
                <w:szCs w:val="21"/>
              </w:rPr>
              <w:t>主机配置及配件</w:t>
            </w:r>
          </w:p>
          <w:p w14:paraId="76ECE13F">
            <w:pPr>
              <w:keepNext w:val="0"/>
              <w:keepLines w:val="0"/>
              <w:pageBreakBefore w:val="0"/>
              <w:tabs>
                <w:tab w:val="left" w:pos="3000"/>
              </w:tabs>
              <w:kinsoku/>
              <w:wordWrap/>
              <w:overflowPunct/>
              <w:topLinePunct w:val="0"/>
              <w:autoSpaceDE/>
              <w:autoSpaceDN/>
              <w:bidi w:val="0"/>
              <w:adjustRightInd/>
              <w:snapToGrid/>
              <w:spacing w:line="360" w:lineRule="auto"/>
              <w:ind w:firstLine="422" w:firstLineChars="200"/>
              <w:textAlignment w:val="auto"/>
              <w:outlineLvl w:val="3"/>
              <w:rPr>
                <w:rFonts w:hint="eastAsia" w:ascii="宋体" w:hAnsi="宋体" w:eastAsia="宋体" w:cs="宋体"/>
                <w:sz w:val="21"/>
                <w:szCs w:val="21"/>
                <w:lang w:val="en-US" w:eastAsia="zh-CN"/>
              </w:rPr>
            </w:pPr>
            <w:r>
              <w:rPr>
                <w:rFonts w:hint="eastAsia" w:ascii="宋体" w:hAnsi="宋体" w:eastAsia="宋体" w:cs="宋体"/>
                <w:b/>
                <w:color w:val="auto"/>
                <w:sz w:val="21"/>
                <w:szCs w:val="21"/>
                <w:highlight w:val="none"/>
                <w:lang w:val="en-US" w:eastAsia="zh-CN"/>
              </w:rPr>
              <w:t>（采购数量按招标清单为准，这里只表示每台采购设备应配置的备件或耗材数量）</w:t>
            </w:r>
          </w:p>
          <w:tbl>
            <w:tblPr>
              <w:tblStyle w:val="23"/>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
              <w:gridCol w:w="3538"/>
              <w:gridCol w:w="2086"/>
              <w:gridCol w:w="1991"/>
            </w:tblGrid>
            <w:tr w14:paraId="295F6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906" w:type="dxa"/>
                  <w:noWrap w:val="0"/>
                  <w:vAlign w:val="center"/>
                </w:tcPr>
                <w:p w14:paraId="130F1FBB">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b/>
                      <w:bCs/>
                      <w:sz w:val="21"/>
                      <w:szCs w:val="21"/>
                    </w:rPr>
                  </w:pPr>
                </w:p>
              </w:tc>
              <w:tc>
                <w:tcPr>
                  <w:tcW w:w="3538" w:type="dxa"/>
                  <w:noWrap w:val="0"/>
                  <w:vAlign w:val="center"/>
                </w:tcPr>
                <w:p w14:paraId="600D71C2">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名称</w:t>
                  </w:r>
                </w:p>
              </w:tc>
              <w:tc>
                <w:tcPr>
                  <w:tcW w:w="2086" w:type="dxa"/>
                  <w:noWrap w:val="0"/>
                  <w:vAlign w:val="center"/>
                </w:tcPr>
                <w:p w14:paraId="69309CDB">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说明</w:t>
                  </w:r>
                </w:p>
              </w:tc>
              <w:tc>
                <w:tcPr>
                  <w:tcW w:w="1991" w:type="dxa"/>
                  <w:noWrap w:val="0"/>
                  <w:vAlign w:val="center"/>
                </w:tcPr>
                <w:p w14:paraId="28EB647E">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数量（台/套）</w:t>
                  </w:r>
                </w:p>
              </w:tc>
            </w:tr>
            <w:tr w14:paraId="023F5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906" w:type="dxa"/>
                  <w:noWrap w:val="0"/>
                  <w:vAlign w:val="center"/>
                </w:tcPr>
                <w:p w14:paraId="19B06264">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b/>
                      <w:bCs/>
                      <w:sz w:val="21"/>
                      <w:szCs w:val="21"/>
                    </w:rPr>
                    <w:t>主机</w:t>
                  </w:r>
                </w:p>
              </w:tc>
              <w:tc>
                <w:tcPr>
                  <w:tcW w:w="3538" w:type="dxa"/>
                  <w:noWrap w:val="0"/>
                  <w:vAlign w:val="center"/>
                </w:tcPr>
                <w:p w14:paraId="0077A23D">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氟化物离子计</w:t>
                  </w:r>
                </w:p>
              </w:tc>
              <w:tc>
                <w:tcPr>
                  <w:tcW w:w="2086" w:type="dxa"/>
                  <w:noWrap w:val="0"/>
                  <w:vAlign w:val="center"/>
                </w:tcPr>
                <w:p w14:paraId="06CA2F7C">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含便携式户外箱</w:t>
                  </w:r>
                </w:p>
              </w:tc>
              <w:tc>
                <w:tcPr>
                  <w:tcW w:w="1991" w:type="dxa"/>
                  <w:noWrap w:val="0"/>
                  <w:vAlign w:val="center"/>
                </w:tcPr>
                <w:p w14:paraId="660F719D">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p>
              </w:tc>
            </w:tr>
            <w:tr w14:paraId="4964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6" w:type="dxa"/>
                  <w:vMerge w:val="restart"/>
                  <w:noWrap w:val="0"/>
                  <w:vAlign w:val="center"/>
                </w:tcPr>
                <w:p w14:paraId="664D30C1">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b/>
                      <w:bCs/>
                      <w:sz w:val="21"/>
                      <w:szCs w:val="21"/>
                    </w:rPr>
                    <w:t>配件</w:t>
                  </w:r>
                </w:p>
              </w:tc>
              <w:tc>
                <w:tcPr>
                  <w:tcW w:w="3538" w:type="dxa"/>
                  <w:noWrap w:val="0"/>
                  <w:vAlign w:val="center"/>
                </w:tcPr>
                <w:p w14:paraId="22887F0D">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电源线</w:t>
                  </w:r>
                </w:p>
              </w:tc>
              <w:tc>
                <w:tcPr>
                  <w:tcW w:w="2086" w:type="dxa"/>
                  <w:noWrap w:val="0"/>
                  <w:vAlign w:val="center"/>
                </w:tcPr>
                <w:p w14:paraId="43525E48">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991" w:type="dxa"/>
                  <w:noWrap w:val="0"/>
                  <w:vAlign w:val="center"/>
                </w:tcPr>
                <w:p w14:paraId="12C8162C">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14:paraId="22732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6" w:type="dxa"/>
                  <w:vMerge w:val="continue"/>
                  <w:noWrap w:val="0"/>
                  <w:vAlign w:val="center"/>
                </w:tcPr>
                <w:p w14:paraId="5DF3E239">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sz w:val="21"/>
                      <w:szCs w:val="21"/>
                    </w:rPr>
                  </w:pPr>
                </w:p>
              </w:tc>
              <w:tc>
                <w:tcPr>
                  <w:tcW w:w="3538" w:type="dxa"/>
                  <w:shd w:val="clear" w:color="auto" w:fill="auto"/>
                  <w:noWrap w:val="0"/>
                  <w:vAlign w:val="center"/>
                </w:tcPr>
                <w:p w14:paraId="0ECBDB7E">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搅拌器</w:t>
                  </w:r>
                </w:p>
              </w:tc>
              <w:tc>
                <w:tcPr>
                  <w:tcW w:w="2086" w:type="dxa"/>
                  <w:shd w:val="clear" w:color="auto" w:fill="auto"/>
                  <w:noWrap w:val="0"/>
                  <w:vAlign w:val="center"/>
                </w:tcPr>
                <w:p w14:paraId="19CA3ADA">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991" w:type="dxa"/>
                  <w:shd w:val="clear" w:color="auto" w:fill="auto"/>
                  <w:noWrap w:val="0"/>
                  <w:vAlign w:val="center"/>
                </w:tcPr>
                <w:p w14:paraId="486045C9">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1台</w:t>
                  </w:r>
                </w:p>
              </w:tc>
            </w:tr>
            <w:tr w14:paraId="32D39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6" w:type="dxa"/>
                  <w:vMerge w:val="continue"/>
                  <w:noWrap w:val="0"/>
                  <w:vAlign w:val="center"/>
                </w:tcPr>
                <w:p w14:paraId="0450E2B9">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sz w:val="21"/>
                      <w:szCs w:val="21"/>
                    </w:rPr>
                  </w:pPr>
                </w:p>
              </w:tc>
              <w:tc>
                <w:tcPr>
                  <w:tcW w:w="3538" w:type="dxa"/>
                  <w:shd w:val="clear" w:color="auto" w:fill="auto"/>
                  <w:noWrap w:val="0"/>
                  <w:vAlign w:val="center"/>
                </w:tcPr>
                <w:p w14:paraId="181FFC45">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氟离子电极</w:t>
                  </w:r>
                </w:p>
              </w:tc>
              <w:tc>
                <w:tcPr>
                  <w:tcW w:w="2086" w:type="dxa"/>
                  <w:shd w:val="clear" w:color="auto" w:fill="auto"/>
                  <w:noWrap w:val="0"/>
                  <w:vAlign w:val="center"/>
                </w:tcPr>
                <w:p w14:paraId="47E76F88">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991" w:type="dxa"/>
                  <w:shd w:val="clear" w:color="auto" w:fill="auto"/>
                  <w:noWrap w:val="0"/>
                  <w:vAlign w:val="center"/>
                </w:tcPr>
                <w:p w14:paraId="1A8BAD13">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1支</w:t>
                  </w:r>
                </w:p>
              </w:tc>
            </w:tr>
            <w:tr w14:paraId="30856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6" w:type="dxa"/>
                  <w:vMerge w:val="continue"/>
                  <w:noWrap w:val="0"/>
                  <w:vAlign w:val="center"/>
                </w:tcPr>
                <w:p w14:paraId="34107291">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sz w:val="21"/>
                      <w:szCs w:val="21"/>
                    </w:rPr>
                  </w:pPr>
                </w:p>
              </w:tc>
              <w:tc>
                <w:tcPr>
                  <w:tcW w:w="3538" w:type="dxa"/>
                  <w:shd w:val="clear" w:color="auto" w:fill="auto"/>
                  <w:noWrap w:val="0"/>
                  <w:vAlign w:val="center"/>
                </w:tcPr>
                <w:p w14:paraId="75EEC7BD">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参比电极</w:t>
                  </w:r>
                </w:p>
              </w:tc>
              <w:tc>
                <w:tcPr>
                  <w:tcW w:w="2086" w:type="dxa"/>
                  <w:shd w:val="clear" w:color="auto" w:fill="auto"/>
                  <w:noWrap w:val="0"/>
                  <w:vAlign w:val="center"/>
                </w:tcPr>
                <w:p w14:paraId="4961F357">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w:t>
                  </w:r>
                </w:p>
              </w:tc>
              <w:tc>
                <w:tcPr>
                  <w:tcW w:w="1991" w:type="dxa"/>
                  <w:shd w:val="clear" w:color="auto" w:fill="auto"/>
                  <w:noWrap w:val="0"/>
                  <w:vAlign w:val="center"/>
                </w:tcPr>
                <w:p w14:paraId="6DD22857">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1支</w:t>
                  </w:r>
                </w:p>
              </w:tc>
            </w:tr>
            <w:tr w14:paraId="7FFCB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6" w:type="dxa"/>
                  <w:vMerge w:val="continue"/>
                  <w:noWrap w:val="0"/>
                  <w:vAlign w:val="center"/>
                </w:tcPr>
                <w:p w14:paraId="54F7322B">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sz w:val="21"/>
                      <w:szCs w:val="21"/>
                    </w:rPr>
                  </w:pPr>
                </w:p>
              </w:tc>
              <w:tc>
                <w:tcPr>
                  <w:tcW w:w="3538" w:type="dxa"/>
                  <w:shd w:val="clear" w:color="auto" w:fill="auto"/>
                  <w:noWrap w:val="0"/>
                  <w:vAlign w:val="center"/>
                </w:tcPr>
                <w:p w14:paraId="0D42D084">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温度电极</w:t>
                  </w:r>
                </w:p>
              </w:tc>
              <w:tc>
                <w:tcPr>
                  <w:tcW w:w="2086" w:type="dxa"/>
                  <w:shd w:val="clear" w:color="auto" w:fill="auto"/>
                  <w:noWrap w:val="0"/>
                  <w:vAlign w:val="center"/>
                </w:tcPr>
                <w:p w14:paraId="34D033F7">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w:t>
                  </w:r>
                </w:p>
              </w:tc>
              <w:tc>
                <w:tcPr>
                  <w:tcW w:w="1991" w:type="dxa"/>
                  <w:shd w:val="clear" w:color="auto" w:fill="auto"/>
                  <w:noWrap w:val="0"/>
                  <w:vAlign w:val="center"/>
                </w:tcPr>
                <w:p w14:paraId="1464137E">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1支</w:t>
                  </w:r>
                </w:p>
              </w:tc>
            </w:tr>
            <w:tr w14:paraId="2251F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6" w:type="dxa"/>
                  <w:vMerge w:val="continue"/>
                  <w:noWrap w:val="0"/>
                  <w:vAlign w:val="center"/>
                </w:tcPr>
                <w:p w14:paraId="76A53E1A">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sz w:val="21"/>
                      <w:szCs w:val="21"/>
                    </w:rPr>
                  </w:pPr>
                </w:p>
              </w:tc>
              <w:tc>
                <w:tcPr>
                  <w:tcW w:w="3538" w:type="dxa"/>
                  <w:shd w:val="clear" w:color="auto" w:fill="auto"/>
                  <w:noWrap w:val="0"/>
                  <w:vAlign w:val="center"/>
                </w:tcPr>
                <w:p w14:paraId="6FA549EA">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多功能电极架</w:t>
                  </w:r>
                </w:p>
              </w:tc>
              <w:tc>
                <w:tcPr>
                  <w:tcW w:w="2086" w:type="dxa"/>
                  <w:shd w:val="clear" w:color="auto" w:fill="auto"/>
                  <w:noWrap w:val="0"/>
                  <w:vAlign w:val="center"/>
                </w:tcPr>
                <w:p w14:paraId="78BFBBC0">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w:t>
                  </w:r>
                </w:p>
              </w:tc>
              <w:tc>
                <w:tcPr>
                  <w:tcW w:w="1991" w:type="dxa"/>
                  <w:shd w:val="clear" w:color="auto" w:fill="auto"/>
                  <w:noWrap w:val="0"/>
                  <w:vAlign w:val="center"/>
                </w:tcPr>
                <w:p w14:paraId="1829FA9D">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1套</w:t>
                  </w:r>
                </w:p>
              </w:tc>
            </w:tr>
            <w:tr w14:paraId="36E52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6" w:type="dxa"/>
                  <w:vMerge w:val="continue"/>
                  <w:noWrap w:val="0"/>
                  <w:vAlign w:val="center"/>
                </w:tcPr>
                <w:p w14:paraId="5F21C6BA">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sz w:val="21"/>
                      <w:szCs w:val="21"/>
                    </w:rPr>
                  </w:pPr>
                </w:p>
              </w:tc>
              <w:tc>
                <w:tcPr>
                  <w:tcW w:w="3538" w:type="dxa"/>
                  <w:shd w:val="clear" w:color="auto" w:fill="auto"/>
                  <w:noWrap w:val="0"/>
                  <w:vAlign w:val="center"/>
                </w:tcPr>
                <w:p w14:paraId="63693484">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电源适配器DC 9V(内正外负)</w:t>
                  </w:r>
                </w:p>
              </w:tc>
              <w:tc>
                <w:tcPr>
                  <w:tcW w:w="2086" w:type="dxa"/>
                  <w:shd w:val="clear" w:color="auto" w:fill="auto"/>
                  <w:noWrap w:val="0"/>
                  <w:vAlign w:val="center"/>
                </w:tcPr>
                <w:p w14:paraId="5F4D45AE">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w:t>
                  </w:r>
                </w:p>
              </w:tc>
              <w:tc>
                <w:tcPr>
                  <w:tcW w:w="1991" w:type="dxa"/>
                  <w:shd w:val="clear" w:color="auto" w:fill="auto"/>
                  <w:noWrap w:val="0"/>
                  <w:vAlign w:val="center"/>
                </w:tcPr>
                <w:p w14:paraId="724ABDF3">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1个</w:t>
                  </w:r>
                </w:p>
              </w:tc>
            </w:tr>
            <w:tr w14:paraId="51C14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6" w:type="dxa"/>
                  <w:vMerge w:val="continue"/>
                  <w:noWrap w:val="0"/>
                  <w:vAlign w:val="center"/>
                </w:tcPr>
                <w:p w14:paraId="20876EE1">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sz w:val="21"/>
                      <w:szCs w:val="21"/>
                    </w:rPr>
                  </w:pPr>
                </w:p>
              </w:tc>
              <w:tc>
                <w:tcPr>
                  <w:tcW w:w="3538" w:type="dxa"/>
                  <w:shd w:val="clear" w:color="auto" w:fill="auto"/>
                  <w:noWrap w:val="0"/>
                  <w:vAlign w:val="center"/>
                </w:tcPr>
                <w:p w14:paraId="4C975053">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通用USB连接线</w:t>
                  </w:r>
                </w:p>
              </w:tc>
              <w:tc>
                <w:tcPr>
                  <w:tcW w:w="2086" w:type="dxa"/>
                  <w:shd w:val="clear" w:color="auto" w:fill="auto"/>
                  <w:noWrap w:val="0"/>
                  <w:vAlign w:val="center"/>
                </w:tcPr>
                <w:p w14:paraId="11E66CE9">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w:t>
                  </w:r>
                </w:p>
              </w:tc>
              <w:tc>
                <w:tcPr>
                  <w:tcW w:w="1991" w:type="dxa"/>
                  <w:shd w:val="clear" w:color="auto" w:fill="auto"/>
                  <w:noWrap w:val="0"/>
                  <w:vAlign w:val="center"/>
                </w:tcPr>
                <w:p w14:paraId="7AA0CA1A">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1根</w:t>
                  </w:r>
                </w:p>
              </w:tc>
            </w:tr>
            <w:tr w14:paraId="5E38B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6" w:type="dxa"/>
                  <w:vMerge w:val="continue"/>
                  <w:noWrap w:val="0"/>
                  <w:vAlign w:val="center"/>
                </w:tcPr>
                <w:p w14:paraId="19DA98B9">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sz w:val="21"/>
                      <w:szCs w:val="21"/>
                    </w:rPr>
                  </w:pPr>
                </w:p>
              </w:tc>
              <w:tc>
                <w:tcPr>
                  <w:tcW w:w="3538" w:type="dxa"/>
                  <w:shd w:val="clear" w:color="auto" w:fill="auto"/>
                  <w:noWrap w:val="0"/>
                  <w:vAlign w:val="center"/>
                </w:tcPr>
                <w:p w14:paraId="053A3D58">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防尘罩(按键款)</w:t>
                  </w:r>
                </w:p>
              </w:tc>
              <w:tc>
                <w:tcPr>
                  <w:tcW w:w="2086" w:type="dxa"/>
                  <w:shd w:val="clear" w:color="auto" w:fill="auto"/>
                  <w:noWrap w:val="0"/>
                  <w:vAlign w:val="center"/>
                </w:tcPr>
                <w:p w14:paraId="29BC84AD">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w:t>
                  </w:r>
                </w:p>
              </w:tc>
              <w:tc>
                <w:tcPr>
                  <w:tcW w:w="1991" w:type="dxa"/>
                  <w:shd w:val="clear" w:color="auto" w:fill="auto"/>
                  <w:noWrap w:val="0"/>
                  <w:vAlign w:val="center"/>
                </w:tcPr>
                <w:p w14:paraId="0328F2FF">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1只</w:t>
                  </w:r>
                </w:p>
              </w:tc>
            </w:tr>
          </w:tbl>
          <w:p w14:paraId="08281E40">
            <w:pPr>
              <w:keepNext w:val="0"/>
              <w:keepLines w:val="0"/>
              <w:pageBreakBefore w:val="0"/>
              <w:widowControl w:val="0"/>
              <w:numPr>
                <w:ilvl w:val="0"/>
                <w:numId w:val="0"/>
              </w:numPr>
              <w:kinsoku/>
              <w:wordWrap/>
              <w:overflowPunct/>
              <w:topLinePunct w:val="0"/>
              <w:autoSpaceDE/>
              <w:autoSpaceDN/>
              <w:bidi w:val="0"/>
              <w:adjustRightInd/>
              <w:spacing w:line="360" w:lineRule="auto"/>
              <w:ind w:left="425" w:leftChars="0" w:hanging="425" w:firstLineChars="0"/>
              <w:textAlignment w:val="auto"/>
              <w:rPr>
                <w:rFonts w:hint="eastAsia" w:ascii="宋体" w:hAnsi="宋体" w:eastAsia="宋体" w:cs="宋体"/>
                <w:b/>
                <w:bCs/>
                <w:sz w:val="21"/>
                <w:szCs w:val="21"/>
                <w:lang w:val="en-US" w:eastAsia="zh-CN"/>
              </w:rPr>
            </w:pPr>
            <w:r>
              <w:rPr>
                <w:rFonts w:hint="eastAsia" w:ascii="宋体" w:hAnsi="宋体" w:eastAsia="宋体" w:cs="宋体"/>
                <w:b/>
                <w:bCs/>
                <w:kern w:val="2"/>
                <w:sz w:val="21"/>
                <w:szCs w:val="21"/>
                <w:lang w:val="en-US" w:eastAsia="zh-CN" w:bidi="ar-SA"/>
              </w:rPr>
              <w:t>2.</w:t>
            </w:r>
            <w:r>
              <w:rPr>
                <w:rFonts w:hint="eastAsia" w:ascii="宋体" w:hAnsi="宋体" w:eastAsia="宋体" w:cs="宋体"/>
                <w:b/>
                <w:bCs/>
                <w:sz w:val="21"/>
                <w:szCs w:val="21"/>
                <w:lang w:val="en-US" w:eastAsia="zh-CN"/>
              </w:rPr>
              <w:t>设备功能及要求</w:t>
            </w:r>
          </w:p>
          <w:p w14:paraId="201D7D03">
            <w:pPr>
              <w:keepNext w:val="0"/>
              <w:keepLines w:val="0"/>
              <w:pageBreakBefore w:val="0"/>
              <w:widowControl w:val="0"/>
              <w:numPr>
                <w:ilvl w:val="0"/>
                <w:numId w:val="0"/>
              </w:numPr>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用于地表水、地下水及工业废水（如化工、电镀、电子半导体、冶金等行业）的氟污染评估和排放监控，可以测量电位值、pH值、pX值、ORP值、离子浓度值和温度值。</w:t>
            </w:r>
            <w:bookmarkStart w:id="237" w:name="_GoBack"/>
            <w:bookmarkEnd w:id="237"/>
          </w:p>
          <w:p w14:paraId="07DC9038">
            <w:pPr>
              <w:pStyle w:val="5"/>
              <w:keepNext w:val="0"/>
              <w:keepLines w:val="0"/>
              <w:pageBreakBefore w:val="0"/>
              <w:widowControl w:val="0"/>
              <w:numPr>
                <w:ilvl w:val="0"/>
                <w:numId w:val="0"/>
              </w:numPr>
              <w:kinsoku/>
              <w:wordWrap/>
              <w:overflowPunct/>
              <w:topLinePunct w:val="0"/>
              <w:autoSpaceDE/>
              <w:autoSpaceDN/>
              <w:bidi w:val="0"/>
              <w:adjustRightInd/>
              <w:spacing w:line="360" w:lineRule="auto"/>
              <w:ind w:left="425" w:leftChars="0" w:hanging="425" w:firstLineChars="0"/>
              <w:textAlignment w:val="auto"/>
              <w:rPr>
                <w:rFonts w:hint="eastAsia" w:ascii="宋体" w:hAnsi="宋体" w:eastAsia="宋体" w:cs="宋体"/>
                <w:b/>
                <w:bCs/>
                <w:sz w:val="21"/>
                <w:szCs w:val="21"/>
                <w:lang w:val="en-US" w:eastAsia="zh-CN"/>
              </w:rPr>
            </w:pPr>
            <w:r>
              <w:rPr>
                <w:rFonts w:hint="eastAsia" w:ascii="宋体" w:hAnsi="宋体" w:eastAsia="宋体" w:cs="宋体"/>
                <w:b/>
                <w:bCs/>
                <w:kern w:val="0"/>
                <w:sz w:val="21"/>
                <w:szCs w:val="21"/>
                <w:lang w:val="en-US" w:eastAsia="zh-CN" w:bidi="ar-SA"/>
              </w:rPr>
              <w:t>3.</w:t>
            </w:r>
            <w:r>
              <w:rPr>
                <w:rFonts w:hint="eastAsia" w:ascii="宋体" w:hAnsi="宋体" w:eastAsia="宋体" w:cs="宋体"/>
                <w:b/>
                <w:bCs/>
                <w:sz w:val="21"/>
                <w:szCs w:val="21"/>
                <w:lang w:val="en-US" w:eastAsia="zh-CN"/>
              </w:rPr>
              <w:t>技术参数</w:t>
            </w:r>
          </w:p>
          <w:p w14:paraId="3E2AF32B">
            <w:pPr>
              <w:keepNext w:val="0"/>
              <w:keepLines w:val="0"/>
              <w:pageBreakBefore w:val="0"/>
              <w:widowControl w:val="0"/>
              <w:numPr>
                <w:ilvl w:val="1"/>
                <w:numId w:val="0"/>
              </w:numPr>
              <w:kinsoku/>
              <w:wordWrap/>
              <w:overflowPunct/>
              <w:topLinePunct w:val="0"/>
              <w:autoSpaceDE/>
              <w:autoSpaceDN/>
              <w:bidi w:val="0"/>
              <w:adjustRightInd/>
              <w:spacing w:line="360" w:lineRule="auto"/>
              <w:ind w:left="567" w:leftChars="0" w:hanging="567" w:firstLineChars="0"/>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3.1.</w:t>
            </w:r>
            <w:r>
              <w:rPr>
                <w:rFonts w:hint="eastAsia" w:ascii="宋体" w:hAnsi="宋体" w:eastAsia="宋体" w:cs="宋体"/>
                <w:sz w:val="21"/>
                <w:szCs w:val="21"/>
                <w:lang w:val="en-US" w:eastAsia="zh-CN"/>
              </w:rPr>
              <w:t>采用彩色高清液晶屏幕，显示清晰</w:t>
            </w:r>
          </w:p>
          <w:p w14:paraId="7095FF19">
            <w:pPr>
              <w:keepNext w:val="0"/>
              <w:keepLines w:val="0"/>
              <w:pageBreakBefore w:val="0"/>
              <w:widowControl w:val="0"/>
              <w:numPr>
                <w:ilvl w:val="1"/>
                <w:numId w:val="0"/>
              </w:numPr>
              <w:kinsoku/>
              <w:wordWrap/>
              <w:overflowPunct/>
              <w:topLinePunct w:val="0"/>
              <w:autoSpaceDE/>
              <w:autoSpaceDN/>
              <w:bidi w:val="0"/>
              <w:adjustRightInd/>
              <w:spacing w:line="360" w:lineRule="auto"/>
              <w:ind w:left="567" w:leftChars="0" w:hanging="567"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kern w:val="2"/>
                <w:sz w:val="21"/>
                <w:szCs w:val="21"/>
                <w:lang w:val="en-US" w:eastAsia="zh-CN" w:bidi="ar-SA"/>
              </w:rPr>
              <w:t>3.2.</w:t>
            </w:r>
            <w:r>
              <w:rPr>
                <w:rFonts w:hint="eastAsia" w:ascii="宋体" w:hAnsi="宋体" w:eastAsia="宋体" w:cs="宋体"/>
                <w:sz w:val="21"/>
                <w:szCs w:val="21"/>
                <w:lang w:val="en-US" w:eastAsia="zh-CN"/>
              </w:rPr>
              <w:t>三种分辨率可选：pX支持0.001pX、0.01pX和0.1pX，mV支持0.01mV、0.1 mV和1mV</w:t>
            </w:r>
          </w:p>
          <w:p w14:paraId="616BFEB1">
            <w:pPr>
              <w:keepNext w:val="0"/>
              <w:keepLines w:val="0"/>
              <w:pageBreakBefore w:val="0"/>
              <w:widowControl w:val="0"/>
              <w:numPr>
                <w:ilvl w:val="1"/>
                <w:numId w:val="0"/>
              </w:numPr>
              <w:kinsoku/>
              <w:wordWrap/>
              <w:overflowPunct/>
              <w:topLinePunct w:val="0"/>
              <w:autoSpaceDE/>
              <w:autoSpaceDN/>
              <w:bidi w:val="0"/>
              <w:adjustRightInd/>
              <w:spacing w:line="360" w:lineRule="auto"/>
              <w:ind w:left="567" w:leftChars="0" w:hanging="567" w:firstLineChars="0"/>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3.3.</w:t>
            </w:r>
            <w:r>
              <w:rPr>
                <w:rFonts w:hint="eastAsia" w:ascii="宋体" w:hAnsi="宋体" w:eastAsia="宋体" w:cs="宋体"/>
                <w:sz w:val="21"/>
                <w:szCs w:val="21"/>
                <w:lang w:val="en-US" w:eastAsia="zh-CN"/>
              </w:rPr>
              <w:t>温度单位可选：℃ 和 °F。</w:t>
            </w:r>
          </w:p>
          <w:p w14:paraId="0E4DE6C4">
            <w:pPr>
              <w:keepNext w:val="0"/>
              <w:keepLines w:val="0"/>
              <w:pageBreakBefore w:val="0"/>
              <w:widowControl w:val="0"/>
              <w:numPr>
                <w:ilvl w:val="1"/>
                <w:numId w:val="0"/>
              </w:numPr>
              <w:kinsoku/>
              <w:wordWrap/>
              <w:overflowPunct/>
              <w:topLinePunct w:val="0"/>
              <w:autoSpaceDE/>
              <w:autoSpaceDN/>
              <w:bidi w:val="0"/>
              <w:adjustRightInd/>
              <w:spacing w:line="360" w:lineRule="auto"/>
              <w:ind w:left="567" w:leftChars="0" w:hanging="567" w:firstLineChars="0"/>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3.4.</w:t>
            </w:r>
            <w:r>
              <w:rPr>
                <w:rFonts w:hint="eastAsia" w:ascii="宋体" w:hAnsi="宋体" w:eastAsia="宋体" w:cs="宋体"/>
                <w:sz w:val="21"/>
                <w:szCs w:val="21"/>
                <w:lang w:val="en-US" w:eastAsia="zh-CN"/>
              </w:rPr>
              <w:t>支持开机自诊断、自动关机、断电保护和恢复出厂设置等功能</w:t>
            </w:r>
          </w:p>
          <w:p w14:paraId="12B2F0DC">
            <w:pPr>
              <w:keepNext w:val="0"/>
              <w:keepLines w:val="0"/>
              <w:pageBreakBefore w:val="0"/>
              <w:widowControl w:val="0"/>
              <w:numPr>
                <w:ilvl w:val="1"/>
                <w:numId w:val="0"/>
              </w:numPr>
              <w:kinsoku/>
              <w:wordWrap/>
              <w:overflowPunct/>
              <w:topLinePunct w:val="0"/>
              <w:autoSpaceDE/>
              <w:autoSpaceDN/>
              <w:bidi w:val="0"/>
              <w:adjustRightInd/>
              <w:spacing w:line="360" w:lineRule="auto"/>
              <w:ind w:left="567" w:leftChars="0" w:hanging="567" w:firstLineChars="0"/>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3.5.</w:t>
            </w:r>
            <w:r>
              <w:rPr>
                <w:rFonts w:hint="eastAsia" w:ascii="宋体" w:hAnsi="宋体" w:eastAsia="宋体" w:cs="宋体"/>
                <w:sz w:val="21"/>
                <w:szCs w:val="21"/>
                <w:lang w:val="en-US" w:eastAsia="zh-CN"/>
              </w:rPr>
              <w:t>支持固件升级功能，允许功能扩展和个性化要求</w:t>
            </w:r>
          </w:p>
          <w:p w14:paraId="455BBB94">
            <w:pPr>
              <w:keepNext w:val="0"/>
              <w:keepLines w:val="0"/>
              <w:pageBreakBefore w:val="0"/>
              <w:widowControl w:val="0"/>
              <w:numPr>
                <w:ilvl w:val="1"/>
                <w:numId w:val="0"/>
              </w:numPr>
              <w:kinsoku/>
              <w:wordWrap/>
              <w:overflowPunct/>
              <w:topLinePunct w:val="0"/>
              <w:autoSpaceDE/>
              <w:autoSpaceDN/>
              <w:bidi w:val="0"/>
              <w:adjustRightInd/>
              <w:spacing w:line="360" w:lineRule="auto"/>
              <w:ind w:left="567" w:leftChars="0" w:hanging="567" w:firstLineChars="0"/>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3.6.</w:t>
            </w:r>
            <w:r>
              <w:rPr>
                <w:rFonts w:hint="eastAsia" w:ascii="宋体" w:hAnsi="宋体" w:eastAsia="宋体" w:cs="宋体"/>
                <w:sz w:val="21"/>
                <w:szCs w:val="21"/>
                <w:lang w:val="en-US" w:eastAsia="zh-CN"/>
              </w:rPr>
              <w:t>支持IP54防护等级</w:t>
            </w:r>
          </w:p>
          <w:p w14:paraId="5A32B203">
            <w:pPr>
              <w:keepNext w:val="0"/>
              <w:keepLines w:val="0"/>
              <w:pageBreakBefore w:val="0"/>
              <w:widowControl w:val="0"/>
              <w:numPr>
                <w:ilvl w:val="1"/>
                <w:numId w:val="0"/>
              </w:numPr>
              <w:kinsoku/>
              <w:wordWrap/>
              <w:overflowPunct/>
              <w:topLinePunct w:val="0"/>
              <w:autoSpaceDE/>
              <w:autoSpaceDN/>
              <w:bidi w:val="0"/>
              <w:adjustRightInd/>
              <w:spacing w:line="360" w:lineRule="auto"/>
              <w:ind w:left="567" w:leftChars="0" w:hanging="567" w:firstLineChars="0"/>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3.7.</w:t>
            </w:r>
            <w:r>
              <w:rPr>
                <w:rFonts w:hint="eastAsia" w:ascii="宋体" w:hAnsi="宋体" w:eastAsia="宋体" w:cs="宋体"/>
                <w:sz w:val="21"/>
                <w:szCs w:val="21"/>
                <w:lang w:val="en-US" w:eastAsia="zh-CN"/>
              </w:rPr>
              <w:t>标配搅拌器、氟离子电极、参比电极、温度电极，电极支架、防尘罩。</w:t>
            </w:r>
          </w:p>
          <w:p w14:paraId="20E14FA4">
            <w:pPr>
              <w:keepNext w:val="0"/>
              <w:keepLines w:val="0"/>
              <w:pageBreakBefore w:val="0"/>
              <w:widowControl w:val="0"/>
              <w:numPr>
                <w:ilvl w:val="1"/>
                <w:numId w:val="0"/>
              </w:numPr>
              <w:kinsoku/>
              <w:wordWrap/>
              <w:overflowPunct/>
              <w:topLinePunct w:val="0"/>
              <w:autoSpaceDE/>
              <w:autoSpaceDN/>
              <w:bidi w:val="0"/>
              <w:adjustRightInd/>
              <w:spacing w:line="360" w:lineRule="auto"/>
              <w:ind w:left="567" w:leftChars="0" w:hanging="567" w:firstLineChars="0"/>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3.8.</w:t>
            </w:r>
            <w:r>
              <w:rPr>
                <w:rFonts w:hint="eastAsia" w:ascii="宋体" w:hAnsi="宋体" w:eastAsia="宋体" w:cs="宋体"/>
                <w:sz w:val="21"/>
                <w:szCs w:val="21"/>
                <w:lang w:val="en-US" w:eastAsia="zh-CN"/>
              </w:rPr>
              <w:t>智能判别终点，支持自动读数、定时读数、定时间隔读数、手动读数</w:t>
            </w:r>
          </w:p>
          <w:p w14:paraId="64ACF2A0">
            <w:pPr>
              <w:keepNext w:val="0"/>
              <w:keepLines w:val="0"/>
              <w:pageBreakBefore w:val="0"/>
              <w:widowControl w:val="0"/>
              <w:numPr>
                <w:ilvl w:val="1"/>
                <w:numId w:val="0"/>
              </w:numPr>
              <w:kinsoku/>
              <w:wordWrap/>
              <w:overflowPunct/>
              <w:topLinePunct w:val="0"/>
              <w:autoSpaceDE/>
              <w:autoSpaceDN/>
              <w:bidi w:val="0"/>
              <w:adjustRightInd/>
              <w:spacing w:line="360" w:lineRule="auto"/>
              <w:ind w:left="567" w:leftChars="0" w:hanging="567" w:firstLineChars="0"/>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3.9.</w:t>
            </w:r>
            <w:r>
              <w:rPr>
                <w:rFonts w:hint="eastAsia" w:ascii="宋体" w:hAnsi="宋体" w:eastAsia="宋体" w:cs="宋体"/>
                <w:sz w:val="21"/>
                <w:szCs w:val="21"/>
                <w:lang w:val="en-US" w:eastAsia="zh-CN"/>
              </w:rPr>
              <w:t>支持自动/手动温度补偿</w:t>
            </w:r>
          </w:p>
          <w:p w14:paraId="5F9D0780">
            <w:pPr>
              <w:keepNext w:val="0"/>
              <w:keepLines w:val="0"/>
              <w:pageBreakBefore w:val="0"/>
              <w:widowControl w:val="0"/>
              <w:numPr>
                <w:ilvl w:val="1"/>
                <w:numId w:val="0"/>
              </w:numPr>
              <w:kinsoku/>
              <w:wordWrap/>
              <w:overflowPunct/>
              <w:topLinePunct w:val="0"/>
              <w:autoSpaceDE/>
              <w:autoSpaceDN/>
              <w:bidi w:val="0"/>
              <w:adjustRightInd/>
              <w:spacing w:line="360" w:lineRule="auto"/>
              <w:ind w:left="567" w:leftChars="0" w:hanging="567" w:firstLineChars="0"/>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3.10.</w:t>
            </w:r>
            <w:r>
              <w:rPr>
                <w:rFonts w:hint="eastAsia" w:ascii="宋体" w:hAnsi="宋体" w:eastAsia="宋体" w:cs="宋体"/>
                <w:sz w:val="21"/>
                <w:szCs w:val="21"/>
                <w:lang w:val="en-US" w:eastAsia="zh-CN"/>
              </w:rPr>
              <w:t>支持1-5点pH电极标定</w:t>
            </w:r>
          </w:p>
          <w:p w14:paraId="436A1666">
            <w:pPr>
              <w:keepNext w:val="0"/>
              <w:keepLines w:val="0"/>
              <w:pageBreakBefore w:val="0"/>
              <w:widowControl w:val="0"/>
              <w:numPr>
                <w:ilvl w:val="1"/>
                <w:numId w:val="0"/>
              </w:numPr>
              <w:kinsoku/>
              <w:wordWrap/>
              <w:overflowPunct/>
              <w:topLinePunct w:val="0"/>
              <w:autoSpaceDE/>
              <w:autoSpaceDN/>
              <w:bidi w:val="0"/>
              <w:adjustRightInd/>
              <w:spacing w:line="360" w:lineRule="auto"/>
              <w:ind w:left="567" w:leftChars="0" w:hanging="567" w:firstLineChars="0"/>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3.11.</w:t>
            </w:r>
            <w:r>
              <w:rPr>
                <w:rFonts w:hint="eastAsia" w:ascii="宋体" w:hAnsi="宋体" w:eastAsia="宋体" w:cs="宋体"/>
                <w:sz w:val="21"/>
                <w:szCs w:val="21"/>
                <w:lang w:val="en-US" w:eastAsia="zh-CN"/>
              </w:rPr>
              <w:t>自动识别GB、DIN、NIST、USA等4组标准缓冲溶液，支持标液组管理，支持自定义pH缓冲溶液和标液组</w:t>
            </w:r>
          </w:p>
          <w:p w14:paraId="610C0301">
            <w:pPr>
              <w:keepNext w:val="0"/>
              <w:keepLines w:val="0"/>
              <w:pageBreakBefore w:val="0"/>
              <w:widowControl w:val="0"/>
              <w:numPr>
                <w:ilvl w:val="1"/>
                <w:numId w:val="0"/>
              </w:numPr>
              <w:kinsoku/>
              <w:wordWrap/>
              <w:overflowPunct/>
              <w:topLinePunct w:val="0"/>
              <w:autoSpaceDE/>
              <w:autoSpaceDN/>
              <w:bidi w:val="0"/>
              <w:adjustRightInd/>
              <w:spacing w:line="360" w:lineRule="auto"/>
              <w:ind w:left="567" w:leftChars="0" w:hanging="567" w:firstLineChars="0"/>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3.12.</w:t>
            </w:r>
            <w:r>
              <w:rPr>
                <w:rFonts w:hint="eastAsia" w:ascii="宋体" w:hAnsi="宋体" w:eastAsia="宋体" w:cs="宋体"/>
                <w:sz w:val="21"/>
                <w:szCs w:val="21"/>
                <w:lang w:val="en-US" w:eastAsia="zh-CN"/>
              </w:rPr>
              <w:t>内置Na+、K+、NH4+、Cl-、F-等多种离子模式，允许用户自建</w:t>
            </w:r>
          </w:p>
          <w:p w14:paraId="2B356236">
            <w:pPr>
              <w:keepNext w:val="0"/>
              <w:keepLines w:val="0"/>
              <w:pageBreakBefore w:val="0"/>
              <w:widowControl w:val="0"/>
              <w:numPr>
                <w:ilvl w:val="1"/>
                <w:numId w:val="0"/>
              </w:numPr>
              <w:kinsoku/>
              <w:wordWrap/>
              <w:overflowPunct/>
              <w:topLinePunct w:val="0"/>
              <w:autoSpaceDE/>
              <w:autoSpaceDN/>
              <w:bidi w:val="0"/>
              <w:adjustRightInd/>
              <w:spacing w:line="360" w:lineRule="auto"/>
              <w:ind w:left="567" w:leftChars="0" w:hanging="567" w:firstLineChars="0"/>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3.13.</w:t>
            </w:r>
            <w:r>
              <w:rPr>
                <w:rFonts w:hint="eastAsia" w:ascii="宋体" w:hAnsi="宋体" w:eastAsia="宋体" w:cs="宋体"/>
                <w:sz w:val="21"/>
                <w:szCs w:val="21"/>
                <w:lang w:val="en-US" w:eastAsia="zh-CN"/>
              </w:rPr>
              <w:t>μg/L、mg/L、g/L、mol/L、mmol/L、PX多种离子浓度单位快速切换</w:t>
            </w:r>
          </w:p>
          <w:p w14:paraId="0622E3F1">
            <w:pPr>
              <w:keepNext w:val="0"/>
              <w:keepLines w:val="0"/>
              <w:pageBreakBefore w:val="0"/>
              <w:widowControl w:val="0"/>
              <w:numPr>
                <w:ilvl w:val="1"/>
                <w:numId w:val="0"/>
              </w:numPr>
              <w:kinsoku/>
              <w:wordWrap/>
              <w:overflowPunct/>
              <w:topLinePunct w:val="0"/>
              <w:autoSpaceDE/>
              <w:autoSpaceDN/>
              <w:bidi w:val="0"/>
              <w:adjustRightInd/>
              <w:spacing w:line="360" w:lineRule="auto"/>
              <w:ind w:left="567" w:leftChars="0" w:hanging="567" w:firstLineChars="0"/>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3.14.</w:t>
            </w:r>
            <w:r>
              <w:rPr>
                <w:rFonts w:hint="eastAsia" w:ascii="宋体" w:hAnsi="宋体" w:eastAsia="宋体" w:cs="宋体"/>
                <w:sz w:val="21"/>
                <w:szCs w:val="21"/>
                <w:lang w:val="en-US" w:eastAsia="zh-CN"/>
              </w:rPr>
              <w:t>测量模式：直读浓度法测量、标准添加法测量、样品添加法测量、GRAN法测量</w:t>
            </w:r>
          </w:p>
          <w:p w14:paraId="1EA2705C">
            <w:pPr>
              <w:keepNext w:val="0"/>
              <w:keepLines w:val="0"/>
              <w:pageBreakBefore w:val="0"/>
              <w:widowControl w:val="0"/>
              <w:numPr>
                <w:ilvl w:val="1"/>
                <w:numId w:val="0"/>
              </w:numPr>
              <w:kinsoku/>
              <w:wordWrap/>
              <w:overflowPunct/>
              <w:topLinePunct w:val="0"/>
              <w:autoSpaceDE/>
              <w:autoSpaceDN/>
              <w:bidi w:val="0"/>
              <w:adjustRightInd/>
              <w:spacing w:line="360" w:lineRule="auto"/>
              <w:ind w:left="567" w:leftChars="0" w:hanging="567" w:firstLineChars="0"/>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3.15.</w:t>
            </w:r>
            <w:r>
              <w:rPr>
                <w:rFonts w:hint="eastAsia" w:ascii="宋体" w:hAnsi="宋体" w:eastAsia="宋体" w:cs="宋体"/>
                <w:sz w:val="21"/>
                <w:szCs w:val="21"/>
                <w:lang w:val="en-US" w:eastAsia="zh-CN"/>
              </w:rPr>
              <w:t>支持数据存储（</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sz w:val="21"/>
                <w:szCs w:val="21"/>
                <w:lang w:val="en-US" w:eastAsia="zh-CN"/>
              </w:rPr>
              <w:t>500套）、查阅、删除、传输和打印</w:t>
            </w:r>
          </w:p>
          <w:p w14:paraId="2ED56358">
            <w:pPr>
              <w:keepNext w:val="0"/>
              <w:keepLines w:val="0"/>
              <w:pageBreakBefore w:val="0"/>
              <w:widowControl w:val="0"/>
              <w:numPr>
                <w:ilvl w:val="1"/>
                <w:numId w:val="0"/>
              </w:numPr>
              <w:kinsoku/>
              <w:wordWrap/>
              <w:overflowPunct/>
              <w:topLinePunct w:val="0"/>
              <w:autoSpaceDE/>
              <w:autoSpaceDN/>
              <w:bidi w:val="0"/>
              <w:adjustRightInd/>
              <w:spacing w:line="360" w:lineRule="auto"/>
              <w:ind w:left="567" w:leftChars="0" w:hanging="567" w:firstLineChars="0"/>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3.17.</w:t>
            </w:r>
            <w:r>
              <w:rPr>
                <w:rFonts w:hint="eastAsia" w:ascii="宋体" w:hAnsi="宋体" w:eastAsia="宋体" w:cs="宋体"/>
                <w:sz w:val="21"/>
                <w:szCs w:val="21"/>
                <w:lang w:val="en-US" w:eastAsia="zh-CN"/>
              </w:rPr>
              <w:t>直接打印测量结果，打印格式可选</w:t>
            </w:r>
          </w:p>
          <w:p w14:paraId="64B4C109">
            <w:pPr>
              <w:keepNext w:val="0"/>
              <w:keepLines w:val="0"/>
              <w:pageBreakBefore w:val="0"/>
              <w:widowControl w:val="0"/>
              <w:numPr>
                <w:ilvl w:val="1"/>
                <w:numId w:val="0"/>
              </w:numPr>
              <w:kinsoku/>
              <w:wordWrap/>
              <w:overflowPunct/>
              <w:topLinePunct w:val="0"/>
              <w:autoSpaceDE/>
              <w:autoSpaceDN/>
              <w:bidi w:val="0"/>
              <w:adjustRightInd/>
              <w:spacing w:line="360" w:lineRule="auto"/>
              <w:ind w:left="567" w:leftChars="0" w:hanging="567" w:firstLineChars="0"/>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3.18.</w:t>
            </w:r>
            <w:r>
              <w:rPr>
                <w:rFonts w:hint="eastAsia" w:ascii="宋体" w:hAnsi="宋体" w:eastAsia="宋体" w:cs="宋体"/>
                <w:sz w:val="21"/>
                <w:szCs w:val="21"/>
                <w:lang w:val="en-US" w:eastAsia="zh-CN"/>
              </w:rPr>
              <w:t>具有USB</w:t>
            </w:r>
            <w:r>
              <w:rPr>
                <w:rFonts w:hint="eastAsia" w:ascii="宋体" w:hAnsi="宋体" w:cs="宋体"/>
                <w:sz w:val="21"/>
                <w:szCs w:val="21"/>
                <w:lang w:val="en-US" w:eastAsia="zh-CN"/>
              </w:rPr>
              <w:t>等</w:t>
            </w:r>
            <w:r>
              <w:rPr>
                <w:rFonts w:hint="eastAsia" w:ascii="宋体" w:hAnsi="宋体" w:eastAsia="宋体" w:cs="宋体"/>
                <w:sz w:val="21"/>
                <w:szCs w:val="21"/>
                <w:lang w:val="en-US" w:eastAsia="zh-CN"/>
              </w:rPr>
              <w:t>接口，</w:t>
            </w:r>
            <w:r>
              <w:rPr>
                <w:rFonts w:hint="eastAsia" w:ascii="宋体" w:hAnsi="宋体" w:cs="宋体"/>
                <w:sz w:val="21"/>
                <w:szCs w:val="21"/>
                <w:lang w:val="en-US" w:eastAsia="zh-CN"/>
              </w:rPr>
              <w:t>能</w:t>
            </w:r>
            <w:r>
              <w:rPr>
                <w:rFonts w:hint="eastAsia" w:ascii="宋体" w:hAnsi="宋体" w:eastAsia="宋体" w:cs="宋体"/>
                <w:sz w:val="21"/>
                <w:szCs w:val="21"/>
                <w:lang w:val="en-US" w:eastAsia="zh-CN"/>
              </w:rPr>
              <w:t>实现数据传输</w:t>
            </w:r>
          </w:p>
          <w:p w14:paraId="3CAD4DDC">
            <w:pPr>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sz w:val="21"/>
                <w:szCs w:val="21"/>
                <w:lang w:val="en-US" w:eastAsia="zh-CN"/>
              </w:rPr>
            </w:pPr>
          </w:p>
          <w:p w14:paraId="458B1F35">
            <w:pPr>
              <w:keepNext w:val="0"/>
              <w:keepLines w:val="0"/>
              <w:pageBreakBefore w:val="0"/>
              <w:widowControl w:val="0"/>
              <w:numPr>
                <w:ilvl w:val="0"/>
                <w:numId w:val="0"/>
              </w:numPr>
              <w:kinsoku/>
              <w:wordWrap/>
              <w:overflowPunct/>
              <w:topLinePunct w:val="0"/>
              <w:autoSpaceDE/>
              <w:autoSpaceDN/>
              <w:bidi w:val="0"/>
              <w:adjustRightInd/>
              <w:spacing w:line="360" w:lineRule="auto"/>
              <w:ind w:left="425" w:leftChars="0" w:hanging="425" w:firstLineChars="0"/>
              <w:textAlignment w:val="auto"/>
              <w:rPr>
                <w:rFonts w:hint="eastAsia" w:ascii="宋体" w:hAnsi="宋体" w:eastAsia="宋体" w:cs="宋体"/>
                <w:b/>
                <w:bCs/>
                <w:sz w:val="21"/>
                <w:szCs w:val="21"/>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bCs/>
                <w:kern w:val="2"/>
                <w:sz w:val="21"/>
                <w:szCs w:val="21"/>
                <w:lang w:val="en-US" w:eastAsia="zh-CN" w:bidi="ar-SA"/>
              </w:rPr>
              <w:t>4.</w:t>
            </w:r>
            <w:r>
              <w:rPr>
                <w:rFonts w:hint="eastAsia" w:ascii="宋体" w:hAnsi="宋体" w:eastAsia="宋体" w:cs="宋体"/>
                <w:b/>
                <w:bCs/>
                <w:sz w:val="21"/>
                <w:szCs w:val="21"/>
                <w:lang w:val="en-US" w:eastAsia="zh-CN"/>
              </w:rPr>
              <w:t>分析项目指标</w:t>
            </w:r>
          </w:p>
          <w:p w14:paraId="39D49F20">
            <w:pPr>
              <w:keepNext w:val="0"/>
              <w:keepLines w:val="0"/>
              <w:pageBreakBefore w:val="0"/>
              <w:widowControl w:val="0"/>
              <w:numPr>
                <w:ilvl w:val="1"/>
                <w:numId w:val="0"/>
              </w:numPr>
              <w:kinsoku/>
              <w:wordWrap/>
              <w:overflowPunct/>
              <w:topLinePunct w:val="0"/>
              <w:autoSpaceDE/>
              <w:autoSpaceDN/>
              <w:bidi w:val="0"/>
              <w:adjustRightInd/>
              <w:spacing w:line="360" w:lineRule="auto"/>
              <w:ind w:left="567" w:leftChars="0" w:hanging="567"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4.1.</w:t>
            </w:r>
            <w:r>
              <w:rPr>
                <w:rFonts w:hint="eastAsia" w:ascii="宋体" w:hAnsi="宋体" w:eastAsia="宋体" w:cs="宋体"/>
                <w:sz w:val="21"/>
                <w:szCs w:val="21"/>
              </w:rPr>
              <w:t>测量参数电位值、pH值、pX值、ORP值、离子浓度值和温度值</w:t>
            </w:r>
          </w:p>
          <w:p w14:paraId="225205E8">
            <w:pPr>
              <w:keepNext w:val="0"/>
              <w:keepLines w:val="0"/>
              <w:pageBreakBefore w:val="0"/>
              <w:widowControl w:val="0"/>
              <w:numPr>
                <w:ilvl w:val="1"/>
                <w:numId w:val="0"/>
              </w:numPr>
              <w:kinsoku/>
              <w:wordWrap/>
              <w:overflowPunct/>
              <w:topLinePunct w:val="0"/>
              <w:autoSpaceDE/>
              <w:autoSpaceDN/>
              <w:bidi w:val="0"/>
              <w:adjustRightInd/>
              <w:spacing w:line="360" w:lineRule="auto"/>
              <w:ind w:left="567" w:leftChars="0" w:hanging="567"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4.2.</w:t>
            </w:r>
            <w:r>
              <w:rPr>
                <w:rFonts w:hint="eastAsia" w:ascii="宋体" w:hAnsi="宋体" w:eastAsia="宋体" w:cs="宋体"/>
                <w:sz w:val="21"/>
                <w:szCs w:val="21"/>
              </w:rPr>
              <w:t>mV：</w:t>
            </w:r>
          </w:p>
          <w:p w14:paraId="571AF8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范围：(-2000.00～2000.00)mV</w:t>
            </w:r>
          </w:p>
          <w:p w14:paraId="59DC19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最小分辨率</w:t>
            </w:r>
            <w:r>
              <w:rPr>
                <w:rFonts w:hint="eastAsia" w:ascii="宋体" w:hAnsi="宋体" w:eastAsia="宋体" w:cs="宋体"/>
                <w:sz w:val="21"/>
                <w:szCs w:val="21"/>
                <w:lang w:eastAsia="zh-CN"/>
              </w:rPr>
              <w:t>：</w:t>
            </w:r>
            <w:r>
              <w:rPr>
                <w:rFonts w:hint="eastAsia" w:ascii="宋体" w:hAnsi="宋体" w:eastAsia="宋体" w:cs="宋体"/>
                <w:sz w:val="21"/>
                <w:szCs w:val="21"/>
              </w:rPr>
              <w:t xml:space="preserve"> 0.01 mV</w:t>
            </w:r>
          </w:p>
          <w:p w14:paraId="1D01FB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电子单元示值误差</w:t>
            </w:r>
            <w:r>
              <w:rPr>
                <w:rFonts w:hint="eastAsia" w:ascii="宋体" w:hAnsi="宋体" w:eastAsia="宋体" w:cs="宋体"/>
                <w:sz w:val="21"/>
                <w:szCs w:val="21"/>
                <w:lang w:eastAsia="zh-CN"/>
              </w:rPr>
              <w:t>：</w:t>
            </w:r>
            <w:r>
              <w:rPr>
                <w:rFonts w:hint="eastAsia" w:ascii="宋体" w:hAnsi="宋体" w:eastAsia="宋体" w:cs="宋体"/>
                <w:sz w:val="21"/>
                <w:szCs w:val="21"/>
              </w:rPr>
              <w:t xml:space="preserve"> ±0.03%或±0.1 mV</w:t>
            </w:r>
          </w:p>
          <w:p w14:paraId="2ACAD1A1">
            <w:pPr>
              <w:keepNext w:val="0"/>
              <w:keepLines w:val="0"/>
              <w:pageBreakBefore w:val="0"/>
              <w:widowControl w:val="0"/>
              <w:numPr>
                <w:ilvl w:val="1"/>
                <w:numId w:val="0"/>
              </w:numPr>
              <w:kinsoku/>
              <w:wordWrap/>
              <w:overflowPunct/>
              <w:topLinePunct w:val="0"/>
              <w:autoSpaceDE/>
              <w:autoSpaceDN/>
              <w:bidi w:val="0"/>
              <w:adjustRightInd/>
              <w:spacing w:line="360" w:lineRule="auto"/>
              <w:ind w:left="567" w:leftChars="0" w:hanging="567"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4.3.</w:t>
            </w:r>
            <w:r>
              <w:rPr>
                <w:rFonts w:hint="eastAsia" w:ascii="宋体" w:hAnsi="宋体" w:eastAsia="宋体" w:cs="宋体"/>
                <w:sz w:val="21"/>
                <w:szCs w:val="21"/>
              </w:rPr>
              <w:t>pH：</w:t>
            </w:r>
          </w:p>
          <w:p w14:paraId="4526F7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范围：(-2.000～20.000)pH</w:t>
            </w:r>
          </w:p>
          <w:p w14:paraId="339970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最小分辨率</w:t>
            </w:r>
            <w:r>
              <w:rPr>
                <w:rFonts w:hint="eastAsia" w:ascii="宋体" w:hAnsi="宋体" w:eastAsia="宋体" w:cs="宋体"/>
                <w:sz w:val="21"/>
                <w:szCs w:val="21"/>
                <w:lang w:eastAsia="zh-CN"/>
              </w:rPr>
              <w:t>：</w:t>
            </w:r>
            <w:r>
              <w:rPr>
                <w:rFonts w:hint="eastAsia" w:ascii="宋体" w:hAnsi="宋体" w:eastAsia="宋体" w:cs="宋体"/>
                <w:sz w:val="21"/>
                <w:szCs w:val="21"/>
              </w:rPr>
              <w:t xml:space="preserve"> 0.001 pH</w:t>
            </w:r>
          </w:p>
          <w:p w14:paraId="259FFD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电子单元示值误差</w:t>
            </w:r>
            <w:r>
              <w:rPr>
                <w:rFonts w:hint="eastAsia" w:ascii="宋体" w:hAnsi="宋体" w:eastAsia="宋体" w:cs="宋体"/>
                <w:sz w:val="21"/>
                <w:szCs w:val="21"/>
                <w:lang w:eastAsia="zh-CN"/>
              </w:rPr>
              <w:t>：</w:t>
            </w:r>
            <w:r>
              <w:rPr>
                <w:rFonts w:hint="eastAsia" w:ascii="宋体" w:hAnsi="宋体" w:eastAsia="宋体" w:cs="宋体"/>
                <w:sz w:val="21"/>
                <w:szCs w:val="21"/>
              </w:rPr>
              <w:t xml:space="preserve"> ±0.002pH</w:t>
            </w:r>
          </w:p>
          <w:p w14:paraId="4E2C867E">
            <w:pPr>
              <w:keepNext w:val="0"/>
              <w:keepLines w:val="0"/>
              <w:pageBreakBefore w:val="0"/>
              <w:widowControl w:val="0"/>
              <w:numPr>
                <w:ilvl w:val="1"/>
                <w:numId w:val="0"/>
              </w:numPr>
              <w:kinsoku/>
              <w:wordWrap/>
              <w:overflowPunct/>
              <w:topLinePunct w:val="0"/>
              <w:autoSpaceDE/>
              <w:autoSpaceDN/>
              <w:bidi w:val="0"/>
              <w:adjustRightInd/>
              <w:spacing w:line="360" w:lineRule="auto"/>
              <w:ind w:left="567" w:leftChars="0" w:hanging="567"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4.4.</w:t>
            </w:r>
            <w:r>
              <w:rPr>
                <w:rFonts w:hint="eastAsia" w:ascii="宋体" w:hAnsi="宋体" w:eastAsia="宋体" w:cs="宋体"/>
                <w:sz w:val="21"/>
                <w:szCs w:val="21"/>
              </w:rPr>
              <w:t>pX：</w:t>
            </w:r>
          </w:p>
          <w:p w14:paraId="6E2028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范围：(-2.000～20.000)pX</w:t>
            </w:r>
          </w:p>
          <w:p w14:paraId="47D325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最小分辨率</w:t>
            </w:r>
            <w:r>
              <w:rPr>
                <w:rFonts w:hint="eastAsia" w:ascii="宋体" w:hAnsi="宋体" w:eastAsia="宋体" w:cs="宋体"/>
                <w:sz w:val="21"/>
                <w:szCs w:val="21"/>
                <w:lang w:eastAsia="zh-CN"/>
              </w:rPr>
              <w:t>：</w:t>
            </w:r>
            <w:r>
              <w:rPr>
                <w:rFonts w:hint="eastAsia" w:ascii="宋体" w:hAnsi="宋体" w:eastAsia="宋体" w:cs="宋体"/>
                <w:sz w:val="21"/>
                <w:szCs w:val="21"/>
              </w:rPr>
              <w:t xml:space="preserve"> 0.001 pX</w:t>
            </w:r>
          </w:p>
          <w:p w14:paraId="71943A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电子单元示值误差</w:t>
            </w:r>
            <w:r>
              <w:rPr>
                <w:rFonts w:hint="eastAsia" w:ascii="宋体" w:hAnsi="宋体" w:eastAsia="宋体" w:cs="宋体"/>
                <w:sz w:val="21"/>
                <w:szCs w:val="21"/>
                <w:lang w:eastAsia="zh-CN"/>
              </w:rPr>
              <w:t>：</w:t>
            </w:r>
            <w:r>
              <w:rPr>
                <w:rFonts w:hint="eastAsia" w:ascii="宋体" w:hAnsi="宋体" w:eastAsia="宋体" w:cs="宋体"/>
                <w:sz w:val="21"/>
                <w:szCs w:val="21"/>
              </w:rPr>
              <w:t xml:space="preserve"> ±0.002 pX</w:t>
            </w:r>
          </w:p>
          <w:p w14:paraId="058A0E64">
            <w:pPr>
              <w:keepNext w:val="0"/>
              <w:keepLines w:val="0"/>
              <w:pageBreakBefore w:val="0"/>
              <w:widowControl w:val="0"/>
              <w:numPr>
                <w:ilvl w:val="1"/>
                <w:numId w:val="0"/>
              </w:numPr>
              <w:kinsoku/>
              <w:wordWrap/>
              <w:overflowPunct/>
              <w:topLinePunct w:val="0"/>
              <w:autoSpaceDE/>
              <w:autoSpaceDN/>
              <w:bidi w:val="0"/>
              <w:adjustRightInd/>
              <w:spacing w:line="360" w:lineRule="auto"/>
              <w:ind w:left="567" w:leftChars="0" w:hanging="567"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4.5.</w:t>
            </w:r>
            <w:r>
              <w:rPr>
                <w:rFonts w:hint="eastAsia" w:ascii="宋体" w:hAnsi="宋体" w:eastAsia="宋体" w:cs="宋体"/>
                <w:sz w:val="21"/>
                <w:szCs w:val="21"/>
              </w:rPr>
              <w:t>离子浓度：</w:t>
            </w:r>
          </w:p>
          <w:p w14:paraId="581BD4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范围</w:t>
            </w:r>
            <w:r>
              <w:rPr>
                <w:rFonts w:hint="eastAsia" w:ascii="宋体" w:hAnsi="宋体" w:eastAsia="宋体" w:cs="宋体"/>
                <w:sz w:val="21"/>
                <w:szCs w:val="21"/>
                <w:lang w:eastAsia="zh-CN"/>
              </w:rPr>
              <w:t>：</w:t>
            </w:r>
            <w:r>
              <w:rPr>
                <w:rFonts w:hint="eastAsia" w:ascii="宋体" w:hAnsi="宋体" w:eastAsia="宋体" w:cs="宋体"/>
                <w:sz w:val="21"/>
                <w:szCs w:val="21"/>
              </w:rPr>
              <w:t xml:space="preserve"> (0～19990)，Unit: mol/L, mmol/L, g/L, mg/L, μg/L</w:t>
            </w:r>
          </w:p>
          <w:p w14:paraId="37DD46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精度：</w:t>
            </w:r>
            <w:r>
              <w:rPr>
                <w:rFonts w:hint="eastAsia" w:ascii="宋体" w:hAnsi="宋体" w:eastAsia="宋体" w:cs="宋体"/>
                <w:sz w:val="21"/>
                <w:szCs w:val="21"/>
              </w:rPr>
              <w:t>±0.002</w:t>
            </w:r>
            <w:r>
              <w:rPr>
                <w:rFonts w:hint="eastAsia" w:ascii="宋体" w:hAnsi="宋体" w:eastAsia="宋体" w:cs="宋体"/>
                <w:sz w:val="21"/>
                <w:szCs w:val="21"/>
                <w:lang w:val="en-US" w:eastAsia="zh-CN"/>
              </w:rPr>
              <w:t>pX</w:t>
            </w:r>
          </w:p>
          <w:p w14:paraId="3FB44C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最小分辨率</w:t>
            </w:r>
            <w:r>
              <w:rPr>
                <w:rFonts w:hint="eastAsia" w:ascii="宋体" w:hAnsi="宋体" w:eastAsia="宋体" w:cs="宋体"/>
                <w:sz w:val="21"/>
                <w:szCs w:val="21"/>
                <w:lang w:eastAsia="zh-CN"/>
              </w:rPr>
              <w:t>：</w:t>
            </w:r>
            <w:r>
              <w:rPr>
                <w:rFonts w:hint="eastAsia" w:ascii="宋体" w:hAnsi="宋体" w:eastAsia="宋体" w:cs="宋体"/>
                <w:sz w:val="21"/>
                <w:szCs w:val="21"/>
              </w:rPr>
              <w:t xml:space="preserve"> 4位有效数字</w:t>
            </w:r>
          </w:p>
          <w:p w14:paraId="0BD2B2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电子单元示值误差</w:t>
            </w:r>
            <w:r>
              <w:rPr>
                <w:rFonts w:hint="eastAsia" w:ascii="宋体" w:hAnsi="宋体" w:eastAsia="宋体" w:cs="宋体"/>
                <w:sz w:val="21"/>
                <w:szCs w:val="21"/>
                <w:lang w:eastAsia="zh-CN"/>
              </w:rPr>
              <w:t>：</w:t>
            </w:r>
            <w:r>
              <w:rPr>
                <w:rFonts w:hint="eastAsia" w:ascii="宋体" w:hAnsi="宋体" w:eastAsia="宋体" w:cs="宋体"/>
                <w:sz w:val="21"/>
                <w:szCs w:val="21"/>
              </w:rPr>
              <w:t xml:space="preserve"> ±0.3%</w:t>
            </w:r>
          </w:p>
          <w:p w14:paraId="1D3A982C">
            <w:pPr>
              <w:keepNext w:val="0"/>
              <w:keepLines w:val="0"/>
              <w:pageBreakBefore w:val="0"/>
              <w:widowControl w:val="0"/>
              <w:numPr>
                <w:ilvl w:val="1"/>
                <w:numId w:val="0"/>
              </w:numPr>
              <w:kinsoku/>
              <w:wordWrap/>
              <w:overflowPunct/>
              <w:topLinePunct w:val="0"/>
              <w:autoSpaceDE/>
              <w:autoSpaceDN/>
              <w:bidi w:val="0"/>
              <w:adjustRightInd/>
              <w:spacing w:line="360" w:lineRule="auto"/>
              <w:ind w:left="567" w:leftChars="0" w:hanging="567"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4.6.</w:t>
            </w:r>
            <w:r>
              <w:rPr>
                <w:rFonts w:hint="eastAsia" w:ascii="宋体" w:hAnsi="宋体" w:eastAsia="宋体" w:cs="宋体"/>
                <w:sz w:val="21"/>
                <w:szCs w:val="21"/>
              </w:rPr>
              <w:t>温度：</w:t>
            </w:r>
          </w:p>
          <w:p w14:paraId="6F36B5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范围</w:t>
            </w:r>
            <w:r>
              <w:rPr>
                <w:rFonts w:hint="eastAsia" w:ascii="宋体" w:hAnsi="宋体" w:eastAsia="宋体" w:cs="宋体"/>
                <w:sz w:val="21"/>
                <w:szCs w:val="21"/>
                <w:lang w:eastAsia="zh-CN"/>
              </w:rPr>
              <w:t>：</w:t>
            </w:r>
            <w:r>
              <w:rPr>
                <w:rFonts w:hint="eastAsia" w:ascii="宋体" w:hAnsi="宋体" w:eastAsia="宋体" w:cs="宋体"/>
                <w:sz w:val="21"/>
                <w:szCs w:val="21"/>
              </w:rPr>
              <w:t xml:space="preserve"> (-10.0～135.0)℃/(14-275)℉</w:t>
            </w:r>
          </w:p>
          <w:p w14:paraId="2FA422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最小分辨率</w:t>
            </w:r>
            <w:r>
              <w:rPr>
                <w:rFonts w:hint="eastAsia" w:ascii="宋体" w:hAnsi="宋体" w:eastAsia="宋体" w:cs="宋体"/>
                <w:sz w:val="21"/>
                <w:szCs w:val="21"/>
                <w:lang w:eastAsia="zh-CN"/>
              </w:rPr>
              <w:t>：</w:t>
            </w:r>
            <w:r>
              <w:rPr>
                <w:rFonts w:hint="eastAsia" w:ascii="宋体" w:hAnsi="宋体" w:eastAsia="宋体" w:cs="宋体"/>
                <w:sz w:val="21"/>
                <w:szCs w:val="21"/>
              </w:rPr>
              <w:t xml:space="preserve"> 0.1 ℃/0.1℉</w:t>
            </w:r>
          </w:p>
          <w:p w14:paraId="5DFA64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电子单元示值误差</w:t>
            </w:r>
            <w:r>
              <w:rPr>
                <w:rFonts w:hint="eastAsia" w:ascii="宋体" w:hAnsi="宋体" w:eastAsia="宋体" w:cs="宋体"/>
                <w:sz w:val="21"/>
                <w:szCs w:val="21"/>
                <w:lang w:eastAsia="zh-CN"/>
              </w:rPr>
              <w:t>：</w:t>
            </w:r>
            <w:r>
              <w:rPr>
                <w:rFonts w:hint="eastAsia" w:ascii="宋体" w:hAnsi="宋体" w:eastAsia="宋体" w:cs="宋体"/>
                <w:sz w:val="21"/>
                <w:szCs w:val="21"/>
              </w:rPr>
              <w:t xml:space="preserve"> ±0.1 ℃/±0.18℉</w:t>
            </w:r>
          </w:p>
        </w:tc>
      </w:tr>
    </w:tbl>
    <w:p w14:paraId="44A8D37F">
      <w:pPr>
        <w:pageBreakBefore w:val="0"/>
        <w:kinsoku/>
        <w:overflowPunct/>
        <w:bidi w:val="0"/>
        <w:spacing w:line="360" w:lineRule="auto"/>
        <w:rPr>
          <w:rFonts w:hint="eastAsia" w:ascii="宋体" w:hAnsi="宋体" w:eastAsia="宋体" w:cs="宋体"/>
          <w:b/>
          <w:color w:val="auto"/>
          <w:sz w:val="24"/>
          <w:szCs w:val="24"/>
          <w:lang w:val="en-US" w:eastAsia="zh-CN" w:bidi="ar"/>
        </w:rPr>
      </w:pPr>
    </w:p>
    <w:p w14:paraId="2ACBDD64">
      <w:pPr>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360" w:lineRule="auto"/>
        <w:ind w:right="0" w:rightChars="0" w:firstLine="482"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auto"/>
          <w:sz w:val="24"/>
          <w:szCs w:val="24"/>
          <w:lang w:val="en-US" w:eastAsia="zh-CN" w:bidi="ar"/>
        </w:rPr>
        <w:t>注：1.</w:t>
      </w:r>
      <w:r>
        <w:rPr>
          <w:rFonts w:hint="eastAsia" w:ascii="宋体" w:hAnsi="宋体" w:eastAsia="宋体" w:cs="宋体"/>
          <w:b/>
          <w:color w:val="auto"/>
          <w:sz w:val="24"/>
          <w:szCs w:val="24"/>
          <w:lang w:eastAsia="zh-CN" w:bidi="ar"/>
        </w:rPr>
        <w:t>本</w:t>
      </w:r>
      <w:r>
        <w:rPr>
          <w:rFonts w:hint="eastAsia" w:ascii="宋体" w:hAnsi="宋体" w:eastAsia="宋体" w:cs="宋体"/>
          <w:b/>
          <w:color w:val="auto"/>
          <w:sz w:val="24"/>
          <w:szCs w:val="24"/>
          <w:lang w:val="en-US" w:eastAsia="zh-CN" w:bidi="ar"/>
        </w:rPr>
        <w:t>章</w:t>
      </w:r>
      <w:r>
        <w:rPr>
          <w:rFonts w:hint="eastAsia" w:ascii="宋体" w:hAnsi="宋体" w:eastAsia="宋体" w:cs="宋体"/>
          <w:b/>
          <w:color w:val="auto"/>
          <w:sz w:val="24"/>
          <w:szCs w:val="24"/>
          <w:lang w:eastAsia="zh-CN" w:bidi="ar"/>
        </w:rPr>
        <w:t>采购需求及技术参数要求</w:t>
      </w:r>
      <w:r>
        <w:rPr>
          <w:rFonts w:hint="eastAsia" w:ascii="宋体" w:hAnsi="宋体" w:eastAsia="宋体" w:cs="宋体"/>
          <w:b/>
          <w:color w:val="auto"/>
          <w:sz w:val="24"/>
          <w:szCs w:val="24"/>
          <w:lang w:val="en-US" w:eastAsia="zh-CN" w:bidi="ar"/>
        </w:rPr>
        <w:t>中</w:t>
      </w:r>
      <w:r>
        <w:rPr>
          <w:rFonts w:hint="eastAsia" w:ascii="宋体" w:hAnsi="宋体" w:eastAsia="宋体" w:cs="宋体"/>
          <w:b/>
          <w:color w:val="auto"/>
          <w:sz w:val="24"/>
          <w:szCs w:val="24"/>
          <w:lang w:eastAsia="zh-CN" w:bidi="ar"/>
        </w:rPr>
        <w:t>如出现引用某一特定的专利技术、商标、名称、设计、原产地或供应者等情况，则仅起参考作用。</w:t>
      </w:r>
      <w:r>
        <w:rPr>
          <w:rFonts w:hint="eastAsia" w:ascii="宋体" w:hAnsi="宋体" w:eastAsia="宋体" w:cs="宋体"/>
          <w:b/>
          <w:color w:val="auto"/>
          <w:sz w:val="24"/>
          <w:szCs w:val="24"/>
          <w:lang w:val="en-US" w:eastAsia="zh-CN" w:bidi="ar"/>
        </w:rPr>
        <w:t>投标单位</w:t>
      </w:r>
      <w:r>
        <w:rPr>
          <w:rFonts w:hint="eastAsia" w:ascii="宋体" w:hAnsi="宋体" w:eastAsia="宋体" w:cs="宋体"/>
          <w:b/>
          <w:color w:val="auto"/>
          <w:sz w:val="24"/>
          <w:szCs w:val="24"/>
          <w:lang w:eastAsia="zh-CN" w:bidi="ar"/>
        </w:rPr>
        <w:t>可选用实质上“相当于”或“优于”该参考技术规格要求的产品，同时填写技术参数响应偏离表。</w:t>
      </w:r>
    </w:p>
    <w:p w14:paraId="4AC82763">
      <w:pPr>
        <w:pageBreakBefore w:val="0"/>
        <w:kinsoku/>
        <w:overflowPunct/>
        <w:bidi w:val="0"/>
        <w:spacing w:line="360" w:lineRule="auto"/>
        <w:rPr>
          <w:rFonts w:hint="eastAsia" w:ascii="宋体" w:hAnsi="宋体" w:eastAsia="宋体" w:cs="宋体"/>
          <w:b/>
          <w:color w:val="auto"/>
          <w:sz w:val="24"/>
          <w:szCs w:val="24"/>
          <w:lang w:val="en-US" w:eastAsia="zh-CN" w:bidi="ar"/>
        </w:rPr>
      </w:pPr>
      <w:r>
        <w:rPr>
          <w:rFonts w:hint="eastAsia" w:ascii="宋体" w:hAnsi="宋体" w:eastAsia="宋体" w:cs="宋体"/>
          <w:b/>
          <w:color w:val="auto"/>
          <w:sz w:val="24"/>
          <w:szCs w:val="24"/>
          <w:lang w:val="en-US" w:eastAsia="zh-CN" w:bidi="ar"/>
        </w:rPr>
        <w:br w:type="page"/>
      </w:r>
    </w:p>
    <w:p w14:paraId="2E661E47">
      <w:pPr>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360" w:lineRule="auto"/>
        <w:ind w:leftChars="0" w:right="0" w:rightChars="0" w:firstLine="482" w:firstLineChars="200"/>
        <w:jc w:val="both"/>
        <w:textAlignment w:val="auto"/>
        <w:rPr>
          <w:rFonts w:hint="eastAsia" w:ascii="宋体" w:hAnsi="宋体" w:eastAsia="宋体" w:cs="宋体"/>
          <w:b/>
          <w:color w:val="auto"/>
          <w:sz w:val="24"/>
          <w:szCs w:val="24"/>
          <w:lang w:val="en-US" w:eastAsia="zh-CN" w:bidi="ar"/>
        </w:rPr>
        <w:sectPr>
          <w:pgSz w:w="16838" w:h="11906" w:orient="landscape"/>
          <w:pgMar w:top="1803" w:right="1440" w:bottom="1803" w:left="1440" w:header="851" w:footer="992" w:gutter="0"/>
          <w:pgNumType w:fmt="decimal"/>
          <w:cols w:space="0" w:num="1"/>
          <w:rtlGutter w:val="0"/>
          <w:docGrid w:type="lines" w:linePitch="319" w:charSpace="0"/>
        </w:sectPr>
      </w:pPr>
    </w:p>
    <w:p w14:paraId="45F5C00F">
      <w:pPr>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三、</w:t>
      </w:r>
      <w:r>
        <w:rPr>
          <w:rFonts w:hint="eastAsia" w:ascii="宋体" w:hAnsi="宋体" w:cs="宋体"/>
          <w:b/>
          <w:bCs/>
          <w:color w:val="auto"/>
          <w:kern w:val="2"/>
          <w:sz w:val="24"/>
          <w:szCs w:val="24"/>
          <w:lang w:val="en-US" w:eastAsia="zh-CN" w:bidi="ar-SA"/>
        </w:rPr>
        <w:t>商务部分</w:t>
      </w:r>
    </w:p>
    <w:p w14:paraId="702C8294">
      <w:pPr>
        <w:keepNext w:val="0"/>
        <w:keepLines w:val="0"/>
        <w:pageBreakBefore w:val="0"/>
        <w:widowControl w:val="0"/>
        <w:tabs>
          <w:tab w:val="left" w:pos="142"/>
        </w:tabs>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（一）包装、运输</w:t>
      </w:r>
    </w:p>
    <w:p w14:paraId="769A6950">
      <w:pPr>
        <w:keepNext w:val="0"/>
        <w:keepLines w:val="0"/>
        <w:pageBreakBefore w:val="0"/>
        <w:widowControl w:val="0"/>
        <w:tabs>
          <w:tab w:val="left" w:pos="14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115" w:name="_Hlk80037347"/>
      <w:r>
        <w:rPr>
          <w:rFonts w:hint="eastAsia" w:ascii="宋体" w:hAnsi="宋体" w:eastAsia="宋体" w:cs="宋体"/>
          <w:color w:val="auto"/>
          <w:sz w:val="24"/>
          <w:szCs w:val="24"/>
          <w:highlight w:val="none"/>
        </w:rPr>
        <w:t>.供应商</w:t>
      </w:r>
      <w:bookmarkEnd w:id="115"/>
      <w:r>
        <w:rPr>
          <w:rFonts w:hint="eastAsia" w:ascii="宋体" w:hAnsi="宋体" w:eastAsia="宋体" w:cs="宋体"/>
          <w:color w:val="auto"/>
          <w:sz w:val="24"/>
          <w:szCs w:val="24"/>
          <w:highlight w:val="none"/>
        </w:rPr>
        <w:t>所供货物必须为制造商原厂包装，包装质量符合国家相关标准。货物要求有包装材料保护运至现场，因包装不良造成的损失由成交供应商负责。</w:t>
      </w:r>
    </w:p>
    <w:p w14:paraId="1CC72484">
      <w:pPr>
        <w:keepNext w:val="0"/>
        <w:keepLines w:val="0"/>
        <w:pageBreakBefore w:val="0"/>
        <w:widowControl w:val="0"/>
        <w:tabs>
          <w:tab w:val="left" w:pos="14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pacing w:val="-6"/>
          <w:sz w:val="24"/>
          <w:szCs w:val="24"/>
          <w:highlight w:val="none"/>
        </w:rPr>
        <w:t>供应商负责将货物材料送到安装地点过程中的全部运输，包括装卸车、货物现场的搬运。</w:t>
      </w:r>
    </w:p>
    <w:p w14:paraId="1ED09893">
      <w:pPr>
        <w:keepNext w:val="0"/>
        <w:keepLines w:val="0"/>
        <w:pageBreakBefore w:val="0"/>
        <w:widowControl w:val="0"/>
        <w:tabs>
          <w:tab w:val="left" w:pos="142"/>
        </w:tabs>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（二）供货安装调试要求</w:t>
      </w:r>
    </w:p>
    <w:p w14:paraId="4379F0DB">
      <w:pPr>
        <w:keepNext w:val="0"/>
        <w:keepLines w:val="0"/>
        <w:pageBreakBefore w:val="0"/>
        <w:widowControl w:val="0"/>
        <w:tabs>
          <w:tab w:val="left" w:pos="14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1.供应商负责到采购人指定的安装地点进行安装调试。</w:t>
      </w:r>
    </w:p>
    <w:p w14:paraId="3819D6E7">
      <w:pPr>
        <w:keepNext w:val="0"/>
        <w:keepLines w:val="0"/>
        <w:pageBreakBefore w:val="0"/>
        <w:widowControl w:val="0"/>
        <w:tabs>
          <w:tab w:val="left" w:pos="14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2.供应商必须提供设备安装、集成及调测服务，并确保调试完成后，设备能够正常运行，达到采购人可正常使用状态。</w:t>
      </w:r>
    </w:p>
    <w:p w14:paraId="5242A25E">
      <w:pPr>
        <w:keepNext w:val="0"/>
        <w:keepLines w:val="0"/>
        <w:pageBreakBefore w:val="0"/>
        <w:widowControl w:val="0"/>
        <w:tabs>
          <w:tab w:val="left" w:pos="142"/>
        </w:tabs>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3.安装设备主机时</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若零地电压未达设备安装要求，需供应商解决。</w:t>
      </w:r>
    </w:p>
    <w:p w14:paraId="4E606926">
      <w:pPr>
        <w:keepNext w:val="0"/>
        <w:keepLines w:val="0"/>
        <w:pageBreakBefore w:val="0"/>
        <w:widowControl w:val="0"/>
        <w:tabs>
          <w:tab w:val="left" w:pos="142"/>
        </w:tabs>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（三）验收</w:t>
      </w:r>
    </w:p>
    <w:p w14:paraId="63AEADCB">
      <w:pPr>
        <w:keepNext w:val="0"/>
        <w:keepLines w:val="0"/>
        <w:pageBreakBefore w:val="0"/>
        <w:widowControl w:val="0"/>
        <w:tabs>
          <w:tab w:val="left" w:pos="14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1.货物为原制造商制造的全新产品，在中国境内可依规安全合法使用。</w:t>
      </w:r>
    </w:p>
    <w:p w14:paraId="380E5795">
      <w:pPr>
        <w:keepNext w:val="0"/>
        <w:keepLines w:val="0"/>
        <w:pageBreakBefore w:val="0"/>
        <w:widowControl w:val="0"/>
        <w:tabs>
          <w:tab w:val="left" w:pos="14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.软件升级：产品使用年限内免费为买方提供设备所配软件升级。</w:t>
      </w:r>
    </w:p>
    <w:p w14:paraId="1942AF1F">
      <w:pPr>
        <w:keepNext w:val="0"/>
        <w:keepLines w:val="0"/>
        <w:pageBreakBefore w:val="0"/>
        <w:widowControl w:val="0"/>
        <w:tabs>
          <w:tab w:val="left" w:pos="14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.交付验收标准</w:t>
      </w:r>
    </w:p>
    <w:p w14:paraId="2E44F062">
      <w:pPr>
        <w:keepNext w:val="0"/>
        <w:keepLines w:val="0"/>
        <w:pageBreakBefore w:val="0"/>
        <w:widowControl w:val="0"/>
        <w:tabs>
          <w:tab w:val="left" w:pos="14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次序对照适用标准为：①符合中华人民共和国国家安全质量标准、环保标准或行业标准；②符合采购文件和响应承诺中采购人认可的合理最佳配置、参数及各项要求；③货物来源为官方标准。上述标准必须是有关官方机构发布的最新版本的标准。④</w:t>
      </w:r>
      <w:r>
        <w:rPr>
          <w:rFonts w:hint="eastAsia" w:ascii="宋体" w:hAnsi="宋体" w:eastAsia="宋体" w:cs="宋体"/>
          <w:b w:val="0"/>
          <w:bCs w:val="0"/>
          <w:sz w:val="24"/>
          <w:lang w:val="en-US" w:eastAsia="zh-CN"/>
        </w:rPr>
        <w:t>由</w:t>
      </w:r>
      <w:r>
        <w:rPr>
          <w:rFonts w:hint="eastAsia" w:ascii="宋体" w:hAnsi="宋体" w:eastAsia="宋体" w:cs="宋体"/>
          <w:b w:val="0"/>
          <w:bCs w:val="0"/>
          <w:sz w:val="24"/>
        </w:rPr>
        <w:t>仪器制造商授权的技术人员现场安装调试合格后</w:t>
      </w:r>
      <w:r>
        <w:rPr>
          <w:rFonts w:hint="eastAsia" w:ascii="宋体" w:hAnsi="宋体" w:eastAsia="宋体" w:cs="宋体"/>
          <w:b w:val="0"/>
          <w:bCs w:val="0"/>
          <w:sz w:val="24"/>
          <w:lang w:val="en-US" w:eastAsia="zh-CN"/>
        </w:rPr>
        <w:t>，采购人使用</w:t>
      </w:r>
      <w:r>
        <w:rPr>
          <w:rFonts w:hint="eastAsia" w:ascii="宋体" w:hAnsi="宋体" w:eastAsia="宋体" w:cs="宋体"/>
          <w:b w:val="0"/>
          <w:bCs w:val="0"/>
          <w:sz w:val="24"/>
        </w:rPr>
        <w:t>方可签字验收。</w:t>
      </w:r>
    </w:p>
    <w:p w14:paraId="540CD27D">
      <w:pPr>
        <w:keepNext w:val="0"/>
        <w:keepLines w:val="0"/>
        <w:pageBreakBefore w:val="0"/>
        <w:widowControl w:val="0"/>
        <w:tabs>
          <w:tab w:val="left" w:pos="14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.技术资料</w:t>
      </w:r>
    </w:p>
    <w:p w14:paraId="0AF3EADE">
      <w:pPr>
        <w:keepNext w:val="0"/>
        <w:keepLines w:val="0"/>
        <w:pageBreakBefore w:val="0"/>
        <w:widowControl w:val="0"/>
        <w:tabs>
          <w:tab w:val="left" w:pos="14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交货时，中标供应商应同时交付</w:t>
      </w:r>
      <w:r>
        <w:rPr>
          <w:rFonts w:hint="eastAsia" w:ascii="宋体" w:hAnsi="宋体" w:eastAsia="宋体" w:cs="宋体"/>
          <w:b w:val="0"/>
          <w:bCs w:val="0"/>
          <w:sz w:val="24"/>
        </w:rPr>
        <w:t>仪器装箱清单、质量合格证明文件、保修卡、使用说明和维护手册等技术文件齐全</w:t>
      </w:r>
      <w:r>
        <w:rPr>
          <w:rFonts w:hint="eastAsia" w:ascii="宋体" w:hAnsi="宋体" w:eastAsia="宋体" w:cs="宋体"/>
          <w:color w:val="auto"/>
          <w:sz w:val="24"/>
          <w:szCs w:val="24"/>
          <w:highlight w:val="none"/>
        </w:rPr>
        <w:t>。</w:t>
      </w:r>
    </w:p>
    <w:p w14:paraId="1083332E">
      <w:pPr>
        <w:keepNext w:val="0"/>
        <w:keepLines w:val="0"/>
        <w:pageBreakBefore w:val="0"/>
        <w:widowControl w:val="0"/>
        <w:tabs>
          <w:tab w:val="left" w:pos="142"/>
        </w:tabs>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（四）培训</w:t>
      </w:r>
    </w:p>
    <w:p w14:paraId="144F2748">
      <w:pPr>
        <w:keepNext w:val="0"/>
        <w:keepLines w:val="0"/>
        <w:pageBreakBefore w:val="0"/>
        <w:widowControl w:val="0"/>
        <w:tabs>
          <w:tab w:val="left" w:pos="14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须根据采购人的要求安排熟悉本项目的专业技术人员在采购人指定的地点向采购人提供完备、全面的产品使用培训，培训内容包括设备参数的设置、操作、维护保养、应急处理、简单故障排除等，确保采购人能够对设备、系统有足够的了解，能够独立进行日常操作、管理和维护。</w:t>
      </w:r>
    </w:p>
    <w:p w14:paraId="6C7F25C0">
      <w:pPr>
        <w:keepNext w:val="0"/>
        <w:keepLines w:val="0"/>
        <w:pageBreakBefore w:val="0"/>
        <w:widowControl w:val="0"/>
        <w:tabs>
          <w:tab w:val="left" w:pos="14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.所有的培训费用由成交供应商负责，均计入投标报价中。</w:t>
      </w:r>
    </w:p>
    <w:p w14:paraId="64D82D6F">
      <w:pPr>
        <w:keepNext w:val="0"/>
        <w:keepLines w:val="0"/>
        <w:pageBreakBefore w:val="0"/>
        <w:widowControl w:val="0"/>
        <w:tabs>
          <w:tab w:val="left" w:pos="142"/>
        </w:tabs>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bookmarkStart w:id="116" w:name="_Toc499039833"/>
      <w:bookmarkStart w:id="117" w:name="_Toc488324326"/>
      <w:bookmarkStart w:id="118" w:name="_Toc3245"/>
      <w:r>
        <w:rPr>
          <w:rFonts w:hint="eastAsia" w:ascii="宋体" w:hAnsi="宋体" w:eastAsia="宋体" w:cs="宋体"/>
          <w:b/>
          <w:bCs/>
          <w:color w:val="auto"/>
          <w:sz w:val="24"/>
          <w:szCs w:val="24"/>
          <w:highlight w:val="none"/>
        </w:rPr>
        <w:t>（五）质量保证及售后服务</w:t>
      </w:r>
      <w:bookmarkEnd w:id="116"/>
      <w:bookmarkEnd w:id="117"/>
      <w:bookmarkEnd w:id="118"/>
    </w:p>
    <w:p w14:paraId="5453F0BC">
      <w:pPr>
        <w:keepNext w:val="0"/>
        <w:keepLines w:val="0"/>
        <w:pageBreakBefore w:val="0"/>
        <w:widowControl w:val="0"/>
        <w:tabs>
          <w:tab w:val="left" w:pos="14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highlight w:val="yellow"/>
        </w:rPr>
      </w:pPr>
      <w:r>
        <w:rPr>
          <w:rFonts w:hint="eastAsia" w:ascii="宋体" w:hAnsi="宋体" w:eastAsia="宋体" w:cs="宋体"/>
          <w:b w:val="0"/>
          <w:bCs w:val="0"/>
          <w:sz w:val="24"/>
          <w:highlight w:val="none"/>
          <w:lang w:val="en-US" w:eastAsia="zh-CN"/>
        </w:rPr>
        <w:t>★</w:t>
      </w:r>
      <w:r>
        <w:rPr>
          <w:rFonts w:hint="eastAsia" w:ascii="宋体" w:hAnsi="宋体" w:eastAsia="宋体" w:cs="宋体"/>
          <w:b/>
          <w:bCs/>
          <w:color w:val="auto"/>
          <w:sz w:val="24"/>
          <w:szCs w:val="24"/>
          <w:highlight w:val="none"/>
        </w:rPr>
        <w:t>1.设备质保期：整机质保期</w:t>
      </w: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年。在质保期内，供应商必须提供仪器制造商的故障检查、维修及维护等服务，所有服务及更换部件（耗材除外）全部免费。仪器制造商对仪器提供终身维修维护支持，软件免费升级，并以优惠价提供配件耗材</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提供承诺书）</w:t>
      </w:r>
      <w:r>
        <w:rPr>
          <w:rFonts w:hint="eastAsia" w:ascii="宋体" w:hAnsi="宋体" w:eastAsia="宋体" w:cs="宋体"/>
          <w:b/>
          <w:bCs/>
          <w:color w:val="auto"/>
          <w:spacing w:val="8"/>
          <w:sz w:val="24"/>
          <w:szCs w:val="24"/>
          <w:highlight w:val="none"/>
          <w:shd w:val="clear" w:color="auto" w:fill="FFFFFF"/>
        </w:rPr>
        <w:t>。</w:t>
      </w:r>
    </w:p>
    <w:p w14:paraId="5195249D">
      <w:pPr>
        <w:keepNext w:val="0"/>
        <w:keepLines w:val="0"/>
        <w:pageBreakBefore w:val="0"/>
        <w:widowControl w:val="0"/>
        <w:tabs>
          <w:tab w:val="left" w:pos="14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2.质量保证期内，在非人为因素情况下，一切维修换件保养费用和备品备件均由成交供应商免费提供。</w:t>
      </w:r>
    </w:p>
    <w:p w14:paraId="61AA8009">
      <w:pPr>
        <w:keepNext w:val="0"/>
        <w:keepLines w:val="0"/>
        <w:pageBreakBefore w:val="0"/>
        <w:widowControl w:val="0"/>
        <w:tabs>
          <w:tab w:val="left" w:pos="14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.售后服务要求</w:t>
      </w:r>
    </w:p>
    <w:p w14:paraId="64FED3C6">
      <w:pPr>
        <w:keepNext w:val="0"/>
        <w:keepLines w:val="0"/>
        <w:pageBreakBefore w:val="0"/>
        <w:widowControl w:val="0"/>
        <w:tabs>
          <w:tab w:val="left" w:pos="14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3.1</w:t>
      </w:r>
      <w:r>
        <w:rPr>
          <w:rFonts w:hint="eastAsia" w:ascii="宋体" w:hAnsi="宋体" w:eastAsia="宋体" w:cs="宋体"/>
          <w:color w:val="auto"/>
          <w:sz w:val="24"/>
          <w:szCs w:val="24"/>
          <w:highlight w:val="none"/>
        </w:rPr>
        <w:t>维修响应时间：维修响应时间≤2小时，24小时内排除故障，每年不少于4次技术支持。</w:t>
      </w:r>
    </w:p>
    <w:p w14:paraId="29DB3230">
      <w:pPr>
        <w:keepNext w:val="0"/>
        <w:keepLines w:val="0"/>
        <w:pageBreakBefore w:val="0"/>
        <w:widowControl w:val="0"/>
        <w:tabs>
          <w:tab w:val="left" w:pos="14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3.2</w:t>
      </w:r>
      <w:r>
        <w:rPr>
          <w:rFonts w:hint="eastAsia" w:ascii="宋体" w:hAnsi="宋体" w:eastAsia="宋体" w:cs="宋体"/>
          <w:b w:val="0"/>
          <w:bCs w:val="0"/>
          <w:sz w:val="24"/>
        </w:rPr>
        <w:t>仪器制造商工程师在仪器安装、调试完成后对操作人员进行仪器基本操作和维护的免费培训，保证相关人员能独立上机进行基本操作和数据处理。如因人员变动，需要进行再次培训，应满足对采购人新增实验人员进行免费培训。</w:t>
      </w:r>
    </w:p>
    <w:p w14:paraId="69C39970">
      <w:pPr>
        <w:keepNext w:val="0"/>
        <w:keepLines w:val="0"/>
        <w:pageBreakBefore w:val="0"/>
        <w:widowControl w:val="0"/>
        <w:tabs>
          <w:tab w:val="left" w:pos="14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3.3</w:t>
      </w:r>
      <w:r>
        <w:rPr>
          <w:rFonts w:hint="eastAsia" w:ascii="宋体" w:hAnsi="宋体" w:eastAsia="宋体" w:cs="宋体"/>
          <w:color w:val="auto"/>
          <w:sz w:val="24"/>
          <w:szCs w:val="24"/>
          <w:highlight w:val="none"/>
        </w:rPr>
        <w:t>供应商承担产品的运输、安装、培训的费用。</w:t>
      </w:r>
    </w:p>
    <w:p w14:paraId="03E2B765">
      <w:pPr>
        <w:keepNext w:val="0"/>
        <w:keepLines w:val="0"/>
        <w:pageBreakBefore w:val="0"/>
        <w:widowControl w:val="0"/>
        <w:tabs>
          <w:tab w:val="left" w:pos="142"/>
        </w:tabs>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（六）针对本项目特别约定</w:t>
      </w:r>
    </w:p>
    <w:p w14:paraId="1943629D">
      <w:pPr>
        <w:keepNext w:val="0"/>
        <w:keepLines w:val="0"/>
        <w:pageBreakBefore w:val="0"/>
        <w:widowControl w:val="0"/>
        <w:tabs>
          <w:tab w:val="left" w:pos="14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1、项目中设备涉及到连接实验室管理系统的，供应商有义务协助采购人完成连接</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并</w:t>
      </w:r>
      <w:r>
        <w:rPr>
          <w:rFonts w:hint="eastAsia" w:ascii="宋体" w:hAnsi="宋体" w:cs="宋体"/>
          <w:color w:val="auto"/>
          <w:sz w:val="24"/>
          <w:szCs w:val="24"/>
          <w:highlight w:val="none"/>
          <w:lang w:val="en-US" w:eastAsia="zh-CN"/>
        </w:rPr>
        <w:t>所提供的设备</w:t>
      </w:r>
      <w:r>
        <w:rPr>
          <w:rFonts w:hint="eastAsia" w:ascii="宋体" w:hAnsi="宋体" w:eastAsia="宋体" w:cs="宋体"/>
          <w:color w:val="auto"/>
          <w:sz w:val="24"/>
          <w:szCs w:val="24"/>
          <w:highlight w:val="none"/>
          <w:lang w:val="en-US" w:eastAsia="zh-CN"/>
        </w:rPr>
        <w:t>具备防篡改功能。</w:t>
      </w:r>
    </w:p>
    <w:p w14:paraId="1CD2D366">
      <w:pPr>
        <w:keepNext w:val="0"/>
        <w:keepLines w:val="0"/>
        <w:pageBreakBefore w:val="0"/>
        <w:widowControl w:val="0"/>
        <w:tabs>
          <w:tab w:val="left" w:pos="14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、项目中但凡涉及需要送检仪器需由</w:t>
      </w:r>
      <w:r>
        <w:rPr>
          <w:rFonts w:hint="eastAsia" w:ascii="宋体" w:hAnsi="宋体" w:cs="宋体"/>
          <w:color w:val="auto"/>
          <w:sz w:val="24"/>
          <w:szCs w:val="24"/>
          <w:highlight w:val="none"/>
          <w:lang w:val="en-US" w:eastAsia="zh-CN"/>
        </w:rPr>
        <w:t>中标</w:t>
      </w:r>
      <w:r>
        <w:rPr>
          <w:rFonts w:hint="eastAsia" w:ascii="宋体" w:hAnsi="宋体" w:eastAsia="宋体" w:cs="宋体"/>
          <w:color w:val="auto"/>
          <w:sz w:val="24"/>
          <w:szCs w:val="24"/>
          <w:highlight w:val="none"/>
          <w:lang w:val="en-US" w:eastAsia="zh-CN"/>
        </w:rPr>
        <w:t>供货商送检，送检费用由中标供应商</w:t>
      </w:r>
      <w:r>
        <w:rPr>
          <w:rFonts w:hint="eastAsia" w:ascii="宋体" w:hAnsi="宋体" w:cs="宋体"/>
          <w:color w:val="auto"/>
          <w:sz w:val="24"/>
          <w:szCs w:val="24"/>
          <w:highlight w:val="none"/>
          <w:lang w:val="en-US" w:eastAsia="zh-CN"/>
        </w:rPr>
        <w:t>承担</w:t>
      </w:r>
      <w:r>
        <w:rPr>
          <w:rFonts w:hint="eastAsia" w:ascii="宋体" w:hAnsi="宋体" w:eastAsia="宋体" w:cs="宋体"/>
          <w:color w:val="auto"/>
          <w:sz w:val="24"/>
          <w:szCs w:val="24"/>
          <w:highlight w:val="none"/>
          <w:lang w:val="en-US" w:eastAsia="zh-CN"/>
        </w:rPr>
        <w:t>；</w:t>
      </w:r>
    </w:p>
    <w:p w14:paraId="3A478A24">
      <w:pPr>
        <w:keepNext w:val="0"/>
        <w:keepLines w:val="0"/>
        <w:pageBreakBefore w:val="0"/>
        <w:widowControl w:val="0"/>
        <w:tabs>
          <w:tab w:val="left" w:pos="142"/>
        </w:tabs>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根据国家市场监督管理总局</w:t>
      </w:r>
      <w:r>
        <w:rPr>
          <w:rFonts w:hint="eastAsia" w:ascii="宋体" w:hAnsi="宋体" w:eastAsia="宋体" w:cs="宋体"/>
          <w:color w:val="auto"/>
          <w:sz w:val="24"/>
          <w:szCs w:val="24"/>
          <w:highlight w:val="none"/>
          <w:lang w:val="en-US" w:eastAsia="zh-CN"/>
        </w:rPr>
        <w:t>“市监检测（司）函【2026】51号《检验检测机构资质认定生态环境监测机构评审补充要求（2025 年）》 条文释义”</w:t>
      </w:r>
      <w:r>
        <w:rPr>
          <w:rFonts w:hint="eastAsia" w:ascii="宋体" w:hAnsi="宋体" w:cs="宋体"/>
          <w:color w:val="auto"/>
          <w:sz w:val="24"/>
          <w:szCs w:val="24"/>
          <w:highlight w:val="none"/>
          <w:lang w:val="en-US" w:eastAsia="zh-CN"/>
        </w:rPr>
        <w:t>，文件</w:t>
      </w:r>
      <w:r>
        <w:rPr>
          <w:rFonts w:hint="eastAsia" w:ascii="宋体" w:hAnsi="宋体" w:eastAsia="宋体" w:cs="宋体"/>
          <w:color w:val="auto"/>
          <w:sz w:val="24"/>
          <w:szCs w:val="24"/>
          <w:highlight w:val="none"/>
          <w:lang w:val="en-US" w:eastAsia="zh-CN"/>
        </w:rPr>
        <w:t>中要求具有授时定位（北斗）功能设备的，需满足该</w:t>
      </w:r>
      <w:r>
        <w:rPr>
          <w:rFonts w:hint="eastAsia" w:ascii="宋体" w:hAnsi="宋体" w:cs="宋体"/>
          <w:color w:val="auto"/>
          <w:sz w:val="24"/>
          <w:szCs w:val="24"/>
          <w:highlight w:val="none"/>
          <w:lang w:val="en-US" w:eastAsia="zh-CN"/>
        </w:rPr>
        <w:t>功能要求</w:t>
      </w:r>
      <w:r>
        <w:rPr>
          <w:rFonts w:hint="eastAsia" w:ascii="宋体" w:hAnsi="宋体" w:eastAsia="宋体" w:cs="宋体"/>
          <w:color w:val="auto"/>
          <w:sz w:val="24"/>
          <w:szCs w:val="24"/>
          <w:highlight w:val="none"/>
          <w:lang w:val="en-US" w:eastAsia="zh-CN"/>
        </w:rPr>
        <w:t>。</w:t>
      </w:r>
    </w:p>
    <w:p w14:paraId="0524B659">
      <w:pPr>
        <w:pStyle w:val="5"/>
        <w:pageBreakBefore w:val="0"/>
        <w:numPr>
          <w:ilvl w:val="0"/>
          <w:numId w:val="0"/>
        </w:numPr>
        <w:kinsoku/>
        <w:overflowPunct/>
        <w:bidi w:val="0"/>
        <w:spacing w:line="360" w:lineRule="auto"/>
        <w:rPr>
          <w:rFonts w:hint="default"/>
          <w:lang w:val="en-US" w:eastAsia="zh-CN"/>
        </w:rPr>
      </w:pPr>
    </w:p>
    <w:p w14:paraId="7EE2FBBB">
      <w:pPr>
        <w:pageBreakBefore w:val="0"/>
        <w:kinsoku/>
        <w:overflowPunct/>
        <w:bidi w:val="0"/>
        <w:spacing w:line="360" w:lineRule="auto"/>
        <w:rPr>
          <w:rFonts w:hint="eastAsia" w:ascii="宋体" w:hAnsi="宋体" w:eastAsia="宋体" w:cs="宋体"/>
        </w:rPr>
      </w:pPr>
      <w:r>
        <w:rPr>
          <w:rFonts w:hint="eastAsia" w:ascii="宋体" w:hAnsi="宋体" w:eastAsia="宋体" w:cs="宋体"/>
        </w:rPr>
        <w:br w:type="page"/>
      </w:r>
    </w:p>
    <w:p w14:paraId="2E889944">
      <w:pPr>
        <w:pStyle w:val="2"/>
        <w:pageBreakBefore w:val="0"/>
        <w:kinsoku/>
        <w:overflowPunct/>
        <w:bidi w:val="0"/>
        <w:spacing w:line="360" w:lineRule="auto"/>
        <w:jc w:val="center"/>
        <w:rPr>
          <w:rFonts w:hint="eastAsia" w:ascii="宋体" w:hAnsi="宋体" w:eastAsia="宋体" w:cs="宋体"/>
        </w:rPr>
        <w:sectPr>
          <w:pgSz w:w="11906" w:h="16838"/>
          <w:pgMar w:top="1440" w:right="1803" w:bottom="1440" w:left="1803" w:header="851" w:footer="992" w:gutter="0"/>
          <w:pgNumType w:fmt="decimal"/>
          <w:cols w:space="0" w:num="1"/>
          <w:rtlGutter w:val="0"/>
          <w:docGrid w:type="lines" w:linePitch="319" w:charSpace="0"/>
        </w:sectPr>
      </w:pPr>
      <w:bookmarkStart w:id="119" w:name="_Toc32373"/>
    </w:p>
    <w:p w14:paraId="02328FA5">
      <w:pPr>
        <w:pStyle w:val="2"/>
        <w:pageBreakBefore w:val="0"/>
        <w:kinsoku/>
        <w:overflowPunct/>
        <w:bidi w:val="0"/>
        <w:spacing w:line="360" w:lineRule="auto"/>
        <w:jc w:val="center"/>
        <w:rPr>
          <w:rFonts w:hint="eastAsia" w:ascii="宋体" w:hAnsi="宋体" w:eastAsia="宋体" w:cs="宋体"/>
        </w:rPr>
      </w:pPr>
      <w:bookmarkStart w:id="120" w:name="_Toc5402"/>
      <w:r>
        <w:rPr>
          <w:rFonts w:hint="eastAsia" w:ascii="宋体" w:hAnsi="宋体" w:eastAsia="宋体" w:cs="宋体"/>
        </w:rPr>
        <w:t>第</w:t>
      </w:r>
      <w:r>
        <w:rPr>
          <w:rFonts w:hint="eastAsia" w:ascii="宋体" w:hAnsi="宋体" w:eastAsia="宋体" w:cs="宋体"/>
          <w:lang w:val="en-US" w:eastAsia="zh-CN"/>
        </w:rPr>
        <w:t>五</w:t>
      </w:r>
      <w:r>
        <w:rPr>
          <w:rFonts w:hint="eastAsia" w:ascii="宋体" w:hAnsi="宋体" w:eastAsia="宋体" w:cs="宋体"/>
        </w:rPr>
        <w:t>章 评标方法（综合评分法）</w:t>
      </w:r>
      <w:bookmarkEnd w:id="101"/>
      <w:bookmarkEnd w:id="119"/>
      <w:bookmarkEnd w:id="120"/>
    </w:p>
    <w:p w14:paraId="5F7387CD">
      <w:pPr>
        <w:pageBreakBefore w:val="0"/>
        <w:widowControl w:val="0"/>
        <w:numPr>
          <w:ilvl w:val="0"/>
          <w:numId w:val="0"/>
        </w:numPr>
        <w:kinsoku/>
        <w:overflowPunct/>
        <w:bidi w:val="0"/>
        <w:spacing w:line="360" w:lineRule="auto"/>
        <w:jc w:val="center"/>
        <w:rPr>
          <w:rFonts w:hint="eastAsia" w:ascii="宋体" w:hAnsi="宋体" w:eastAsia="宋体" w:cs="宋体"/>
          <w:b/>
          <w:bCs/>
          <w:color w:val="auto"/>
          <w:sz w:val="28"/>
          <w:szCs w:val="28"/>
          <w:highlight w:val="none"/>
        </w:rPr>
      </w:pPr>
      <w:bookmarkStart w:id="121" w:name="_Toc19917"/>
      <w:bookmarkStart w:id="122" w:name="_Toc451172722"/>
      <w:bookmarkStart w:id="123" w:name="_Toc20965"/>
      <w:bookmarkStart w:id="124" w:name="_Toc389296549"/>
      <w:bookmarkStart w:id="125" w:name="_Toc27893"/>
      <w:bookmarkStart w:id="126" w:name="_Toc3541"/>
      <w:bookmarkStart w:id="127" w:name="_Toc11759"/>
      <w:r>
        <w:rPr>
          <w:rFonts w:hint="eastAsia" w:ascii="宋体" w:hAnsi="宋体" w:eastAsia="宋体" w:cs="宋体"/>
          <w:b/>
          <w:bCs/>
          <w:color w:val="auto"/>
          <w:sz w:val="28"/>
          <w:szCs w:val="28"/>
          <w:highlight w:val="none"/>
        </w:rPr>
        <w:t>评标方法前附表</w:t>
      </w:r>
      <w:bookmarkEnd w:id="121"/>
      <w:bookmarkEnd w:id="122"/>
      <w:bookmarkEnd w:id="123"/>
      <w:bookmarkEnd w:id="124"/>
      <w:bookmarkEnd w:id="125"/>
      <w:bookmarkEnd w:id="126"/>
      <w:bookmarkEnd w:id="127"/>
    </w:p>
    <w:tbl>
      <w:tblPr>
        <w:tblStyle w:val="23"/>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800"/>
        <w:gridCol w:w="482"/>
        <w:gridCol w:w="1872"/>
        <w:gridCol w:w="3196"/>
        <w:gridCol w:w="2338"/>
      </w:tblGrid>
      <w:tr w14:paraId="6F94F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752" w:type="dxa"/>
            <w:gridSpan w:val="2"/>
            <w:noWrap w:val="0"/>
            <w:vAlign w:val="center"/>
          </w:tcPr>
          <w:p w14:paraId="4B313FF9">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5550" w:type="dxa"/>
            <w:gridSpan w:val="3"/>
            <w:noWrap w:val="0"/>
            <w:vAlign w:val="center"/>
          </w:tcPr>
          <w:p w14:paraId="3D0421F4">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 查 内 容</w:t>
            </w:r>
          </w:p>
        </w:tc>
        <w:tc>
          <w:tcPr>
            <w:tcW w:w="2338" w:type="dxa"/>
            <w:noWrap w:val="0"/>
            <w:vAlign w:val="center"/>
          </w:tcPr>
          <w:p w14:paraId="1A4F8F19">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 查 标 准</w:t>
            </w:r>
          </w:p>
        </w:tc>
      </w:tr>
      <w:tr w14:paraId="35027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952" w:type="dxa"/>
            <w:vMerge w:val="restart"/>
            <w:noWrap w:val="0"/>
            <w:vAlign w:val="center"/>
          </w:tcPr>
          <w:p w14:paraId="4CC29133">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一</w:t>
            </w:r>
          </w:p>
        </w:tc>
        <w:tc>
          <w:tcPr>
            <w:tcW w:w="800" w:type="dxa"/>
            <w:vMerge w:val="restart"/>
            <w:noWrap w:val="0"/>
            <w:vAlign w:val="center"/>
          </w:tcPr>
          <w:p w14:paraId="6790B60D">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w:t>
            </w:r>
          </w:p>
        </w:tc>
        <w:tc>
          <w:tcPr>
            <w:tcW w:w="5550" w:type="dxa"/>
            <w:gridSpan w:val="3"/>
            <w:noWrap w:val="0"/>
            <w:vAlign w:val="center"/>
          </w:tcPr>
          <w:p w14:paraId="10C58519">
            <w:pPr>
              <w:keepNext w:val="0"/>
              <w:keepLines w:val="0"/>
              <w:pageBreakBefore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投标人自行承诺符合《中华人民共和国政府采购法》第二十二条规定及《中华人民共和国政府采购法实施条例》第十七条的相关要求。</w:t>
            </w:r>
          </w:p>
        </w:tc>
        <w:tc>
          <w:tcPr>
            <w:tcW w:w="2338" w:type="dxa"/>
            <w:noWrap w:val="0"/>
            <w:vAlign w:val="center"/>
          </w:tcPr>
          <w:p w14:paraId="015C8797">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审查</w:t>
            </w:r>
            <w:r>
              <w:rPr>
                <w:rFonts w:hint="eastAsia" w:ascii="宋体" w:hAnsi="宋体" w:eastAsia="宋体" w:cs="宋体"/>
                <w:b/>
                <w:color w:val="auto"/>
                <w:sz w:val="24"/>
                <w:szCs w:val="24"/>
                <w:highlight w:val="none"/>
              </w:rPr>
              <w:t>投标文件中</w:t>
            </w:r>
            <w:r>
              <w:rPr>
                <w:rFonts w:hint="eastAsia" w:ascii="宋体" w:hAnsi="宋体" w:eastAsia="宋体" w:cs="宋体"/>
                <w:b/>
                <w:color w:val="auto"/>
                <w:sz w:val="24"/>
                <w:szCs w:val="24"/>
                <w:highlight w:val="none"/>
                <w:lang w:val="en-US" w:eastAsia="zh-CN"/>
              </w:rPr>
              <w:t>的</w:t>
            </w:r>
            <w:r>
              <w:rPr>
                <w:rFonts w:hint="eastAsia" w:ascii="宋体" w:hAnsi="宋体" w:eastAsia="宋体" w:cs="宋体"/>
                <w:b/>
                <w:color w:val="auto"/>
                <w:sz w:val="24"/>
                <w:szCs w:val="24"/>
                <w:highlight w:val="none"/>
              </w:rPr>
              <w:t>声明/承诺函</w:t>
            </w:r>
          </w:p>
        </w:tc>
      </w:tr>
      <w:tr w14:paraId="57591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952" w:type="dxa"/>
            <w:vMerge w:val="continue"/>
            <w:noWrap w:val="0"/>
            <w:vAlign w:val="center"/>
          </w:tcPr>
          <w:p w14:paraId="7A70A1CE">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800" w:type="dxa"/>
            <w:vMerge w:val="continue"/>
            <w:noWrap w:val="0"/>
            <w:vAlign w:val="center"/>
          </w:tcPr>
          <w:p w14:paraId="0CC1913F">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5550" w:type="dxa"/>
            <w:gridSpan w:val="3"/>
            <w:noWrap w:val="0"/>
            <w:vAlign w:val="center"/>
          </w:tcPr>
          <w:p w14:paraId="671ADD07">
            <w:pPr>
              <w:keepNext w:val="0"/>
              <w:keepLines w:val="0"/>
              <w:pageBreakBefore w:val="0"/>
              <w:kinsoku/>
              <w:wordWrap/>
              <w:overflowPunct/>
              <w:topLinePunct w:val="0"/>
              <w:autoSpaceDE/>
              <w:autoSpaceDN/>
              <w:bidi w:val="0"/>
              <w:spacing w:line="360"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投标人在中国境内注册登记具有独立承担民事责任的能力，提供有效的营业执照或者其他主体资格证明文件；投标人为自然人的提供身份证明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适用于自然人参加投标情形）。</w:t>
            </w:r>
          </w:p>
        </w:tc>
        <w:tc>
          <w:tcPr>
            <w:tcW w:w="2338" w:type="dxa"/>
            <w:noWrap w:val="0"/>
            <w:vAlign w:val="center"/>
          </w:tcPr>
          <w:p w14:paraId="5085EE19">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审查投标文件中的证明材料的复印件或扫描件</w:t>
            </w:r>
          </w:p>
        </w:tc>
      </w:tr>
      <w:tr w14:paraId="17401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952" w:type="dxa"/>
            <w:vMerge w:val="continue"/>
            <w:noWrap w:val="0"/>
            <w:vAlign w:val="center"/>
          </w:tcPr>
          <w:p w14:paraId="64CFBD38">
            <w:pPr>
              <w:keepNext w:val="0"/>
              <w:keepLines w:val="0"/>
              <w:pageBreakBefore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color w:val="auto"/>
                <w:sz w:val="24"/>
                <w:szCs w:val="24"/>
                <w:highlight w:val="none"/>
              </w:rPr>
            </w:pPr>
          </w:p>
        </w:tc>
        <w:tc>
          <w:tcPr>
            <w:tcW w:w="800" w:type="dxa"/>
            <w:vMerge w:val="continue"/>
            <w:noWrap w:val="0"/>
            <w:vAlign w:val="center"/>
          </w:tcPr>
          <w:p w14:paraId="536FD3D8">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5550" w:type="dxa"/>
            <w:gridSpan w:val="3"/>
            <w:noWrap w:val="0"/>
            <w:vAlign w:val="center"/>
          </w:tcPr>
          <w:p w14:paraId="3E8F91E4">
            <w:pPr>
              <w:keepNext w:val="0"/>
              <w:keepLines w:val="0"/>
              <w:pageBreakBefore w:val="0"/>
              <w:kinsoku/>
              <w:wordWrap/>
              <w:overflowPunct/>
              <w:topLinePunct w:val="0"/>
              <w:autoSpaceDE/>
              <w:autoSpaceDN/>
              <w:bidi w:val="0"/>
              <w:spacing w:line="360" w:lineRule="auto"/>
              <w:ind w:left="0" w:leftChars="0" w:right="0" w:rightChars="0" w:firstLine="0" w:firstLineChars="0"/>
              <w:jc w:val="left"/>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投标文件递交截止时间前投标人在“信用中国”网站(www.creditchina.gov.cn)中未被列入：失信被执行人、重大税收违法失信主体、政府采购严重违法失信行为记录名单；在“中国政府采购网”(www.ccgp.gov.cn)中未被列入：政府采购严重违法失信行为记录名单。</w:t>
            </w:r>
          </w:p>
        </w:tc>
        <w:tc>
          <w:tcPr>
            <w:tcW w:w="2338" w:type="dxa"/>
            <w:noWrap w:val="0"/>
            <w:vAlign w:val="center"/>
          </w:tcPr>
          <w:p w14:paraId="0BA9F170">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由采购人或采购代理机构在评标前进行查询，查询记录为网站查询结果的网页截图或网页打印稿。</w:t>
            </w:r>
          </w:p>
        </w:tc>
      </w:tr>
      <w:tr w14:paraId="1B66C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952" w:type="dxa"/>
            <w:vMerge w:val="continue"/>
            <w:noWrap w:val="0"/>
            <w:vAlign w:val="center"/>
          </w:tcPr>
          <w:p w14:paraId="4A6B3A1D">
            <w:pPr>
              <w:keepNext w:val="0"/>
              <w:keepLines w:val="0"/>
              <w:pageBreakBefore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color w:val="auto"/>
                <w:sz w:val="24"/>
                <w:szCs w:val="24"/>
                <w:highlight w:val="none"/>
              </w:rPr>
            </w:pPr>
          </w:p>
        </w:tc>
        <w:tc>
          <w:tcPr>
            <w:tcW w:w="8688" w:type="dxa"/>
            <w:gridSpan w:val="5"/>
            <w:noWrap w:val="0"/>
            <w:vAlign w:val="center"/>
          </w:tcPr>
          <w:p w14:paraId="285E964D">
            <w:pPr>
              <w:keepNext w:val="0"/>
              <w:keepLines w:val="0"/>
              <w:pageBreakBefore w:val="0"/>
              <w:kinsoku/>
              <w:wordWrap/>
              <w:overflowPunct/>
              <w:topLinePunct w:val="0"/>
              <w:autoSpaceDE/>
              <w:autoSpaceDN/>
              <w:bidi w:val="0"/>
              <w:spacing w:line="360" w:lineRule="auto"/>
              <w:ind w:left="0" w:leftChars="0" w:right="0" w:rightChars="0" w:firstLine="0" w:firstLineChars="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由采购人或采购代理机构依据资格审查标准对实质性响应的投标人进行资格审查，上述评审标准，投标人须全部满足，否则为不合格的投标人，不得进入符合性评审和投标报价评审。</w:t>
            </w:r>
          </w:p>
        </w:tc>
      </w:tr>
      <w:tr w14:paraId="31E9E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952" w:type="dxa"/>
            <w:vMerge w:val="restart"/>
            <w:noWrap w:val="0"/>
            <w:vAlign w:val="center"/>
          </w:tcPr>
          <w:p w14:paraId="3B65C590">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二</w:t>
            </w:r>
          </w:p>
        </w:tc>
        <w:tc>
          <w:tcPr>
            <w:tcW w:w="800" w:type="dxa"/>
            <w:noWrap w:val="0"/>
            <w:vAlign w:val="center"/>
          </w:tcPr>
          <w:p w14:paraId="3F0A0315">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符合性审查</w:t>
            </w:r>
          </w:p>
        </w:tc>
        <w:tc>
          <w:tcPr>
            <w:tcW w:w="7888" w:type="dxa"/>
            <w:gridSpan w:val="4"/>
            <w:noWrap w:val="0"/>
            <w:vAlign w:val="center"/>
          </w:tcPr>
          <w:p w14:paraId="2551274D">
            <w:pPr>
              <w:keepNext w:val="0"/>
              <w:keepLines w:val="0"/>
              <w:pageBreakBefore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（1）未按照招标文件的规定提交投标保证金的；</w:t>
            </w:r>
          </w:p>
          <w:p w14:paraId="0A789F05">
            <w:pPr>
              <w:keepNext w:val="0"/>
              <w:keepLines w:val="0"/>
              <w:pageBreakBefore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（2）报价超过招标文件中规定的预算金额且采购人不能承担的；</w:t>
            </w:r>
          </w:p>
          <w:p w14:paraId="3C4F08BD">
            <w:pPr>
              <w:keepNext w:val="0"/>
              <w:keepLines w:val="0"/>
              <w:pageBreakBefore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（3）投标文件的签署不符合第二章投标人须知前附表第22项规定；</w:t>
            </w:r>
          </w:p>
          <w:p w14:paraId="3569A612">
            <w:pPr>
              <w:keepNext w:val="0"/>
              <w:keepLines w:val="0"/>
              <w:pageBreakBefore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法人身份证明书、授权委托书不符合招标</w:t>
            </w:r>
            <w:r>
              <w:rPr>
                <w:rFonts w:hint="eastAsia" w:ascii="宋体" w:hAnsi="宋体" w:eastAsia="宋体" w:cs="宋体"/>
                <w:color w:val="auto"/>
                <w:sz w:val="24"/>
                <w:szCs w:val="24"/>
                <w:highlight w:val="none"/>
              </w:rPr>
              <w:t>文件要求；</w:t>
            </w:r>
          </w:p>
          <w:p w14:paraId="647D45A8">
            <w:pPr>
              <w:keepNext w:val="0"/>
              <w:keepLines w:val="0"/>
              <w:pageBreakBefore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lang w:val="en-US" w:eastAsia="zh-CN"/>
              </w:rPr>
              <w:t>未按照招标文件要求编制的或</w:t>
            </w:r>
            <w:r>
              <w:rPr>
                <w:rFonts w:hint="eastAsia" w:ascii="宋体" w:hAnsi="宋体" w:eastAsia="宋体" w:cs="宋体"/>
                <w:color w:val="auto"/>
                <w:sz w:val="24"/>
                <w:szCs w:val="24"/>
                <w:highlight w:val="none"/>
              </w:rPr>
              <w:t>投标文件关键字迹模糊、无法辨认的；</w:t>
            </w:r>
          </w:p>
          <w:p w14:paraId="2F142FBF">
            <w:pPr>
              <w:keepNext w:val="0"/>
              <w:keepLines w:val="0"/>
              <w:pageBreakBefore w:val="0"/>
              <w:widowControl w:val="0"/>
              <w:kinsoku/>
              <w:wordWrap/>
              <w:overflowPunct/>
              <w:topLinePunct w:val="0"/>
              <w:autoSpaceDE/>
              <w:autoSpaceDN/>
              <w:bidi w:val="0"/>
              <w:snapToGrid/>
              <w:spacing w:line="360" w:lineRule="auto"/>
              <w:ind w:right="0" w:right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）法律法规</w:t>
            </w:r>
            <w:r>
              <w:rPr>
                <w:rFonts w:hint="eastAsia" w:ascii="宋体" w:hAnsi="宋体" w:eastAsia="宋体" w:cs="宋体"/>
                <w:color w:val="auto"/>
                <w:sz w:val="24"/>
                <w:szCs w:val="24"/>
                <w:highlight w:val="none"/>
              </w:rPr>
              <w:t>和招标文件规定的其他无效情形或投标文件含有采购人不能接受的附加条件的</w:t>
            </w:r>
            <w:r>
              <w:rPr>
                <w:rFonts w:hint="eastAsia" w:ascii="宋体" w:hAnsi="宋体" w:eastAsia="宋体" w:cs="宋体"/>
                <w:color w:val="auto"/>
                <w:sz w:val="24"/>
                <w:szCs w:val="24"/>
                <w:highlight w:val="none"/>
                <w:lang w:eastAsia="zh-CN"/>
              </w:rPr>
              <w:t>；</w:t>
            </w:r>
          </w:p>
          <w:p w14:paraId="4CC8FD6D">
            <w:pPr>
              <w:keepNext w:val="0"/>
              <w:keepLines w:val="0"/>
              <w:pageBreakBefore w:val="0"/>
              <w:widowControl w:val="0"/>
              <w:kinsoku/>
              <w:wordWrap/>
              <w:overflowPunct/>
              <w:topLinePunct w:val="0"/>
              <w:autoSpaceDE/>
              <w:autoSpaceDN/>
              <w:bidi w:val="0"/>
              <w:snapToGrid/>
              <w:spacing w:line="360" w:lineRule="auto"/>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）不符合招标文件中规定的其它实质性要求。</w:t>
            </w:r>
          </w:p>
          <w:p w14:paraId="6BF9B779">
            <w:pPr>
              <w:keepNext w:val="0"/>
              <w:keepLines w:val="0"/>
              <w:pageBreakBefore w:val="0"/>
              <w:widowControl w:val="0"/>
              <w:kinsoku/>
              <w:wordWrap/>
              <w:overflowPunct/>
              <w:topLinePunct w:val="0"/>
              <w:autoSpaceDE/>
              <w:autoSpaceDN/>
              <w:bidi w:val="0"/>
              <w:snapToGrid/>
              <w:spacing w:line="360" w:lineRule="auto"/>
              <w:ind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）不满足招标文件标注“</w:t>
            </w:r>
            <w:r>
              <w:rPr>
                <w:rFonts w:hint="eastAsia" w:ascii="宋体" w:hAnsi="宋体" w:eastAsia="宋体" w:cs="宋体"/>
                <w:b/>
                <w:color w:val="auto"/>
                <w:sz w:val="24"/>
                <w:szCs w:val="24"/>
                <w:lang w:eastAsia="zh-CN" w:bidi="ar"/>
              </w:rPr>
              <w:t>★</w:t>
            </w:r>
            <w:r>
              <w:rPr>
                <w:rFonts w:hint="eastAsia" w:ascii="宋体" w:hAnsi="宋体" w:eastAsia="宋体" w:cs="宋体"/>
                <w:color w:val="auto"/>
                <w:sz w:val="24"/>
                <w:szCs w:val="24"/>
                <w:highlight w:val="none"/>
                <w:lang w:eastAsia="zh-CN"/>
              </w:rPr>
              <w:t>”号条款的实质性要求。</w:t>
            </w:r>
          </w:p>
        </w:tc>
      </w:tr>
      <w:tr w14:paraId="4953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52" w:type="dxa"/>
            <w:vMerge w:val="continue"/>
            <w:noWrap w:val="0"/>
            <w:vAlign w:val="center"/>
          </w:tcPr>
          <w:p w14:paraId="7F49F2D2">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8688" w:type="dxa"/>
            <w:gridSpan w:val="5"/>
            <w:noWrap w:val="0"/>
            <w:vAlign w:val="center"/>
          </w:tcPr>
          <w:p w14:paraId="275E0511">
            <w:pPr>
              <w:keepNext w:val="0"/>
              <w:keepLines w:val="0"/>
              <w:pageBreakBefore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上符合性评审</w:t>
            </w:r>
            <w:r>
              <w:rPr>
                <w:rFonts w:hint="eastAsia" w:ascii="宋体" w:hAnsi="宋体" w:eastAsia="宋体" w:cs="宋体"/>
                <w:color w:val="auto"/>
                <w:sz w:val="24"/>
                <w:szCs w:val="24"/>
                <w:highlight w:val="none"/>
              </w:rPr>
              <w:t>内</w:t>
            </w:r>
            <w:r>
              <w:rPr>
                <w:rFonts w:hint="eastAsia" w:ascii="宋体" w:hAnsi="宋体" w:eastAsia="宋体" w:cs="宋体"/>
                <w:color w:val="auto"/>
                <w:sz w:val="24"/>
                <w:szCs w:val="24"/>
                <w:highlight w:val="none"/>
                <w:lang w:val="en-US" w:eastAsia="zh-CN"/>
              </w:rPr>
              <w:t>容评审</w:t>
            </w:r>
            <w:r>
              <w:rPr>
                <w:rFonts w:hint="eastAsia" w:ascii="宋体" w:hAnsi="宋体" w:eastAsia="宋体" w:cs="宋体"/>
                <w:color w:val="auto"/>
                <w:sz w:val="24"/>
                <w:szCs w:val="24"/>
                <w:highlight w:val="none"/>
              </w:rPr>
              <w:t>对应为“是”或“否”；评审结论对应为“不通过”或“通过”。若有一项评审内容为“</w:t>
            </w:r>
            <w:r>
              <w:rPr>
                <w:rFonts w:hint="eastAsia" w:ascii="宋体" w:hAnsi="宋体" w:eastAsia="宋体" w:cs="宋体"/>
                <w:color w:val="auto"/>
                <w:sz w:val="24"/>
                <w:szCs w:val="24"/>
                <w:highlight w:val="none"/>
                <w:lang w:val="en-US" w:eastAsia="zh-CN"/>
              </w:rPr>
              <w:t>是</w:t>
            </w:r>
            <w:r>
              <w:rPr>
                <w:rFonts w:hint="eastAsia" w:ascii="宋体" w:hAnsi="宋体" w:eastAsia="宋体" w:cs="宋体"/>
                <w:color w:val="auto"/>
                <w:sz w:val="24"/>
                <w:szCs w:val="24"/>
                <w:highlight w:val="none"/>
              </w:rPr>
              <w:t>”则评审结</w:t>
            </w:r>
            <w:r>
              <w:rPr>
                <w:rFonts w:hint="eastAsia" w:ascii="宋体" w:hAnsi="宋体" w:eastAsia="宋体" w:cs="宋体"/>
                <w:color w:val="auto"/>
                <w:sz w:val="24"/>
                <w:szCs w:val="24"/>
                <w:highlight w:val="none"/>
                <w:lang w:val="en-US" w:eastAsia="zh-CN"/>
              </w:rPr>
              <w:t>果</w:t>
            </w:r>
            <w:r>
              <w:rPr>
                <w:rFonts w:hint="eastAsia" w:ascii="宋体" w:hAnsi="宋体" w:eastAsia="宋体" w:cs="宋体"/>
                <w:color w:val="auto"/>
                <w:sz w:val="24"/>
                <w:szCs w:val="24"/>
                <w:highlight w:val="none"/>
              </w:rPr>
              <w:t>为“不通过”。</w:t>
            </w:r>
          </w:p>
        </w:tc>
      </w:tr>
      <w:tr w14:paraId="37B2D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640" w:type="dxa"/>
            <w:gridSpan w:val="6"/>
            <w:noWrap w:val="0"/>
            <w:vAlign w:val="center"/>
          </w:tcPr>
          <w:p w14:paraId="5A951B5E">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default" w:ascii="宋体" w:hAnsi="宋体" w:eastAsia="宋体" w:cs="宋体"/>
                <w:b/>
                <w:color w:val="auto"/>
                <w:sz w:val="24"/>
                <w:szCs w:val="24"/>
                <w:highlight w:val="none"/>
                <w:lang w:val="en-US" w:eastAsia="zh-CN"/>
              </w:rPr>
            </w:pPr>
            <w:r>
              <w:rPr>
                <w:rFonts w:hint="eastAsia" w:ascii="宋体" w:hAnsi="宋体" w:cs="宋体"/>
                <w:b/>
                <w:color w:val="auto"/>
                <w:sz w:val="40"/>
                <w:szCs w:val="40"/>
                <w:highlight w:val="none"/>
                <w:lang w:val="en-US" w:eastAsia="zh-CN"/>
              </w:rPr>
              <w:t>1包</w:t>
            </w:r>
          </w:p>
        </w:tc>
      </w:tr>
      <w:tr w14:paraId="0B4EC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52" w:type="dxa"/>
            <w:noWrap w:val="0"/>
            <w:vAlign w:val="center"/>
          </w:tcPr>
          <w:p w14:paraId="2BA11A9E">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条款号</w:t>
            </w:r>
          </w:p>
        </w:tc>
        <w:tc>
          <w:tcPr>
            <w:tcW w:w="3154" w:type="dxa"/>
            <w:gridSpan w:val="3"/>
            <w:noWrap w:val="0"/>
            <w:vAlign w:val="center"/>
          </w:tcPr>
          <w:p w14:paraId="4C1E5874">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条款内容</w:t>
            </w:r>
          </w:p>
        </w:tc>
        <w:tc>
          <w:tcPr>
            <w:tcW w:w="5534" w:type="dxa"/>
            <w:gridSpan w:val="2"/>
            <w:noWrap w:val="0"/>
            <w:vAlign w:val="center"/>
          </w:tcPr>
          <w:p w14:paraId="3623E6BD">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编列内容</w:t>
            </w:r>
          </w:p>
        </w:tc>
      </w:tr>
      <w:tr w14:paraId="76AC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52" w:type="dxa"/>
            <w:noWrap w:val="0"/>
            <w:vAlign w:val="center"/>
          </w:tcPr>
          <w:p w14:paraId="26D03742">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lang w:val="en-US" w:eastAsia="zh-CN"/>
              </w:rPr>
              <w:t>三</w:t>
            </w:r>
          </w:p>
        </w:tc>
        <w:tc>
          <w:tcPr>
            <w:tcW w:w="3154" w:type="dxa"/>
            <w:gridSpan w:val="3"/>
            <w:noWrap w:val="0"/>
            <w:vAlign w:val="center"/>
          </w:tcPr>
          <w:p w14:paraId="666D9EC4">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分值构成</w:t>
            </w:r>
          </w:p>
          <w:p w14:paraId="3C4A6A39">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pacing w:val="-8"/>
                <w:sz w:val="24"/>
                <w:szCs w:val="24"/>
                <w:highlight w:val="none"/>
              </w:rPr>
              <w:t>（满分100分）</w:t>
            </w:r>
          </w:p>
        </w:tc>
        <w:tc>
          <w:tcPr>
            <w:tcW w:w="5534" w:type="dxa"/>
            <w:gridSpan w:val="2"/>
            <w:noWrap w:val="0"/>
            <w:vAlign w:val="center"/>
          </w:tcPr>
          <w:p w14:paraId="051B762F">
            <w:pPr>
              <w:keepNext w:val="0"/>
              <w:keepLines w:val="0"/>
              <w:pageBreakBefore w:val="0"/>
              <w:kinsoku/>
              <w:wordWrap/>
              <w:overflowPunct/>
              <w:topLinePunct w:val="0"/>
              <w:autoSpaceDE/>
              <w:autoSpaceDN/>
              <w:bidi w:val="0"/>
              <w:spacing w:line="360"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本项目采用综合评分法。评标总分值由投标报价</w:t>
            </w:r>
            <w:r>
              <w:rPr>
                <w:rFonts w:hint="eastAsia" w:ascii="宋体" w:hAnsi="宋体" w:eastAsia="宋体" w:cs="宋体"/>
                <w:color w:val="auto"/>
                <w:sz w:val="24"/>
                <w:szCs w:val="24"/>
                <w:highlight w:val="none"/>
                <w:lang w:val="en-US" w:eastAsia="zh-CN"/>
              </w:rPr>
              <w:t>部分、</w:t>
            </w:r>
            <w:r>
              <w:rPr>
                <w:rFonts w:hint="eastAsia" w:ascii="宋体" w:hAnsi="宋体" w:eastAsia="宋体" w:cs="宋体"/>
                <w:color w:val="auto"/>
                <w:sz w:val="24"/>
                <w:szCs w:val="24"/>
                <w:highlight w:val="none"/>
              </w:rPr>
              <w:t>技术</w:t>
            </w:r>
            <w:r>
              <w:rPr>
                <w:rFonts w:hint="eastAsia" w:ascii="宋体" w:hAnsi="宋体" w:eastAsia="宋体" w:cs="宋体"/>
                <w:color w:val="auto"/>
                <w:sz w:val="24"/>
                <w:szCs w:val="24"/>
                <w:highlight w:val="none"/>
                <w:lang w:val="en-US" w:eastAsia="zh-CN"/>
              </w:rPr>
              <w:t>和商务</w:t>
            </w:r>
            <w:r>
              <w:rPr>
                <w:rFonts w:hint="eastAsia" w:ascii="宋体" w:hAnsi="宋体" w:eastAsia="宋体" w:cs="宋体"/>
                <w:color w:val="auto"/>
                <w:sz w:val="24"/>
                <w:szCs w:val="24"/>
                <w:highlight w:val="none"/>
              </w:rPr>
              <w:t>部分组成，总分值100分。</w:t>
            </w:r>
          </w:p>
          <w:p w14:paraId="3B545AE0">
            <w:pPr>
              <w:keepNext w:val="0"/>
              <w:keepLines w:val="0"/>
              <w:pageBreakBefore w:val="0"/>
              <w:kinsoku/>
              <w:wordWrap/>
              <w:overflowPunct/>
              <w:topLinePunct w:val="0"/>
              <w:autoSpaceDE/>
              <w:autoSpaceDN/>
              <w:bidi w:val="0"/>
              <w:spacing w:line="360"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r>
              <w:rPr>
                <w:rFonts w:hint="eastAsia" w:ascii="宋体" w:hAnsi="宋体" w:eastAsia="宋体" w:cs="宋体"/>
                <w:color w:val="auto"/>
                <w:sz w:val="24"/>
                <w:szCs w:val="24"/>
                <w:highlight w:val="none"/>
                <w:lang w:val="en-US" w:eastAsia="zh-CN"/>
              </w:rPr>
              <w:t>部分</w:t>
            </w:r>
            <w:r>
              <w:rPr>
                <w:rFonts w:hint="eastAsia" w:ascii="宋体" w:hAnsi="宋体" w:eastAsia="宋体" w:cs="宋体"/>
                <w:color w:val="auto"/>
                <w:sz w:val="24"/>
                <w:szCs w:val="24"/>
                <w:highlight w:val="none"/>
              </w:rPr>
              <w:t>F1：满分</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p w14:paraId="1F052398">
            <w:pPr>
              <w:keepNext w:val="0"/>
              <w:keepLines w:val="0"/>
              <w:pageBreakBefore w:val="0"/>
              <w:kinsoku/>
              <w:wordWrap/>
              <w:overflowPunct/>
              <w:topLinePunct w:val="0"/>
              <w:autoSpaceDE/>
              <w:autoSpaceDN/>
              <w:bidi w:val="0"/>
              <w:spacing w:line="360"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rPr>
              <w:t>商务部分F2：满分</w:t>
            </w:r>
            <w:r>
              <w:rPr>
                <w:rFonts w:hint="eastAsia" w:ascii="宋体" w:hAnsi="宋体" w:eastAsia="宋体" w:cs="宋体"/>
                <w:color w:val="auto"/>
                <w:sz w:val="24"/>
                <w:szCs w:val="24"/>
                <w:highlight w:val="none"/>
                <w:lang w:val="en-US" w:eastAsia="zh-CN"/>
              </w:rPr>
              <w:t>70</w:t>
            </w:r>
            <w:r>
              <w:rPr>
                <w:rFonts w:hint="eastAsia" w:ascii="宋体" w:hAnsi="宋体" w:eastAsia="宋体" w:cs="宋体"/>
                <w:color w:val="auto"/>
                <w:sz w:val="24"/>
                <w:szCs w:val="24"/>
                <w:highlight w:val="none"/>
              </w:rPr>
              <w:t>分</w:t>
            </w:r>
          </w:p>
          <w:p w14:paraId="6B506DD3">
            <w:pPr>
              <w:keepNext w:val="0"/>
              <w:keepLines w:val="0"/>
              <w:pageBreakBefore w:val="0"/>
              <w:kinsoku/>
              <w:wordWrap/>
              <w:overflowPunct/>
              <w:topLinePunct w:val="0"/>
              <w:autoSpaceDE/>
              <w:autoSpaceDN/>
              <w:bidi w:val="0"/>
              <w:spacing w:line="360"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投标人的评标总得分＝F1＋F2</w:t>
            </w:r>
          </w:p>
        </w:tc>
      </w:tr>
      <w:tr w14:paraId="7DC51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52" w:type="dxa"/>
            <w:noWrap w:val="0"/>
            <w:vAlign w:val="center"/>
          </w:tcPr>
          <w:p w14:paraId="5E25B8EA">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条款号</w:t>
            </w:r>
          </w:p>
        </w:tc>
        <w:tc>
          <w:tcPr>
            <w:tcW w:w="3154" w:type="dxa"/>
            <w:gridSpan w:val="3"/>
            <w:noWrap w:val="0"/>
            <w:vAlign w:val="center"/>
          </w:tcPr>
          <w:p w14:paraId="6FC93C78">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rPr>
              <w:t>评分因素</w:t>
            </w:r>
          </w:p>
        </w:tc>
        <w:tc>
          <w:tcPr>
            <w:tcW w:w="5534" w:type="dxa"/>
            <w:gridSpan w:val="2"/>
            <w:noWrap w:val="0"/>
            <w:vAlign w:val="center"/>
          </w:tcPr>
          <w:p w14:paraId="752A8056">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rPr>
              <w:t>评分标准</w:t>
            </w:r>
          </w:p>
        </w:tc>
      </w:tr>
      <w:tr w14:paraId="1206E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52" w:type="dxa"/>
            <w:noWrap w:val="0"/>
            <w:vAlign w:val="center"/>
          </w:tcPr>
          <w:p w14:paraId="21089F8D">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sz w:val="24"/>
                <w:szCs w:val="24"/>
                <w:highlight w:val="none"/>
                <w:lang w:val="en-US" w:eastAsia="zh-CN"/>
              </w:rPr>
              <w:t>F1</w:t>
            </w:r>
          </w:p>
        </w:tc>
        <w:tc>
          <w:tcPr>
            <w:tcW w:w="3154" w:type="dxa"/>
            <w:gridSpan w:val="3"/>
            <w:noWrap w:val="0"/>
            <w:vAlign w:val="center"/>
          </w:tcPr>
          <w:p w14:paraId="02D63FD3">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投标报价</w:t>
            </w:r>
            <w:r>
              <w:rPr>
                <w:rFonts w:hint="eastAsia" w:ascii="宋体" w:hAnsi="宋体" w:eastAsia="宋体" w:cs="宋体"/>
                <w:b w:val="0"/>
                <w:bCs w:val="0"/>
                <w:color w:val="auto"/>
                <w:sz w:val="24"/>
                <w:szCs w:val="24"/>
                <w:highlight w:val="none"/>
                <w:lang w:val="en-US" w:eastAsia="zh-CN"/>
              </w:rPr>
              <w:t>部分</w:t>
            </w:r>
            <w:r>
              <w:rPr>
                <w:rFonts w:hint="eastAsia" w:ascii="宋体" w:hAnsi="宋体" w:eastAsia="宋体" w:cs="宋体"/>
                <w:b w:val="0"/>
                <w:bCs w:val="0"/>
                <w:color w:val="auto"/>
                <w:sz w:val="24"/>
                <w:szCs w:val="24"/>
                <w:highlight w:val="none"/>
              </w:rPr>
              <w:t>评分标准</w:t>
            </w:r>
          </w:p>
          <w:p w14:paraId="7992C5A9">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满分30</w:t>
            </w:r>
            <w:r>
              <w:rPr>
                <w:rFonts w:hint="eastAsia" w:ascii="宋体" w:hAnsi="宋体" w:eastAsia="宋体" w:cs="宋体"/>
                <w:b w:val="0"/>
                <w:bCs w:val="0"/>
                <w:color w:val="auto"/>
                <w:sz w:val="24"/>
                <w:szCs w:val="24"/>
                <w:highlight w:val="none"/>
              </w:rPr>
              <w:t>分）</w:t>
            </w:r>
          </w:p>
        </w:tc>
        <w:tc>
          <w:tcPr>
            <w:tcW w:w="5534" w:type="dxa"/>
            <w:gridSpan w:val="2"/>
            <w:noWrap w:val="0"/>
            <w:vAlign w:val="center"/>
          </w:tcPr>
          <w:p w14:paraId="3FFFB8F7">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投标报价得分统一采用低价优先法计算，即满足招标文件要求（指通过符合性评审的报价）且投标价格最低的投标报价为评标基准价，其价格分为满分。其他投标人的价格分统一按照下列公式计算：</w:t>
            </w:r>
          </w:p>
          <w:p w14:paraId="4F2DB4F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投标报价得分＝（评标基准价/投标报价）×</w:t>
            </w:r>
            <w:r>
              <w:rPr>
                <w:rFonts w:hint="eastAsia" w:ascii="宋体" w:hAnsi="宋体" w:eastAsia="宋体" w:cs="宋体"/>
                <w:b/>
                <w:bCs/>
                <w:color w:val="auto"/>
                <w:sz w:val="24"/>
                <w:szCs w:val="24"/>
                <w:highlight w:val="none"/>
                <w:lang w:val="en-US" w:eastAsia="zh-CN"/>
              </w:rPr>
              <w:t>30</w:t>
            </w:r>
            <w:r>
              <w:rPr>
                <w:rFonts w:hint="eastAsia" w:ascii="宋体" w:hAnsi="宋体" w:eastAsia="宋体" w:cs="宋体"/>
                <w:b/>
                <w:bCs/>
                <w:color w:val="auto"/>
                <w:sz w:val="24"/>
                <w:szCs w:val="24"/>
                <w:highlight w:val="none"/>
              </w:rPr>
              <w:t>。</w:t>
            </w:r>
          </w:p>
          <w:p w14:paraId="53ECFDF7">
            <w:pPr>
              <w:keepNext w:val="0"/>
              <w:keepLines w:val="0"/>
              <w:pageBreakBefore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注：</w:t>
            </w:r>
            <w:r>
              <w:rPr>
                <w:rFonts w:hint="eastAsia" w:ascii="宋体" w:hAnsi="宋体" w:eastAsia="宋体" w:cs="宋体"/>
                <w:b w:val="0"/>
                <w:bCs w:val="0"/>
                <w:color w:val="auto"/>
                <w:sz w:val="24"/>
                <w:szCs w:val="24"/>
                <w:highlight w:val="none"/>
                <w:lang w:val="en-US" w:eastAsia="zh-CN"/>
              </w:rPr>
              <w:t>①</w:t>
            </w:r>
            <w:r>
              <w:rPr>
                <w:rFonts w:hint="eastAsia" w:ascii="宋体" w:hAnsi="宋体" w:eastAsia="宋体" w:cs="宋体"/>
                <w:b w:val="0"/>
                <w:bCs w:val="0"/>
                <w:color w:val="auto"/>
                <w:sz w:val="24"/>
                <w:szCs w:val="24"/>
                <w:highlight w:val="none"/>
              </w:rPr>
              <w:t>评标过程中，不得去掉报价中的最高报价和最低报价；</w:t>
            </w:r>
          </w:p>
          <w:p w14:paraId="40268AE9">
            <w:pPr>
              <w:keepNext w:val="0"/>
              <w:keepLines w:val="0"/>
              <w:pageBreakBefore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②</w:t>
            </w:r>
            <w:r>
              <w:rPr>
                <w:rFonts w:hint="eastAsia" w:ascii="宋体" w:hAnsi="宋体" w:eastAsia="宋体" w:cs="宋体"/>
                <w:b w:val="0"/>
                <w:bCs w:val="0"/>
                <w:color w:val="auto"/>
                <w:sz w:val="24"/>
                <w:szCs w:val="24"/>
                <w:highlight w:val="none"/>
              </w:rPr>
              <w:t>因落实政府采购政策进行价格调整的，以调整后的评审价格计算评标基准价和投标报价得分。若投标人符合本项目招标文件第二章《投标须知前附表》第</w:t>
            </w:r>
            <w:r>
              <w:rPr>
                <w:rFonts w:hint="eastAsia" w:ascii="宋体" w:hAnsi="宋体" w:eastAsia="宋体" w:cs="宋体"/>
                <w:b w:val="0"/>
                <w:bCs w:val="0"/>
                <w:color w:val="auto"/>
                <w:sz w:val="24"/>
                <w:szCs w:val="24"/>
                <w:highlight w:val="none"/>
                <w:lang w:val="en-US" w:eastAsia="zh-CN"/>
              </w:rPr>
              <w:t>29</w:t>
            </w:r>
            <w:r>
              <w:rPr>
                <w:rFonts w:hint="eastAsia" w:ascii="宋体" w:hAnsi="宋体" w:eastAsia="宋体" w:cs="宋体"/>
                <w:b w:val="0"/>
                <w:bCs w:val="0"/>
                <w:color w:val="auto"/>
                <w:sz w:val="24"/>
                <w:szCs w:val="24"/>
                <w:highlight w:val="none"/>
              </w:rPr>
              <w:t xml:space="preserve">条中（1）、（2）、（3）相关规定的，其投标报价给以10%的价格扣除，用扣除后的价格参加评审。评审价格=投标报价*90% </w:t>
            </w:r>
          </w:p>
          <w:p w14:paraId="0A38BC2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③</w:t>
            </w:r>
            <w:r>
              <w:rPr>
                <w:rFonts w:hint="eastAsia" w:ascii="宋体" w:hAnsi="宋体" w:eastAsia="宋体" w:cs="宋体"/>
                <w:b w:val="0"/>
                <w:color w:val="auto"/>
                <w:kern w:val="2"/>
                <w:sz w:val="24"/>
                <w:szCs w:val="24"/>
                <w:highlight w:val="none"/>
                <w:lang w:val="en-US" w:eastAsia="zh-CN" w:bidi="ar-SA"/>
              </w:rPr>
              <w:t>政府采购活动中既有本国产品又有非本国产品参与竞争的，依法对本国产品给予价格评审优惠，对本国产品的报价给予20%的价格扣除，用扣除后的价格参与评审。</w:t>
            </w:r>
          </w:p>
          <w:p w14:paraId="44FB5C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color w:val="auto"/>
                <w:kern w:val="2"/>
                <w:sz w:val="24"/>
                <w:szCs w:val="24"/>
                <w:highlight w:val="none"/>
                <w:lang w:val="en-US" w:eastAsia="zh-CN" w:bidi="ar-SA"/>
              </w:rPr>
              <w:t>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2776866A">
            <w:pPr>
              <w:keepNext w:val="0"/>
              <w:keepLines w:val="0"/>
              <w:pageBreakBefore w:val="0"/>
              <w:kinsoku/>
              <w:wordWrap/>
              <w:overflowPunct/>
              <w:topLinePunct w:val="0"/>
              <w:autoSpaceDE/>
              <w:autoSpaceDN/>
              <w:bidi w:val="0"/>
              <w:spacing w:line="360" w:lineRule="auto"/>
              <w:ind w:left="0" w:leftChars="0" w:right="0" w:rightChars="0" w:firstLine="0" w:firstLineChars="0"/>
              <w:jc w:val="left"/>
              <w:textAlignment w:val="auto"/>
              <w:rPr>
                <w:rFonts w:hint="eastAsia" w:ascii="宋体" w:hAnsi="宋体" w:eastAsia="宋体" w:cs="宋体"/>
                <w:b w:val="0"/>
                <w:bCs w:val="0"/>
                <w:color w:val="auto"/>
                <w:kern w:val="0"/>
                <w:sz w:val="24"/>
                <w:szCs w:val="24"/>
                <w:highlight w:val="none"/>
              </w:rPr>
            </w:pPr>
            <w:r>
              <w:rPr>
                <w:rFonts w:hint="eastAsia" w:ascii="宋体" w:hAnsi="宋体" w:cs="宋体"/>
                <w:b w:val="0"/>
                <w:bCs w:val="0"/>
                <w:color w:val="auto"/>
                <w:sz w:val="24"/>
                <w:szCs w:val="24"/>
                <w:highlight w:val="none"/>
                <w:lang w:eastAsia="zh-CN"/>
              </w:rPr>
              <w:t>④</w:t>
            </w:r>
            <w:r>
              <w:rPr>
                <w:rFonts w:hint="eastAsia" w:ascii="宋体" w:hAnsi="宋体" w:eastAsia="宋体" w:cs="宋体"/>
                <w:b w:val="0"/>
                <w:bCs w:val="0"/>
                <w:color w:val="auto"/>
                <w:sz w:val="24"/>
                <w:szCs w:val="24"/>
                <w:highlight w:val="none"/>
              </w:rPr>
              <w:t xml:space="preserve">计算结果保留小数点后 </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位，第</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位</w:t>
            </w:r>
            <w:r>
              <w:rPr>
                <w:rFonts w:hint="eastAsia" w:ascii="宋体" w:hAnsi="宋体" w:eastAsia="宋体" w:cs="宋体"/>
                <w:b w:val="0"/>
                <w:bCs w:val="0"/>
                <w:color w:val="auto"/>
                <w:sz w:val="24"/>
                <w:szCs w:val="24"/>
                <w:highlight w:val="none"/>
                <w:lang w:val="en-US" w:eastAsia="zh-CN"/>
              </w:rPr>
              <w:t>自行舍去</w:t>
            </w:r>
            <w:r>
              <w:rPr>
                <w:rFonts w:hint="eastAsia" w:ascii="宋体" w:hAnsi="宋体" w:eastAsia="宋体" w:cs="宋体"/>
                <w:b w:val="0"/>
                <w:bCs w:val="0"/>
                <w:color w:val="auto"/>
                <w:sz w:val="24"/>
                <w:szCs w:val="24"/>
                <w:highlight w:val="none"/>
              </w:rPr>
              <w:t xml:space="preserve">。 </w:t>
            </w:r>
          </w:p>
        </w:tc>
      </w:tr>
      <w:tr w14:paraId="0A41B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52" w:type="dxa"/>
            <w:vMerge w:val="restart"/>
            <w:noWrap w:val="0"/>
            <w:vAlign w:val="center"/>
          </w:tcPr>
          <w:p w14:paraId="5647A200">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F2</w:t>
            </w:r>
          </w:p>
        </w:tc>
        <w:tc>
          <w:tcPr>
            <w:tcW w:w="1282" w:type="dxa"/>
            <w:gridSpan w:val="2"/>
            <w:vMerge w:val="restart"/>
            <w:noWrap w:val="0"/>
            <w:vAlign w:val="center"/>
          </w:tcPr>
          <w:p w14:paraId="1E02AC57">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技术</w:t>
            </w:r>
            <w:r>
              <w:rPr>
                <w:rFonts w:hint="eastAsia" w:ascii="宋体" w:hAnsi="宋体" w:eastAsia="宋体" w:cs="宋体"/>
                <w:b w:val="0"/>
                <w:bCs w:val="0"/>
                <w:color w:val="auto"/>
                <w:sz w:val="24"/>
                <w:szCs w:val="24"/>
                <w:highlight w:val="none"/>
                <w:lang w:val="en-US" w:eastAsia="zh-CN"/>
              </w:rPr>
              <w:t>和</w:t>
            </w:r>
            <w:r>
              <w:rPr>
                <w:rFonts w:hint="eastAsia" w:ascii="宋体" w:hAnsi="宋体" w:eastAsia="宋体" w:cs="宋体"/>
                <w:b w:val="0"/>
                <w:bCs w:val="0"/>
                <w:color w:val="auto"/>
                <w:sz w:val="24"/>
                <w:szCs w:val="24"/>
                <w:highlight w:val="none"/>
              </w:rPr>
              <w:t>商务评分标准</w:t>
            </w:r>
          </w:p>
          <w:p w14:paraId="4C87651E">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70</w:t>
            </w:r>
            <w:r>
              <w:rPr>
                <w:rFonts w:hint="eastAsia" w:ascii="宋体" w:hAnsi="宋体" w:eastAsia="宋体" w:cs="宋体"/>
                <w:b w:val="0"/>
                <w:bCs w:val="0"/>
                <w:color w:val="auto"/>
                <w:sz w:val="24"/>
                <w:szCs w:val="24"/>
                <w:highlight w:val="none"/>
              </w:rPr>
              <w:t>分）</w:t>
            </w:r>
          </w:p>
        </w:tc>
        <w:tc>
          <w:tcPr>
            <w:tcW w:w="1872" w:type="dxa"/>
            <w:noWrap w:val="0"/>
            <w:vAlign w:val="center"/>
          </w:tcPr>
          <w:p w14:paraId="3A047276">
            <w:pPr>
              <w:keepNext w:val="0"/>
              <w:keepLines w:val="0"/>
              <w:pageBreakBefore w:val="0"/>
              <w:widowControl w:val="0"/>
              <w:kinsoku/>
              <w:wordWrap/>
              <w:overflowPunct/>
              <w:topLinePunct w:val="0"/>
              <w:autoSpaceDE/>
              <w:autoSpaceDN/>
              <w:bidi w:val="0"/>
              <w:snapToGrid w:val="0"/>
              <w:spacing w:line="360" w:lineRule="auto"/>
              <w:ind w:left="-2" w:leftChars="-1" w:right="0" w:rightChars="0" w:firstLine="0" w:firstLine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技术参数的响应程度评审</w:t>
            </w:r>
          </w:p>
          <w:p w14:paraId="7B07D10C">
            <w:pPr>
              <w:keepNext w:val="0"/>
              <w:keepLines w:val="0"/>
              <w:pageBreakBefore w:val="0"/>
              <w:widowControl w:val="0"/>
              <w:kinsoku/>
              <w:wordWrap/>
              <w:overflowPunct/>
              <w:topLinePunct w:val="0"/>
              <w:autoSpaceDE/>
              <w:autoSpaceDN/>
              <w:bidi w:val="0"/>
              <w:snapToGrid w:val="0"/>
              <w:spacing w:line="360" w:lineRule="auto"/>
              <w:ind w:left="-2" w:leftChars="-1"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（满分</w:t>
            </w:r>
            <w:r>
              <w:rPr>
                <w:rFonts w:hint="eastAsia" w:ascii="宋体" w:hAnsi="宋体" w:cs="宋体"/>
                <w:color w:val="auto"/>
                <w:sz w:val="24"/>
                <w:szCs w:val="24"/>
                <w:highlight w:val="none"/>
                <w:lang w:val="en-US" w:eastAsia="zh-CN"/>
              </w:rPr>
              <w:t>22.60</w:t>
            </w:r>
            <w:r>
              <w:rPr>
                <w:rFonts w:hint="eastAsia" w:ascii="宋体" w:hAnsi="宋体" w:eastAsia="宋体" w:cs="宋体"/>
                <w:color w:val="auto"/>
                <w:sz w:val="24"/>
                <w:szCs w:val="24"/>
                <w:highlight w:val="none"/>
                <w:lang w:val="en-US" w:eastAsia="zh-CN"/>
              </w:rPr>
              <w:t>分）</w:t>
            </w:r>
          </w:p>
          <w:p w14:paraId="3AC893DE">
            <w:pPr>
              <w:keepNext w:val="0"/>
              <w:keepLines w:val="0"/>
              <w:pageBreakBefore w:val="0"/>
              <w:widowControl w:val="0"/>
              <w:kinsoku/>
              <w:wordWrap/>
              <w:overflowPunct/>
              <w:topLinePunct w:val="0"/>
              <w:autoSpaceDE/>
              <w:autoSpaceDN/>
              <w:bidi w:val="0"/>
              <w:snapToGrid w:val="0"/>
              <w:spacing w:line="360" w:lineRule="auto"/>
              <w:ind w:left="-2" w:leftChars="-1" w:right="0" w:rightChars="0" w:firstLine="0" w:firstLineChars="0"/>
              <w:jc w:val="center"/>
              <w:textAlignment w:val="auto"/>
              <w:outlineLvl w:val="9"/>
              <w:rPr>
                <w:rFonts w:hint="eastAsia" w:ascii="宋体" w:hAnsi="宋体" w:eastAsia="宋体" w:cs="宋体"/>
                <w:b/>
                <w:bCs w:val="0"/>
                <w:color w:val="auto"/>
                <w:sz w:val="24"/>
                <w:szCs w:val="24"/>
                <w:highlight w:val="none"/>
                <w:lang w:val="en-US" w:eastAsia="zh-CN"/>
              </w:rPr>
            </w:pPr>
          </w:p>
        </w:tc>
        <w:tc>
          <w:tcPr>
            <w:tcW w:w="5534" w:type="dxa"/>
            <w:gridSpan w:val="2"/>
            <w:noWrap w:val="0"/>
            <w:vAlign w:val="center"/>
          </w:tcPr>
          <w:p w14:paraId="5C322F3F">
            <w:pPr>
              <w:keepNext w:val="0"/>
              <w:keepLines w:val="0"/>
              <w:pageBreakBefore w:val="0"/>
              <w:widowControl w:val="0"/>
              <w:numPr>
                <w:ilvl w:val="0"/>
                <w:numId w:val="0"/>
              </w:numPr>
              <w:kinsoku/>
              <w:wordWrap/>
              <w:overflowPunct/>
              <w:topLinePunct w:val="0"/>
              <w:autoSpaceDE/>
              <w:autoSpaceDN/>
              <w:bidi w:val="0"/>
              <w:adjustRightInd w:val="0"/>
              <w:spacing w:line="360" w:lineRule="auto"/>
              <w:ind w:leftChars="0" w:right="0" w:rightChars="0" w:firstLine="0" w:firstLineChars="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根据投标人提供的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技术参数响应偏离表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和技术支持资料，对照招标文件的技术参数进行评审。所投产品指标满足或优于招标文件技术参数的得满分</w:t>
            </w:r>
            <w:r>
              <w:rPr>
                <w:rFonts w:hint="eastAsia" w:ascii="宋体" w:hAnsi="宋体" w:cs="宋体"/>
                <w:color w:val="auto"/>
                <w:sz w:val="24"/>
                <w:szCs w:val="24"/>
                <w:highlight w:val="none"/>
                <w:lang w:val="en-US" w:eastAsia="zh-CN"/>
              </w:rPr>
              <w:t>22.20</w:t>
            </w:r>
            <w:r>
              <w:rPr>
                <w:rFonts w:hint="eastAsia" w:ascii="宋体" w:hAnsi="宋体" w:eastAsia="宋体" w:cs="宋体"/>
                <w:color w:val="auto"/>
                <w:sz w:val="24"/>
                <w:szCs w:val="24"/>
                <w:highlight w:val="none"/>
                <w:lang w:val="en-US" w:eastAsia="zh-CN"/>
              </w:rPr>
              <w:t>分。</w:t>
            </w:r>
          </w:p>
          <w:p w14:paraId="60056AB8">
            <w:pPr>
              <w:keepNext w:val="0"/>
              <w:keepLines w:val="0"/>
              <w:pageBreakBefore w:val="0"/>
              <w:numPr>
                <w:ilvl w:val="0"/>
                <w:numId w:val="0"/>
              </w:numPr>
              <w:kinsoku/>
              <w:wordWrap/>
              <w:overflowPunct/>
              <w:topLinePunct w:val="0"/>
              <w:autoSpaceDE/>
              <w:autoSpaceDN/>
              <w:bidi w:val="0"/>
              <w:adjustRightInd w:val="0"/>
              <w:spacing w:line="360" w:lineRule="auto"/>
              <w:ind w:left="0" w:leftChars="0" w:right="0" w:rightChars="0"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（1）</w:t>
            </w:r>
            <w:r>
              <w:rPr>
                <w:rFonts w:hint="eastAsia" w:ascii="宋体" w:hAnsi="宋体" w:cs="宋体"/>
                <w:b/>
                <w:bCs/>
                <w:color w:val="auto"/>
                <w:sz w:val="24"/>
                <w:szCs w:val="24"/>
                <w:highlight w:val="none"/>
                <w:lang w:val="en-US" w:eastAsia="zh-CN"/>
              </w:rPr>
              <w:t>重要</w:t>
            </w:r>
            <w:r>
              <w:rPr>
                <w:rFonts w:hint="eastAsia" w:ascii="宋体" w:hAnsi="宋体" w:eastAsia="宋体" w:cs="宋体"/>
                <w:b/>
                <w:bCs/>
                <w:color w:val="auto"/>
                <w:sz w:val="24"/>
                <w:szCs w:val="24"/>
                <w:highlight w:val="none"/>
                <w:lang w:val="en-US" w:eastAsia="zh-CN"/>
              </w:rPr>
              <w:t>技术参数（标注“▲”参数）评审（满分</w:t>
            </w:r>
            <w:r>
              <w:rPr>
                <w:rFonts w:hint="eastAsia" w:ascii="宋体" w:hAnsi="宋体" w:cs="宋体"/>
                <w:b/>
                <w:bCs/>
                <w:color w:val="auto"/>
                <w:sz w:val="24"/>
                <w:szCs w:val="24"/>
                <w:highlight w:val="none"/>
                <w:lang w:val="en-US" w:eastAsia="zh-CN"/>
              </w:rPr>
              <w:t>13.2</w:t>
            </w:r>
            <w:r>
              <w:rPr>
                <w:rFonts w:hint="eastAsia" w:ascii="宋体" w:hAnsi="宋体" w:eastAsia="宋体" w:cs="宋体"/>
                <w:b/>
                <w:bCs/>
                <w:color w:val="auto"/>
                <w:sz w:val="24"/>
                <w:szCs w:val="24"/>
                <w:highlight w:val="none"/>
                <w:lang w:val="en-US" w:eastAsia="zh-CN"/>
              </w:rPr>
              <w:t>分）</w:t>
            </w:r>
          </w:p>
          <w:p w14:paraId="1EEB482A">
            <w:pPr>
              <w:keepNext w:val="0"/>
              <w:keepLines w:val="0"/>
              <w:pageBreakBefore w:val="0"/>
              <w:numPr>
                <w:ilvl w:val="0"/>
                <w:numId w:val="0"/>
              </w:numPr>
              <w:kinsoku/>
              <w:wordWrap/>
              <w:overflowPunct/>
              <w:topLinePunct w:val="0"/>
              <w:autoSpaceDE/>
              <w:autoSpaceDN/>
              <w:bidi w:val="0"/>
              <w:adjustRightInd w:val="0"/>
              <w:spacing w:line="360" w:lineRule="auto"/>
              <w:ind w:leftChars="0" w:right="0" w:righ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第四章“</w:t>
            </w:r>
            <w:r>
              <w:rPr>
                <w:rFonts w:hint="eastAsia" w:ascii="宋体" w:hAnsi="宋体" w:eastAsia="宋体" w:cs="宋体"/>
                <w:color w:val="auto"/>
                <w:sz w:val="24"/>
                <w:highlight w:val="none"/>
                <w:lang w:eastAsia="zh-CN"/>
              </w:rPr>
              <w:t>采购需求及技术参数要求</w:t>
            </w:r>
            <w:r>
              <w:rPr>
                <w:rFonts w:hint="eastAsia" w:ascii="宋体" w:hAnsi="宋体" w:eastAsia="宋体" w:cs="宋体"/>
                <w:color w:val="auto"/>
                <w:sz w:val="24"/>
                <w:szCs w:val="24"/>
                <w:highlight w:val="none"/>
                <w:lang w:val="en-US" w:eastAsia="zh-CN"/>
              </w:rPr>
              <w:t>”，标注“</w:t>
            </w:r>
            <w:r>
              <w:rPr>
                <w:rFonts w:hint="eastAsia" w:ascii="宋体" w:hAnsi="宋体" w:eastAsia="宋体" w:cs="宋体"/>
                <w:b/>
                <w:bCs w:val="0"/>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”号的为重要技术参数，共计</w:t>
            </w:r>
            <w:r>
              <w:rPr>
                <w:rFonts w:hint="eastAsia" w:ascii="宋体" w:hAnsi="宋体" w:cs="宋体"/>
                <w:color w:val="auto"/>
                <w:sz w:val="24"/>
                <w:szCs w:val="24"/>
                <w:highlight w:val="none"/>
                <w:lang w:val="en-US" w:eastAsia="zh-CN"/>
              </w:rPr>
              <w:t>33</w:t>
            </w:r>
            <w:r>
              <w:rPr>
                <w:rFonts w:hint="eastAsia" w:ascii="宋体" w:hAnsi="宋体" w:eastAsia="宋体" w:cs="宋体"/>
                <w:color w:val="auto"/>
                <w:sz w:val="24"/>
                <w:szCs w:val="24"/>
                <w:highlight w:val="none"/>
                <w:lang w:val="en-US" w:eastAsia="zh-CN"/>
              </w:rPr>
              <w:t>条</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1条标注“</w:t>
            </w:r>
            <w:r>
              <w:rPr>
                <w:rFonts w:hint="eastAsia" w:ascii="宋体" w:hAnsi="宋体" w:eastAsia="宋体" w:cs="宋体"/>
                <w:b/>
                <w:bCs w:val="0"/>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”参数为</w:t>
            </w:r>
            <w:r>
              <w:rPr>
                <w:rFonts w:hint="eastAsia" w:ascii="宋体" w:hAnsi="宋体" w:cs="宋体"/>
                <w:color w:val="auto"/>
                <w:sz w:val="24"/>
                <w:szCs w:val="24"/>
                <w:highlight w:val="none"/>
                <w:lang w:val="en-US" w:eastAsia="zh-CN"/>
              </w:rPr>
              <w:t>0.4</w:t>
            </w:r>
            <w:r>
              <w:rPr>
                <w:rFonts w:hint="eastAsia" w:ascii="宋体" w:hAnsi="宋体" w:eastAsia="宋体" w:cs="宋体"/>
                <w:color w:val="auto"/>
                <w:sz w:val="24"/>
                <w:szCs w:val="24"/>
                <w:highlight w:val="none"/>
                <w:lang w:val="en-US" w:eastAsia="zh-CN"/>
              </w:rPr>
              <w:t>分，每出现1条标注“</w:t>
            </w:r>
            <w:r>
              <w:rPr>
                <w:rFonts w:hint="eastAsia" w:ascii="宋体" w:hAnsi="宋体" w:eastAsia="宋体" w:cs="宋体"/>
                <w:b/>
                <w:bCs w:val="0"/>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”的重要技术参数不满足招标文件要求的扣</w:t>
            </w:r>
            <w:r>
              <w:rPr>
                <w:rFonts w:hint="eastAsia" w:ascii="宋体" w:hAnsi="宋体" w:cs="宋体"/>
                <w:color w:val="auto"/>
                <w:sz w:val="24"/>
                <w:szCs w:val="24"/>
                <w:highlight w:val="none"/>
                <w:lang w:val="en-US" w:eastAsia="zh-CN"/>
              </w:rPr>
              <w:t>0.4分</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扣完为止</w:t>
            </w:r>
            <w:r>
              <w:rPr>
                <w:rFonts w:hint="eastAsia" w:ascii="宋体" w:hAnsi="宋体" w:eastAsia="宋体" w:cs="宋体"/>
                <w:color w:val="auto"/>
                <w:sz w:val="24"/>
                <w:szCs w:val="24"/>
                <w:highlight w:val="none"/>
                <w:lang w:val="en-US" w:eastAsia="zh-CN"/>
              </w:rPr>
              <w:t>。</w:t>
            </w:r>
          </w:p>
          <w:p w14:paraId="2F79E2AA">
            <w:pPr>
              <w:keepNext w:val="0"/>
              <w:keepLines w:val="0"/>
              <w:pageBreakBefore w:val="0"/>
              <w:numPr>
                <w:ilvl w:val="0"/>
                <w:numId w:val="0"/>
              </w:numPr>
              <w:kinsoku/>
              <w:wordWrap/>
              <w:overflowPunct/>
              <w:topLinePunct w:val="0"/>
              <w:autoSpaceDE/>
              <w:autoSpaceDN/>
              <w:bidi w:val="0"/>
              <w:adjustRightInd w:val="0"/>
              <w:spacing w:line="360" w:lineRule="auto"/>
              <w:ind w:left="0" w:leftChars="0" w:right="0" w:rightChars="0" w:firstLine="0" w:firstLineChars="0"/>
              <w:textAlignment w:val="auto"/>
              <w:rPr>
                <w:rFonts w:hint="eastAsia" w:ascii="宋体" w:hAnsi="宋体" w:eastAsia="宋体" w:cs="宋体"/>
                <w:b/>
                <w:bCs/>
                <w:color w:val="auto"/>
                <w:szCs w:val="21"/>
                <w:highlight w:val="none"/>
                <w:lang w:val="en-US" w:eastAsia="zh-CN"/>
              </w:rPr>
            </w:pP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Cs w:val="21"/>
                <w:highlight w:val="none"/>
              </w:rPr>
              <w:t>一般</w:t>
            </w:r>
            <w:r>
              <w:rPr>
                <w:rFonts w:hint="eastAsia" w:ascii="宋体" w:hAnsi="宋体" w:eastAsia="宋体" w:cs="宋体"/>
                <w:b/>
                <w:bCs/>
                <w:color w:val="auto"/>
                <w:szCs w:val="21"/>
                <w:highlight w:val="none"/>
                <w:lang w:val="en-US" w:eastAsia="zh-CN"/>
              </w:rPr>
              <w:t>技术参数（标注“■”参数）评审（满分</w:t>
            </w:r>
            <w:r>
              <w:rPr>
                <w:rFonts w:hint="eastAsia" w:ascii="宋体" w:hAnsi="宋体" w:cs="宋体"/>
                <w:b/>
                <w:bCs/>
                <w:color w:val="auto"/>
                <w:szCs w:val="21"/>
                <w:highlight w:val="none"/>
                <w:lang w:val="en-US" w:eastAsia="zh-CN"/>
              </w:rPr>
              <w:t>9.4</w:t>
            </w:r>
            <w:r>
              <w:rPr>
                <w:rFonts w:hint="eastAsia" w:ascii="宋体" w:hAnsi="宋体" w:eastAsia="宋体" w:cs="宋体"/>
                <w:b/>
                <w:bCs/>
                <w:color w:val="auto"/>
                <w:szCs w:val="21"/>
                <w:highlight w:val="none"/>
                <w:lang w:val="en-US" w:eastAsia="zh-CN"/>
              </w:rPr>
              <w:t>分）</w:t>
            </w:r>
          </w:p>
          <w:p w14:paraId="72289AC2">
            <w:pPr>
              <w:keepNext w:val="0"/>
              <w:keepLines w:val="0"/>
              <w:pageBreakBefore w:val="0"/>
              <w:numPr>
                <w:ilvl w:val="0"/>
                <w:numId w:val="0"/>
              </w:numPr>
              <w:kinsoku/>
              <w:wordWrap/>
              <w:overflowPunct/>
              <w:topLinePunct w:val="0"/>
              <w:autoSpaceDE/>
              <w:autoSpaceDN/>
              <w:bidi w:val="0"/>
              <w:adjustRightInd w:val="0"/>
              <w:spacing w:line="360" w:lineRule="auto"/>
              <w:ind w:leftChars="0" w:right="0" w:righ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第四章“</w:t>
            </w:r>
            <w:r>
              <w:rPr>
                <w:rFonts w:hint="eastAsia" w:ascii="宋体" w:hAnsi="宋体" w:eastAsia="宋体" w:cs="宋体"/>
                <w:color w:val="auto"/>
                <w:sz w:val="24"/>
                <w:highlight w:val="none"/>
                <w:lang w:eastAsia="zh-CN"/>
              </w:rPr>
              <w:t>采购需求及技术参数要求</w:t>
            </w:r>
            <w:r>
              <w:rPr>
                <w:rFonts w:hint="eastAsia" w:ascii="宋体" w:hAnsi="宋体" w:eastAsia="宋体" w:cs="宋体"/>
                <w:color w:val="auto"/>
                <w:sz w:val="24"/>
                <w:szCs w:val="24"/>
                <w:highlight w:val="none"/>
                <w:lang w:val="en-US" w:eastAsia="zh-CN"/>
              </w:rPr>
              <w:t>”，标注“</w:t>
            </w:r>
            <w:r>
              <w:rPr>
                <w:rFonts w:hint="eastAsia" w:ascii="宋体" w:hAnsi="宋体" w:eastAsia="宋体" w:cs="宋体"/>
                <w:b/>
                <w:bCs/>
                <w:color w:val="auto"/>
                <w:szCs w:val="21"/>
                <w:highlight w:val="none"/>
                <w:lang w:val="en-US" w:eastAsia="zh-CN"/>
              </w:rPr>
              <w:t>■</w:t>
            </w:r>
            <w:r>
              <w:rPr>
                <w:rFonts w:hint="eastAsia" w:ascii="宋体" w:hAnsi="宋体" w:eastAsia="宋体" w:cs="宋体"/>
                <w:color w:val="auto"/>
                <w:sz w:val="24"/>
                <w:szCs w:val="24"/>
                <w:highlight w:val="none"/>
                <w:lang w:val="en-US" w:eastAsia="zh-CN"/>
              </w:rPr>
              <w:t>”号的为一般技术参数，共计</w:t>
            </w:r>
            <w:r>
              <w:rPr>
                <w:rFonts w:hint="eastAsia" w:ascii="宋体" w:hAnsi="宋体" w:cs="宋体"/>
                <w:color w:val="auto"/>
                <w:sz w:val="24"/>
                <w:szCs w:val="24"/>
                <w:highlight w:val="none"/>
                <w:lang w:val="en-US" w:eastAsia="zh-CN"/>
              </w:rPr>
              <w:t>47</w:t>
            </w:r>
            <w:r>
              <w:rPr>
                <w:rFonts w:hint="eastAsia" w:ascii="宋体" w:hAnsi="宋体" w:eastAsia="宋体" w:cs="宋体"/>
                <w:color w:val="auto"/>
                <w:sz w:val="24"/>
                <w:szCs w:val="24"/>
                <w:highlight w:val="none"/>
                <w:lang w:val="en-US" w:eastAsia="zh-CN"/>
              </w:rPr>
              <w:t>条</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1条标注“</w:t>
            </w:r>
            <w:r>
              <w:rPr>
                <w:rFonts w:hint="eastAsia" w:ascii="宋体" w:hAnsi="宋体" w:eastAsia="宋体" w:cs="宋体"/>
                <w:b/>
                <w:bCs/>
                <w:color w:val="auto"/>
                <w:szCs w:val="21"/>
                <w:highlight w:val="none"/>
                <w:lang w:val="en-US" w:eastAsia="zh-CN"/>
              </w:rPr>
              <w:t>■</w:t>
            </w:r>
            <w:r>
              <w:rPr>
                <w:rFonts w:hint="eastAsia" w:ascii="宋体" w:hAnsi="宋体" w:eastAsia="宋体" w:cs="宋体"/>
                <w:color w:val="auto"/>
                <w:sz w:val="24"/>
                <w:szCs w:val="24"/>
                <w:highlight w:val="none"/>
                <w:lang w:val="en-US" w:eastAsia="zh-CN"/>
              </w:rPr>
              <w:t>”参数为</w:t>
            </w:r>
            <w:r>
              <w:rPr>
                <w:rFonts w:hint="eastAsia" w:ascii="宋体" w:hAnsi="宋体" w:cs="宋体"/>
                <w:color w:val="auto"/>
                <w:sz w:val="24"/>
                <w:szCs w:val="24"/>
                <w:highlight w:val="none"/>
                <w:lang w:val="en-US" w:eastAsia="zh-CN"/>
              </w:rPr>
              <w:t>0.2</w:t>
            </w:r>
            <w:r>
              <w:rPr>
                <w:rFonts w:hint="eastAsia" w:ascii="宋体" w:hAnsi="宋体" w:eastAsia="宋体" w:cs="宋体"/>
                <w:color w:val="auto"/>
                <w:sz w:val="24"/>
                <w:szCs w:val="24"/>
                <w:highlight w:val="none"/>
                <w:lang w:val="en-US" w:eastAsia="zh-CN"/>
              </w:rPr>
              <w:t>分，每出现1条标注“</w:t>
            </w:r>
            <w:r>
              <w:rPr>
                <w:rFonts w:hint="eastAsia" w:ascii="宋体" w:hAnsi="宋体" w:eastAsia="宋体" w:cs="宋体"/>
                <w:b/>
                <w:bCs/>
                <w:color w:val="auto"/>
                <w:szCs w:val="21"/>
                <w:highlight w:val="none"/>
                <w:lang w:val="en-US" w:eastAsia="zh-CN"/>
              </w:rPr>
              <w:t>■</w:t>
            </w:r>
            <w:r>
              <w:rPr>
                <w:rFonts w:hint="eastAsia" w:ascii="宋体" w:hAnsi="宋体" w:eastAsia="宋体" w:cs="宋体"/>
                <w:color w:val="auto"/>
                <w:sz w:val="24"/>
                <w:szCs w:val="24"/>
                <w:highlight w:val="none"/>
                <w:lang w:val="en-US" w:eastAsia="zh-CN"/>
              </w:rPr>
              <w:t>”的重要技术参数不满足招标文件要求的扣</w:t>
            </w:r>
            <w:r>
              <w:rPr>
                <w:rFonts w:hint="eastAsia" w:ascii="宋体" w:hAnsi="宋体" w:cs="宋体"/>
                <w:color w:val="auto"/>
                <w:sz w:val="24"/>
                <w:szCs w:val="24"/>
                <w:highlight w:val="none"/>
                <w:lang w:val="en-US" w:eastAsia="zh-CN"/>
              </w:rPr>
              <w:t>0.2分</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扣完为止</w:t>
            </w:r>
            <w:r>
              <w:rPr>
                <w:rFonts w:hint="eastAsia" w:ascii="宋体" w:hAnsi="宋体" w:eastAsia="宋体" w:cs="宋体"/>
                <w:color w:val="auto"/>
                <w:sz w:val="24"/>
                <w:szCs w:val="24"/>
                <w:highlight w:val="none"/>
                <w:lang w:val="en-US" w:eastAsia="zh-CN"/>
              </w:rPr>
              <w:t>。</w:t>
            </w:r>
          </w:p>
          <w:p w14:paraId="622E9FB0">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0" w:firstLineChars="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注：①每一条</w:t>
            </w:r>
            <w:r>
              <w:rPr>
                <w:rFonts w:hint="eastAsia" w:ascii="宋体" w:hAnsi="宋体" w:cs="宋体"/>
                <w:b/>
                <w:bCs/>
                <w:color w:val="auto"/>
                <w:sz w:val="24"/>
                <w:szCs w:val="24"/>
                <w:highlight w:val="none"/>
                <w:lang w:val="en-US" w:eastAsia="zh-CN"/>
              </w:rPr>
              <w:t>评审</w:t>
            </w:r>
            <w:r>
              <w:rPr>
                <w:rFonts w:hint="eastAsia" w:ascii="宋体" w:hAnsi="宋体" w:eastAsia="宋体" w:cs="宋体"/>
                <w:b/>
                <w:bCs/>
                <w:color w:val="auto"/>
                <w:sz w:val="24"/>
                <w:szCs w:val="24"/>
                <w:highlight w:val="none"/>
                <w:lang w:val="en-US" w:eastAsia="zh-CN"/>
              </w:rPr>
              <w:t>技术参数（标注“▲”参数及标注“■”参数）要求须提供相关证明材料（第四章“采购需求及技术参数要求”</w:t>
            </w:r>
            <w:r>
              <w:rPr>
                <w:rFonts w:hint="eastAsia" w:ascii="宋体" w:hAnsi="宋体" w:cs="宋体"/>
                <w:b/>
                <w:bCs/>
                <w:color w:val="auto"/>
                <w:sz w:val="24"/>
                <w:szCs w:val="24"/>
                <w:highlight w:val="none"/>
                <w:lang w:val="en-US" w:eastAsia="zh-CN"/>
              </w:rPr>
              <w:t>中有要求的按要求提供，无要求的自行提供</w:t>
            </w:r>
            <w:r>
              <w:rPr>
                <w:rFonts w:hint="eastAsia" w:ascii="宋体" w:hAnsi="宋体" w:eastAsia="宋体" w:cs="宋体"/>
                <w:b/>
                <w:bCs/>
                <w:color w:val="auto"/>
                <w:sz w:val="24"/>
                <w:szCs w:val="24"/>
                <w:highlight w:val="none"/>
                <w:lang w:val="en-US" w:eastAsia="zh-CN"/>
              </w:rPr>
              <w:t>），未提供证明材料的，视为参数负偏离。证明材料应制作索引目录</w:t>
            </w:r>
            <w:r>
              <w:rPr>
                <w:rFonts w:hint="eastAsia" w:ascii="宋体" w:hAnsi="宋体" w:cs="宋体"/>
                <w:b/>
                <w:bCs/>
                <w:color w:val="auto"/>
                <w:sz w:val="24"/>
                <w:szCs w:val="24"/>
                <w:highlight w:val="none"/>
                <w:lang w:val="en-US" w:eastAsia="zh-CN"/>
              </w:rPr>
              <w:t>并框图标识</w:t>
            </w:r>
            <w:r>
              <w:rPr>
                <w:rFonts w:hint="eastAsia" w:ascii="宋体" w:hAnsi="宋体" w:eastAsia="宋体" w:cs="宋体"/>
                <w:b/>
                <w:bCs/>
                <w:color w:val="auto"/>
                <w:sz w:val="24"/>
                <w:szCs w:val="24"/>
                <w:highlight w:val="none"/>
                <w:lang w:val="en-US" w:eastAsia="zh-CN"/>
              </w:rPr>
              <w:t>，方便评委查找。不制作索引目录或编排混乱导致评委漏查的，造成的不利后果由投标人自行承担责任。</w:t>
            </w:r>
          </w:p>
          <w:p w14:paraId="0324C4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②证明材料可以为产品说明书或技术白皮书或检测报告或印刷宣传彩页或设备铭牌等。证明材料应当字迹清晰可见，否则造成的不利后果由投标人自行承担责任。</w:t>
            </w:r>
          </w:p>
        </w:tc>
      </w:tr>
      <w:tr w14:paraId="6D5A4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52" w:type="dxa"/>
            <w:vMerge w:val="continue"/>
            <w:noWrap w:val="0"/>
            <w:vAlign w:val="center"/>
          </w:tcPr>
          <w:p w14:paraId="6EF9EBE2">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val="0"/>
                <w:color w:val="auto"/>
                <w:sz w:val="24"/>
                <w:szCs w:val="24"/>
                <w:highlight w:val="none"/>
              </w:rPr>
            </w:pPr>
          </w:p>
        </w:tc>
        <w:tc>
          <w:tcPr>
            <w:tcW w:w="1282" w:type="dxa"/>
            <w:gridSpan w:val="2"/>
            <w:vMerge w:val="continue"/>
            <w:noWrap w:val="0"/>
            <w:vAlign w:val="center"/>
          </w:tcPr>
          <w:p w14:paraId="1907C58B">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val="0"/>
                <w:color w:val="auto"/>
                <w:sz w:val="24"/>
                <w:szCs w:val="24"/>
                <w:highlight w:val="none"/>
              </w:rPr>
            </w:pPr>
          </w:p>
        </w:tc>
        <w:tc>
          <w:tcPr>
            <w:tcW w:w="1872" w:type="dxa"/>
            <w:noWrap w:val="0"/>
            <w:vAlign w:val="center"/>
          </w:tcPr>
          <w:p w14:paraId="4BEA10AF">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项目供货方案</w:t>
            </w:r>
          </w:p>
          <w:p w14:paraId="18431555">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（满分</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分）</w:t>
            </w:r>
          </w:p>
        </w:tc>
        <w:tc>
          <w:tcPr>
            <w:tcW w:w="5534" w:type="dxa"/>
            <w:gridSpan w:val="2"/>
            <w:noWrap w:val="0"/>
            <w:vAlign w:val="center"/>
          </w:tcPr>
          <w:p w14:paraId="08B097C3">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0"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根据投标人提供的</w:t>
            </w:r>
            <w:r>
              <w:rPr>
                <w:rFonts w:hint="eastAsia" w:ascii="宋体" w:hAnsi="宋体" w:eastAsia="宋体" w:cs="宋体"/>
                <w:b/>
                <w:bCs/>
                <w:color w:val="auto"/>
                <w:sz w:val="24"/>
                <w:szCs w:val="24"/>
                <w:highlight w:val="none"/>
                <w:lang w:val="en-US" w:eastAsia="zh-CN"/>
              </w:rPr>
              <w:t>（1）供货方案；（2）进度安排(包括</w:t>
            </w:r>
            <w:r>
              <w:rPr>
                <w:rFonts w:hint="eastAsia" w:ascii="宋体" w:hAnsi="宋体" w:cs="宋体"/>
                <w:b/>
                <w:bCs/>
                <w:color w:val="auto"/>
                <w:sz w:val="24"/>
                <w:szCs w:val="24"/>
                <w:highlight w:val="none"/>
                <w:lang w:val="en-US" w:eastAsia="zh-CN"/>
              </w:rPr>
              <w:t>运输、</w:t>
            </w:r>
            <w:r>
              <w:rPr>
                <w:rFonts w:hint="eastAsia" w:ascii="宋体" w:hAnsi="宋体" w:eastAsia="宋体" w:cs="宋体"/>
                <w:b/>
                <w:bCs/>
                <w:color w:val="auto"/>
                <w:sz w:val="24"/>
                <w:szCs w:val="24"/>
                <w:highlight w:val="none"/>
                <w:lang w:val="en-US" w:eastAsia="zh-CN"/>
              </w:rPr>
              <w:t>安装、调试及验收等各项工作)；（3）产品质量保证措施及保障承诺；（4）供货保证措施及惩处措施</w:t>
            </w:r>
            <w:r>
              <w:rPr>
                <w:rFonts w:hint="eastAsia" w:ascii="宋体" w:hAnsi="宋体" w:cs="宋体"/>
                <w:b/>
                <w:bCs/>
                <w:color w:val="auto"/>
                <w:sz w:val="24"/>
                <w:szCs w:val="24"/>
                <w:highlight w:val="none"/>
                <w:lang w:val="en-US" w:eastAsia="zh-CN"/>
              </w:rPr>
              <w:t>；（5）相对应的惩处措施等</w:t>
            </w:r>
            <w:r>
              <w:rPr>
                <w:rFonts w:hint="eastAsia" w:ascii="宋体" w:hAnsi="宋体" w:eastAsia="宋体" w:cs="宋体"/>
                <w:color w:val="auto"/>
                <w:sz w:val="24"/>
                <w:szCs w:val="24"/>
                <w:highlight w:val="none"/>
                <w:lang w:val="en-US" w:eastAsia="zh-CN"/>
              </w:rPr>
              <w:t xml:space="preserve">进行综合评审： </w:t>
            </w:r>
          </w:p>
          <w:p w14:paraId="4BB3FAE2">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0"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rPr>
              <w:t>供货方案</w:t>
            </w:r>
            <w:r>
              <w:rPr>
                <w:rFonts w:hint="eastAsia" w:ascii="宋体" w:hAnsi="宋体" w:eastAsia="宋体" w:cs="宋体"/>
                <w:color w:val="auto"/>
                <w:sz w:val="24"/>
                <w:szCs w:val="24"/>
                <w:highlight w:val="none"/>
                <w:lang w:val="en-US" w:eastAsia="zh-CN"/>
              </w:rPr>
              <w:t>阐述</w:t>
            </w:r>
            <w:r>
              <w:rPr>
                <w:rFonts w:hint="eastAsia" w:ascii="宋体" w:hAnsi="宋体" w:eastAsia="宋体" w:cs="宋体"/>
                <w:color w:val="auto"/>
                <w:sz w:val="24"/>
                <w:szCs w:val="24"/>
                <w:highlight w:val="none"/>
              </w:rPr>
              <w:t>完整全面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完善具体、合理可行，针对性强，</w:t>
            </w:r>
            <w:r>
              <w:rPr>
                <w:rFonts w:hint="eastAsia" w:ascii="宋体" w:hAnsi="宋体" w:eastAsia="宋体" w:cs="宋体"/>
                <w:color w:val="auto"/>
                <w:sz w:val="24"/>
                <w:szCs w:val="24"/>
                <w:highlight w:val="none"/>
                <w:lang w:val="en-US" w:eastAsia="zh-CN"/>
              </w:rPr>
              <w:t>具有</w:t>
            </w:r>
            <w:r>
              <w:rPr>
                <w:rFonts w:hint="eastAsia" w:ascii="宋体" w:hAnsi="宋体" w:eastAsia="宋体" w:cs="宋体"/>
                <w:color w:val="auto"/>
                <w:sz w:val="24"/>
                <w:szCs w:val="24"/>
                <w:highlight w:val="none"/>
              </w:rPr>
              <w:t>可实施性及</w:t>
            </w:r>
            <w:r>
              <w:rPr>
                <w:rFonts w:hint="eastAsia" w:ascii="宋体" w:hAnsi="宋体" w:eastAsia="宋体" w:cs="宋体"/>
                <w:color w:val="auto"/>
                <w:sz w:val="24"/>
                <w:szCs w:val="24"/>
                <w:highlight w:val="none"/>
                <w:lang w:eastAsia="zh-CN"/>
              </w:rPr>
              <w:t>针对性</w:t>
            </w:r>
            <w:r>
              <w:rPr>
                <w:rFonts w:hint="eastAsia" w:ascii="宋体" w:hAnsi="宋体" w:eastAsia="宋体" w:cs="宋体"/>
                <w:color w:val="auto"/>
                <w:sz w:val="24"/>
                <w:szCs w:val="24"/>
                <w:highlight w:val="none"/>
                <w:lang w:val="en-US" w:eastAsia="zh-CN"/>
              </w:rPr>
              <w:t>的得满分25分；</w:t>
            </w:r>
          </w:p>
          <w:p w14:paraId="476C08C0">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0"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②以上“（1）、（2）、（3）</w:t>
            </w:r>
            <w:r>
              <w:rPr>
                <w:rFonts w:hint="eastAsia" w:ascii="宋体" w:hAnsi="宋体" w:cs="宋体"/>
                <w:color w:val="auto"/>
                <w:sz w:val="24"/>
                <w:szCs w:val="24"/>
                <w:highlight w:val="none"/>
                <w:lang w:val="en-US" w:eastAsia="zh-CN"/>
              </w:rPr>
              <w:t>、（4）、（5）</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lang w:val="en-US" w:eastAsia="zh-CN"/>
              </w:rPr>
              <w:t>项内容每缺少一项内容扣</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w:t>
            </w:r>
          </w:p>
          <w:p w14:paraId="27FC8A37">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0" w:firstLine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③以上任意一项内容每有一处描述缺陷的扣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以上内容涉及到的描述缺陷是指：内容无针对性，不全面、不清晰、无可行性，内容与实际情况不匹配、不符合项目特点或无法达到预期效果、不适用于本项目、内容不符合相关规范要求、内容与本项目无关等任意一种情形</w:t>
            </w:r>
            <w:r>
              <w:rPr>
                <w:rFonts w:hint="eastAsia" w:ascii="宋体" w:hAnsi="宋体" w:eastAsia="宋体" w:cs="宋体"/>
                <w:color w:val="auto"/>
                <w:sz w:val="24"/>
                <w:szCs w:val="24"/>
                <w:highlight w:val="none"/>
              </w:rPr>
              <w:t>。</w:t>
            </w:r>
          </w:p>
          <w:p w14:paraId="1ADCBD8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color w:val="auto"/>
                <w:sz w:val="24"/>
                <w:szCs w:val="24"/>
                <w:highlight w:val="none"/>
              </w:rPr>
              <w:t>：②③条款不重复扣分，扣完为止。</w:t>
            </w:r>
          </w:p>
        </w:tc>
      </w:tr>
      <w:tr w14:paraId="212BF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52" w:type="dxa"/>
            <w:vMerge w:val="continue"/>
            <w:noWrap w:val="0"/>
            <w:vAlign w:val="center"/>
          </w:tcPr>
          <w:p w14:paraId="24EF8695">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val="0"/>
                <w:color w:val="auto"/>
                <w:sz w:val="24"/>
                <w:szCs w:val="24"/>
                <w:highlight w:val="none"/>
              </w:rPr>
            </w:pPr>
          </w:p>
        </w:tc>
        <w:tc>
          <w:tcPr>
            <w:tcW w:w="1282" w:type="dxa"/>
            <w:gridSpan w:val="2"/>
            <w:vMerge w:val="continue"/>
            <w:noWrap w:val="0"/>
            <w:vAlign w:val="center"/>
          </w:tcPr>
          <w:p w14:paraId="5ED55513">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val="0"/>
                <w:color w:val="auto"/>
                <w:sz w:val="24"/>
                <w:szCs w:val="24"/>
                <w:highlight w:val="none"/>
              </w:rPr>
            </w:pPr>
          </w:p>
        </w:tc>
        <w:tc>
          <w:tcPr>
            <w:tcW w:w="1872" w:type="dxa"/>
            <w:noWrap w:val="0"/>
            <w:vAlign w:val="center"/>
          </w:tcPr>
          <w:p w14:paraId="11150066">
            <w:pPr>
              <w:keepNext w:val="0"/>
              <w:keepLines w:val="0"/>
              <w:pageBreakBefore w:val="0"/>
              <w:widowControl w:val="0"/>
              <w:kinsoku/>
              <w:wordWrap/>
              <w:overflowPunct/>
              <w:topLinePunct w:val="0"/>
              <w:autoSpaceDE/>
              <w:autoSpaceDN/>
              <w:bidi w:val="0"/>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售后服务</w:t>
            </w:r>
            <w:r>
              <w:rPr>
                <w:rFonts w:hint="eastAsia" w:ascii="宋体" w:hAnsi="宋体" w:eastAsia="宋体" w:cs="宋体"/>
                <w:color w:val="auto"/>
                <w:sz w:val="24"/>
                <w:szCs w:val="24"/>
                <w:highlight w:val="none"/>
                <w:lang w:val="en-US" w:eastAsia="zh-CN"/>
              </w:rPr>
              <w:t>方案</w:t>
            </w:r>
          </w:p>
          <w:p w14:paraId="798953A2">
            <w:pPr>
              <w:keepNext w:val="0"/>
              <w:keepLines w:val="0"/>
              <w:pageBreakBefore w:val="0"/>
              <w:widowControl w:val="0"/>
              <w:kinsoku/>
              <w:wordWrap/>
              <w:overflowPunct/>
              <w:topLinePunct w:val="0"/>
              <w:autoSpaceDE/>
              <w:autoSpaceDN/>
              <w:bidi w:val="0"/>
              <w:snapToGrid/>
              <w:spacing w:line="360" w:lineRule="auto"/>
              <w:ind w:left="0" w:leftChars="0" w:right="0" w:rightChars="0" w:firstLine="0" w:firstLine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auto"/>
                <w:sz w:val="24"/>
                <w:szCs w:val="24"/>
                <w:highlight w:val="none"/>
              </w:rPr>
              <w:t>（满分</w:t>
            </w: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rPr>
              <w:t>分）</w:t>
            </w:r>
          </w:p>
        </w:tc>
        <w:tc>
          <w:tcPr>
            <w:tcW w:w="5534" w:type="dxa"/>
            <w:gridSpan w:val="2"/>
            <w:noWrap w:val="0"/>
            <w:vAlign w:val="center"/>
          </w:tcPr>
          <w:p w14:paraId="358E5897">
            <w:pPr>
              <w:keepNext w:val="0"/>
              <w:keepLines w:val="0"/>
              <w:pageBreakBefore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根据投标人提供的售后服务方案进行评审，包括但不限于</w:t>
            </w:r>
            <w:r>
              <w:rPr>
                <w:rFonts w:hint="eastAsia" w:ascii="宋体" w:hAnsi="宋体" w:eastAsia="宋体" w:cs="宋体"/>
                <w:color w:val="auto"/>
                <w:sz w:val="24"/>
                <w:szCs w:val="24"/>
                <w:highlight w:val="none"/>
              </w:rPr>
              <w:t>：</w:t>
            </w:r>
          </w:p>
          <w:p w14:paraId="62D2B856">
            <w:pPr>
              <w:keepNext w:val="0"/>
              <w:keepLines w:val="0"/>
              <w:pageBreakBefore w:val="0"/>
              <w:numPr>
                <w:ilvl w:val="0"/>
                <w:numId w:val="0"/>
              </w:numPr>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lang w:val="en-US" w:eastAsia="zh-CN" w:bidi="ar-SA"/>
              </w:rPr>
              <w:t>（1）</w:t>
            </w:r>
            <w:r>
              <w:rPr>
                <w:rFonts w:hint="eastAsia" w:ascii="宋体" w:hAnsi="宋体" w:eastAsia="宋体" w:cs="宋体"/>
                <w:b/>
                <w:bCs/>
                <w:color w:val="auto"/>
                <w:sz w:val="24"/>
                <w:szCs w:val="24"/>
                <w:highlight w:val="none"/>
              </w:rPr>
              <w:t>质保期内售后服务方案（包括：维修政策承诺情况、维修服务响应时限、巡检维护周期、巡检计划内容、问题诊断及故障排除、售后服务技术人员的配备情况、培训方案（提供音视频频资料或纸质培训资料）；（2）质保期外售后服务方案（包括：维修政策承诺情况、维修服务响应时限、巡检维护周期、巡检计划内容、问题诊断及故障排除、售后服务技术人员的配备情况）；（3）相对应的惩处措施</w:t>
            </w:r>
            <w:r>
              <w:rPr>
                <w:rFonts w:hint="eastAsia" w:ascii="宋体" w:hAnsi="宋体" w:eastAsia="宋体" w:cs="宋体"/>
                <w:b/>
                <w:bCs/>
                <w:color w:val="auto"/>
                <w:sz w:val="24"/>
                <w:szCs w:val="24"/>
                <w:highlight w:val="none"/>
                <w:lang w:val="en-US" w:eastAsia="zh-CN"/>
              </w:rPr>
              <w:t>。</w:t>
            </w:r>
          </w:p>
          <w:p w14:paraId="0AE4D80B">
            <w:pPr>
              <w:keepNext w:val="0"/>
              <w:keepLines w:val="0"/>
              <w:pageBreakBefore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rPr>
              <w:t>售后服务方案及承诺完整、表述清晰、有针对性、完全贴合项目需求的得</w:t>
            </w:r>
            <w:r>
              <w:rPr>
                <w:rFonts w:hint="eastAsia" w:ascii="宋体" w:hAnsi="宋体" w:eastAsia="宋体" w:cs="宋体"/>
                <w:color w:val="auto"/>
                <w:sz w:val="24"/>
                <w:szCs w:val="24"/>
                <w:highlight w:val="none"/>
                <w:lang w:val="en-US" w:eastAsia="zh-CN"/>
              </w:rPr>
              <w:t>满分</w:t>
            </w: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23C93523">
            <w:pPr>
              <w:keepNext w:val="0"/>
              <w:keepLines w:val="0"/>
              <w:pageBreakBefore w:val="0"/>
              <w:kinsoku/>
              <w:wordWrap/>
              <w:overflowPunct/>
              <w:topLinePunct w:val="0"/>
              <w:autoSpaceDE/>
              <w:autoSpaceDN/>
              <w:bidi w:val="0"/>
              <w:spacing w:line="360" w:lineRule="auto"/>
              <w:ind w:left="0" w:leftChars="0" w:right="0" w:rightChars="0" w:firstLine="0" w:firstLine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②以上“（1）、（2）、（3）”三项内容缺少</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任意一项扣</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，缺少“（3）”扣5分</w:t>
            </w:r>
            <w:r>
              <w:rPr>
                <w:rFonts w:hint="eastAsia" w:ascii="宋体" w:hAnsi="宋体" w:eastAsia="宋体" w:cs="宋体"/>
                <w:color w:val="auto"/>
                <w:sz w:val="24"/>
                <w:szCs w:val="24"/>
                <w:highlight w:val="none"/>
                <w:lang w:val="en-US" w:eastAsia="zh-CN"/>
              </w:rPr>
              <w:t>。</w:t>
            </w:r>
          </w:p>
          <w:p w14:paraId="72750E19">
            <w:pPr>
              <w:keepNext w:val="0"/>
              <w:keepLines w:val="0"/>
              <w:pageBreakBefore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③以上任意一项内容每有一处描述缺陷的</w:t>
            </w:r>
            <w:r>
              <w:rPr>
                <w:rFonts w:hint="eastAsia" w:ascii="宋体" w:hAnsi="宋体" w:eastAsia="宋体" w:cs="宋体"/>
                <w:color w:val="auto"/>
                <w:sz w:val="24"/>
                <w:szCs w:val="24"/>
                <w:highlight w:val="none"/>
              </w:rPr>
              <w:t>扣</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以上内容涉及到的描述缺陷是指</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内容无针对性，不全面、不清晰、无可行性，内容与实际情况不匹配、不符合项目特点或无法达到预期效果、不适用于本项目、内容不符合相关规范要求、内容与本项目无关等任意一种情形。</w:t>
            </w:r>
          </w:p>
          <w:p w14:paraId="760EA0A2">
            <w:pPr>
              <w:keepNext w:val="0"/>
              <w:keepLines w:val="0"/>
              <w:pageBreakBefore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b/>
                <w:bCs/>
                <w:color w:val="000000"/>
                <w:sz w:val="24"/>
                <w:szCs w:val="24"/>
              </w:rPr>
            </w:pPr>
            <w:r>
              <w:rPr>
                <w:rFonts w:hint="eastAsia" w:ascii="宋体" w:hAnsi="宋体" w:eastAsia="宋体" w:cs="宋体"/>
                <w:b/>
                <w:bCs/>
                <w:color w:val="auto"/>
                <w:sz w:val="24"/>
                <w:szCs w:val="24"/>
                <w:highlight w:val="none"/>
              </w:rPr>
              <w:t>注</w:t>
            </w:r>
            <w:r>
              <w:rPr>
                <w:rFonts w:hint="eastAsia" w:ascii="宋体" w:hAnsi="宋体" w:eastAsia="宋体" w:cs="宋体"/>
                <w:color w:val="auto"/>
                <w:sz w:val="24"/>
                <w:szCs w:val="24"/>
                <w:highlight w:val="none"/>
              </w:rPr>
              <w:t>：②③条款不重复扣分，扣完为止。</w:t>
            </w:r>
          </w:p>
        </w:tc>
      </w:tr>
      <w:tr w14:paraId="63455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52" w:type="dxa"/>
            <w:vMerge w:val="restart"/>
            <w:noWrap w:val="0"/>
            <w:vAlign w:val="center"/>
          </w:tcPr>
          <w:p w14:paraId="67DFA1DC">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val="0"/>
                <w:color w:val="auto"/>
                <w:sz w:val="24"/>
                <w:szCs w:val="24"/>
                <w:highlight w:val="none"/>
              </w:rPr>
            </w:pPr>
          </w:p>
        </w:tc>
        <w:tc>
          <w:tcPr>
            <w:tcW w:w="1282" w:type="dxa"/>
            <w:gridSpan w:val="2"/>
            <w:noWrap w:val="0"/>
            <w:vAlign w:val="center"/>
          </w:tcPr>
          <w:p w14:paraId="330AA317">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val="0"/>
                <w:color w:val="auto"/>
                <w:sz w:val="24"/>
                <w:szCs w:val="24"/>
                <w:highlight w:val="none"/>
              </w:rPr>
            </w:pPr>
          </w:p>
        </w:tc>
        <w:tc>
          <w:tcPr>
            <w:tcW w:w="1872" w:type="dxa"/>
            <w:noWrap w:val="0"/>
            <w:vAlign w:val="center"/>
          </w:tcPr>
          <w:p w14:paraId="4FA15ADD">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投标人业绩</w:t>
            </w:r>
          </w:p>
          <w:p w14:paraId="182E45A4">
            <w:pPr>
              <w:keepNext w:val="0"/>
              <w:keepLines w:val="0"/>
              <w:pageBreakBefore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（满分</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5534" w:type="dxa"/>
            <w:gridSpan w:val="2"/>
            <w:noWrap w:val="0"/>
            <w:vAlign w:val="center"/>
          </w:tcPr>
          <w:p w14:paraId="60761BDE">
            <w:pPr>
              <w:keepNext w:val="0"/>
              <w:keepLines w:val="0"/>
              <w:pageBreakBefore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en-US" w:eastAsia="zh-CN"/>
              </w:rPr>
              <w:t>或者设备生产厂家</w:t>
            </w:r>
            <w:r>
              <w:rPr>
                <w:rFonts w:hint="eastAsia" w:ascii="宋体" w:hAnsi="宋体" w:eastAsia="宋体" w:cs="宋体"/>
                <w:color w:val="auto"/>
                <w:sz w:val="24"/>
                <w:szCs w:val="24"/>
                <w:highlight w:val="none"/>
              </w:rPr>
              <w:t>每提供一份近年类似项目业绩证明材料的得1分，满分</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3B56E43F">
            <w:pPr>
              <w:keepNext w:val="0"/>
              <w:keepLines w:val="0"/>
              <w:pageBreakBefore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783AD37B">
            <w:pPr>
              <w:keepNext w:val="0"/>
              <w:keepLines w:val="0"/>
              <w:pageBreakBefore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①近年指202</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年1月1日至投标截止时间前（以中标通知书时间或合同签订时间为准）</w:t>
            </w:r>
            <w:r>
              <w:rPr>
                <w:rFonts w:hint="eastAsia" w:ascii="宋体" w:hAnsi="宋体" w:eastAsia="宋体" w:cs="宋体"/>
                <w:b/>
                <w:bCs/>
                <w:color w:val="auto"/>
                <w:sz w:val="24"/>
                <w:szCs w:val="24"/>
                <w:highlight w:val="none"/>
                <w:lang w:eastAsia="zh-CN"/>
              </w:rPr>
              <w:t>。</w:t>
            </w:r>
          </w:p>
          <w:p w14:paraId="0705736C">
            <w:pPr>
              <w:keepNext w:val="0"/>
              <w:keepLines w:val="0"/>
              <w:pageBreakBefore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②类似业绩指</w:t>
            </w:r>
            <w:r>
              <w:rPr>
                <w:rFonts w:hint="eastAsia" w:ascii="宋体" w:hAnsi="宋体" w:eastAsia="宋体" w:cs="宋体"/>
                <w:b/>
                <w:bCs/>
                <w:color w:val="auto"/>
                <w:sz w:val="24"/>
                <w:szCs w:val="24"/>
                <w:highlight w:val="none"/>
                <w:lang w:val="en-US" w:eastAsia="zh-CN"/>
              </w:rPr>
              <w:t>含有本标段核心产品的供</w:t>
            </w:r>
            <w:r>
              <w:rPr>
                <w:rFonts w:hint="eastAsia" w:ascii="宋体" w:hAnsi="宋体" w:eastAsia="宋体" w:cs="宋体"/>
                <w:b/>
                <w:bCs/>
                <w:color w:val="auto"/>
                <w:sz w:val="24"/>
                <w:szCs w:val="24"/>
                <w:highlight w:val="none"/>
              </w:rPr>
              <w:t>货业绩，金额不限；</w:t>
            </w:r>
          </w:p>
          <w:p w14:paraId="760C2906">
            <w:pPr>
              <w:keepNext w:val="0"/>
              <w:keepLines w:val="0"/>
              <w:pageBreakBefore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③业绩证明材料</w:t>
            </w:r>
            <w:r>
              <w:rPr>
                <w:rFonts w:hint="eastAsia" w:ascii="宋体" w:hAnsi="宋体" w:cs="宋体"/>
                <w:b/>
                <w:bCs/>
                <w:color w:val="auto"/>
                <w:sz w:val="24"/>
                <w:szCs w:val="24"/>
                <w:highlight w:val="none"/>
                <w:lang w:val="en-US" w:eastAsia="zh-CN"/>
              </w:rPr>
              <w:t>可</w:t>
            </w:r>
            <w:r>
              <w:rPr>
                <w:rFonts w:hint="eastAsia" w:ascii="宋体" w:hAnsi="宋体" w:eastAsia="宋体" w:cs="宋体"/>
                <w:b/>
                <w:bCs/>
                <w:color w:val="auto"/>
                <w:sz w:val="24"/>
                <w:szCs w:val="24"/>
                <w:highlight w:val="none"/>
              </w:rPr>
              <w:t>为中标</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成交）</w:t>
            </w:r>
            <w:r>
              <w:rPr>
                <w:rFonts w:hint="eastAsia" w:ascii="宋体" w:hAnsi="宋体" w:eastAsia="宋体" w:cs="宋体"/>
                <w:b/>
                <w:bCs/>
                <w:color w:val="auto"/>
                <w:sz w:val="24"/>
                <w:szCs w:val="24"/>
                <w:highlight w:val="none"/>
              </w:rPr>
              <w:t>通知书或合同</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合同首页、关键信息页、标的及金额所在页及合同签字盖章页</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原件扫描件</w:t>
            </w:r>
            <w:r>
              <w:rPr>
                <w:rFonts w:hint="eastAsia" w:ascii="宋体" w:hAnsi="宋体" w:eastAsia="宋体" w:cs="宋体"/>
                <w:b/>
                <w:bCs/>
                <w:color w:val="auto"/>
                <w:sz w:val="24"/>
                <w:szCs w:val="24"/>
                <w:highlight w:val="none"/>
                <w:lang w:eastAsia="zh-CN"/>
              </w:rPr>
              <w:t>。</w:t>
            </w:r>
          </w:p>
          <w:p w14:paraId="72F1285D">
            <w:pPr>
              <w:keepNext w:val="0"/>
              <w:keepLines w:val="0"/>
              <w:pageBreakBefore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④无证明材料或证明材料不齐全、无法体现业绩内容的，不得分。</w:t>
            </w:r>
          </w:p>
        </w:tc>
      </w:tr>
      <w:tr w14:paraId="43AF0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52" w:type="dxa"/>
            <w:vMerge w:val="continue"/>
            <w:noWrap w:val="0"/>
            <w:vAlign w:val="center"/>
          </w:tcPr>
          <w:p w14:paraId="4981B5CF">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val="0"/>
                <w:color w:val="auto"/>
                <w:sz w:val="24"/>
                <w:szCs w:val="24"/>
                <w:highlight w:val="none"/>
              </w:rPr>
            </w:pPr>
          </w:p>
        </w:tc>
        <w:tc>
          <w:tcPr>
            <w:tcW w:w="1282" w:type="dxa"/>
            <w:gridSpan w:val="2"/>
            <w:vMerge w:val="restart"/>
            <w:noWrap w:val="0"/>
            <w:vAlign w:val="center"/>
          </w:tcPr>
          <w:p w14:paraId="50D8CB7E">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val="0"/>
                <w:color w:val="auto"/>
                <w:sz w:val="24"/>
                <w:szCs w:val="24"/>
                <w:highlight w:val="none"/>
              </w:rPr>
            </w:pPr>
          </w:p>
        </w:tc>
        <w:tc>
          <w:tcPr>
            <w:tcW w:w="1872" w:type="dxa"/>
            <w:noWrap w:val="0"/>
            <w:vAlign w:val="center"/>
          </w:tcPr>
          <w:p w14:paraId="0E61BFA5">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节</w:t>
            </w:r>
            <w:r>
              <w:rPr>
                <w:rFonts w:hint="eastAsia" w:ascii="宋体" w:hAnsi="宋体" w:eastAsia="宋体" w:cs="宋体"/>
                <w:color w:val="auto"/>
                <w:sz w:val="24"/>
                <w:szCs w:val="24"/>
                <w:highlight w:val="none"/>
              </w:rPr>
              <w:t>能产品</w:t>
            </w:r>
          </w:p>
          <w:p w14:paraId="1F36317B">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（满分</w:t>
            </w:r>
            <w:r>
              <w:rPr>
                <w:rFonts w:hint="eastAsia" w:ascii="宋体" w:hAnsi="宋体" w:cs="宋体"/>
                <w:color w:val="auto"/>
                <w:sz w:val="24"/>
                <w:szCs w:val="24"/>
                <w:highlight w:val="none"/>
                <w:lang w:val="en-US" w:eastAsia="zh-CN"/>
              </w:rPr>
              <w:t>0.2</w:t>
            </w:r>
            <w:r>
              <w:rPr>
                <w:rFonts w:hint="eastAsia" w:ascii="宋体" w:hAnsi="宋体" w:eastAsia="宋体" w:cs="宋体"/>
                <w:color w:val="auto"/>
                <w:sz w:val="24"/>
                <w:szCs w:val="24"/>
                <w:highlight w:val="none"/>
              </w:rPr>
              <w:t>分）</w:t>
            </w:r>
          </w:p>
        </w:tc>
        <w:tc>
          <w:tcPr>
            <w:tcW w:w="5534" w:type="dxa"/>
            <w:gridSpan w:val="2"/>
            <w:noWrap w:val="0"/>
            <w:vAlign w:val="center"/>
          </w:tcPr>
          <w:p w14:paraId="635AA427">
            <w:pPr>
              <w:keepNext w:val="0"/>
              <w:keepLines w:val="0"/>
              <w:pageBreakBefore w:val="0"/>
              <w:kinsoku/>
              <w:wordWrap/>
              <w:overflowPunct/>
              <w:topLinePunct w:val="0"/>
              <w:autoSpaceDE/>
              <w:autoSpaceDN/>
              <w:bidi w:val="0"/>
              <w:spacing w:line="360" w:lineRule="auto"/>
              <w:ind w:left="0" w:leftChars="0" w:right="0" w:rightChars="0" w:firstLine="0" w:firstLineChars="0"/>
              <w:jc w:val="left"/>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zh-TW" w:eastAsia="zh-TW"/>
              </w:rPr>
              <w:t>产品中</w:t>
            </w:r>
            <w:r>
              <w:rPr>
                <w:rFonts w:hint="eastAsia" w:ascii="宋体" w:hAnsi="宋体" w:eastAsia="宋体" w:cs="宋体"/>
                <w:color w:val="auto"/>
                <w:sz w:val="24"/>
                <w:szCs w:val="24"/>
                <w:highlight w:val="none"/>
              </w:rPr>
              <w:t>具有</w:t>
            </w:r>
            <w:r>
              <w:rPr>
                <w:rFonts w:hint="eastAsia" w:ascii="宋体" w:hAnsi="宋体" w:eastAsia="宋体" w:cs="宋体"/>
                <w:color w:val="auto"/>
                <w:sz w:val="24"/>
                <w:szCs w:val="24"/>
                <w:highlight w:val="none"/>
                <w:lang w:val="zh-TW" w:eastAsia="zh-TW"/>
              </w:rPr>
              <w:t>节能产品的</w:t>
            </w:r>
            <w:r>
              <w:rPr>
                <w:rFonts w:hint="eastAsia" w:ascii="宋体" w:hAnsi="宋体" w:eastAsia="宋体" w:cs="宋体"/>
                <w:color w:val="auto"/>
                <w:sz w:val="24"/>
                <w:szCs w:val="24"/>
                <w:highlight w:val="none"/>
              </w:rPr>
              <w:t>得</w:t>
            </w:r>
            <w:r>
              <w:rPr>
                <w:rFonts w:hint="eastAsia" w:ascii="宋体" w:hAnsi="宋体" w:cs="宋体"/>
                <w:color w:val="auto"/>
                <w:sz w:val="24"/>
                <w:szCs w:val="24"/>
                <w:highlight w:val="none"/>
                <w:lang w:val="en-US" w:eastAsia="zh-CN"/>
              </w:rPr>
              <w:t>0.2</w:t>
            </w:r>
            <w:r>
              <w:rPr>
                <w:rFonts w:hint="eastAsia" w:ascii="宋体" w:hAnsi="宋体" w:eastAsia="宋体" w:cs="宋体"/>
                <w:color w:val="auto"/>
                <w:sz w:val="24"/>
                <w:szCs w:val="24"/>
                <w:highlight w:val="none"/>
                <w:lang w:val="zh-TW" w:eastAsia="zh-TW"/>
              </w:rPr>
              <w:t>分</w:t>
            </w:r>
            <w:r>
              <w:rPr>
                <w:rFonts w:hint="eastAsia" w:ascii="宋体" w:hAnsi="宋体" w:eastAsia="宋体" w:cs="宋体"/>
                <w:color w:val="auto"/>
                <w:sz w:val="24"/>
                <w:szCs w:val="24"/>
                <w:highlight w:val="none"/>
                <w:lang w:val="zh-TW" w:eastAsia="zh-CN"/>
              </w:rPr>
              <w:t>，</w:t>
            </w:r>
            <w:r>
              <w:rPr>
                <w:rFonts w:hint="eastAsia" w:ascii="宋体" w:hAnsi="宋体" w:eastAsia="宋体" w:cs="宋体"/>
                <w:color w:val="auto"/>
                <w:sz w:val="24"/>
                <w:szCs w:val="24"/>
                <w:highlight w:val="none"/>
                <w:lang w:val="en-US" w:eastAsia="zh-CN"/>
              </w:rPr>
              <w:t>未提供的</w:t>
            </w:r>
            <w:r>
              <w:rPr>
                <w:rFonts w:hint="eastAsia" w:ascii="宋体" w:hAnsi="宋体" w:eastAsia="宋体" w:cs="宋体"/>
                <w:color w:val="auto"/>
                <w:sz w:val="24"/>
                <w:szCs w:val="24"/>
                <w:highlight w:val="none"/>
                <w:lang w:val="zh-TW" w:eastAsia="zh-TW"/>
              </w:rPr>
              <w:t>不得分。</w:t>
            </w:r>
          </w:p>
          <w:p w14:paraId="17E36C37">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备</w:t>
            </w:r>
            <w:r>
              <w:rPr>
                <w:rFonts w:hint="eastAsia" w:ascii="宋体" w:hAnsi="宋体" w:eastAsia="宋体" w:cs="宋体"/>
                <w:b/>
                <w:bCs/>
                <w:color w:val="auto"/>
                <w:sz w:val="24"/>
                <w:szCs w:val="24"/>
                <w:highlight w:val="none"/>
                <w:lang w:val="zh-TW" w:eastAsia="zh-TW"/>
              </w:rPr>
              <w:t>注：</w:t>
            </w:r>
            <w:r>
              <w:rPr>
                <w:rFonts w:hint="eastAsia" w:ascii="宋体" w:hAnsi="宋体" w:eastAsia="宋体" w:cs="宋体"/>
                <w:b/>
                <w:bCs/>
                <w:color w:val="auto"/>
                <w:sz w:val="24"/>
                <w:szCs w:val="24"/>
                <w:highlight w:val="none"/>
              </w:rPr>
              <w:t>投标产品属于优先采购范围内的节能产品的，提供国家确定的认证机构出具的、处于有效期之内的节能产品认证证书（扫描件加盖电子签章）</w:t>
            </w:r>
            <w:r>
              <w:rPr>
                <w:rFonts w:hint="eastAsia" w:ascii="宋体" w:hAnsi="宋体" w:eastAsia="宋体" w:cs="宋体"/>
                <w:color w:val="auto"/>
                <w:sz w:val="24"/>
                <w:szCs w:val="24"/>
                <w:highlight w:val="none"/>
              </w:rPr>
              <w:t>。</w:t>
            </w:r>
          </w:p>
        </w:tc>
      </w:tr>
      <w:tr w14:paraId="5AD1D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52" w:type="dxa"/>
            <w:vMerge w:val="continue"/>
            <w:noWrap w:val="0"/>
            <w:vAlign w:val="center"/>
          </w:tcPr>
          <w:p w14:paraId="7A6EEBB9">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val="0"/>
                <w:color w:val="auto"/>
                <w:sz w:val="24"/>
                <w:szCs w:val="24"/>
                <w:highlight w:val="none"/>
              </w:rPr>
            </w:pPr>
          </w:p>
        </w:tc>
        <w:tc>
          <w:tcPr>
            <w:tcW w:w="1282" w:type="dxa"/>
            <w:gridSpan w:val="2"/>
            <w:vMerge w:val="continue"/>
            <w:noWrap w:val="0"/>
            <w:vAlign w:val="center"/>
          </w:tcPr>
          <w:p w14:paraId="2051F6B4">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val="0"/>
                <w:color w:val="auto"/>
                <w:sz w:val="24"/>
                <w:szCs w:val="24"/>
                <w:highlight w:val="none"/>
              </w:rPr>
            </w:pPr>
          </w:p>
        </w:tc>
        <w:tc>
          <w:tcPr>
            <w:tcW w:w="1872" w:type="dxa"/>
            <w:noWrap w:val="0"/>
            <w:vAlign w:val="center"/>
          </w:tcPr>
          <w:p w14:paraId="2DF82D34">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环境标志产品（满分</w:t>
            </w:r>
            <w:r>
              <w:rPr>
                <w:rFonts w:hint="eastAsia" w:ascii="宋体" w:hAnsi="宋体" w:cs="宋体"/>
                <w:color w:val="auto"/>
                <w:sz w:val="24"/>
                <w:szCs w:val="24"/>
                <w:highlight w:val="none"/>
                <w:lang w:val="en-US" w:eastAsia="zh-CN"/>
              </w:rPr>
              <w:t>0.2</w:t>
            </w:r>
            <w:r>
              <w:rPr>
                <w:rFonts w:hint="eastAsia" w:ascii="宋体" w:hAnsi="宋体" w:eastAsia="宋体" w:cs="宋体"/>
                <w:color w:val="auto"/>
                <w:sz w:val="24"/>
                <w:szCs w:val="24"/>
                <w:highlight w:val="none"/>
              </w:rPr>
              <w:t>分）</w:t>
            </w:r>
          </w:p>
        </w:tc>
        <w:tc>
          <w:tcPr>
            <w:tcW w:w="5534" w:type="dxa"/>
            <w:gridSpan w:val="2"/>
            <w:noWrap w:val="0"/>
            <w:vAlign w:val="center"/>
          </w:tcPr>
          <w:p w14:paraId="07E06D4A">
            <w:pPr>
              <w:keepNext w:val="0"/>
              <w:keepLines w:val="0"/>
              <w:pageBreakBefore w:val="0"/>
              <w:kinsoku/>
              <w:wordWrap/>
              <w:overflowPunct/>
              <w:topLinePunct w:val="0"/>
              <w:autoSpaceDE/>
              <w:autoSpaceDN/>
              <w:bidi w:val="0"/>
              <w:spacing w:line="360" w:lineRule="auto"/>
              <w:ind w:left="0" w:leftChars="0" w:right="0" w:rightChars="0" w:firstLine="0" w:firstLineChars="0"/>
              <w:jc w:val="left"/>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zh-TW" w:eastAsia="zh-TW"/>
              </w:rPr>
              <w:t>产品中</w:t>
            </w:r>
            <w:r>
              <w:rPr>
                <w:rFonts w:hint="eastAsia" w:ascii="宋体" w:hAnsi="宋体" w:eastAsia="宋体" w:cs="宋体"/>
                <w:color w:val="auto"/>
                <w:sz w:val="24"/>
                <w:szCs w:val="24"/>
                <w:highlight w:val="none"/>
              </w:rPr>
              <w:t>具有</w:t>
            </w:r>
            <w:r>
              <w:rPr>
                <w:rFonts w:hint="eastAsia" w:ascii="宋体" w:hAnsi="宋体" w:eastAsia="宋体" w:cs="宋体"/>
                <w:color w:val="auto"/>
                <w:sz w:val="24"/>
                <w:szCs w:val="24"/>
                <w:highlight w:val="none"/>
                <w:lang w:val="zh-TW" w:eastAsia="zh-TW"/>
              </w:rPr>
              <w:t>环境标志产品的</w:t>
            </w:r>
            <w:r>
              <w:rPr>
                <w:rFonts w:hint="eastAsia" w:ascii="宋体" w:hAnsi="宋体" w:eastAsia="宋体" w:cs="宋体"/>
                <w:color w:val="auto"/>
                <w:sz w:val="24"/>
                <w:szCs w:val="24"/>
                <w:highlight w:val="none"/>
              </w:rPr>
              <w:t>得</w:t>
            </w:r>
            <w:r>
              <w:rPr>
                <w:rFonts w:hint="eastAsia" w:ascii="宋体" w:hAnsi="宋体" w:cs="宋体"/>
                <w:color w:val="auto"/>
                <w:sz w:val="24"/>
                <w:szCs w:val="24"/>
                <w:highlight w:val="none"/>
                <w:lang w:val="en-US" w:eastAsia="zh-CN"/>
              </w:rPr>
              <w:t>0.2</w:t>
            </w:r>
            <w:r>
              <w:rPr>
                <w:rFonts w:hint="eastAsia" w:ascii="宋体" w:hAnsi="宋体" w:eastAsia="宋体" w:cs="宋体"/>
                <w:color w:val="auto"/>
                <w:sz w:val="24"/>
                <w:szCs w:val="24"/>
                <w:highlight w:val="none"/>
                <w:lang w:val="zh-TW" w:eastAsia="zh-TW"/>
              </w:rPr>
              <w:t>分</w:t>
            </w:r>
            <w:r>
              <w:rPr>
                <w:rFonts w:hint="eastAsia" w:ascii="宋体" w:hAnsi="宋体" w:eastAsia="宋体" w:cs="宋体"/>
                <w:color w:val="auto"/>
                <w:sz w:val="24"/>
                <w:szCs w:val="24"/>
                <w:highlight w:val="none"/>
                <w:lang w:val="zh-TW" w:eastAsia="zh-CN"/>
              </w:rPr>
              <w:t>，</w:t>
            </w:r>
            <w:r>
              <w:rPr>
                <w:rFonts w:hint="eastAsia" w:ascii="宋体" w:hAnsi="宋体" w:eastAsia="宋体" w:cs="宋体"/>
                <w:color w:val="auto"/>
                <w:sz w:val="24"/>
                <w:szCs w:val="24"/>
                <w:highlight w:val="none"/>
                <w:lang w:val="en-US" w:eastAsia="zh-CN"/>
              </w:rPr>
              <w:t>未提供的</w:t>
            </w:r>
            <w:r>
              <w:rPr>
                <w:rFonts w:hint="eastAsia" w:ascii="宋体" w:hAnsi="宋体" w:eastAsia="宋体" w:cs="宋体"/>
                <w:color w:val="auto"/>
                <w:sz w:val="24"/>
                <w:szCs w:val="24"/>
                <w:highlight w:val="none"/>
                <w:lang w:val="zh-TW" w:eastAsia="zh-TW"/>
              </w:rPr>
              <w:t>不得分。</w:t>
            </w:r>
          </w:p>
          <w:p w14:paraId="1463D9DE">
            <w:pPr>
              <w:keepNext w:val="0"/>
              <w:keepLines w:val="0"/>
              <w:pageBreakBefore w:val="0"/>
              <w:kinsoku/>
              <w:wordWrap/>
              <w:overflowPunct/>
              <w:topLinePunct w:val="0"/>
              <w:autoSpaceDE/>
              <w:autoSpaceDN/>
              <w:bidi w:val="0"/>
              <w:spacing w:line="360"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备</w:t>
            </w:r>
            <w:r>
              <w:rPr>
                <w:rFonts w:hint="eastAsia" w:ascii="宋体" w:hAnsi="宋体" w:eastAsia="宋体" w:cs="宋体"/>
                <w:b/>
                <w:bCs/>
                <w:color w:val="auto"/>
                <w:sz w:val="24"/>
                <w:szCs w:val="24"/>
                <w:highlight w:val="none"/>
                <w:lang w:val="zh-TW" w:eastAsia="zh-TW"/>
              </w:rPr>
              <w:t>注：</w:t>
            </w:r>
            <w:r>
              <w:rPr>
                <w:rFonts w:hint="eastAsia" w:ascii="宋体" w:hAnsi="宋体" w:eastAsia="宋体" w:cs="宋体"/>
                <w:b/>
                <w:bCs/>
                <w:color w:val="auto"/>
                <w:sz w:val="24"/>
                <w:szCs w:val="24"/>
                <w:highlight w:val="none"/>
              </w:rPr>
              <w:t>投标产品属于优先采购范围内的环境标志产品的，提供国家确定的认证机构出具的、处于有效期之内的环境标志产品认证证书（扫描件加盖电子签章）。</w:t>
            </w:r>
          </w:p>
        </w:tc>
      </w:tr>
    </w:tbl>
    <w:p w14:paraId="31912107">
      <w:pPr>
        <w:pageBreakBefore w:val="0"/>
        <w:kinsoku/>
        <w:overflowPunct/>
        <w:bidi w:val="0"/>
        <w:spacing w:line="360" w:lineRule="auto"/>
        <w:rPr>
          <w:rFonts w:hint="eastAsia" w:ascii="宋体" w:hAnsi="宋体" w:eastAsia="宋体" w:cs="宋体"/>
          <w:b/>
          <w:bCs/>
          <w:color w:val="auto"/>
          <w:sz w:val="28"/>
          <w:szCs w:val="28"/>
          <w:highlight w:val="none"/>
        </w:rPr>
      </w:pPr>
    </w:p>
    <w:p w14:paraId="2C51A85E">
      <w:pPr>
        <w:pageBreakBefore w:val="0"/>
        <w:kinsoku/>
        <w:overflowPunct/>
        <w:bidi w:val="0"/>
        <w:spacing w:line="360" w:lineRule="auto"/>
        <w:rPr>
          <w:rFonts w:hint="eastAsia"/>
        </w:rPr>
      </w:pPr>
      <w:r>
        <w:rPr>
          <w:rFonts w:hint="eastAsia" w:ascii="宋体" w:hAnsi="宋体" w:eastAsia="宋体" w:cs="宋体"/>
          <w:b/>
          <w:bCs/>
          <w:color w:val="auto"/>
          <w:sz w:val="28"/>
          <w:szCs w:val="28"/>
          <w:highlight w:val="none"/>
        </w:rPr>
        <w:br w:type="page"/>
      </w:r>
    </w:p>
    <w:tbl>
      <w:tblPr>
        <w:tblStyle w:val="23"/>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1282"/>
        <w:gridCol w:w="1872"/>
        <w:gridCol w:w="5534"/>
      </w:tblGrid>
      <w:tr w14:paraId="5F240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640" w:type="dxa"/>
            <w:gridSpan w:val="4"/>
            <w:noWrap w:val="0"/>
            <w:vAlign w:val="center"/>
          </w:tcPr>
          <w:p w14:paraId="0B425F06">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default" w:ascii="宋体" w:hAnsi="宋体" w:eastAsia="宋体" w:cs="宋体"/>
                <w:b/>
                <w:color w:val="auto"/>
                <w:sz w:val="24"/>
                <w:szCs w:val="24"/>
                <w:highlight w:val="none"/>
                <w:lang w:val="en-US" w:eastAsia="zh-CN"/>
              </w:rPr>
            </w:pPr>
            <w:r>
              <w:rPr>
                <w:rFonts w:hint="eastAsia" w:ascii="宋体" w:hAnsi="宋体" w:cs="宋体"/>
                <w:b/>
                <w:color w:val="auto"/>
                <w:sz w:val="40"/>
                <w:szCs w:val="40"/>
                <w:highlight w:val="none"/>
                <w:lang w:val="en-US" w:eastAsia="zh-CN"/>
              </w:rPr>
              <w:t>2包</w:t>
            </w:r>
          </w:p>
        </w:tc>
      </w:tr>
      <w:tr w14:paraId="753CD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52" w:type="dxa"/>
            <w:noWrap w:val="0"/>
            <w:vAlign w:val="center"/>
          </w:tcPr>
          <w:p w14:paraId="40834571">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条款号</w:t>
            </w:r>
          </w:p>
        </w:tc>
        <w:tc>
          <w:tcPr>
            <w:tcW w:w="3154" w:type="dxa"/>
            <w:gridSpan w:val="2"/>
            <w:noWrap w:val="0"/>
            <w:vAlign w:val="center"/>
          </w:tcPr>
          <w:p w14:paraId="60859C9F">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条款内容</w:t>
            </w:r>
          </w:p>
        </w:tc>
        <w:tc>
          <w:tcPr>
            <w:tcW w:w="5534" w:type="dxa"/>
            <w:noWrap w:val="0"/>
            <w:vAlign w:val="center"/>
          </w:tcPr>
          <w:p w14:paraId="348AACBE">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编列内容</w:t>
            </w:r>
          </w:p>
        </w:tc>
      </w:tr>
      <w:tr w14:paraId="4D31E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52" w:type="dxa"/>
            <w:noWrap w:val="0"/>
            <w:vAlign w:val="center"/>
          </w:tcPr>
          <w:p w14:paraId="15EFA94A">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lang w:val="en-US" w:eastAsia="zh-CN"/>
              </w:rPr>
              <w:t>三</w:t>
            </w:r>
          </w:p>
        </w:tc>
        <w:tc>
          <w:tcPr>
            <w:tcW w:w="3154" w:type="dxa"/>
            <w:gridSpan w:val="2"/>
            <w:noWrap w:val="0"/>
            <w:vAlign w:val="center"/>
          </w:tcPr>
          <w:p w14:paraId="73333E54">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分值构成</w:t>
            </w:r>
          </w:p>
          <w:p w14:paraId="16142AE5">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pacing w:val="-8"/>
                <w:sz w:val="24"/>
                <w:szCs w:val="24"/>
                <w:highlight w:val="none"/>
              </w:rPr>
              <w:t>（满分100分）</w:t>
            </w:r>
          </w:p>
        </w:tc>
        <w:tc>
          <w:tcPr>
            <w:tcW w:w="5534" w:type="dxa"/>
            <w:noWrap w:val="0"/>
            <w:vAlign w:val="center"/>
          </w:tcPr>
          <w:p w14:paraId="2A6C4F48">
            <w:pPr>
              <w:keepNext w:val="0"/>
              <w:keepLines w:val="0"/>
              <w:pageBreakBefore w:val="0"/>
              <w:kinsoku/>
              <w:wordWrap/>
              <w:overflowPunct/>
              <w:topLinePunct w:val="0"/>
              <w:autoSpaceDE/>
              <w:autoSpaceDN/>
              <w:bidi w:val="0"/>
              <w:spacing w:line="360"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本项目采用综合评分法。评标总分值由投标报价</w:t>
            </w:r>
            <w:r>
              <w:rPr>
                <w:rFonts w:hint="eastAsia" w:ascii="宋体" w:hAnsi="宋体" w:eastAsia="宋体" w:cs="宋体"/>
                <w:color w:val="auto"/>
                <w:sz w:val="24"/>
                <w:szCs w:val="24"/>
                <w:highlight w:val="none"/>
                <w:lang w:val="en-US" w:eastAsia="zh-CN"/>
              </w:rPr>
              <w:t>部分、</w:t>
            </w:r>
            <w:r>
              <w:rPr>
                <w:rFonts w:hint="eastAsia" w:ascii="宋体" w:hAnsi="宋体" w:eastAsia="宋体" w:cs="宋体"/>
                <w:color w:val="auto"/>
                <w:sz w:val="24"/>
                <w:szCs w:val="24"/>
                <w:highlight w:val="none"/>
              </w:rPr>
              <w:t>技术</w:t>
            </w:r>
            <w:r>
              <w:rPr>
                <w:rFonts w:hint="eastAsia" w:ascii="宋体" w:hAnsi="宋体" w:eastAsia="宋体" w:cs="宋体"/>
                <w:color w:val="auto"/>
                <w:sz w:val="24"/>
                <w:szCs w:val="24"/>
                <w:highlight w:val="none"/>
                <w:lang w:val="en-US" w:eastAsia="zh-CN"/>
              </w:rPr>
              <w:t>和商务</w:t>
            </w:r>
            <w:r>
              <w:rPr>
                <w:rFonts w:hint="eastAsia" w:ascii="宋体" w:hAnsi="宋体" w:eastAsia="宋体" w:cs="宋体"/>
                <w:color w:val="auto"/>
                <w:sz w:val="24"/>
                <w:szCs w:val="24"/>
                <w:highlight w:val="none"/>
              </w:rPr>
              <w:t>部分组成，总分值100分。</w:t>
            </w:r>
          </w:p>
          <w:p w14:paraId="53BAF01E">
            <w:pPr>
              <w:keepNext w:val="0"/>
              <w:keepLines w:val="0"/>
              <w:pageBreakBefore w:val="0"/>
              <w:kinsoku/>
              <w:wordWrap/>
              <w:overflowPunct/>
              <w:topLinePunct w:val="0"/>
              <w:autoSpaceDE/>
              <w:autoSpaceDN/>
              <w:bidi w:val="0"/>
              <w:spacing w:line="360"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r>
              <w:rPr>
                <w:rFonts w:hint="eastAsia" w:ascii="宋体" w:hAnsi="宋体" w:eastAsia="宋体" w:cs="宋体"/>
                <w:color w:val="auto"/>
                <w:sz w:val="24"/>
                <w:szCs w:val="24"/>
                <w:highlight w:val="none"/>
                <w:lang w:val="en-US" w:eastAsia="zh-CN"/>
              </w:rPr>
              <w:t>部分</w:t>
            </w:r>
            <w:r>
              <w:rPr>
                <w:rFonts w:hint="eastAsia" w:ascii="宋体" w:hAnsi="宋体" w:eastAsia="宋体" w:cs="宋体"/>
                <w:color w:val="auto"/>
                <w:sz w:val="24"/>
                <w:szCs w:val="24"/>
                <w:highlight w:val="none"/>
              </w:rPr>
              <w:t>F1：满分</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p w14:paraId="493CAF3F">
            <w:pPr>
              <w:keepNext w:val="0"/>
              <w:keepLines w:val="0"/>
              <w:pageBreakBefore w:val="0"/>
              <w:kinsoku/>
              <w:wordWrap/>
              <w:overflowPunct/>
              <w:topLinePunct w:val="0"/>
              <w:autoSpaceDE/>
              <w:autoSpaceDN/>
              <w:bidi w:val="0"/>
              <w:spacing w:line="360"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rPr>
              <w:t>商务部分F2：满分</w:t>
            </w:r>
            <w:r>
              <w:rPr>
                <w:rFonts w:hint="eastAsia" w:ascii="宋体" w:hAnsi="宋体" w:eastAsia="宋体" w:cs="宋体"/>
                <w:color w:val="auto"/>
                <w:sz w:val="24"/>
                <w:szCs w:val="24"/>
                <w:highlight w:val="none"/>
                <w:lang w:val="en-US" w:eastAsia="zh-CN"/>
              </w:rPr>
              <w:t>70</w:t>
            </w:r>
            <w:r>
              <w:rPr>
                <w:rFonts w:hint="eastAsia" w:ascii="宋体" w:hAnsi="宋体" w:eastAsia="宋体" w:cs="宋体"/>
                <w:color w:val="auto"/>
                <w:sz w:val="24"/>
                <w:szCs w:val="24"/>
                <w:highlight w:val="none"/>
              </w:rPr>
              <w:t>分</w:t>
            </w:r>
          </w:p>
          <w:p w14:paraId="4DA58E97">
            <w:pPr>
              <w:keepNext w:val="0"/>
              <w:keepLines w:val="0"/>
              <w:pageBreakBefore w:val="0"/>
              <w:kinsoku/>
              <w:wordWrap/>
              <w:overflowPunct/>
              <w:topLinePunct w:val="0"/>
              <w:autoSpaceDE/>
              <w:autoSpaceDN/>
              <w:bidi w:val="0"/>
              <w:spacing w:line="360"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投标人的评标总得分＝F1＋F2</w:t>
            </w:r>
          </w:p>
        </w:tc>
      </w:tr>
      <w:tr w14:paraId="2C58E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52" w:type="dxa"/>
            <w:noWrap w:val="0"/>
            <w:vAlign w:val="center"/>
          </w:tcPr>
          <w:p w14:paraId="76DEFA4F">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条款号</w:t>
            </w:r>
          </w:p>
        </w:tc>
        <w:tc>
          <w:tcPr>
            <w:tcW w:w="3154" w:type="dxa"/>
            <w:gridSpan w:val="2"/>
            <w:noWrap w:val="0"/>
            <w:vAlign w:val="center"/>
          </w:tcPr>
          <w:p w14:paraId="40DFA930">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rPr>
              <w:t>评分因素</w:t>
            </w:r>
          </w:p>
        </w:tc>
        <w:tc>
          <w:tcPr>
            <w:tcW w:w="5534" w:type="dxa"/>
            <w:noWrap w:val="0"/>
            <w:vAlign w:val="center"/>
          </w:tcPr>
          <w:p w14:paraId="5153FD87">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rPr>
              <w:t>评分标准</w:t>
            </w:r>
          </w:p>
        </w:tc>
      </w:tr>
      <w:tr w14:paraId="5393B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52" w:type="dxa"/>
            <w:noWrap w:val="0"/>
            <w:vAlign w:val="center"/>
          </w:tcPr>
          <w:p w14:paraId="61D4B5A1">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sz w:val="24"/>
                <w:szCs w:val="24"/>
                <w:highlight w:val="none"/>
                <w:lang w:val="en-US" w:eastAsia="zh-CN"/>
              </w:rPr>
              <w:t>F1</w:t>
            </w:r>
          </w:p>
        </w:tc>
        <w:tc>
          <w:tcPr>
            <w:tcW w:w="3154" w:type="dxa"/>
            <w:gridSpan w:val="2"/>
            <w:noWrap w:val="0"/>
            <w:vAlign w:val="center"/>
          </w:tcPr>
          <w:p w14:paraId="0C194CEB">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投标报价</w:t>
            </w:r>
            <w:r>
              <w:rPr>
                <w:rFonts w:hint="eastAsia" w:ascii="宋体" w:hAnsi="宋体" w:eastAsia="宋体" w:cs="宋体"/>
                <w:b w:val="0"/>
                <w:bCs w:val="0"/>
                <w:color w:val="auto"/>
                <w:sz w:val="24"/>
                <w:szCs w:val="24"/>
                <w:highlight w:val="none"/>
                <w:lang w:val="en-US" w:eastAsia="zh-CN"/>
              </w:rPr>
              <w:t>部分</w:t>
            </w:r>
            <w:r>
              <w:rPr>
                <w:rFonts w:hint="eastAsia" w:ascii="宋体" w:hAnsi="宋体" w:eastAsia="宋体" w:cs="宋体"/>
                <w:b w:val="0"/>
                <w:bCs w:val="0"/>
                <w:color w:val="auto"/>
                <w:sz w:val="24"/>
                <w:szCs w:val="24"/>
                <w:highlight w:val="none"/>
              </w:rPr>
              <w:t>评分标准</w:t>
            </w:r>
          </w:p>
          <w:p w14:paraId="29421DF1">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满分30</w:t>
            </w:r>
            <w:r>
              <w:rPr>
                <w:rFonts w:hint="eastAsia" w:ascii="宋体" w:hAnsi="宋体" w:eastAsia="宋体" w:cs="宋体"/>
                <w:b w:val="0"/>
                <w:bCs w:val="0"/>
                <w:color w:val="auto"/>
                <w:sz w:val="24"/>
                <w:szCs w:val="24"/>
                <w:highlight w:val="none"/>
              </w:rPr>
              <w:t>分）</w:t>
            </w:r>
          </w:p>
        </w:tc>
        <w:tc>
          <w:tcPr>
            <w:tcW w:w="5534" w:type="dxa"/>
            <w:noWrap w:val="0"/>
            <w:vAlign w:val="center"/>
          </w:tcPr>
          <w:p w14:paraId="35ED1D48">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投标报价得分统一采用低价优先法计算，即满足招标文件要求（指通过符合性评审的报价）且投标价格最低的投标报价为评标基准价，其价格分为满分。其他投标人的价格分统一按照下列公式计算：</w:t>
            </w:r>
          </w:p>
          <w:p w14:paraId="7CF7264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投标报价得分＝（评标基准价/投标报价）×</w:t>
            </w:r>
            <w:r>
              <w:rPr>
                <w:rFonts w:hint="eastAsia" w:ascii="宋体" w:hAnsi="宋体" w:eastAsia="宋体" w:cs="宋体"/>
                <w:b/>
                <w:bCs/>
                <w:color w:val="auto"/>
                <w:sz w:val="24"/>
                <w:szCs w:val="24"/>
                <w:highlight w:val="none"/>
                <w:lang w:val="en-US" w:eastAsia="zh-CN"/>
              </w:rPr>
              <w:t>30</w:t>
            </w:r>
            <w:r>
              <w:rPr>
                <w:rFonts w:hint="eastAsia" w:ascii="宋体" w:hAnsi="宋体" w:eastAsia="宋体" w:cs="宋体"/>
                <w:b/>
                <w:bCs/>
                <w:color w:val="auto"/>
                <w:sz w:val="24"/>
                <w:szCs w:val="24"/>
                <w:highlight w:val="none"/>
              </w:rPr>
              <w:t>。</w:t>
            </w:r>
          </w:p>
          <w:p w14:paraId="675D1833">
            <w:pPr>
              <w:keepNext w:val="0"/>
              <w:keepLines w:val="0"/>
              <w:pageBreakBefore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注：</w:t>
            </w:r>
            <w:r>
              <w:rPr>
                <w:rFonts w:hint="eastAsia" w:ascii="宋体" w:hAnsi="宋体" w:eastAsia="宋体" w:cs="宋体"/>
                <w:b w:val="0"/>
                <w:bCs w:val="0"/>
                <w:color w:val="auto"/>
                <w:sz w:val="24"/>
                <w:szCs w:val="24"/>
                <w:highlight w:val="none"/>
                <w:lang w:val="en-US" w:eastAsia="zh-CN"/>
              </w:rPr>
              <w:t>①</w:t>
            </w:r>
            <w:r>
              <w:rPr>
                <w:rFonts w:hint="eastAsia" w:ascii="宋体" w:hAnsi="宋体" w:eastAsia="宋体" w:cs="宋体"/>
                <w:b w:val="0"/>
                <w:bCs w:val="0"/>
                <w:color w:val="auto"/>
                <w:sz w:val="24"/>
                <w:szCs w:val="24"/>
                <w:highlight w:val="none"/>
              </w:rPr>
              <w:t>评标过程中，不得去掉报价中的最高报价和最低报价；</w:t>
            </w:r>
          </w:p>
          <w:p w14:paraId="4ACE5E60">
            <w:pPr>
              <w:keepNext w:val="0"/>
              <w:keepLines w:val="0"/>
              <w:pageBreakBefore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②</w:t>
            </w:r>
            <w:r>
              <w:rPr>
                <w:rFonts w:hint="eastAsia" w:ascii="宋体" w:hAnsi="宋体" w:eastAsia="宋体" w:cs="宋体"/>
                <w:b w:val="0"/>
                <w:bCs w:val="0"/>
                <w:color w:val="auto"/>
                <w:sz w:val="24"/>
                <w:szCs w:val="24"/>
                <w:highlight w:val="none"/>
              </w:rPr>
              <w:t>因落实政府采购政策进行价格调整的，以调整后的评审价格计算评标基准价和投标报价得分。若投标人符合本项目招标文件第二章《投标须知前附表》第</w:t>
            </w:r>
            <w:r>
              <w:rPr>
                <w:rFonts w:hint="eastAsia" w:ascii="宋体" w:hAnsi="宋体" w:eastAsia="宋体" w:cs="宋体"/>
                <w:b w:val="0"/>
                <w:bCs w:val="0"/>
                <w:color w:val="auto"/>
                <w:sz w:val="24"/>
                <w:szCs w:val="24"/>
                <w:highlight w:val="none"/>
                <w:lang w:val="en-US" w:eastAsia="zh-CN"/>
              </w:rPr>
              <w:t>29</w:t>
            </w:r>
            <w:r>
              <w:rPr>
                <w:rFonts w:hint="eastAsia" w:ascii="宋体" w:hAnsi="宋体" w:eastAsia="宋体" w:cs="宋体"/>
                <w:b w:val="0"/>
                <w:bCs w:val="0"/>
                <w:color w:val="auto"/>
                <w:sz w:val="24"/>
                <w:szCs w:val="24"/>
                <w:highlight w:val="none"/>
              </w:rPr>
              <w:t xml:space="preserve">条中（1）、（2）、（3）相关规定的，其投标报价给以10%的价格扣除，用扣除后的价格参加评审。评审价格=投标报价*90% </w:t>
            </w:r>
          </w:p>
          <w:p w14:paraId="3DED2B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③</w:t>
            </w:r>
            <w:r>
              <w:rPr>
                <w:rFonts w:hint="eastAsia" w:ascii="宋体" w:hAnsi="宋体" w:eastAsia="宋体" w:cs="宋体"/>
                <w:b w:val="0"/>
                <w:color w:val="auto"/>
                <w:kern w:val="2"/>
                <w:sz w:val="24"/>
                <w:szCs w:val="24"/>
                <w:highlight w:val="none"/>
                <w:lang w:val="en-US" w:eastAsia="zh-CN" w:bidi="ar-SA"/>
              </w:rPr>
              <w:t>政府采购活动中既有本国产品又有非本国产品参与竞争的，依法对本国产品给予价格评审优惠，对本国产品的报价给予20%的价格扣除，用扣除后的价格参与评审。</w:t>
            </w:r>
          </w:p>
          <w:p w14:paraId="6E0991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color w:val="auto"/>
                <w:kern w:val="2"/>
                <w:sz w:val="24"/>
                <w:szCs w:val="24"/>
                <w:highlight w:val="none"/>
                <w:lang w:val="en-US" w:eastAsia="zh-CN" w:bidi="ar-SA"/>
              </w:rPr>
              <w:t>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452E394D">
            <w:pPr>
              <w:keepNext w:val="0"/>
              <w:keepLines w:val="0"/>
              <w:pageBreakBefore w:val="0"/>
              <w:kinsoku/>
              <w:wordWrap/>
              <w:overflowPunct/>
              <w:topLinePunct w:val="0"/>
              <w:autoSpaceDE/>
              <w:autoSpaceDN/>
              <w:bidi w:val="0"/>
              <w:spacing w:line="360" w:lineRule="auto"/>
              <w:ind w:left="0" w:leftChars="0" w:right="0" w:rightChars="0" w:firstLine="0" w:firstLineChars="0"/>
              <w:jc w:val="left"/>
              <w:textAlignment w:val="auto"/>
              <w:rPr>
                <w:rFonts w:hint="eastAsia" w:ascii="宋体" w:hAnsi="宋体" w:eastAsia="宋体" w:cs="宋体"/>
                <w:b w:val="0"/>
                <w:bCs w:val="0"/>
                <w:color w:val="auto"/>
                <w:kern w:val="0"/>
                <w:sz w:val="24"/>
                <w:szCs w:val="24"/>
                <w:highlight w:val="none"/>
              </w:rPr>
            </w:pPr>
            <w:r>
              <w:rPr>
                <w:rFonts w:hint="eastAsia" w:ascii="宋体" w:hAnsi="宋体" w:cs="宋体"/>
                <w:b w:val="0"/>
                <w:bCs w:val="0"/>
                <w:color w:val="auto"/>
                <w:sz w:val="24"/>
                <w:szCs w:val="24"/>
                <w:highlight w:val="none"/>
                <w:lang w:eastAsia="zh-CN"/>
              </w:rPr>
              <w:t>④</w:t>
            </w:r>
            <w:r>
              <w:rPr>
                <w:rFonts w:hint="eastAsia" w:ascii="宋体" w:hAnsi="宋体" w:eastAsia="宋体" w:cs="宋体"/>
                <w:b w:val="0"/>
                <w:bCs w:val="0"/>
                <w:color w:val="auto"/>
                <w:sz w:val="24"/>
                <w:szCs w:val="24"/>
                <w:highlight w:val="none"/>
              </w:rPr>
              <w:t xml:space="preserve">计算结果保留小数点后 </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位，第</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位</w:t>
            </w:r>
            <w:r>
              <w:rPr>
                <w:rFonts w:hint="eastAsia" w:ascii="宋体" w:hAnsi="宋体" w:eastAsia="宋体" w:cs="宋体"/>
                <w:b w:val="0"/>
                <w:bCs w:val="0"/>
                <w:color w:val="auto"/>
                <w:sz w:val="24"/>
                <w:szCs w:val="24"/>
                <w:highlight w:val="none"/>
                <w:lang w:val="en-US" w:eastAsia="zh-CN"/>
              </w:rPr>
              <w:t>自行舍去</w:t>
            </w:r>
            <w:r>
              <w:rPr>
                <w:rFonts w:hint="eastAsia" w:ascii="宋体" w:hAnsi="宋体" w:eastAsia="宋体" w:cs="宋体"/>
                <w:b w:val="0"/>
                <w:bCs w:val="0"/>
                <w:color w:val="auto"/>
                <w:sz w:val="24"/>
                <w:szCs w:val="24"/>
                <w:highlight w:val="none"/>
              </w:rPr>
              <w:t xml:space="preserve">。 </w:t>
            </w:r>
          </w:p>
        </w:tc>
      </w:tr>
      <w:tr w14:paraId="34113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52" w:type="dxa"/>
            <w:vMerge w:val="restart"/>
            <w:noWrap w:val="0"/>
            <w:vAlign w:val="center"/>
          </w:tcPr>
          <w:p w14:paraId="022E0FC9">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F2</w:t>
            </w:r>
          </w:p>
        </w:tc>
        <w:tc>
          <w:tcPr>
            <w:tcW w:w="1282" w:type="dxa"/>
            <w:vMerge w:val="restart"/>
            <w:noWrap w:val="0"/>
            <w:vAlign w:val="center"/>
          </w:tcPr>
          <w:p w14:paraId="34523F78">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技术</w:t>
            </w:r>
            <w:r>
              <w:rPr>
                <w:rFonts w:hint="eastAsia" w:ascii="宋体" w:hAnsi="宋体" w:eastAsia="宋体" w:cs="宋体"/>
                <w:b w:val="0"/>
                <w:bCs w:val="0"/>
                <w:color w:val="auto"/>
                <w:sz w:val="24"/>
                <w:szCs w:val="24"/>
                <w:highlight w:val="none"/>
                <w:lang w:val="en-US" w:eastAsia="zh-CN"/>
              </w:rPr>
              <w:t>和</w:t>
            </w:r>
            <w:r>
              <w:rPr>
                <w:rFonts w:hint="eastAsia" w:ascii="宋体" w:hAnsi="宋体" w:eastAsia="宋体" w:cs="宋体"/>
                <w:b w:val="0"/>
                <w:bCs w:val="0"/>
                <w:color w:val="auto"/>
                <w:sz w:val="24"/>
                <w:szCs w:val="24"/>
                <w:highlight w:val="none"/>
              </w:rPr>
              <w:t>商务评分标准</w:t>
            </w:r>
          </w:p>
          <w:p w14:paraId="3F5B8D48">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70</w:t>
            </w:r>
            <w:r>
              <w:rPr>
                <w:rFonts w:hint="eastAsia" w:ascii="宋体" w:hAnsi="宋体" w:eastAsia="宋体" w:cs="宋体"/>
                <w:b w:val="0"/>
                <w:bCs w:val="0"/>
                <w:color w:val="auto"/>
                <w:sz w:val="24"/>
                <w:szCs w:val="24"/>
                <w:highlight w:val="none"/>
              </w:rPr>
              <w:t>分）</w:t>
            </w:r>
          </w:p>
        </w:tc>
        <w:tc>
          <w:tcPr>
            <w:tcW w:w="1872" w:type="dxa"/>
            <w:noWrap w:val="0"/>
            <w:vAlign w:val="center"/>
          </w:tcPr>
          <w:p w14:paraId="4FE709DD">
            <w:pPr>
              <w:keepNext w:val="0"/>
              <w:keepLines w:val="0"/>
              <w:pageBreakBefore w:val="0"/>
              <w:widowControl w:val="0"/>
              <w:kinsoku/>
              <w:wordWrap/>
              <w:overflowPunct/>
              <w:topLinePunct w:val="0"/>
              <w:autoSpaceDE/>
              <w:autoSpaceDN/>
              <w:bidi w:val="0"/>
              <w:snapToGrid w:val="0"/>
              <w:spacing w:line="360" w:lineRule="auto"/>
              <w:ind w:left="-2" w:leftChars="-1" w:right="0" w:rightChars="0" w:firstLine="0" w:firstLine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技术参数的响应程度评审</w:t>
            </w:r>
          </w:p>
          <w:p w14:paraId="50E3969E">
            <w:pPr>
              <w:keepNext w:val="0"/>
              <w:keepLines w:val="0"/>
              <w:pageBreakBefore w:val="0"/>
              <w:widowControl w:val="0"/>
              <w:kinsoku/>
              <w:wordWrap/>
              <w:overflowPunct/>
              <w:topLinePunct w:val="0"/>
              <w:autoSpaceDE/>
              <w:autoSpaceDN/>
              <w:bidi w:val="0"/>
              <w:snapToGrid w:val="0"/>
              <w:spacing w:line="360" w:lineRule="auto"/>
              <w:ind w:left="-2" w:leftChars="-1"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（满分</w:t>
            </w:r>
            <w:r>
              <w:rPr>
                <w:rFonts w:hint="eastAsia" w:ascii="宋体" w:hAnsi="宋体" w:cs="宋体"/>
                <w:color w:val="auto"/>
                <w:sz w:val="24"/>
                <w:szCs w:val="24"/>
                <w:highlight w:val="none"/>
                <w:lang w:val="en-US" w:eastAsia="zh-CN"/>
              </w:rPr>
              <w:t>18.6</w:t>
            </w:r>
            <w:r>
              <w:rPr>
                <w:rFonts w:hint="eastAsia" w:ascii="宋体" w:hAnsi="宋体" w:eastAsia="宋体" w:cs="宋体"/>
                <w:color w:val="auto"/>
                <w:sz w:val="24"/>
                <w:szCs w:val="24"/>
                <w:highlight w:val="none"/>
                <w:lang w:val="en-US" w:eastAsia="zh-CN"/>
              </w:rPr>
              <w:t>分）</w:t>
            </w:r>
          </w:p>
          <w:p w14:paraId="4E772D74">
            <w:pPr>
              <w:keepNext w:val="0"/>
              <w:keepLines w:val="0"/>
              <w:pageBreakBefore w:val="0"/>
              <w:widowControl w:val="0"/>
              <w:kinsoku/>
              <w:wordWrap/>
              <w:overflowPunct/>
              <w:topLinePunct w:val="0"/>
              <w:autoSpaceDE/>
              <w:autoSpaceDN/>
              <w:bidi w:val="0"/>
              <w:snapToGrid w:val="0"/>
              <w:spacing w:line="360" w:lineRule="auto"/>
              <w:ind w:left="-2" w:leftChars="-1" w:right="0" w:rightChars="0" w:firstLine="0" w:firstLineChars="0"/>
              <w:jc w:val="center"/>
              <w:textAlignment w:val="auto"/>
              <w:outlineLvl w:val="9"/>
              <w:rPr>
                <w:rFonts w:hint="eastAsia" w:ascii="宋体" w:hAnsi="宋体" w:eastAsia="宋体" w:cs="宋体"/>
                <w:b/>
                <w:bCs w:val="0"/>
                <w:color w:val="auto"/>
                <w:sz w:val="24"/>
                <w:szCs w:val="24"/>
                <w:highlight w:val="none"/>
                <w:lang w:val="en-US" w:eastAsia="zh-CN"/>
              </w:rPr>
            </w:pPr>
          </w:p>
        </w:tc>
        <w:tc>
          <w:tcPr>
            <w:tcW w:w="5534" w:type="dxa"/>
            <w:noWrap w:val="0"/>
            <w:vAlign w:val="center"/>
          </w:tcPr>
          <w:p w14:paraId="76D85FA3">
            <w:pPr>
              <w:keepNext w:val="0"/>
              <w:keepLines w:val="0"/>
              <w:pageBreakBefore w:val="0"/>
              <w:widowControl w:val="0"/>
              <w:numPr>
                <w:ilvl w:val="0"/>
                <w:numId w:val="0"/>
              </w:numPr>
              <w:kinsoku/>
              <w:wordWrap/>
              <w:overflowPunct/>
              <w:topLinePunct w:val="0"/>
              <w:autoSpaceDE/>
              <w:autoSpaceDN/>
              <w:bidi w:val="0"/>
              <w:adjustRightInd w:val="0"/>
              <w:spacing w:line="360" w:lineRule="auto"/>
              <w:ind w:leftChars="0" w:right="0" w:rightChars="0" w:firstLine="0" w:firstLineChars="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根据投标人提供的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技术参数响应偏离表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和技术支持资料，对照招标文件的技术参数进行评审。所投产品指标满足或优于招标文件技术参数的得满分</w:t>
            </w:r>
            <w:r>
              <w:rPr>
                <w:rFonts w:hint="eastAsia" w:ascii="宋体" w:hAnsi="宋体" w:cs="宋体"/>
                <w:color w:val="auto"/>
                <w:sz w:val="24"/>
                <w:szCs w:val="24"/>
                <w:highlight w:val="none"/>
                <w:lang w:val="en-US" w:eastAsia="zh-CN"/>
              </w:rPr>
              <w:t>18.6</w:t>
            </w:r>
            <w:r>
              <w:rPr>
                <w:rFonts w:hint="eastAsia" w:ascii="宋体" w:hAnsi="宋体" w:eastAsia="宋体" w:cs="宋体"/>
                <w:color w:val="auto"/>
                <w:sz w:val="24"/>
                <w:szCs w:val="24"/>
                <w:highlight w:val="none"/>
                <w:lang w:val="en-US" w:eastAsia="zh-CN"/>
              </w:rPr>
              <w:t>分。</w:t>
            </w:r>
          </w:p>
          <w:p w14:paraId="39325E2D">
            <w:pPr>
              <w:keepNext w:val="0"/>
              <w:keepLines w:val="0"/>
              <w:pageBreakBefore w:val="0"/>
              <w:numPr>
                <w:ilvl w:val="0"/>
                <w:numId w:val="0"/>
              </w:numPr>
              <w:kinsoku/>
              <w:wordWrap/>
              <w:overflowPunct/>
              <w:topLinePunct w:val="0"/>
              <w:autoSpaceDE/>
              <w:autoSpaceDN/>
              <w:bidi w:val="0"/>
              <w:adjustRightInd w:val="0"/>
              <w:spacing w:line="360" w:lineRule="auto"/>
              <w:ind w:left="0" w:leftChars="0" w:right="0" w:rightChars="0"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（1）</w:t>
            </w:r>
            <w:r>
              <w:rPr>
                <w:rFonts w:hint="eastAsia" w:ascii="宋体" w:hAnsi="宋体" w:cs="宋体"/>
                <w:b/>
                <w:bCs/>
                <w:color w:val="auto"/>
                <w:sz w:val="24"/>
                <w:szCs w:val="24"/>
                <w:highlight w:val="none"/>
                <w:lang w:val="en-US" w:eastAsia="zh-CN"/>
              </w:rPr>
              <w:t>重要</w:t>
            </w:r>
            <w:r>
              <w:rPr>
                <w:rFonts w:hint="eastAsia" w:ascii="宋体" w:hAnsi="宋体" w:eastAsia="宋体" w:cs="宋体"/>
                <w:b/>
                <w:bCs/>
                <w:color w:val="auto"/>
                <w:sz w:val="24"/>
                <w:szCs w:val="24"/>
                <w:highlight w:val="none"/>
                <w:lang w:val="en-US" w:eastAsia="zh-CN"/>
              </w:rPr>
              <w:t>技术参数（标注“▲”参数）评审（满分</w:t>
            </w:r>
            <w:r>
              <w:rPr>
                <w:rFonts w:hint="eastAsia" w:ascii="宋体" w:hAnsi="宋体" w:cs="宋体"/>
                <w:b/>
                <w:bCs/>
                <w:color w:val="auto"/>
                <w:sz w:val="24"/>
                <w:szCs w:val="24"/>
                <w:highlight w:val="none"/>
                <w:lang w:val="en-US" w:eastAsia="zh-CN"/>
              </w:rPr>
              <w:t>11.6</w:t>
            </w:r>
            <w:r>
              <w:rPr>
                <w:rFonts w:hint="eastAsia" w:ascii="宋体" w:hAnsi="宋体" w:eastAsia="宋体" w:cs="宋体"/>
                <w:b/>
                <w:bCs/>
                <w:color w:val="auto"/>
                <w:sz w:val="24"/>
                <w:szCs w:val="24"/>
                <w:highlight w:val="none"/>
                <w:lang w:val="en-US" w:eastAsia="zh-CN"/>
              </w:rPr>
              <w:t>分）</w:t>
            </w:r>
          </w:p>
          <w:p w14:paraId="38446A36">
            <w:pPr>
              <w:keepNext w:val="0"/>
              <w:keepLines w:val="0"/>
              <w:pageBreakBefore w:val="0"/>
              <w:numPr>
                <w:ilvl w:val="0"/>
                <w:numId w:val="0"/>
              </w:numPr>
              <w:kinsoku/>
              <w:wordWrap/>
              <w:overflowPunct/>
              <w:topLinePunct w:val="0"/>
              <w:autoSpaceDE/>
              <w:autoSpaceDN/>
              <w:bidi w:val="0"/>
              <w:adjustRightInd w:val="0"/>
              <w:spacing w:line="360" w:lineRule="auto"/>
              <w:ind w:leftChars="0" w:right="0" w:righ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第四章“</w:t>
            </w:r>
            <w:r>
              <w:rPr>
                <w:rFonts w:hint="eastAsia" w:ascii="宋体" w:hAnsi="宋体" w:eastAsia="宋体" w:cs="宋体"/>
                <w:color w:val="auto"/>
                <w:sz w:val="24"/>
                <w:highlight w:val="none"/>
                <w:lang w:eastAsia="zh-CN"/>
              </w:rPr>
              <w:t>采购需求及技术参数要求</w:t>
            </w:r>
            <w:r>
              <w:rPr>
                <w:rFonts w:hint="eastAsia" w:ascii="宋体" w:hAnsi="宋体" w:eastAsia="宋体" w:cs="宋体"/>
                <w:color w:val="auto"/>
                <w:sz w:val="24"/>
                <w:szCs w:val="24"/>
                <w:highlight w:val="none"/>
                <w:lang w:val="en-US" w:eastAsia="zh-CN"/>
              </w:rPr>
              <w:t>”，标注“</w:t>
            </w:r>
            <w:r>
              <w:rPr>
                <w:rFonts w:hint="eastAsia" w:ascii="宋体" w:hAnsi="宋体" w:eastAsia="宋体" w:cs="宋体"/>
                <w:b/>
                <w:bCs w:val="0"/>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”号的为重要技术参数，共计</w:t>
            </w:r>
            <w:r>
              <w:rPr>
                <w:rFonts w:hint="eastAsia" w:ascii="宋体" w:hAnsi="宋体" w:cs="宋体"/>
                <w:color w:val="auto"/>
                <w:sz w:val="24"/>
                <w:szCs w:val="24"/>
                <w:highlight w:val="none"/>
                <w:lang w:val="en-US" w:eastAsia="zh-CN"/>
              </w:rPr>
              <w:t>29</w:t>
            </w:r>
            <w:r>
              <w:rPr>
                <w:rFonts w:hint="eastAsia" w:ascii="宋体" w:hAnsi="宋体" w:eastAsia="宋体" w:cs="宋体"/>
                <w:color w:val="auto"/>
                <w:sz w:val="24"/>
                <w:szCs w:val="24"/>
                <w:highlight w:val="none"/>
                <w:lang w:val="en-US" w:eastAsia="zh-CN"/>
              </w:rPr>
              <w:t>条</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1条标注“</w:t>
            </w:r>
            <w:r>
              <w:rPr>
                <w:rFonts w:hint="eastAsia" w:ascii="宋体" w:hAnsi="宋体" w:eastAsia="宋体" w:cs="宋体"/>
                <w:b/>
                <w:bCs w:val="0"/>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”参数为</w:t>
            </w:r>
            <w:r>
              <w:rPr>
                <w:rFonts w:hint="eastAsia" w:ascii="宋体" w:hAnsi="宋体" w:cs="宋体"/>
                <w:color w:val="auto"/>
                <w:sz w:val="24"/>
                <w:szCs w:val="24"/>
                <w:highlight w:val="none"/>
                <w:lang w:val="en-US" w:eastAsia="zh-CN"/>
              </w:rPr>
              <w:t>0.4</w:t>
            </w:r>
            <w:r>
              <w:rPr>
                <w:rFonts w:hint="eastAsia" w:ascii="宋体" w:hAnsi="宋体" w:eastAsia="宋体" w:cs="宋体"/>
                <w:color w:val="auto"/>
                <w:sz w:val="24"/>
                <w:szCs w:val="24"/>
                <w:highlight w:val="none"/>
                <w:lang w:val="en-US" w:eastAsia="zh-CN"/>
              </w:rPr>
              <w:t>分，每出现1条标注“</w:t>
            </w:r>
            <w:r>
              <w:rPr>
                <w:rFonts w:hint="eastAsia" w:ascii="宋体" w:hAnsi="宋体" w:eastAsia="宋体" w:cs="宋体"/>
                <w:b/>
                <w:bCs w:val="0"/>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”的重要技术参数不满足招标文件要求的扣</w:t>
            </w:r>
            <w:r>
              <w:rPr>
                <w:rFonts w:hint="eastAsia" w:ascii="宋体" w:hAnsi="宋体" w:cs="宋体"/>
                <w:color w:val="auto"/>
                <w:sz w:val="24"/>
                <w:szCs w:val="24"/>
                <w:highlight w:val="none"/>
                <w:lang w:val="en-US" w:eastAsia="zh-CN"/>
              </w:rPr>
              <w:t>0.4分</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扣完为止</w:t>
            </w:r>
            <w:r>
              <w:rPr>
                <w:rFonts w:hint="eastAsia" w:ascii="宋体" w:hAnsi="宋体" w:eastAsia="宋体" w:cs="宋体"/>
                <w:color w:val="auto"/>
                <w:sz w:val="24"/>
                <w:szCs w:val="24"/>
                <w:highlight w:val="none"/>
                <w:lang w:val="en-US" w:eastAsia="zh-CN"/>
              </w:rPr>
              <w:t>。</w:t>
            </w:r>
          </w:p>
          <w:p w14:paraId="23EDB6AA">
            <w:pPr>
              <w:keepNext w:val="0"/>
              <w:keepLines w:val="0"/>
              <w:pageBreakBefore w:val="0"/>
              <w:numPr>
                <w:ilvl w:val="0"/>
                <w:numId w:val="0"/>
              </w:numPr>
              <w:kinsoku/>
              <w:wordWrap/>
              <w:overflowPunct/>
              <w:topLinePunct w:val="0"/>
              <w:autoSpaceDE/>
              <w:autoSpaceDN/>
              <w:bidi w:val="0"/>
              <w:adjustRightInd w:val="0"/>
              <w:spacing w:line="360" w:lineRule="auto"/>
              <w:ind w:left="0" w:leftChars="0" w:right="0" w:rightChars="0" w:firstLine="0" w:firstLineChars="0"/>
              <w:textAlignment w:val="auto"/>
              <w:rPr>
                <w:rFonts w:hint="eastAsia" w:ascii="宋体" w:hAnsi="宋体" w:eastAsia="宋体" w:cs="宋体"/>
                <w:b/>
                <w:bCs/>
                <w:color w:val="auto"/>
                <w:szCs w:val="21"/>
                <w:highlight w:val="none"/>
                <w:lang w:val="en-US" w:eastAsia="zh-CN"/>
              </w:rPr>
            </w:pP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Cs w:val="21"/>
                <w:highlight w:val="none"/>
              </w:rPr>
              <w:t>一般</w:t>
            </w:r>
            <w:r>
              <w:rPr>
                <w:rFonts w:hint="eastAsia" w:ascii="宋体" w:hAnsi="宋体" w:eastAsia="宋体" w:cs="宋体"/>
                <w:b/>
                <w:bCs/>
                <w:color w:val="auto"/>
                <w:szCs w:val="21"/>
                <w:highlight w:val="none"/>
                <w:lang w:val="en-US" w:eastAsia="zh-CN"/>
              </w:rPr>
              <w:t>技术参数（标注“■”参数）评审（满分</w:t>
            </w:r>
            <w:r>
              <w:rPr>
                <w:rFonts w:hint="eastAsia" w:ascii="宋体" w:hAnsi="宋体" w:cs="宋体"/>
                <w:b/>
                <w:bCs/>
                <w:color w:val="auto"/>
                <w:szCs w:val="21"/>
                <w:highlight w:val="none"/>
                <w:lang w:val="en-US" w:eastAsia="zh-CN"/>
              </w:rPr>
              <w:t>7</w:t>
            </w:r>
            <w:r>
              <w:rPr>
                <w:rFonts w:hint="eastAsia" w:ascii="宋体" w:hAnsi="宋体" w:eastAsia="宋体" w:cs="宋体"/>
                <w:b/>
                <w:bCs/>
                <w:color w:val="auto"/>
                <w:szCs w:val="21"/>
                <w:highlight w:val="none"/>
                <w:lang w:val="en-US" w:eastAsia="zh-CN"/>
              </w:rPr>
              <w:t>分）</w:t>
            </w:r>
          </w:p>
          <w:p w14:paraId="113AA57E">
            <w:pPr>
              <w:keepNext w:val="0"/>
              <w:keepLines w:val="0"/>
              <w:pageBreakBefore w:val="0"/>
              <w:numPr>
                <w:ilvl w:val="0"/>
                <w:numId w:val="0"/>
              </w:numPr>
              <w:kinsoku/>
              <w:wordWrap/>
              <w:overflowPunct/>
              <w:topLinePunct w:val="0"/>
              <w:autoSpaceDE/>
              <w:autoSpaceDN/>
              <w:bidi w:val="0"/>
              <w:adjustRightInd w:val="0"/>
              <w:spacing w:line="360" w:lineRule="auto"/>
              <w:ind w:leftChars="0" w:right="0" w:righ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第四章“</w:t>
            </w:r>
            <w:r>
              <w:rPr>
                <w:rFonts w:hint="eastAsia" w:ascii="宋体" w:hAnsi="宋体" w:eastAsia="宋体" w:cs="宋体"/>
                <w:color w:val="auto"/>
                <w:sz w:val="24"/>
                <w:highlight w:val="none"/>
                <w:lang w:eastAsia="zh-CN"/>
              </w:rPr>
              <w:t>采购需求及技术参数要求</w:t>
            </w:r>
            <w:r>
              <w:rPr>
                <w:rFonts w:hint="eastAsia" w:ascii="宋体" w:hAnsi="宋体" w:eastAsia="宋体" w:cs="宋体"/>
                <w:color w:val="auto"/>
                <w:sz w:val="24"/>
                <w:szCs w:val="24"/>
                <w:highlight w:val="none"/>
                <w:lang w:val="en-US" w:eastAsia="zh-CN"/>
              </w:rPr>
              <w:t>”，标注“</w:t>
            </w:r>
            <w:r>
              <w:rPr>
                <w:rFonts w:hint="eastAsia" w:ascii="宋体" w:hAnsi="宋体" w:eastAsia="宋体" w:cs="宋体"/>
                <w:b/>
                <w:bCs/>
                <w:color w:val="auto"/>
                <w:szCs w:val="21"/>
                <w:highlight w:val="none"/>
                <w:lang w:val="en-US" w:eastAsia="zh-CN"/>
              </w:rPr>
              <w:t>■</w:t>
            </w:r>
            <w:r>
              <w:rPr>
                <w:rFonts w:hint="eastAsia" w:ascii="宋体" w:hAnsi="宋体" w:eastAsia="宋体" w:cs="宋体"/>
                <w:color w:val="auto"/>
                <w:sz w:val="24"/>
                <w:szCs w:val="24"/>
                <w:highlight w:val="none"/>
                <w:lang w:val="en-US" w:eastAsia="zh-CN"/>
              </w:rPr>
              <w:t>”号的为一般技术参数，共计</w:t>
            </w:r>
            <w:r>
              <w:rPr>
                <w:rFonts w:hint="eastAsia" w:ascii="宋体" w:hAnsi="宋体" w:cs="宋体"/>
                <w:color w:val="auto"/>
                <w:sz w:val="24"/>
                <w:szCs w:val="24"/>
                <w:highlight w:val="none"/>
                <w:lang w:val="en-US" w:eastAsia="zh-CN"/>
              </w:rPr>
              <w:t>35</w:t>
            </w:r>
            <w:r>
              <w:rPr>
                <w:rFonts w:hint="eastAsia" w:ascii="宋体" w:hAnsi="宋体" w:eastAsia="宋体" w:cs="宋体"/>
                <w:color w:val="auto"/>
                <w:sz w:val="24"/>
                <w:szCs w:val="24"/>
                <w:highlight w:val="none"/>
                <w:lang w:val="en-US" w:eastAsia="zh-CN"/>
              </w:rPr>
              <w:t>条</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1条标注“</w:t>
            </w:r>
            <w:r>
              <w:rPr>
                <w:rFonts w:hint="eastAsia" w:ascii="宋体" w:hAnsi="宋体" w:eastAsia="宋体" w:cs="宋体"/>
                <w:b/>
                <w:bCs/>
                <w:color w:val="auto"/>
                <w:szCs w:val="21"/>
                <w:highlight w:val="none"/>
                <w:lang w:val="en-US" w:eastAsia="zh-CN"/>
              </w:rPr>
              <w:t>■</w:t>
            </w:r>
            <w:r>
              <w:rPr>
                <w:rFonts w:hint="eastAsia" w:ascii="宋体" w:hAnsi="宋体" w:eastAsia="宋体" w:cs="宋体"/>
                <w:color w:val="auto"/>
                <w:sz w:val="24"/>
                <w:szCs w:val="24"/>
                <w:highlight w:val="none"/>
                <w:lang w:val="en-US" w:eastAsia="zh-CN"/>
              </w:rPr>
              <w:t>”参数为</w:t>
            </w:r>
            <w:r>
              <w:rPr>
                <w:rFonts w:hint="eastAsia" w:ascii="宋体" w:hAnsi="宋体" w:cs="宋体"/>
                <w:color w:val="auto"/>
                <w:sz w:val="24"/>
                <w:szCs w:val="24"/>
                <w:highlight w:val="none"/>
                <w:lang w:val="en-US" w:eastAsia="zh-CN"/>
              </w:rPr>
              <w:t>0.2</w:t>
            </w:r>
            <w:r>
              <w:rPr>
                <w:rFonts w:hint="eastAsia" w:ascii="宋体" w:hAnsi="宋体" w:eastAsia="宋体" w:cs="宋体"/>
                <w:color w:val="auto"/>
                <w:sz w:val="24"/>
                <w:szCs w:val="24"/>
                <w:highlight w:val="none"/>
                <w:lang w:val="en-US" w:eastAsia="zh-CN"/>
              </w:rPr>
              <w:t>分，每出现1条标注“</w:t>
            </w:r>
            <w:r>
              <w:rPr>
                <w:rFonts w:hint="eastAsia" w:ascii="宋体" w:hAnsi="宋体" w:eastAsia="宋体" w:cs="宋体"/>
                <w:b/>
                <w:bCs/>
                <w:color w:val="auto"/>
                <w:szCs w:val="21"/>
                <w:highlight w:val="none"/>
                <w:lang w:val="en-US" w:eastAsia="zh-CN"/>
              </w:rPr>
              <w:t>■</w:t>
            </w:r>
            <w:r>
              <w:rPr>
                <w:rFonts w:hint="eastAsia" w:ascii="宋体" w:hAnsi="宋体" w:eastAsia="宋体" w:cs="宋体"/>
                <w:color w:val="auto"/>
                <w:sz w:val="24"/>
                <w:szCs w:val="24"/>
                <w:highlight w:val="none"/>
                <w:lang w:val="en-US" w:eastAsia="zh-CN"/>
              </w:rPr>
              <w:t>”的重要技术参数不满足招标文件要求的扣</w:t>
            </w:r>
            <w:r>
              <w:rPr>
                <w:rFonts w:hint="eastAsia" w:ascii="宋体" w:hAnsi="宋体" w:cs="宋体"/>
                <w:color w:val="auto"/>
                <w:sz w:val="24"/>
                <w:szCs w:val="24"/>
                <w:highlight w:val="none"/>
                <w:lang w:val="en-US" w:eastAsia="zh-CN"/>
              </w:rPr>
              <w:t>0.2分</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扣完为止</w:t>
            </w:r>
            <w:r>
              <w:rPr>
                <w:rFonts w:hint="eastAsia" w:ascii="宋体" w:hAnsi="宋体" w:eastAsia="宋体" w:cs="宋体"/>
                <w:color w:val="auto"/>
                <w:sz w:val="24"/>
                <w:szCs w:val="24"/>
                <w:highlight w:val="none"/>
                <w:lang w:val="en-US" w:eastAsia="zh-CN"/>
              </w:rPr>
              <w:t>。</w:t>
            </w:r>
          </w:p>
          <w:p w14:paraId="5FD49FA9">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0" w:firstLineChars="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注：①每一条</w:t>
            </w:r>
            <w:r>
              <w:rPr>
                <w:rFonts w:hint="eastAsia" w:ascii="宋体" w:hAnsi="宋体" w:cs="宋体"/>
                <w:b/>
                <w:bCs/>
                <w:color w:val="auto"/>
                <w:sz w:val="24"/>
                <w:szCs w:val="24"/>
                <w:highlight w:val="none"/>
                <w:lang w:val="en-US" w:eastAsia="zh-CN"/>
              </w:rPr>
              <w:t>评审</w:t>
            </w:r>
            <w:r>
              <w:rPr>
                <w:rFonts w:hint="eastAsia" w:ascii="宋体" w:hAnsi="宋体" w:eastAsia="宋体" w:cs="宋体"/>
                <w:b/>
                <w:bCs/>
                <w:color w:val="auto"/>
                <w:sz w:val="24"/>
                <w:szCs w:val="24"/>
                <w:highlight w:val="none"/>
                <w:lang w:val="en-US" w:eastAsia="zh-CN"/>
              </w:rPr>
              <w:t>技术参数（标注“▲”参数及标注“■”参数）要求须提供相关证明材料（第四章“采购需求及技术参数要求”</w:t>
            </w:r>
            <w:r>
              <w:rPr>
                <w:rFonts w:hint="eastAsia" w:ascii="宋体" w:hAnsi="宋体" w:cs="宋体"/>
                <w:b/>
                <w:bCs/>
                <w:color w:val="auto"/>
                <w:sz w:val="24"/>
                <w:szCs w:val="24"/>
                <w:highlight w:val="none"/>
                <w:lang w:val="en-US" w:eastAsia="zh-CN"/>
              </w:rPr>
              <w:t>中有要求的按要求提供，无要求的自行提供</w:t>
            </w:r>
            <w:r>
              <w:rPr>
                <w:rFonts w:hint="eastAsia" w:ascii="宋体" w:hAnsi="宋体" w:eastAsia="宋体" w:cs="宋体"/>
                <w:b/>
                <w:bCs/>
                <w:color w:val="auto"/>
                <w:sz w:val="24"/>
                <w:szCs w:val="24"/>
                <w:highlight w:val="none"/>
                <w:lang w:val="en-US" w:eastAsia="zh-CN"/>
              </w:rPr>
              <w:t>），未提供证明材料的，视为参数负偏离。证明材料应制作索引目录</w:t>
            </w:r>
            <w:r>
              <w:rPr>
                <w:rFonts w:hint="eastAsia" w:ascii="宋体" w:hAnsi="宋体" w:cs="宋体"/>
                <w:b/>
                <w:bCs/>
                <w:color w:val="auto"/>
                <w:sz w:val="24"/>
                <w:szCs w:val="24"/>
                <w:highlight w:val="none"/>
                <w:lang w:val="en-US" w:eastAsia="zh-CN"/>
              </w:rPr>
              <w:t>并框图标识</w:t>
            </w:r>
            <w:r>
              <w:rPr>
                <w:rFonts w:hint="eastAsia" w:ascii="宋体" w:hAnsi="宋体" w:eastAsia="宋体" w:cs="宋体"/>
                <w:b/>
                <w:bCs/>
                <w:color w:val="auto"/>
                <w:sz w:val="24"/>
                <w:szCs w:val="24"/>
                <w:highlight w:val="none"/>
                <w:lang w:val="en-US" w:eastAsia="zh-CN"/>
              </w:rPr>
              <w:t>，方便评委查找。不制作索引目录或编排混乱导致评委漏查的，造成的不利后果由投标人自行承担责任。</w:t>
            </w:r>
          </w:p>
          <w:p w14:paraId="32B784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②证明材料可以为产品说明书或技术白皮书或检测报告或印刷宣传彩页或设备铭牌等。证明材料应当字迹清晰可见，否则造成的不利后果由投标人自行承担责任。</w:t>
            </w:r>
          </w:p>
        </w:tc>
      </w:tr>
      <w:tr w14:paraId="62536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52" w:type="dxa"/>
            <w:vMerge w:val="continue"/>
            <w:noWrap w:val="0"/>
            <w:vAlign w:val="center"/>
          </w:tcPr>
          <w:p w14:paraId="506C39E0">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val="0"/>
                <w:color w:val="auto"/>
                <w:sz w:val="24"/>
                <w:szCs w:val="24"/>
                <w:highlight w:val="none"/>
              </w:rPr>
            </w:pPr>
          </w:p>
        </w:tc>
        <w:tc>
          <w:tcPr>
            <w:tcW w:w="1282" w:type="dxa"/>
            <w:vMerge w:val="continue"/>
            <w:noWrap w:val="0"/>
            <w:vAlign w:val="center"/>
          </w:tcPr>
          <w:p w14:paraId="55795EC0">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val="0"/>
                <w:color w:val="auto"/>
                <w:sz w:val="24"/>
                <w:szCs w:val="24"/>
                <w:highlight w:val="none"/>
              </w:rPr>
            </w:pPr>
          </w:p>
        </w:tc>
        <w:tc>
          <w:tcPr>
            <w:tcW w:w="1872" w:type="dxa"/>
            <w:noWrap w:val="0"/>
            <w:vAlign w:val="center"/>
          </w:tcPr>
          <w:p w14:paraId="7B597FBD">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项目供货方案</w:t>
            </w:r>
          </w:p>
          <w:p w14:paraId="22A8DE36">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（满分</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分）</w:t>
            </w:r>
          </w:p>
        </w:tc>
        <w:tc>
          <w:tcPr>
            <w:tcW w:w="5534" w:type="dxa"/>
            <w:noWrap w:val="0"/>
            <w:vAlign w:val="center"/>
          </w:tcPr>
          <w:p w14:paraId="52180BE5">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0"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根据投标人提供的</w:t>
            </w:r>
            <w:r>
              <w:rPr>
                <w:rFonts w:hint="eastAsia" w:ascii="宋体" w:hAnsi="宋体" w:eastAsia="宋体" w:cs="宋体"/>
                <w:b/>
                <w:bCs/>
                <w:color w:val="auto"/>
                <w:sz w:val="24"/>
                <w:szCs w:val="24"/>
                <w:highlight w:val="none"/>
                <w:lang w:val="en-US" w:eastAsia="zh-CN"/>
              </w:rPr>
              <w:t>（1）供货方案；（2）进度安排(包括</w:t>
            </w:r>
            <w:r>
              <w:rPr>
                <w:rFonts w:hint="eastAsia" w:ascii="宋体" w:hAnsi="宋体" w:cs="宋体"/>
                <w:b/>
                <w:bCs/>
                <w:color w:val="auto"/>
                <w:sz w:val="24"/>
                <w:szCs w:val="24"/>
                <w:highlight w:val="none"/>
                <w:lang w:val="en-US" w:eastAsia="zh-CN"/>
              </w:rPr>
              <w:t>运输、</w:t>
            </w:r>
            <w:r>
              <w:rPr>
                <w:rFonts w:hint="eastAsia" w:ascii="宋体" w:hAnsi="宋体" w:eastAsia="宋体" w:cs="宋体"/>
                <w:b/>
                <w:bCs/>
                <w:color w:val="auto"/>
                <w:sz w:val="24"/>
                <w:szCs w:val="24"/>
                <w:highlight w:val="none"/>
                <w:lang w:val="en-US" w:eastAsia="zh-CN"/>
              </w:rPr>
              <w:t>安装、调试及验收等各项工作)；（3）产品质量保证措施及保障承诺；（4）供货保证措施及惩处措施</w:t>
            </w:r>
            <w:r>
              <w:rPr>
                <w:rFonts w:hint="eastAsia" w:ascii="宋体" w:hAnsi="宋体" w:cs="宋体"/>
                <w:b/>
                <w:bCs/>
                <w:color w:val="auto"/>
                <w:sz w:val="24"/>
                <w:szCs w:val="24"/>
                <w:highlight w:val="none"/>
                <w:lang w:val="en-US" w:eastAsia="zh-CN"/>
              </w:rPr>
              <w:t>；（5）相对应的惩处措施等</w:t>
            </w:r>
            <w:r>
              <w:rPr>
                <w:rFonts w:hint="eastAsia" w:ascii="宋体" w:hAnsi="宋体" w:eastAsia="宋体" w:cs="宋体"/>
                <w:color w:val="auto"/>
                <w:sz w:val="24"/>
                <w:szCs w:val="24"/>
                <w:highlight w:val="none"/>
                <w:lang w:val="en-US" w:eastAsia="zh-CN"/>
              </w:rPr>
              <w:t xml:space="preserve">进行综合评审： </w:t>
            </w:r>
          </w:p>
          <w:p w14:paraId="27A95A9B">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0"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rPr>
              <w:t>供货方案</w:t>
            </w:r>
            <w:r>
              <w:rPr>
                <w:rFonts w:hint="eastAsia" w:ascii="宋体" w:hAnsi="宋体" w:eastAsia="宋体" w:cs="宋体"/>
                <w:color w:val="auto"/>
                <w:sz w:val="24"/>
                <w:szCs w:val="24"/>
                <w:highlight w:val="none"/>
                <w:lang w:val="en-US" w:eastAsia="zh-CN"/>
              </w:rPr>
              <w:t>阐述</w:t>
            </w:r>
            <w:r>
              <w:rPr>
                <w:rFonts w:hint="eastAsia" w:ascii="宋体" w:hAnsi="宋体" w:eastAsia="宋体" w:cs="宋体"/>
                <w:color w:val="auto"/>
                <w:sz w:val="24"/>
                <w:szCs w:val="24"/>
                <w:highlight w:val="none"/>
              </w:rPr>
              <w:t>完整全面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完善具体、合理可行，针对性强，</w:t>
            </w:r>
            <w:r>
              <w:rPr>
                <w:rFonts w:hint="eastAsia" w:ascii="宋体" w:hAnsi="宋体" w:eastAsia="宋体" w:cs="宋体"/>
                <w:color w:val="auto"/>
                <w:sz w:val="24"/>
                <w:szCs w:val="24"/>
                <w:highlight w:val="none"/>
                <w:lang w:val="en-US" w:eastAsia="zh-CN"/>
              </w:rPr>
              <w:t>具有</w:t>
            </w:r>
            <w:r>
              <w:rPr>
                <w:rFonts w:hint="eastAsia" w:ascii="宋体" w:hAnsi="宋体" w:eastAsia="宋体" w:cs="宋体"/>
                <w:color w:val="auto"/>
                <w:sz w:val="24"/>
                <w:szCs w:val="24"/>
                <w:highlight w:val="none"/>
              </w:rPr>
              <w:t>可实施性及</w:t>
            </w:r>
            <w:r>
              <w:rPr>
                <w:rFonts w:hint="eastAsia" w:ascii="宋体" w:hAnsi="宋体" w:eastAsia="宋体" w:cs="宋体"/>
                <w:color w:val="auto"/>
                <w:sz w:val="24"/>
                <w:szCs w:val="24"/>
                <w:highlight w:val="none"/>
                <w:lang w:eastAsia="zh-CN"/>
              </w:rPr>
              <w:t>针对性</w:t>
            </w:r>
            <w:r>
              <w:rPr>
                <w:rFonts w:hint="eastAsia" w:ascii="宋体" w:hAnsi="宋体" w:eastAsia="宋体" w:cs="宋体"/>
                <w:color w:val="auto"/>
                <w:sz w:val="24"/>
                <w:szCs w:val="24"/>
                <w:highlight w:val="none"/>
                <w:lang w:val="en-US" w:eastAsia="zh-CN"/>
              </w:rPr>
              <w:t>的得满分</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lang w:val="en-US" w:eastAsia="zh-CN"/>
              </w:rPr>
              <w:t>分；</w:t>
            </w:r>
          </w:p>
          <w:p w14:paraId="149FAF48">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0"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②以上“（1）、（2）、（3）</w:t>
            </w:r>
            <w:r>
              <w:rPr>
                <w:rFonts w:hint="eastAsia" w:ascii="宋体" w:hAnsi="宋体" w:cs="宋体"/>
                <w:color w:val="auto"/>
                <w:sz w:val="24"/>
                <w:szCs w:val="24"/>
                <w:highlight w:val="none"/>
                <w:lang w:val="en-US" w:eastAsia="zh-CN"/>
              </w:rPr>
              <w:t>、（4）、（5）</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lang w:val="en-US" w:eastAsia="zh-CN"/>
              </w:rPr>
              <w:t>项内容每缺少一项内容扣</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w:t>
            </w:r>
          </w:p>
          <w:p w14:paraId="31B179D3">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0" w:firstLine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③以上任意一项内容每有一处描述缺陷的扣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以上内容涉及到的描述缺陷是指：内容无针对性，不全面、不清晰、无可行性，内容与实际情况不匹配、不符合项目特点或无法达到预期效果、不适用于本项目、内容不符合相关规范要求、内容与本项目无关等任意一种情形</w:t>
            </w:r>
            <w:r>
              <w:rPr>
                <w:rFonts w:hint="eastAsia" w:ascii="宋体" w:hAnsi="宋体" w:eastAsia="宋体" w:cs="宋体"/>
                <w:color w:val="auto"/>
                <w:sz w:val="24"/>
                <w:szCs w:val="24"/>
                <w:highlight w:val="none"/>
              </w:rPr>
              <w:t>。</w:t>
            </w:r>
          </w:p>
          <w:p w14:paraId="330DDD1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color w:val="auto"/>
                <w:sz w:val="24"/>
                <w:szCs w:val="24"/>
                <w:highlight w:val="none"/>
              </w:rPr>
              <w:t>：②③条款不重复扣分，扣完为止。</w:t>
            </w:r>
          </w:p>
        </w:tc>
      </w:tr>
      <w:tr w14:paraId="45F9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52" w:type="dxa"/>
            <w:vMerge w:val="continue"/>
            <w:noWrap w:val="0"/>
            <w:vAlign w:val="center"/>
          </w:tcPr>
          <w:p w14:paraId="03525027">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val="0"/>
                <w:color w:val="auto"/>
                <w:sz w:val="24"/>
                <w:szCs w:val="24"/>
                <w:highlight w:val="none"/>
              </w:rPr>
            </w:pPr>
          </w:p>
        </w:tc>
        <w:tc>
          <w:tcPr>
            <w:tcW w:w="1282" w:type="dxa"/>
            <w:vMerge w:val="continue"/>
            <w:noWrap w:val="0"/>
            <w:vAlign w:val="center"/>
          </w:tcPr>
          <w:p w14:paraId="5F2BDAEB">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val="0"/>
                <w:color w:val="auto"/>
                <w:sz w:val="24"/>
                <w:szCs w:val="24"/>
                <w:highlight w:val="none"/>
              </w:rPr>
            </w:pPr>
          </w:p>
        </w:tc>
        <w:tc>
          <w:tcPr>
            <w:tcW w:w="1872" w:type="dxa"/>
            <w:noWrap w:val="0"/>
            <w:vAlign w:val="center"/>
          </w:tcPr>
          <w:p w14:paraId="33D9EBBC">
            <w:pPr>
              <w:keepNext w:val="0"/>
              <w:keepLines w:val="0"/>
              <w:pageBreakBefore w:val="0"/>
              <w:widowControl w:val="0"/>
              <w:kinsoku/>
              <w:wordWrap/>
              <w:overflowPunct/>
              <w:topLinePunct w:val="0"/>
              <w:autoSpaceDE/>
              <w:autoSpaceDN/>
              <w:bidi w:val="0"/>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售后服务</w:t>
            </w:r>
            <w:r>
              <w:rPr>
                <w:rFonts w:hint="eastAsia" w:ascii="宋体" w:hAnsi="宋体" w:eastAsia="宋体" w:cs="宋体"/>
                <w:color w:val="auto"/>
                <w:sz w:val="24"/>
                <w:szCs w:val="24"/>
                <w:highlight w:val="none"/>
                <w:lang w:val="en-US" w:eastAsia="zh-CN"/>
              </w:rPr>
              <w:t>方案</w:t>
            </w:r>
          </w:p>
          <w:p w14:paraId="0DC5EE0E">
            <w:pPr>
              <w:keepNext w:val="0"/>
              <w:keepLines w:val="0"/>
              <w:pageBreakBefore w:val="0"/>
              <w:widowControl w:val="0"/>
              <w:kinsoku/>
              <w:wordWrap/>
              <w:overflowPunct/>
              <w:topLinePunct w:val="0"/>
              <w:autoSpaceDE/>
              <w:autoSpaceDN/>
              <w:bidi w:val="0"/>
              <w:snapToGrid/>
              <w:spacing w:line="360" w:lineRule="auto"/>
              <w:ind w:left="0" w:leftChars="0" w:right="0" w:rightChars="0" w:firstLine="0" w:firstLine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auto"/>
                <w:sz w:val="24"/>
                <w:szCs w:val="24"/>
                <w:highlight w:val="none"/>
              </w:rPr>
              <w:t>（满分</w:t>
            </w:r>
            <w:r>
              <w:rPr>
                <w:rFonts w:hint="eastAsia" w:ascii="宋体" w:hAnsi="宋体" w:cs="宋体"/>
                <w:color w:val="auto"/>
                <w:sz w:val="24"/>
                <w:szCs w:val="24"/>
                <w:highlight w:val="none"/>
                <w:lang w:val="en-US" w:eastAsia="zh-CN"/>
              </w:rPr>
              <w:t>21</w:t>
            </w:r>
            <w:r>
              <w:rPr>
                <w:rFonts w:hint="eastAsia" w:ascii="宋体" w:hAnsi="宋体" w:eastAsia="宋体" w:cs="宋体"/>
                <w:color w:val="auto"/>
                <w:sz w:val="24"/>
                <w:szCs w:val="24"/>
                <w:highlight w:val="none"/>
              </w:rPr>
              <w:t>分）</w:t>
            </w:r>
          </w:p>
        </w:tc>
        <w:tc>
          <w:tcPr>
            <w:tcW w:w="5534" w:type="dxa"/>
            <w:noWrap w:val="0"/>
            <w:vAlign w:val="center"/>
          </w:tcPr>
          <w:p w14:paraId="622ABBE3">
            <w:pPr>
              <w:keepNext w:val="0"/>
              <w:keepLines w:val="0"/>
              <w:pageBreakBefore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根据投标人提供的售后服务方案进行评审，包括但不限于</w:t>
            </w:r>
            <w:r>
              <w:rPr>
                <w:rFonts w:hint="eastAsia" w:ascii="宋体" w:hAnsi="宋体" w:eastAsia="宋体" w:cs="宋体"/>
                <w:color w:val="auto"/>
                <w:sz w:val="24"/>
                <w:szCs w:val="24"/>
                <w:highlight w:val="none"/>
              </w:rPr>
              <w:t>：</w:t>
            </w:r>
          </w:p>
          <w:p w14:paraId="4C3401C6">
            <w:pPr>
              <w:keepNext w:val="0"/>
              <w:keepLines w:val="0"/>
              <w:pageBreakBefore w:val="0"/>
              <w:numPr>
                <w:ilvl w:val="0"/>
                <w:numId w:val="0"/>
              </w:numPr>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lang w:val="en-US" w:eastAsia="zh-CN" w:bidi="ar-SA"/>
              </w:rPr>
              <w:t>（1）</w:t>
            </w:r>
            <w:r>
              <w:rPr>
                <w:rFonts w:hint="eastAsia" w:ascii="宋体" w:hAnsi="宋体" w:eastAsia="宋体" w:cs="宋体"/>
                <w:b/>
                <w:bCs/>
                <w:color w:val="auto"/>
                <w:sz w:val="24"/>
                <w:szCs w:val="24"/>
                <w:highlight w:val="none"/>
              </w:rPr>
              <w:t>质保期内售后服务方案（包括：维修政策承诺情况、维修服务响应时限、巡检维护周期、巡检计划内容、问题诊断及故障排除、售后服务技术人员的配备情况、培训方案（提供音视频频资料或纸质培训资料）；（2）质保期外售后服务方案（包括：维修政策承诺情况、维修服务响应时限、巡检维护周期、巡检计划内容、问题诊断及故障排除、售后服务技术人员的配备情况）；（3）相对应的惩处措施</w:t>
            </w:r>
            <w:r>
              <w:rPr>
                <w:rFonts w:hint="eastAsia" w:ascii="宋体" w:hAnsi="宋体" w:eastAsia="宋体" w:cs="宋体"/>
                <w:b/>
                <w:bCs/>
                <w:color w:val="auto"/>
                <w:sz w:val="24"/>
                <w:szCs w:val="24"/>
                <w:highlight w:val="none"/>
                <w:lang w:val="en-US" w:eastAsia="zh-CN"/>
              </w:rPr>
              <w:t>。</w:t>
            </w:r>
          </w:p>
          <w:p w14:paraId="6B5C1759">
            <w:pPr>
              <w:keepNext w:val="0"/>
              <w:keepLines w:val="0"/>
              <w:pageBreakBefore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rPr>
              <w:t>售后服务方案及承诺完整、表述清晰、有针对性、完全贴合项目需求的得</w:t>
            </w:r>
            <w:r>
              <w:rPr>
                <w:rFonts w:hint="eastAsia" w:ascii="宋体" w:hAnsi="宋体" w:eastAsia="宋体" w:cs="宋体"/>
                <w:color w:val="auto"/>
                <w:sz w:val="24"/>
                <w:szCs w:val="24"/>
                <w:highlight w:val="none"/>
                <w:lang w:val="en-US" w:eastAsia="zh-CN"/>
              </w:rPr>
              <w:t>满分</w:t>
            </w:r>
            <w:r>
              <w:rPr>
                <w:rFonts w:hint="eastAsia" w:ascii="宋体" w:hAnsi="宋体" w:cs="宋体"/>
                <w:color w:val="auto"/>
                <w:sz w:val="24"/>
                <w:szCs w:val="24"/>
                <w:highlight w:val="none"/>
                <w:lang w:val="en-US" w:eastAsia="zh-CN"/>
              </w:rPr>
              <w:t>21</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11033563">
            <w:pPr>
              <w:keepNext w:val="0"/>
              <w:keepLines w:val="0"/>
              <w:pageBreakBefore w:val="0"/>
              <w:kinsoku/>
              <w:wordWrap/>
              <w:overflowPunct/>
              <w:topLinePunct w:val="0"/>
              <w:autoSpaceDE/>
              <w:autoSpaceDN/>
              <w:bidi w:val="0"/>
              <w:spacing w:line="360" w:lineRule="auto"/>
              <w:ind w:left="0" w:leftChars="0" w:right="0" w:rightChars="0" w:firstLine="0" w:firstLine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②以上“（1）、（2）、（3）”三项内容缺少任意一项扣</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分。</w:t>
            </w:r>
          </w:p>
          <w:p w14:paraId="64008B85">
            <w:pPr>
              <w:keepNext w:val="0"/>
              <w:keepLines w:val="0"/>
              <w:pageBreakBefore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③以上任意一项内容每有一处描述缺陷的</w:t>
            </w:r>
            <w:r>
              <w:rPr>
                <w:rFonts w:hint="eastAsia" w:ascii="宋体" w:hAnsi="宋体" w:eastAsia="宋体" w:cs="宋体"/>
                <w:color w:val="auto"/>
                <w:sz w:val="24"/>
                <w:szCs w:val="24"/>
                <w:highlight w:val="none"/>
              </w:rPr>
              <w:t>扣</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以上内容涉及到的描述缺陷是指</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内容无针对性，不全面、不清晰、无可行性，内容与实际情况不匹配、不符合项目特点或无法达到预期效果、不适用于本项目、内容不符合相关规范要求、内容与本项目无关等任意一种情形。</w:t>
            </w:r>
          </w:p>
          <w:p w14:paraId="6F0EA611">
            <w:pPr>
              <w:keepNext w:val="0"/>
              <w:keepLines w:val="0"/>
              <w:pageBreakBefore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b/>
                <w:bCs/>
                <w:color w:val="000000"/>
                <w:sz w:val="24"/>
                <w:szCs w:val="24"/>
              </w:rPr>
            </w:pPr>
            <w:r>
              <w:rPr>
                <w:rFonts w:hint="eastAsia" w:ascii="宋体" w:hAnsi="宋体" w:eastAsia="宋体" w:cs="宋体"/>
                <w:b/>
                <w:bCs/>
                <w:color w:val="auto"/>
                <w:sz w:val="24"/>
                <w:szCs w:val="24"/>
                <w:highlight w:val="none"/>
              </w:rPr>
              <w:t>注</w:t>
            </w:r>
            <w:r>
              <w:rPr>
                <w:rFonts w:hint="eastAsia" w:ascii="宋体" w:hAnsi="宋体" w:eastAsia="宋体" w:cs="宋体"/>
                <w:color w:val="auto"/>
                <w:sz w:val="24"/>
                <w:szCs w:val="24"/>
                <w:highlight w:val="none"/>
              </w:rPr>
              <w:t>：②③条款不重复扣分，扣完为止。</w:t>
            </w:r>
          </w:p>
        </w:tc>
      </w:tr>
      <w:tr w14:paraId="34C2E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52" w:type="dxa"/>
            <w:vMerge w:val="restart"/>
            <w:noWrap w:val="0"/>
            <w:vAlign w:val="center"/>
          </w:tcPr>
          <w:p w14:paraId="118FE474">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val="0"/>
                <w:color w:val="auto"/>
                <w:sz w:val="24"/>
                <w:szCs w:val="24"/>
                <w:highlight w:val="none"/>
              </w:rPr>
            </w:pPr>
          </w:p>
        </w:tc>
        <w:tc>
          <w:tcPr>
            <w:tcW w:w="1282" w:type="dxa"/>
            <w:noWrap w:val="0"/>
            <w:vAlign w:val="center"/>
          </w:tcPr>
          <w:p w14:paraId="168A4453">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val="0"/>
                <w:color w:val="auto"/>
                <w:sz w:val="24"/>
                <w:szCs w:val="24"/>
                <w:highlight w:val="none"/>
              </w:rPr>
            </w:pPr>
          </w:p>
        </w:tc>
        <w:tc>
          <w:tcPr>
            <w:tcW w:w="1872" w:type="dxa"/>
            <w:noWrap w:val="0"/>
            <w:vAlign w:val="center"/>
          </w:tcPr>
          <w:p w14:paraId="7144B821">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投标人业绩</w:t>
            </w:r>
          </w:p>
          <w:p w14:paraId="2EDDFDA6">
            <w:pPr>
              <w:keepNext w:val="0"/>
              <w:keepLines w:val="0"/>
              <w:pageBreakBefore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（满分</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5534" w:type="dxa"/>
            <w:noWrap w:val="0"/>
            <w:vAlign w:val="center"/>
          </w:tcPr>
          <w:p w14:paraId="7DB58E7F">
            <w:pPr>
              <w:keepNext w:val="0"/>
              <w:keepLines w:val="0"/>
              <w:pageBreakBefore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en-US" w:eastAsia="zh-CN"/>
              </w:rPr>
              <w:t>或者设备生产厂家</w:t>
            </w:r>
            <w:r>
              <w:rPr>
                <w:rFonts w:hint="eastAsia" w:ascii="宋体" w:hAnsi="宋体" w:eastAsia="宋体" w:cs="宋体"/>
                <w:color w:val="auto"/>
                <w:sz w:val="24"/>
                <w:szCs w:val="24"/>
                <w:highlight w:val="none"/>
              </w:rPr>
              <w:t>每提供一份近年类似项目业绩证明材料的得1分，满分</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7681B91B">
            <w:pPr>
              <w:keepNext w:val="0"/>
              <w:keepLines w:val="0"/>
              <w:pageBreakBefore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70E61BC4">
            <w:pPr>
              <w:keepNext w:val="0"/>
              <w:keepLines w:val="0"/>
              <w:pageBreakBefore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①近年指202</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年1月1日至投标截止时间前（以中标通知书时间或合同签订时间为准）</w:t>
            </w:r>
            <w:r>
              <w:rPr>
                <w:rFonts w:hint="eastAsia" w:ascii="宋体" w:hAnsi="宋体" w:eastAsia="宋体" w:cs="宋体"/>
                <w:b/>
                <w:bCs/>
                <w:color w:val="auto"/>
                <w:sz w:val="24"/>
                <w:szCs w:val="24"/>
                <w:highlight w:val="none"/>
                <w:lang w:eastAsia="zh-CN"/>
              </w:rPr>
              <w:t>。</w:t>
            </w:r>
          </w:p>
          <w:p w14:paraId="3E5B0062">
            <w:pPr>
              <w:keepNext w:val="0"/>
              <w:keepLines w:val="0"/>
              <w:pageBreakBefore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②类似业绩指</w:t>
            </w:r>
            <w:r>
              <w:rPr>
                <w:rFonts w:hint="eastAsia" w:ascii="宋体" w:hAnsi="宋体" w:eastAsia="宋体" w:cs="宋体"/>
                <w:b/>
                <w:bCs/>
                <w:color w:val="auto"/>
                <w:sz w:val="24"/>
                <w:szCs w:val="24"/>
                <w:highlight w:val="none"/>
                <w:lang w:val="en-US" w:eastAsia="zh-CN"/>
              </w:rPr>
              <w:t>含有本标段核心产品的供</w:t>
            </w:r>
            <w:r>
              <w:rPr>
                <w:rFonts w:hint="eastAsia" w:ascii="宋体" w:hAnsi="宋体" w:eastAsia="宋体" w:cs="宋体"/>
                <w:b/>
                <w:bCs/>
                <w:color w:val="auto"/>
                <w:sz w:val="24"/>
                <w:szCs w:val="24"/>
                <w:highlight w:val="none"/>
              </w:rPr>
              <w:t>货业绩，金额不限；</w:t>
            </w:r>
          </w:p>
          <w:p w14:paraId="29490408">
            <w:pPr>
              <w:keepNext w:val="0"/>
              <w:keepLines w:val="0"/>
              <w:pageBreakBefore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③业绩证明材料</w:t>
            </w:r>
            <w:r>
              <w:rPr>
                <w:rFonts w:hint="eastAsia" w:ascii="宋体" w:hAnsi="宋体" w:cs="宋体"/>
                <w:b/>
                <w:bCs/>
                <w:color w:val="auto"/>
                <w:sz w:val="24"/>
                <w:szCs w:val="24"/>
                <w:highlight w:val="none"/>
                <w:lang w:val="en-US" w:eastAsia="zh-CN"/>
              </w:rPr>
              <w:t>可</w:t>
            </w:r>
            <w:r>
              <w:rPr>
                <w:rFonts w:hint="eastAsia" w:ascii="宋体" w:hAnsi="宋体" w:eastAsia="宋体" w:cs="宋体"/>
                <w:b/>
                <w:bCs/>
                <w:color w:val="auto"/>
                <w:sz w:val="24"/>
                <w:szCs w:val="24"/>
                <w:highlight w:val="none"/>
              </w:rPr>
              <w:t>为中标</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成交）</w:t>
            </w:r>
            <w:r>
              <w:rPr>
                <w:rFonts w:hint="eastAsia" w:ascii="宋体" w:hAnsi="宋体" w:eastAsia="宋体" w:cs="宋体"/>
                <w:b/>
                <w:bCs/>
                <w:color w:val="auto"/>
                <w:sz w:val="24"/>
                <w:szCs w:val="24"/>
                <w:highlight w:val="none"/>
              </w:rPr>
              <w:t>通知书或合同</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合同首页、关键信息页、标的及金额所在页及合同签字盖章页</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原件扫描件</w:t>
            </w:r>
            <w:r>
              <w:rPr>
                <w:rFonts w:hint="eastAsia" w:ascii="宋体" w:hAnsi="宋体" w:eastAsia="宋体" w:cs="宋体"/>
                <w:b/>
                <w:bCs/>
                <w:color w:val="auto"/>
                <w:sz w:val="24"/>
                <w:szCs w:val="24"/>
                <w:highlight w:val="none"/>
                <w:lang w:eastAsia="zh-CN"/>
              </w:rPr>
              <w:t>。</w:t>
            </w:r>
          </w:p>
          <w:p w14:paraId="2566FCA4">
            <w:pPr>
              <w:keepNext w:val="0"/>
              <w:keepLines w:val="0"/>
              <w:pageBreakBefore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④无证明材料或证明材料不齐全、无法体现业绩内容的，不得分。</w:t>
            </w:r>
          </w:p>
        </w:tc>
      </w:tr>
      <w:tr w14:paraId="7C4AE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52" w:type="dxa"/>
            <w:vMerge w:val="continue"/>
            <w:noWrap w:val="0"/>
            <w:vAlign w:val="center"/>
          </w:tcPr>
          <w:p w14:paraId="3A20755A">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val="0"/>
                <w:color w:val="auto"/>
                <w:sz w:val="24"/>
                <w:szCs w:val="24"/>
                <w:highlight w:val="none"/>
              </w:rPr>
            </w:pPr>
          </w:p>
        </w:tc>
        <w:tc>
          <w:tcPr>
            <w:tcW w:w="1282" w:type="dxa"/>
            <w:vMerge w:val="restart"/>
            <w:noWrap w:val="0"/>
            <w:vAlign w:val="center"/>
          </w:tcPr>
          <w:p w14:paraId="1A03499D">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val="0"/>
                <w:color w:val="auto"/>
                <w:sz w:val="24"/>
                <w:szCs w:val="24"/>
                <w:highlight w:val="none"/>
              </w:rPr>
            </w:pPr>
          </w:p>
        </w:tc>
        <w:tc>
          <w:tcPr>
            <w:tcW w:w="1872" w:type="dxa"/>
            <w:noWrap w:val="0"/>
            <w:vAlign w:val="center"/>
          </w:tcPr>
          <w:p w14:paraId="4E074A04">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节</w:t>
            </w:r>
            <w:r>
              <w:rPr>
                <w:rFonts w:hint="eastAsia" w:ascii="宋体" w:hAnsi="宋体" w:eastAsia="宋体" w:cs="宋体"/>
                <w:color w:val="auto"/>
                <w:sz w:val="24"/>
                <w:szCs w:val="24"/>
                <w:highlight w:val="none"/>
              </w:rPr>
              <w:t>能产品</w:t>
            </w:r>
          </w:p>
          <w:p w14:paraId="214F3B60">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（满分</w:t>
            </w:r>
            <w:r>
              <w:rPr>
                <w:rFonts w:hint="eastAsia" w:ascii="宋体" w:hAnsi="宋体" w:cs="宋体"/>
                <w:color w:val="auto"/>
                <w:sz w:val="24"/>
                <w:szCs w:val="24"/>
                <w:highlight w:val="none"/>
                <w:lang w:val="en-US" w:eastAsia="zh-CN"/>
              </w:rPr>
              <w:t>0.2</w:t>
            </w:r>
            <w:r>
              <w:rPr>
                <w:rFonts w:hint="eastAsia" w:ascii="宋体" w:hAnsi="宋体" w:eastAsia="宋体" w:cs="宋体"/>
                <w:color w:val="auto"/>
                <w:sz w:val="24"/>
                <w:szCs w:val="24"/>
                <w:highlight w:val="none"/>
              </w:rPr>
              <w:t>分）</w:t>
            </w:r>
          </w:p>
        </w:tc>
        <w:tc>
          <w:tcPr>
            <w:tcW w:w="5534" w:type="dxa"/>
            <w:noWrap w:val="0"/>
            <w:vAlign w:val="center"/>
          </w:tcPr>
          <w:p w14:paraId="2D0C0648">
            <w:pPr>
              <w:keepNext w:val="0"/>
              <w:keepLines w:val="0"/>
              <w:pageBreakBefore w:val="0"/>
              <w:kinsoku/>
              <w:wordWrap/>
              <w:overflowPunct/>
              <w:topLinePunct w:val="0"/>
              <w:autoSpaceDE/>
              <w:autoSpaceDN/>
              <w:bidi w:val="0"/>
              <w:spacing w:line="360" w:lineRule="auto"/>
              <w:ind w:left="0" w:leftChars="0" w:right="0" w:rightChars="0" w:firstLine="0" w:firstLineChars="0"/>
              <w:jc w:val="left"/>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zh-TW" w:eastAsia="zh-TW"/>
              </w:rPr>
              <w:t>产品中</w:t>
            </w:r>
            <w:r>
              <w:rPr>
                <w:rFonts w:hint="eastAsia" w:ascii="宋体" w:hAnsi="宋体" w:eastAsia="宋体" w:cs="宋体"/>
                <w:color w:val="auto"/>
                <w:sz w:val="24"/>
                <w:szCs w:val="24"/>
                <w:highlight w:val="none"/>
              </w:rPr>
              <w:t>具有</w:t>
            </w:r>
            <w:r>
              <w:rPr>
                <w:rFonts w:hint="eastAsia" w:ascii="宋体" w:hAnsi="宋体" w:eastAsia="宋体" w:cs="宋体"/>
                <w:color w:val="auto"/>
                <w:sz w:val="24"/>
                <w:szCs w:val="24"/>
                <w:highlight w:val="none"/>
                <w:lang w:val="zh-TW" w:eastAsia="zh-TW"/>
              </w:rPr>
              <w:t>节能产品的</w:t>
            </w:r>
            <w:r>
              <w:rPr>
                <w:rFonts w:hint="eastAsia" w:ascii="宋体" w:hAnsi="宋体" w:eastAsia="宋体" w:cs="宋体"/>
                <w:color w:val="auto"/>
                <w:sz w:val="24"/>
                <w:szCs w:val="24"/>
                <w:highlight w:val="none"/>
              </w:rPr>
              <w:t>得</w:t>
            </w:r>
            <w:r>
              <w:rPr>
                <w:rFonts w:hint="eastAsia" w:ascii="宋体" w:hAnsi="宋体" w:cs="宋体"/>
                <w:color w:val="auto"/>
                <w:sz w:val="24"/>
                <w:szCs w:val="24"/>
                <w:highlight w:val="none"/>
                <w:lang w:val="en-US" w:eastAsia="zh-CN"/>
              </w:rPr>
              <w:t>0.2</w:t>
            </w:r>
            <w:r>
              <w:rPr>
                <w:rFonts w:hint="eastAsia" w:ascii="宋体" w:hAnsi="宋体" w:eastAsia="宋体" w:cs="宋体"/>
                <w:color w:val="auto"/>
                <w:sz w:val="24"/>
                <w:szCs w:val="24"/>
                <w:highlight w:val="none"/>
                <w:lang w:val="zh-TW" w:eastAsia="zh-TW"/>
              </w:rPr>
              <w:t>分</w:t>
            </w:r>
            <w:r>
              <w:rPr>
                <w:rFonts w:hint="eastAsia" w:ascii="宋体" w:hAnsi="宋体" w:eastAsia="宋体" w:cs="宋体"/>
                <w:color w:val="auto"/>
                <w:sz w:val="24"/>
                <w:szCs w:val="24"/>
                <w:highlight w:val="none"/>
                <w:lang w:val="zh-TW" w:eastAsia="zh-CN"/>
              </w:rPr>
              <w:t>，</w:t>
            </w:r>
            <w:r>
              <w:rPr>
                <w:rFonts w:hint="eastAsia" w:ascii="宋体" w:hAnsi="宋体" w:eastAsia="宋体" w:cs="宋体"/>
                <w:color w:val="auto"/>
                <w:sz w:val="24"/>
                <w:szCs w:val="24"/>
                <w:highlight w:val="none"/>
                <w:lang w:val="en-US" w:eastAsia="zh-CN"/>
              </w:rPr>
              <w:t>未提供的</w:t>
            </w:r>
            <w:r>
              <w:rPr>
                <w:rFonts w:hint="eastAsia" w:ascii="宋体" w:hAnsi="宋体" w:eastAsia="宋体" w:cs="宋体"/>
                <w:color w:val="auto"/>
                <w:sz w:val="24"/>
                <w:szCs w:val="24"/>
                <w:highlight w:val="none"/>
                <w:lang w:val="zh-TW" w:eastAsia="zh-TW"/>
              </w:rPr>
              <w:t>不得分。</w:t>
            </w:r>
          </w:p>
          <w:p w14:paraId="5032208B">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备</w:t>
            </w:r>
            <w:r>
              <w:rPr>
                <w:rFonts w:hint="eastAsia" w:ascii="宋体" w:hAnsi="宋体" w:eastAsia="宋体" w:cs="宋体"/>
                <w:b/>
                <w:bCs/>
                <w:color w:val="auto"/>
                <w:sz w:val="24"/>
                <w:szCs w:val="24"/>
                <w:highlight w:val="none"/>
                <w:lang w:val="zh-TW" w:eastAsia="zh-TW"/>
              </w:rPr>
              <w:t>注：</w:t>
            </w:r>
            <w:r>
              <w:rPr>
                <w:rFonts w:hint="eastAsia" w:ascii="宋体" w:hAnsi="宋体" w:eastAsia="宋体" w:cs="宋体"/>
                <w:b/>
                <w:bCs/>
                <w:color w:val="auto"/>
                <w:sz w:val="24"/>
                <w:szCs w:val="24"/>
                <w:highlight w:val="none"/>
              </w:rPr>
              <w:t>投标产品属于优先采购范围内的节能产品的，提供国家确定的认证机构出具的、处于有效期之内的节能产品认证证书（扫描件加盖电子签章）</w:t>
            </w:r>
            <w:r>
              <w:rPr>
                <w:rFonts w:hint="eastAsia" w:ascii="宋体" w:hAnsi="宋体" w:eastAsia="宋体" w:cs="宋体"/>
                <w:color w:val="auto"/>
                <w:sz w:val="24"/>
                <w:szCs w:val="24"/>
                <w:highlight w:val="none"/>
              </w:rPr>
              <w:t>。</w:t>
            </w:r>
          </w:p>
        </w:tc>
      </w:tr>
      <w:tr w14:paraId="09B28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52" w:type="dxa"/>
            <w:vMerge w:val="continue"/>
            <w:noWrap w:val="0"/>
            <w:vAlign w:val="center"/>
          </w:tcPr>
          <w:p w14:paraId="038FFAEE">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val="0"/>
                <w:color w:val="auto"/>
                <w:sz w:val="24"/>
                <w:szCs w:val="24"/>
                <w:highlight w:val="none"/>
              </w:rPr>
            </w:pPr>
          </w:p>
        </w:tc>
        <w:tc>
          <w:tcPr>
            <w:tcW w:w="1282" w:type="dxa"/>
            <w:vMerge w:val="continue"/>
            <w:noWrap w:val="0"/>
            <w:vAlign w:val="center"/>
          </w:tcPr>
          <w:p w14:paraId="767FA477">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val="0"/>
                <w:color w:val="auto"/>
                <w:sz w:val="24"/>
                <w:szCs w:val="24"/>
                <w:highlight w:val="none"/>
              </w:rPr>
            </w:pPr>
          </w:p>
        </w:tc>
        <w:tc>
          <w:tcPr>
            <w:tcW w:w="1872" w:type="dxa"/>
            <w:noWrap w:val="0"/>
            <w:vAlign w:val="center"/>
          </w:tcPr>
          <w:p w14:paraId="3CD46630">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环境标志产品（满分</w:t>
            </w:r>
            <w:r>
              <w:rPr>
                <w:rFonts w:hint="eastAsia" w:ascii="宋体" w:hAnsi="宋体" w:cs="宋体"/>
                <w:color w:val="auto"/>
                <w:sz w:val="24"/>
                <w:szCs w:val="24"/>
                <w:highlight w:val="none"/>
                <w:lang w:val="en-US" w:eastAsia="zh-CN"/>
              </w:rPr>
              <w:t>0.2</w:t>
            </w:r>
            <w:r>
              <w:rPr>
                <w:rFonts w:hint="eastAsia" w:ascii="宋体" w:hAnsi="宋体" w:eastAsia="宋体" w:cs="宋体"/>
                <w:color w:val="auto"/>
                <w:sz w:val="24"/>
                <w:szCs w:val="24"/>
                <w:highlight w:val="none"/>
              </w:rPr>
              <w:t>分）</w:t>
            </w:r>
          </w:p>
        </w:tc>
        <w:tc>
          <w:tcPr>
            <w:tcW w:w="5534" w:type="dxa"/>
            <w:noWrap w:val="0"/>
            <w:vAlign w:val="center"/>
          </w:tcPr>
          <w:p w14:paraId="7AC417B0">
            <w:pPr>
              <w:keepNext w:val="0"/>
              <w:keepLines w:val="0"/>
              <w:pageBreakBefore w:val="0"/>
              <w:kinsoku/>
              <w:wordWrap/>
              <w:overflowPunct/>
              <w:topLinePunct w:val="0"/>
              <w:autoSpaceDE/>
              <w:autoSpaceDN/>
              <w:bidi w:val="0"/>
              <w:spacing w:line="360" w:lineRule="auto"/>
              <w:ind w:left="0" w:leftChars="0" w:right="0" w:rightChars="0" w:firstLine="0" w:firstLineChars="0"/>
              <w:jc w:val="left"/>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zh-TW" w:eastAsia="zh-TW"/>
              </w:rPr>
              <w:t>产品中</w:t>
            </w:r>
            <w:r>
              <w:rPr>
                <w:rFonts w:hint="eastAsia" w:ascii="宋体" w:hAnsi="宋体" w:eastAsia="宋体" w:cs="宋体"/>
                <w:color w:val="auto"/>
                <w:sz w:val="24"/>
                <w:szCs w:val="24"/>
                <w:highlight w:val="none"/>
              </w:rPr>
              <w:t>具有</w:t>
            </w:r>
            <w:r>
              <w:rPr>
                <w:rFonts w:hint="eastAsia" w:ascii="宋体" w:hAnsi="宋体" w:eastAsia="宋体" w:cs="宋体"/>
                <w:color w:val="auto"/>
                <w:sz w:val="24"/>
                <w:szCs w:val="24"/>
                <w:highlight w:val="none"/>
                <w:lang w:val="zh-TW" w:eastAsia="zh-TW"/>
              </w:rPr>
              <w:t>环境标志产品的</w:t>
            </w:r>
            <w:r>
              <w:rPr>
                <w:rFonts w:hint="eastAsia" w:ascii="宋体" w:hAnsi="宋体" w:eastAsia="宋体" w:cs="宋体"/>
                <w:color w:val="auto"/>
                <w:sz w:val="24"/>
                <w:szCs w:val="24"/>
                <w:highlight w:val="none"/>
              </w:rPr>
              <w:t>得</w:t>
            </w:r>
            <w:r>
              <w:rPr>
                <w:rFonts w:hint="eastAsia" w:ascii="宋体" w:hAnsi="宋体" w:cs="宋体"/>
                <w:color w:val="auto"/>
                <w:sz w:val="24"/>
                <w:szCs w:val="24"/>
                <w:highlight w:val="none"/>
                <w:lang w:val="en-US" w:eastAsia="zh-CN"/>
              </w:rPr>
              <w:t>0.2</w:t>
            </w:r>
            <w:r>
              <w:rPr>
                <w:rFonts w:hint="eastAsia" w:ascii="宋体" w:hAnsi="宋体" w:eastAsia="宋体" w:cs="宋体"/>
                <w:color w:val="auto"/>
                <w:sz w:val="24"/>
                <w:szCs w:val="24"/>
                <w:highlight w:val="none"/>
                <w:lang w:val="zh-TW" w:eastAsia="zh-TW"/>
              </w:rPr>
              <w:t>分</w:t>
            </w:r>
            <w:r>
              <w:rPr>
                <w:rFonts w:hint="eastAsia" w:ascii="宋体" w:hAnsi="宋体" w:eastAsia="宋体" w:cs="宋体"/>
                <w:color w:val="auto"/>
                <w:sz w:val="24"/>
                <w:szCs w:val="24"/>
                <w:highlight w:val="none"/>
                <w:lang w:val="zh-TW" w:eastAsia="zh-CN"/>
              </w:rPr>
              <w:t>，</w:t>
            </w:r>
            <w:r>
              <w:rPr>
                <w:rFonts w:hint="eastAsia" w:ascii="宋体" w:hAnsi="宋体" w:eastAsia="宋体" w:cs="宋体"/>
                <w:color w:val="auto"/>
                <w:sz w:val="24"/>
                <w:szCs w:val="24"/>
                <w:highlight w:val="none"/>
                <w:lang w:val="en-US" w:eastAsia="zh-CN"/>
              </w:rPr>
              <w:t>未提供的</w:t>
            </w:r>
            <w:r>
              <w:rPr>
                <w:rFonts w:hint="eastAsia" w:ascii="宋体" w:hAnsi="宋体" w:eastAsia="宋体" w:cs="宋体"/>
                <w:color w:val="auto"/>
                <w:sz w:val="24"/>
                <w:szCs w:val="24"/>
                <w:highlight w:val="none"/>
                <w:lang w:val="zh-TW" w:eastAsia="zh-TW"/>
              </w:rPr>
              <w:t>不得分。</w:t>
            </w:r>
          </w:p>
          <w:p w14:paraId="060D770B">
            <w:pPr>
              <w:keepNext w:val="0"/>
              <w:keepLines w:val="0"/>
              <w:pageBreakBefore w:val="0"/>
              <w:kinsoku/>
              <w:wordWrap/>
              <w:overflowPunct/>
              <w:topLinePunct w:val="0"/>
              <w:autoSpaceDE/>
              <w:autoSpaceDN/>
              <w:bidi w:val="0"/>
              <w:spacing w:line="360"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备</w:t>
            </w:r>
            <w:r>
              <w:rPr>
                <w:rFonts w:hint="eastAsia" w:ascii="宋体" w:hAnsi="宋体" w:eastAsia="宋体" w:cs="宋体"/>
                <w:b/>
                <w:bCs/>
                <w:color w:val="auto"/>
                <w:sz w:val="24"/>
                <w:szCs w:val="24"/>
                <w:highlight w:val="none"/>
                <w:lang w:val="zh-TW" w:eastAsia="zh-TW"/>
              </w:rPr>
              <w:t>注：</w:t>
            </w:r>
            <w:r>
              <w:rPr>
                <w:rFonts w:hint="eastAsia" w:ascii="宋体" w:hAnsi="宋体" w:eastAsia="宋体" w:cs="宋体"/>
                <w:b/>
                <w:bCs/>
                <w:color w:val="auto"/>
                <w:sz w:val="24"/>
                <w:szCs w:val="24"/>
                <w:highlight w:val="none"/>
              </w:rPr>
              <w:t>投标产品属于优先采购范围内的环境标志产品的，提供国家确定的认证机构出具的、处于有效期之内的环境标志产品认证证书（扫描件加盖电子签章）。</w:t>
            </w:r>
          </w:p>
        </w:tc>
      </w:tr>
    </w:tbl>
    <w:p w14:paraId="43D8EDDF">
      <w:pPr>
        <w:pageBreakBefore w:val="0"/>
        <w:kinsoku/>
        <w:overflowPunct/>
        <w:bidi w:val="0"/>
        <w:spacing w:line="360" w:lineRule="auto"/>
        <w:jc w:val="center"/>
        <w:rPr>
          <w:rFonts w:hint="eastAsia" w:ascii="宋体" w:hAnsi="宋体" w:eastAsia="宋体" w:cs="宋体"/>
          <w:b/>
          <w:bCs/>
          <w:color w:val="auto"/>
          <w:sz w:val="28"/>
          <w:szCs w:val="28"/>
          <w:highlight w:val="none"/>
        </w:rPr>
      </w:pPr>
    </w:p>
    <w:p w14:paraId="3D1E2E0B">
      <w:pPr>
        <w:pageBreakBefore w:val="0"/>
        <w:kinsoku/>
        <w:overflowPunct/>
        <w:bidi w:val="0"/>
        <w:spacing w:line="36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评标方法</w:t>
      </w:r>
      <w:r>
        <w:rPr>
          <w:rFonts w:hint="eastAsia" w:ascii="宋体" w:hAnsi="宋体" w:eastAsia="宋体" w:cs="宋体"/>
          <w:b/>
          <w:bCs/>
          <w:color w:val="auto"/>
          <w:sz w:val="28"/>
          <w:szCs w:val="28"/>
          <w:highlight w:val="none"/>
          <w:lang w:val="en-US" w:eastAsia="zh-CN"/>
        </w:rPr>
        <w:t>及标准</w:t>
      </w:r>
    </w:p>
    <w:p w14:paraId="6CFC7A81">
      <w:pPr>
        <w:keepNext w:val="0"/>
        <w:keepLines w:val="0"/>
        <w:pageBreakBefore w:val="0"/>
        <w:widowControl w:val="0"/>
        <w:numPr>
          <w:ilvl w:val="0"/>
          <w:numId w:val="0"/>
        </w:numPr>
        <w:kinsoku/>
        <w:wordWrap/>
        <w:overflowPunct/>
        <w:topLinePunct w:val="0"/>
        <w:autoSpaceDE/>
        <w:autoSpaceDN/>
        <w:bidi w:val="0"/>
        <w:snapToGrid/>
        <w:spacing w:line="360" w:lineRule="auto"/>
        <w:ind w:right="0" w:rightChars="0"/>
        <w:jc w:val="both"/>
        <w:textAlignment w:val="auto"/>
        <w:outlineLvl w:val="9"/>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1.评标方法</w:t>
      </w:r>
    </w:p>
    <w:p w14:paraId="592F8F88">
      <w:pPr>
        <w:pStyle w:val="13"/>
        <w:keepNext w:val="0"/>
        <w:keepLines w:val="0"/>
        <w:pageBreakBefore w:val="0"/>
        <w:widowControl w:val="0"/>
        <w:tabs>
          <w:tab w:val="left" w:pos="540"/>
        </w:tabs>
        <w:kinsoku/>
        <w:wordWrap/>
        <w:overflowPunct/>
        <w:topLinePunct w:val="0"/>
        <w:autoSpaceDE/>
        <w:autoSpaceDN/>
        <w:bidi w:val="0"/>
        <w:adjustRightInd w:val="0"/>
        <w:snapToGrid/>
        <w:spacing w:after="0" w:line="360" w:lineRule="auto"/>
        <w:ind w:left="0" w:leftChars="0" w:right="0" w:rightChars="0" w:firstLine="482"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1.1本次评标采用综合评分法。</w:t>
      </w:r>
      <w:r>
        <w:rPr>
          <w:rFonts w:hint="eastAsia" w:ascii="宋体" w:hAnsi="宋体" w:eastAsia="宋体" w:cs="宋体"/>
          <w:color w:val="auto"/>
          <w:sz w:val="24"/>
          <w:highlight w:val="none"/>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6A55B9E0">
      <w:pPr>
        <w:pStyle w:val="13"/>
        <w:keepNext w:val="0"/>
        <w:keepLines w:val="0"/>
        <w:pageBreakBefore w:val="0"/>
        <w:widowControl w:val="0"/>
        <w:tabs>
          <w:tab w:val="left" w:pos="540"/>
        </w:tabs>
        <w:kinsoku/>
        <w:wordWrap/>
        <w:overflowPunct/>
        <w:topLinePunct w:val="0"/>
        <w:autoSpaceDE/>
        <w:autoSpaceDN/>
        <w:bidi w:val="0"/>
        <w:adjustRightInd w:val="0"/>
        <w:snapToGrid/>
        <w:spacing w:after="0" w:line="360" w:lineRule="auto"/>
        <w:ind w:left="0" w:leftChars="0"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若提供相同品牌产品</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核心产品</w:t>
      </w:r>
      <w:r>
        <w:rPr>
          <w:rFonts w:hint="eastAsia" w:ascii="宋体" w:hAnsi="宋体" w:cs="宋体"/>
          <w:b/>
          <w:bCs/>
          <w:color w:val="auto"/>
          <w:sz w:val="24"/>
          <w:highlight w:val="none"/>
          <w:lang w:eastAsia="zh-CN"/>
        </w:rPr>
        <w:t>）</w:t>
      </w:r>
      <w:r>
        <w:rPr>
          <w:rFonts w:hint="eastAsia" w:ascii="宋体" w:hAnsi="宋体" w:eastAsia="宋体" w:cs="宋体"/>
          <w:b/>
          <w:bCs/>
          <w:color w:val="auto"/>
          <w:sz w:val="24"/>
          <w:highlight w:val="none"/>
        </w:rPr>
        <w:t>的不同投标人参加同一合同项下投标的，根据《政府采购货物和服务招标投标管理办法中华人民共和国财政部令第87号》 第三十一条规定执行：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86C879B">
      <w:pPr>
        <w:pStyle w:val="13"/>
        <w:keepNext w:val="0"/>
        <w:keepLines w:val="0"/>
        <w:pageBreakBefore w:val="0"/>
        <w:widowControl w:val="0"/>
        <w:tabs>
          <w:tab w:val="left" w:pos="540"/>
        </w:tabs>
        <w:kinsoku/>
        <w:wordWrap/>
        <w:overflowPunct/>
        <w:topLinePunct w:val="0"/>
        <w:autoSpaceDE/>
        <w:autoSpaceDN/>
        <w:bidi w:val="0"/>
        <w:adjustRightInd w:val="0"/>
        <w:snapToGrid/>
        <w:spacing w:after="0" w:line="360" w:lineRule="auto"/>
        <w:ind w:left="0" w:leftChars="0" w:right="0" w:rightChars="0" w:firstLine="0" w:firstLineChars="0"/>
        <w:jc w:val="both"/>
        <w:textAlignment w:val="auto"/>
        <w:outlineLvl w:val="9"/>
        <w:rPr>
          <w:rFonts w:hint="eastAsia" w:ascii="宋体" w:hAnsi="宋体" w:eastAsia="宋体" w:cs="宋体"/>
          <w:b/>
          <w:bCs/>
          <w:color w:val="auto"/>
          <w:sz w:val="24"/>
          <w:highlight w:val="none"/>
          <w:lang w:val="en-US" w:eastAsia="zh-CN"/>
        </w:rPr>
      </w:pPr>
      <w:bookmarkStart w:id="128" w:name="_Toc321836409"/>
      <w:r>
        <w:rPr>
          <w:rFonts w:hint="eastAsia" w:ascii="宋体" w:hAnsi="宋体" w:eastAsia="宋体" w:cs="宋体"/>
          <w:b/>
          <w:bCs/>
          <w:color w:val="auto"/>
          <w:sz w:val="24"/>
          <w:highlight w:val="none"/>
          <w:lang w:val="en-US" w:eastAsia="zh-CN"/>
        </w:rPr>
        <w:t>2.评审标准</w:t>
      </w:r>
    </w:p>
    <w:p w14:paraId="6E34B28C">
      <w:pPr>
        <w:pStyle w:val="12"/>
        <w:keepNext w:val="0"/>
        <w:keepLines w:val="0"/>
        <w:pageBreakBefore w:val="0"/>
        <w:widowControl w:val="0"/>
        <w:tabs>
          <w:tab w:val="left" w:pos="2472"/>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2.1资格评审标准：见评标方法前附表；</w:t>
      </w:r>
    </w:p>
    <w:p w14:paraId="78A36491">
      <w:pPr>
        <w:pStyle w:val="12"/>
        <w:keepNext w:val="0"/>
        <w:keepLines w:val="0"/>
        <w:pageBreakBefore w:val="0"/>
        <w:widowControl w:val="0"/>
        <w:tabs>
          <w:tab w:val="left" w:pos="2472"/>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2.2符合性评审标准：见评标方法前附表；</w:t>
      </w:r>
    </w:p>
    <w:p w14:paraId="1E2A6896">
      <w:pPr>
        <w:pStyle w:val="12"/>
        <w:keepNext w:val="0"/>
        <w:keepLines w:val="0"/>
        <w:pageBreakBefore w:val="0"/>
        <w:widowControl w:val="0"/>
        <w:tabs>
          <w:tab w:val="left" w:pos="2472"/>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z w:val="24"/>
          <w:szCs w:val="24"/>
          <w:highlight w:val="none"/>
        </w:rPr>
      </w:pPr>
      <w:bookmarkStart w:id="129" w:name="_Toc321836408"/>
      <w:r>
        <w:rPr>
          <w:rFonts w:hint="eastAsia" w:ascii="宋体" w:hAnsi="宋体" w:eastAsia="宋体" w:cs="宋体"/>
          <w:b w:val="0"/>
          <w:bCs w:val="0"/>
          <w:color w:val="auto"/>
          <w:sz w:val="24"/>
          <w:szCs w:val="24"/>
          <w:highlight w:val="none"/>
        </w:rPr>
        <w:t>2.3 分值构成与评分标准</w:t>
      </w:r>
      <w:bookmarkEnd w:id="129"/>
    </w:p>
    <w:p w14:paraId="789EB840">
      <w:pPr>
        <w:pStyle w:val="12"/>
        <w:keepNext w:val="0"/>
        <w:keepLines w:val="0"/>
        <w:pageBreakBefore w:val="0"/>
        <w:widowControl w:val="0"/>
        <w:tabs>
          <w:tab w:val="left" w:pos="2472"/>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2.3.1 分值构成</w:t>
      </w:r>
    </w:p>
    <w:p w14:paraId="5847DF13">
      <w:pPr>
        <w:pStyle w:val="12"/>
        <w:keepNext w:val="0"/>
        <w:keepLines w:val="0"/>
        <w:pageBreakBefore w:val="0"/>
        <w:widowControl w:val="0"/>
        <w:tabs>
          <w:tab w:val="left" w:pos="2472"/>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（1）投标报价</w:t>
      </w:r>
      <w:r>
        <w:rPr>
          <w:rFonts w:hint="eastAsia" w:ascii="宋体" w:hAnsi="宋体" w:eastAsia="宋体" w:cs="宋体"/>
          <w:color w:val="auto"/>
          <w:sz w:val="24"/>
          <w:szCs w:val="24"/>
          <w:highlight w:val="none"/>
          <w:lang w:val="en-US" w:eastAsia="zh-CN"/>
        </w:rPr>
        <w:t>部分</w:t>
      </w:r>
      <w:r>
        <w:rPr>
          <w:rFonts w:hint="eastAsia" w:ascii="宋体" w:hAnsi="宋体" w:eastAsia="宋体" w:cs="宋体"/>
          <w:color w:val="auto"/>
          <w:sz w:val="24"/>
          <w:szCs w:val="24"/>
          <w:highlight w:val="none"/>
        </w:rPr>
        <w:t>：见评标方法前附表；</w:t>
      </w:r>
    </w:p>
    <w:p w14:paraId="2BE0E8ED">
      <w:pPr>
        <w:pStyle w:val="12"/>
        <w:keepNext w:val="0"/>
        <w:keepLines w:val="0"/>
        <w:pageBreakBefore w:val="0"/>
        <w:widowControl w:val="0"/>
        <w:tabs>
          <w:tab w:val="left" w:pos="2472"/>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（2）技术</w:t>
      </w:r>
      <w:r>
        <w:rPr>
          <w:rFonts w:hint="eastAsia" w:ascii="宋体" w:hAnsi="宋体" w:eastAsia="宋体" w:cs="宋体"/>
          <w:color w:val="auto"/>
          <w:sz w:val="24"/>
          <w:szCs w:val="24"/>
          <w:highlight w:val="none"/>
          <w:lang w:val="en-US" w:eastAsia="zh-CN"/>
        </w:rPr>
        <w:t>和商务</w:t>
      </w:r>
      <w:r>
        <w:rPr>
          <w:rFonts w:hint="eastAsia" w:ascii="宋体" w:hAnsi="宋体" w:eastAsia="宋体" w:cs="宋体"/>
          <w:color w:val="auto"/>
          <w:sz w:val="24"/>
          <w:szCs w:val="24"/>
          <w:highlight w:val="none"/>
        </w:rPr>
        <w:t>部分：见评标方法前附表；</w:t>
      </w:r>
    </w:p>
    <w:p w14:paraId="7E22F53D">
      <w:pPr>
        <w:pStyle w:val="12"/>
        <w:keepNext w:val="0"/>
        <w:keepLines w:val="0"/>
        <w:pageBreakBefore w:val="0"/>
        <w:widowControl w:val="0"/>
        <w:tabs>
          <w:tab w:val="left" w:pos="2472"/>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2.3.2评分标准</w:t>
      </w:r>
    </w:p>
    <w:p w14:paraId="1414E2DF">
      <w:pPr>
        <w:pStyle w:val="12"/>
        <w:keepNext w:val="0"/>
        <w:keepLines w:val="0"/>
        <w:pageBreakBefore w:val="0"/>
        <w:widowControl w:val="0"/>
        <w:tabs>
          <w:tab w:val="left" w:pos="2472"/>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按招标文件中规定的评标方法和标准，对符合性评审</w:t>
      </w: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的投标文件进行商务和技术评估，综合比较与评价。</w:t>
      </w:r>
    </w:p>
    <w:p w14:paraId="79E10D2E">
      <w:pPr>
        <w:pStyle w:val="12"/>
        <w:keepNext w:val="0"/>
        <w:keepLines w:val="0"/>
        <w:pageBreakBefore w:val="0"/>
        <w:widowControl w:val="0"/>
        <w:tabs>
          <w:tab w:val="left" w:pos="2472"/>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（1）投标报价</w:t>
      </w:r>
      <w:r>
        <w:rPr>
          <w:rFonts w:hint="eastAsia" w:ascii="宋体" w:hAnsi="宋体" w:eastAsia="宋体" w:cs="宋体"/>
          <w:color w:val="auto"/>
          <w:sz w:val="24"/>
          <w:szCs w:val="24"/>
          <w:highlight w:val="none"/>
          <w:lang w:val="en-US" w:eastAsia="zh-CN"/>
        </w:rPr>
        <w:t>部分</w:t>
      </w:r>
      <w:r>
        <w:rPr>
          <w:rFonts w:hint="eastAsia" w:ascii="宋体" w:hAnsi="宋体" w:eastAsia="宋体" w:cs="宋体"/>
          <w:color w:val="auto"/>
          <w:sz w:val="24"/>
          <w:szCs w:val="24"/>
          <w:highlight w:val="none"/>
        </w:rPr>
        <w:t>评分标准：见评标方法前附表；</w:t>
      </w:r>
    </w:p>
    <w:p w14:paraId="1DCE382C">
      <w:pPr>
        <w:pStyle w:val="12"/>
        <w:keepNext w:val="0"/>
        <w:keepLines w:val="0"/>
        <w:pageBreakBefore w:val="0"/>
        <w:widowControl w:val="0"/>
        <w:tabs>
          <w:tab w:val="left" w:pos="2472"/>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（2）技术</w:t>
      </w:r>
      <w:r>
        <w:rPr>
          <w:rFonts w:hint="eastAsia" w:ascii="宋体" w:hAnsi="宋体" w:eastAsia="宋体" w:cs="宋体"/>
          <w:color w:val="auto"/>
          <w:sz w:val="24"/>
          <w:szCs w:val="24"/>
          <w:highlight w:val="none"/>
          <w:lang w:val="en-US" w:eastAsia="zh-CN"/>
        </w:rPr>
        <w:t>和商务</w:t>
      </w:r>
      <w:r>
        <w:rPr>
          <w:rFonts w:hint="eastAsia" w:ascii="宋体" w:hAnsi="宋体" w:eastAsia="宋体" w:cs="宋体"/>
          <w:color w:val="auto"/>
          <w:sz w:val="24"/>
          <w:szCs w:val="24"/>
          <w:highlight w:val="none"/>
        </w:rPr>
        <w:t>部分评分标准：见评标方法前附表；</w:t>
      </w:r>
    </w:p>
    <w:bookmarkEnd w:id="128"/>
    <w:p w14:paraId="136A388D">
      <w:pPr>
        <w:pStyle w:val="4"/>
        <w:pageBreakBefore w:val="0"/>
        <w:tabs>
          <w:tab w:val="left" w:pos="1588"/>
        </w:tabs>
        <w:kinsoku/>
        <w:overflowPunct/>
        <w:bidi w:val="0"/>
        <w:spacing w:before="0" w:line="360" w:lineRule="auto"/>
        <w:ind w:left="0" w:firstLine="0"/>
        <w:rPr>
          <w:rFonts w:hint="eastAsia" w:ascii="宋体" w:hAnsi="宋体" w:eastAsia="宋体" w:cs="宋体"/>
          <w:color w:val="auto"/>
          <w:sz w:val="24"/>
          <w:szCs w:val="24"/>
          <w:highlight w:val="none"/>
        </w:rPr>
      </w:pPr>
      <w:bookmarkStart w:id="130" w:name="_Toc20762"/>
      <w:bookmarkStart w:id="131" w:name="_Toc31737"/>
      <w:bookmarkStart w:id="132" w:name="_Toc589"/>
      <w:bookmarkStart w:id="133" w:name="_Toc8629"/>
      <w:bookmarkStart w:id="134" w:name="_Toc321836411"/>
      <w:r>
        <w:rPr>
          <w:rFonts w:hint="eastAsia" w:ascii="宋体" w:hAnsi="宋体" w:eastAsia="宋体" w:cs="宋体"/>
          <w:color w:val="auto"/>
          <w:sz w:val="24"/>
          <w:szCs w:val="24"/>
          <w:highlight w:val="none"/>
        </w:rPr>
        <w:t>3. 评标程序</w:t>
      </w:r>
      <w:bookmarkEnd w:id="130"/>
      <w:bookmarkEnd w:id="131"/>
      <w:bookmarkEnd w:id="132"/>
      <w:bookmarkEnd w:id="133"/>
    </w:p>
    <w:p w14:paraId="15B3C8E0">
      <w:pPr>
        <w:pStyle w:val="4"/>
        <w:keepNext w:val="0"/>
        <w:keepLines w:val="0"/>
        <w:pageBreakBefore w:val="0"/>
        <w:widowControl w:val="0"/>
        <w:tabs>
          <w:tab w:val="left" w:pos="1588"/>
        </w:tabs>
        <w:kinsoku/>
        <w:wordWrap/>
        <w:overflowPunct/>
        <w:topLinePunct w:val="0"/>
        <w:autoSpaceDE/>
        <w:autoSpaceDN/>
        <w:bidi w:val="0"/>
        <w:snapToGrid/>
        <w:spacing w:before="0" w:line="360" w:lineRule="auto"/>
        <w:ind w:left="0" w:leftChars="0" w:right="0" w:rightChars="0" w:firstLine="482" w:firstLineChars="200"/>
        <w:jc w:val="both"/>
        <w:rPr>
          <w:rFonts w:hint="eastAsia" w:ascii="宋体" w:hAnsi="宋体" w:eastAsia="宋体" w:cs="宋体"/>
          <w:color w:val="auto"/>
          <w:sz w:val="24"/>
          <w:szCs w:val="24"/>
          <w:highlight w:val="none"/>
        </w:rPr>
      </w:pPr>
      <w:bookmarkStart w:id="135" w:name="_Toc21781"/>
      <w:bookmarkStart w:id="136" w:name="_Toc23515"/>
      <w:bookmarkStart w:id="137" w:name="_Toc18079"/>
      <w:bookmarkStart w:id="138" w:name="_Toc25415"/>
      <w:bookmarkStart w:id="139" w:name="_Toc321836410"/>
      <w:r>
        <w:rPr>
          <w:rFonts w:hint="eastAsia" w:ascii="宋体" w:hAnsi="宋体" w:eastAsia="宋体" w:cs="宋体"/>
          <w:color w:val="auto"/>
          <w:sz w:val="24"/>
          <w:szCs w:val="24"/>
          <w:highlight w:val="none"/>
        </w:rPr>
        <w:t>3.1 资格评审</w:t>
      </w:r>
      <w:bookmarkEnd w:id="135"/>
      <w:bookmarkEnd w:id="136"/>
      <w:bookmarkEnd w:id="137"/>
      <w:bookmarkEnd w:id="138"/>
      <w:bookmarkEnd w:id="139"/>
    </w:p>
    <w:p w14:paraId="45C26724">
      <w:pPr>
        <w:pStyle w:val="12"/>
        <w:keepNext w:val="0"/>
        <w:keepLines w:val="0"/>
        <w:pageBreakBefore w:val="0"/>
        <w:widowControl w:val="0"/>
        <w:tabs>
          <w:tab w:val="left" w:pos="2472"/>
        </w:tabs>
        <w:kinsoku/>
        <w:wordWrap/>
        <w:overflowPunct/>
        <w:topLinePunct w:val="0"/>
        <w:autoSpaceDE/>
        <w:autoSpaceDN/>
        <w:bidi w:val="0"/>
        <w:snapToGrid/>
        <w:spacing w:line="360" w:lineRule="auto"/>
        <w:ind w:left="0" w:leftChars="0" w:right="0"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3.1.1由采购人或采购代理机构依据资格审查标准对实质性响应的投标人进行资格审查（资格性审查条件详见评标方法前附表），并向评标委员会提交资格审查报告。</w:t>
      </w:r>
    </w:p>
    <w:p w14:paraId="4D7A4F82">
      <w:pPr>
        <w:pStyle w:val="4"/>
        <w:keepNext w:val="0"/>
        <w:keepLines w:val="0"/>
        <w:pageBreakBefore w:val="0"/>
        <w:widowControl w:val="0"/>
        <w:tabs>
          <w:tab w:val="left" w:pos="1588"/>
        </w:tabs>
        <w:kinsoku/>
        <w:wordWrap/>
        <w:overflowPunct/>
        <w:topLinePunct w:val="0"/>
        <w:autoSpaceDE/>
        <w:autoSpaceDN/>
        <w:bidi w:val="0"/>
        <w:snapToGrid/>
        <w:spacing w:before="0" w:line="360" w:lineRule="auto"/>
        <w:ind w:left="0" w:leftChars="0" w:right="0" w:rightChars="0" w:firstLine="482" w:firstLineChars="200"/>
        <w:jc w:val="both"/>
        <w:rPr>
          <w:rFonts w:hint="eastAsia" w:ascii="宋体" w:hAnsi="宋体" w:eastAsia="宋体" w:cs="宋体"/>
          <w:color w:val="auto"/>
          <w:sz w:val="24"/>
          <w:szCs w:val="24"/>
          <w:highlight w:val="none"/>
        </w:rPr>
      </w:pPr>
      <w:bookmarkStart w:id="140" w:name="_Toc9016"/>
      <w:bookmarkStart w:id="141" w:name="_Toc5924"/>
      <w:bookmarkStart w:id="142" w:name="_Toc4808"/>
      <w:bookmarkStart w:id="143" w:name="_Toc15218"/>
      <w:r>
        <w:rPr>
          <w:rFonts w:hint="eastAsia" w:ascii="宋体" w:hAnsi="宋体" w:eastAsia="宋体" w:cs="宋体"/>
          <w:color w:val="auto"/>
          <w:sz w:val="24"/>
          <w:szCs w:val="24"/>
          <w:highlight w:val="none"/>
        </w:rPr>
        <w:t>3.2 符合性评审</w:t>
      </w:r>
      <w:bookmarkEnd w:id="140"/>
      <w:bookmarkEnd w:id="141"/>
      <w:bookmarkEnd w:id="142"/>
      <w:bookmarkEnd w:id="143"/>
    </w:p>
    <w:p w14:paraId="1A2E17BC">
      <w:pPr>
        <w:pStyle w:val="4"/>
        <w:keepNext w:val="0"/>
        <w:keepLines w:val="0"/>
        <w:pageBreakBefore w:val="0"/>
        <w:widowControl w:val="0"/>
        <w:tabs>
          <w:tab w:val="left" w:pos="1588"/>
        </w:tabs>
        <w:kinsoku/>
        <w:wordWrap/>
        <w:overflowPunct/>
        <w:topLinePunct w:val="0"/>
        <w:autoSpaceDE/>
        <w:autoSpaceDN/>
        <w:bidi w:val="0"/>
        <w:snapToGrid/>
        <w:spacing w:before="0" w:line="360" w:lineRule="auto"/>
        <w:ind w:left="0" w:leftChars="0" w:right="0" w:rightChars="0" w:firstLine="480" w:firstLineChars="200"/>
        <w:jc w:val="both"/>
        <w:rPr>
          <w:rFonts w:hint="eastAsia" w:ascii="宋体" w:hAnsi="宋体" w:eastAsia="宋体" w:cs="宋体"/>
          <w:b w:val="0"/>
          <w:bCs/>
          <w:color w:val="auto"/>
          <w:sz w:val="24"/>
          <w:szCs w:val="24"/>
          <w:highlight w:val="none"/>
        </w:rPr>
      </w:pPr>
      <w:bookmarkStart w:id="144" w:name="_Toc26852"/>
      <w:bookmarkStart w:id="145" w:name="_Toc12492"/>
      <w:bookmarkStart w:id="146" w:name="_Toc26590"/>
      <w:bookmarkStart w:id="147" w:name="_Toc2239"/>
      <w:r>
        <w:rPr>
          <w:rFonts w:hint="eastAsia" w:ascii="宋体" w:hAnsi="宋体" w:eastAsia="宋体" w:cs="宋体"/>
          <w:b w:val="0"/>
          <w:bCs/>
          <w:color w:val="auto"/>
          <w:sz w:val="24"/>
          <w:szCs w:val="24"/>
          <w:highlight w:val="none"/>
        </w:rPr>
        <w:t>3.2.1 评标委员会对通过资格审查的投标人进行符合性审查（符合性审查条件详见评标方法前附表）。依据招标文件的规定，从投标文件的有效性、完整性和对招标文件的响应程度进行审查，以确定是否对招标文件的实质性要求做出响应。</w:t>
      </w:r>
      <w:bookmarkEnd w:id="144"/>
      <w:bookmarkEnd w:id="145"/>
      <w:bookmarkEnd w:id="146"/>
      <w:bookmarkEnd w:id="147"/>
    </w:p>
    <w:p w14:paraId="4E4D4C3A">
      <w:pPr>
        <w:pStyle w:val="12"/>
        <w:keepNext w:val="0"/>
        <w:keepLines w:val="0"/>
        <w:pageBreakBefore w:val="0"/>
        <w:widowControl w:val="0"/>
        <w:kinsoku/>
        <w:wordWrap/>
        <w:overflowPunct/>
        <w:topLinePunct w:val="0"/>
        <w:autoSpaceDE/>
        <w:autoSpaceDN/>
        <w:bidi w:val="0"/>
        <w:snapToGrid/>
        <w:spacing w:line="360" w:lineRule="auto"/>
        <w:ind w:left="0" w:leftChars="0" w:right="0" w:rightChars="0" w:firstLine="480" w:firstLineChars="20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3.2.2投标文件计算错误的修正</w:t>
      </w:r>
    </w:p>
    <w:p w14:paraId="0C2690D7">
      <w:pPr>
        <w:pStyle w:val="12"/>
        <w:keepNext w:val="0"/>
        <w:keepLines w:val="0"/>
        <w:pageBreakBefore w:val="0"/>
        <w:widowControl w:val="0"/>
        <w:kinsoku/>
        <w:wordWrap/>
        <w:overflowPunct/>
        <w:topLinePunct w:val="0"/>
        <w:autoSpaceDE/>
        <w:autoSpaceDN/>
        <w:bidi w:val="0"/>
        <w:snapToGrid/>
        <w:spacing w:line="360" w:lineRule="auto"/>
        <w:ind w:left="0" w:leftChars="0" w:right="0" w:rightChars="0"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3.2.2.1 投标文件报价出现前后不一致的，除招标文件另有规定外，按照下列规定修正：</w:t>
      </w:r>
    </w:p>
    <w:p w14:paraId="39CE8D44">
      <w:pPr>
        <w:pStyle w:val="12"/>
        <w:keepNext w:val="0"/>
        <w:keepLines w:val="0"/>
        <w:pageBreakBefore w:val="0"/>
        <w:widowControl w:val="0"/>
        <w:kinsoku/>
        <w:wordWrap/>
        <w:overflowPunct/>
        <w:topLinePunct w:val="0"/>
        <w:autoSpaceDE/>
        <w:autoSpaceDN/>
        <w:bidi w:val="0"/>
        <w:snapToGrid/>
        <w:spacing w:line="360" w:lineRule="auto"/>
        <w:ind w:left="0" w:leftChars="0" w:right="0" w:rightChars="0"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1）投标文件中开标一览表（报价表）内容与投标文件中相应内容不一致的，以开标一览表（报价表）为准；</w:t>
      </w:r>
    </w:p>
    <w:p w14:paraId="3890B694">
      <w:pPr>
        <w:pStyle w:val="12"/>
        <w:keepNext w:val="0"/>
        <w:keepLines w:val="0"/>
        <w:pageBreakBefore w:val="0"/>
        <w:widowControl w:val="0"/>
        <w:kinsoku/>
        <w:wordWrap/>
        <w:overflowPunct/>
        <w:topLinePunct w:val="0"/>
        <w:autoSpaceDE/>
        <w:autoSpaceDN/>
        <w:bidi w:val="0"/>
        <w:snapToGrid/>
        <w:spacing w:line="360" w:lineRule="auto"/>
        <w:ind w:left="0" w:leftChars="0" w:right="0" w:rightChars="0"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2）大写金额和小写金额不一致的，以大写金额为准；</w:t>
      </w:r>
    </w:p>
    <w:p w14:paraId="5EDA8470">
      <w:pPr>
        <w:pStyle w:val="12"/>
        <w:keepNext w:val="0"/>
        <w:keepLines w:val="0"/>
        <w:pageBreakBefore w:val="0"/>
        <w:widowControl w:val="0"/>
        <w:kinsoku/>
        <w:wordWrap/>
        <w:overflowPunct/>
        <w:topLinePunct w:val="0"/>
        <w:autoSpaceDE/>
        <w:autoSpaceDN/>
        <w:bidi w:val="0"/>
        <w:snapToGrid/>
        <w:spacing w:line="360" w:lineRule="auto"/>
        <w:ind w:left="0" w:leftChars="0" w:right="0" w:rightChars="0"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3）单价金额小数点或者百分比有明显错位的，以开标一览表的总价为准，并修改单价；</w:t>
      </w:r>
    </w:p>
    <w:p w14:paraId="5E5B0EC6">
      <w:pPr>
        <w:pStyle w:val="12"/>
        <w:keepNext w:val="0"/>
        <w:keepLines w:val="0"/>
        <w:pageBreakBefore w:val="0"/>
        <w:widowControl w:val="0"/>
        <w:kinsoku/>
        <w:wordWrap/>
        <w:overflowPunct/>
        <w:topLinePunct w:val="0"/>
        <w:autoSpaceDE/>
        <w:autoSpaceDN/>
        <w:bidi w:val="0"/>
        <w:snapToGrid/>
        <w:spacing w:line="360" w:lineRule="auto"/>
        <w:ind w:left="0" w:leftChars="0" w:right="0" w:rightChars="0"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4）总价金额与按单价汇总金额不一致的，以单价金额计算结果为准。</w:t>
      </w:r>
    </w:p>
    <w:p w14:paraId="714CC6AF">
      <w:pPr>
        <w:pStyle w:val="12"/>
        <w:keepNext w:val="0"/>
        <w:keepLines w:val="0"/>
        <w:pageBreakBefore w:val="0"/>
        <w:widowControl w:val="0"/>
        <w:tabs>
          <w:tab w:val="left" w:pos="2472"/>
        </w:tabs>
        <w:kinsoku/>
        <w:wordWrap/>
        <w:overflowPunct/>
        <w:topLinePunct w:val="0"/>
        <w:autoSpaceDE/>
        <w:autoSpaceDN/>
        <w:bidi w:val="0"/>
        <w:snapToGrid/>
        <w:spacing w:line="360" w:lineRule="auto"/>
        <w:ind w:left="0" w:leftChars="0" w:right="0"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上述修正错误的原则及方法调整或修正投标文件的投标报价，同时出现两种以上不一致的，按照前款规定的顺序修正，投标人同意后，调整后的投标报价对投标人起约束作用。如果投标人不接受修正后的报价，则其投标按无效标处理。</w:t>
      </w:r>
    </w:p>
    <w:p w14:paraId="26884654">
      <w:pPr>
        <w:pStyle w:val="4"/>
        <w:pageBreakBefore w:val="0"/>
        <w:tabs>
          <w:tab w:val="left" w:pos="1588"/>
        </w:tabs>
        <w:kinsoku/>
        <w:overflowPunct/>
        <w:bidi w:val="0"/>
        <w:spacing w:before="0" w:line="360" w:lineRule="auto"/>
        <w:ind w:left="0" w:firstLine="0"/>
        <w:rPr>
          <w:rFonts w:hint="eastAsia" w:ascii="宋体" w:hAnsi="宋体" w:eastAsia="宋体" w:cs="宋体"/>
          <w:color w:val="auto"/>
          <w:sz w:val="24"/>
          <w:szCs w:val="24"/>
          <w:highlight w:val="none"/>
        </w:rPr>
      </w:pPr>
      <w:bookmarkStart w:id="148" w:name="_Toc31452"/>
      <w:bookmarkStart w:id="149" w:name="_Toc7843"/>
      <w:bookmarkStart w:id="150" w:name="_Toc3241"/>
      <w:bookmarkStart w:id="151" w:name="_Toc23068"/>
      <w:r>
        <w:rPr>
          <w:rFonts w:hint="eastAsia" w:ascii="宋体" w:hAnsi="宋体" w:eastAsia="宋体" w:cs="宋体"/>
          <w:color w:val="auto"/>
          <w:sz w:val="24"/>
          <w:szCs w:val="24"/>
          <w:highlight w:val="none"/>
        </w:rPr>
        <w:t>3.3详细评审</w:t>
      </w:r>
      <w:bookmarkEnd w:id="134"/>
      <w:bookmarkEnd w:id="148"/>
      <w:bookmarkEnd w:id="149"/>
      <w:bookmarkEnd w:id="150"/>
      <w:bookmarkEnd w:id="151"/>
    </w:p>
    <w:p w14:paraId="237BE1B6">
      <w:pPr>
        <w:pStyle w:val="12"/>
        <w:pageBreakBefore w:val="0"/>
        <w:tabs>
          <w:tab w:val="left" w:pos="2472"/>
        </w:tabs>
        <w:kinsoku/>
        <w:overflowPunct/>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评标委员会按本章规定的量化因素和分值进行打分，并计算出投标人的评标总得分。对投标人的价格分等客观评分项的评分应当一致，对其他需要借助专业知识评判的主观评分项，应当严格按照评分细则公正评分。</w:t>
      </w:r>
    </w:p>
    <w:p w14:paraId="14B2E574">
      <w:pPr>
        <w:pageBreakBefore w:val="0"/>
        <w:kinsoku/>
        <w:overflowPunct/>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3.3.2除投标报价得分外，其余部分得分由评标委员会成员独立评分，</w:t>
      </w:r>
      <w:r>
        <w:rPr>
          <w:rFonts w:hint="eastAsia" w:ascii="宋体" w:hAnsi="宋体" w:eastAsia="宋体" w:cs="宋体"/>
          <w:bCs/>
          <w:color w:val="auto"/>
          <w:sz w:val="24"/>
          <w:highlight w:val="none"/>
        </w:rPr>
        <w:t>投标人各项评分因素得分为该项因素各评委评分的算术平均值（</w:t>
      </w:r>
      <w:r>
        <w:rPr>
          <w:rFonts w:hint="eastAsia" w:ascii="宋体" w:hAnsi="宋体" w:eastAsia="宋体" w:cs="宋体"/>
          <w:b/>
          <w:bCs w:val="0"/>
          <w:color w:val="auto"/>
          <w:sz w:val="24"/>
          <w:highlight w:val="none"/>
        </w:rPr>
        <w:t>保留小数点后</w:t>
      </w:r>
      <w:r>
        <w:rPr>
          <w:rFonts w:hint="eastAsia" w:ascii="宋体" w:hAnsi="宋体" w:eastAsia="宋体" w:cs="宋体"/>
          <w:b/>
          <w:bCs w:val="0"/>
          <w:color w:val="auto"/>
          <w:sz w:val="24"/>
          <w:highlight w:val="none"/>
          <w:lang w:val="en-US" w:eastAsia="zh-CN"/>
        </w:rPr>
        <w:t>一</w:t>
      </w:r>
      <w:r>
        <w:rPr>
          <w:rFonts w:hint="eastAsia" w:ascii="宋体" w:hAnsi="宋体" w:eastAsia="宋体" w:cs="宋体"/>
          <w:b/>
          <w:bCs w:val="0"/>
          <w:color w:val="auto"/>
          <w:sz w:val="24"/>
          <w:highlight w:val="none"/>
        </w:rPr>
        <w:t>位</w:t>
      </w:r>
      <w:r>
        <w:rPr>
          <w:rFonts w:hint="eastAsia" w:ascii="宋体" w:hAnsi="宋体" w:eastAsia="宋体" w:cs="宋体"/>
          <w:bCs/>
          <w:color w:val="auto"/>
          <w:sz w:val="24"/>
          <w:highlight w:val="none"/>
        </w:rPr>
        <w:t>）</w:t>
      </w: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小数点后第</w:t>
      </w:r>
      <w:r>
        <w:rPr>
          <w:rFonts w:hint="eastAsia" w:ascii="宋体" w:hAnsi="宋体" w:eastAsia="宋体" w:cs="宋体"/>
          <w:b/>
          <w:bCs/>
          <w:color w:val="auto"/>
          <w:sz w:val="24"/>
          <w:highlight w:val="none"/>
          <w:lang w:val="en-US" w:eastAsia="zh-CN"/>
        </w:rPr>
        <w:t>一</w:t>
      </w:r>
      <w:r>
        <w:rPr>
          <w:rFonts w:hint="eastAsia" w:ascii="宋体" w:hAnsi="宋体" w:eastAsia="宋体" w:cs="宋体"/>
          <w:b/>
          <w:bCs/>
          <w:color w:val="auto"/>
          <w:sz w:val="24"/>
          <w:highlight w:val="none"/>
        </w:rPr>
        <w:t>位“</w:t>
      </w:r>
      <w:r>
        <w:rPr>
          <w:rFonts w:hint="eastAsia" w:ascii="宋体" w:hAnsi="宋体" w:eastAsia="宋体" w:cs="宋体"/>
          <w:b/>
          <w:bCs/>
          <w:color w:val="auto"/>
          <w:sz w:val="24"/>
          <w:highlight w:val="none"/>
          <w:lang w:val="en-US" w:eastAsia="zh-CN"/>
        </w:rPr>
        <w:t>自动舍去</w:t>
      </w:r>
      <w:r>
        <w:rPr>
          <w:rFonts w:hint="eastAsia" w:ascii="宋体" w:hAnsi="宋体" w:eastAsia="宋体" w:cs="宋体"/>
          <w:b/>
          <w:bCs/>
          <w:color w:val="auto"/>
          <w:sz w:val="24"/>
          <w:highlight w:val="none"/>
        </w:rPr>
        <w:t>”</w:t>
      </w:r>
      <w:r>
        <w:rPr>
          <w:rFonts w:hint="eastAsia" w:ascii="宋体" w:hAnsi="宋体" w:eastAsia="宋体" w:cs="宋体"/>
          <w:color w:val="auto"/>
          <w:sz w:val="24"/>
          <w:highlight w:val="none"/>
        </w:rPr>
        <w:t>。</w:t>
      </w:r>
    </w:p>
    <w:p w14:paraId="62433736">
      <w:pPr>
        <w:pageBreakBefore w:val="0"/>
        <w:kinsoku/>
        <w:overflowPunct/>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3.3.3评标委员会成员要依法独立评审，并对评审意见承担个人责任。评标委员会成员对需要共同认定的事项存在争议的，按照少数服从多数的原则做出结论。持不同意见的评标委员会成员应当在评标报告上签署不同意见并说明理由，否则视为同意。</w:t>
      </w:r>
    </w:p>
    <w:p w14:paraId="6A025094">
      <w:pPr>
        <w:pStyle w:val="4"/>
        <w:pageBreakBefore w:val="0"/>
        <w:tabs>
          <w:tab w:val="left" w:pos="1588"/>
        </w:tabs>
        <w:kinsoku/>
        <w:overflowPunct/>
        <w:bidi w:val="0"/>
        <w:spacing w:before="0" w:line="360" w:lineRule="auto"/>
        <w:ind w:left="0" w:firstLine="0"/>
        <w:rPr>
          <w:rFonts w:hint="eastAsia" w:ascii="宋体" w:hAnsi="宋体" w:eastAsia="宋体" w:cs="宋体"/>
          <w:color w:val="auto"/>
          <w:sz w:val="24"/>
          <w:szCs w:val="24"/>
          <w:highlight w:val="none"/>
        </w:rPr>
      </w:pPr>
      <w:bookmarkStart w:id="152" w:name="_Toc29699"/>
      <w:bookmarkStart w:id="153" w:name="_Toc18986"/>
      <w:bookmarkStart w:id="154" w:name="_Toc321836412"/>
      <w:bookmarkStart w:id="155" w:name="_Toc11627"/>
      <w:bookmarkStart w:id="156" w:name="_Toc28017"/>
      <w:r>
        <w:rPr>
          <w:rFonts w:hint="eastAsia" w:ascii="宋体" w:hAnsi="宋体" w:eastAsia="宋体" w:cs="宋体"/>
          <w:color w:val="auto"/>
          <w:sz w:val="24"/>
          <w:szCs w:val="24"/>
          <w:highlight w:val="none"/>
        </w:rPr>
        <w:t>3.4 投标文件的澄清</w:t>
      </w:r>
      <w:bookmarkEnd w:id="152"/>
      <w:bookmarkEnd w:id="153"/>
      <w:bookmarkEnd w:id="154"/>
      <w:bookmarkEnd w:id="155"/>
      <w:bookmarkEnd w:id="156"/>
      <w:r>
        <w:rPr>
          <w:rFonts w:hint="eastAsia" w:ascii="宋体" w:hAnsi="宋体" w:eastAsia="宋体" w:cs="宋体"/>
          <w:color w:val="auto"/>
          <w:sz w:val="24"/>
          <w:szCs w:val="24"/>
          <w:highlight w:val="none"/>
        </w:rPr>
        <w:t xml:space="preserve"> </w:t>
      </w:r>
    </w:p>
    <w:p w14:paraId="7E149403">
      <w:pPr>
        <w:pageBreakBefore w:val="0"/>
        <w:kinsoku/>
        <w:overflowPunct/>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3.4.1 在评标过程中，评标委员会可以书面形式（应当由评标委员会专家签字）要求投标人对所提交的投标文件中含义不明确、同类问题表述不一致或者有明显文字和计算错误的内容，进行书面澄清或说明。评标委员会不接受投标人主动提出的澄清、说明。</w:t>
      </w:r>
    </w:p>
    <w:p w14:paraId="3D777F86">
      <w:pPr>
        <w:pageBreakBefore w:val="0"/>
        <w:kinsoku/>
        <w:overflowPunct/>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3.4.2 投标人的澄清、说明应当采用书面形式，由法定代表人或其授权的代表签字，澄清事项不得超出投标文件的范围并不得改变投标文件的实质性内容（算术性错误修正的除外）。投标人的书面澄清、说明属于投标文件的组成部分。</w:t>
      </w:r>
    </w:p>
    <w:p w14:paraId="39AF61C4">
      <w:pPr>
        <w:pageBreakBefore w:val="0"/>
        <w:kinsoku/>
        <w:overflowPunct/>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3.4.3 评标委员会对投标人提交的澄清、说明有疑问的，可以要求投标人进一步澄清、说明。</w:t>
      </w:r>
    </w:p>
    <w:p w14:paraId="63FC5A74">
      <w:pPr>
        <w:pStyle w:val="4"/>
        <w:pageBreakBefore w:val="0"/>
        <w:tabs>
          <w:tab w:val="left" w:pos="1588"/>
        </w:tabs>
        <w:kinsoku/>
        <w:overflowPunct/>
        <w:bidi w:val="0"/>
        <w:spacing w:before="0" w:line="360" w:lineRule="auto"/>
        <w:ind w:left="0" w:firstLine="0"/>
        <w:rPr>
          <w:rFonts w:hint="eastAsia" w:ascii="宋体" w:hAnsi="宋体" w:eastAsia="宋体" w:cs="宋体"/>
          <w:color w:val="auto"/>
          <w:sz w:val="24"/>
          <w:szCs w:val="24"/>
          <w:highlight w:val="none"/>
        </w:rPr>
      </w:pPr>
      <w:bookmarkStart w:id="157" w:name="_Toc7677"/>
      <w:bookmarkStart w:id="158" w:name="_Toc10112"/>
      <w:bookmarkStart w:id="159" w:name="_Toc30582"/>
      <w:bookmarkStart w:id="160" w:name="_Toc321836413"/>
      <w:bookmarkStart w:id="161" w:name="_Toc23997"/>
      <w:r>
        <w:rPr>
          <w:rFonts w:hint="eastAsia" w:ascii="宋体" w:hAnsi="宋体" w:eastAsia="宋体" w:cs="宋体"/>
          <w:color w:val="auto"/>
          <w:sz w:val="24"/>
          <w:szCs w:val="24"/>
          <w:highlight w:val="none"/>
        </w:rPr>
        <w:t>3.5评标结果</w:t>
      </w:r>
      <w:bookmarkEnd w:id="157"/>
      <w:bookmarkEnd w:id="158"/>
      <w:bookmarkEnd w:id="159"/>
      <w:bookmarkEnd w:id="160"/>
      <w:bookmarkEnd w:id="161"/>
    </w:p>
    <w:p w14:paraId="50698DF6">
      <w:pPr>
        <w:pageBreakBefore w:val="0"/>
        <w:kinsoku/>
        <w:overflowPunct/>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3.5.1 评标委员会按得分由高到低顺序推荐中标候选人，并提出书面评标报告。评标委员会的评标报告应由评标委员会全体成员签字。对评标结论有异议的评标委员会成员可以书面方式阐述其不同意见和理由。评标委员会成员拒绝在评标报告上签字且不以书面阐述其不同意见和理由的，视为同意评标结论。评标委员会应当对此作出书面说明并记录在案。</w:t>
      </w:r>
    </w:p>
    <w:p w14:paraId="2DF54B2F">
      <w:pPr>
        <w:pageBreakBefore w:val="0"/>
        <w:kinsoku/>
        <w:overflowPunct/>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3.5.2 采购人根据评标委员会提出的书面评标报告和推荐的中标候选人名单，确定中标人。</w:t>
      </w:r>
    </w:p>
    <w:p w14:paraId="42DDC760">
      <w:pPr>
        <w:pageBreakBefore w:val="0"/>
        <w:kinsoku/>
        <w:overflowPunct/>
        <w:bidi w:val="0"/>
        <w:spacing w:line="360" w:lineRule="auto"/>
        <w:ind w:firstLine="480" w:firstLineChars="200"/>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3.5.3</w:t>
      </w:r>
      <w:r>
        <w:rPr>
          <w:rFonts w:hint="eastAsia" w:ascii="宋体" w:hAnsi="宋体" w:eastAsia="宋体" w:cs="宋体"/>
          <w:b w:val="0"/>
          <w:color w:val="auto"/>
          <w:sz w:val="24"/>
          <w:szCs w:val="24"/>
          <w:highlight w:val="none"/>
        </w:rPr>
        <w:t>特殊情形处理</w:t>
      </w:r>
    </w:p>
    <w:p w14:paraId="6A41B63C">
      <w:pPr>
        <w:pageBreakBefore w:val="0"/>
        <w:tabs>
          <w:tab w:val="left" w:pos="7899"/>
        </w:tabs>
        <w:kinsoku/>
        <w:overflowPunct/>
        <w:bidi w:val="0"/>
        <w:spacing w:line="360" w:lineRule="auto"/>
        <w:ind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公开招标数额标准以上的采购项目，投标截止后投标人不足3家或者通过资格审查或符合性审查的投标人不足3家的，除采购任务取消情形外，按照以下方式处理：</w:t>
      </w:r>
    </w:p>
    <w:p w14:paraId="56C65CC6">
      <w:pPr>
        <w:pageBreakBefore w:val="0"/>
        <w:tabs>
          <w:tab w:val="left" w:pos="7899"/>
        </w:tabs>
        <w:kinsoku/>
        <w:overflowPunct/>
        <w:bidi w:val="0"/>
        <w:spacing w:line="360" w:lineRule="auto"/>
        <w:ind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）招标文件存在不合理条款或者招标程序不符合规定的，采购人、采购代理机构改正后依法重新招标；</w:t>
      </w:r>
    </w:p>
    <w:p w14:paraId="3A7478F8">
      <w:pPr>
        <w:pageBreakBefore w:val="0"/>
        <w:tabs>
          <w:tab w:val="left" w:pos="7899"/>
        </w:tabs>
        <w:kinsoku/>
        <w:overflowPunct/>
        <w:bidi w:val="0"/>
        <w:spacing w:line="360" w:lineRule="auto"/>
        <w:ind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）招标文件没有不合理条款、招标程序符合规定，需要采用其他采购方式采购的，采购人应当依法报财政部门批准。</w:t>
      </w:r>
    </w:p>
    <w:p w14:paraId="2844072B">
      <w:pPr>
        <w:pageBreakBefore w:val="0"/>
        <w:tabs>
          <w:tab w:val="left" w:pos="7899"/>
        </w:tabs>
        <w:kinsoku/>
        <w:overflowPunct/>
        <w:bidi w:val="0"/>
        <w:spacing w:line="360" w:lineRule="auto"/>
        <w:ind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评标结果汇总完成后，除下列情形外，任何人不得修改评标结果：</w:t>
      </w:r>
    </w:p>
    <w:p w14:paraId="0CB51783">
      <w:pPr>
        <w:pageBreakBefore w:val="0"/>
        <w:tabs>
          <w:tab w:val="left" w:pos="7899"/>
        </w:tabs>
        <w:kinsoku/>
        <w:overflowPunct/>
        <w:bidi w:val="0"/>
        <w:spacing w:line="360" w:lineRule="auto"/>
        <w:ind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）分值汇总计算错误的；</w:t>
      </w:r>
    </w:p>
    <w:p w14:paraId="7B6FCE34">
      <w:pPr>
        <w:pageBreakBefore w:val="0"/>
        <w:tabs>
          <w:tab w:val="left" w:pos="7899"/>
        </w:tabs>
        <w:kinsoku/>
        <w:overflowPunct/>
        <w:bidi w:val="0"/>
        <w:spacing w:line="360" w:lineRule="auto"/>
        <w:ind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）分项评分超出评分标准范围的；</w:t>
      </w:r>
    </w:p>
    <w:p w14:paraId="166B11C3">
      <w:pPr>
        <w:pageBreakBefore w:val="0"/>
        <w:tabs>
          <w:tab w:val="left" w:pos="7899"/>
        </w:tabs>
        <w:kinsoku/>
        <w:overflowPunct/>
        <w:bidi w:val="0"/>
        <w:spacing w:line="360" w:lineRule="auto"/>
        <w:ind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）评标委员会成员对客观评审因素评分不一致的；</w:t>
      </w:r>
    </w:p>
    <w:p w14:paraId="023CD1DA">
      <w:pPr>
        <w:pageBreakBefore w:val="0"/>
        <w:tabs>
          <w:tab w:val="left" w:pos="7899"/>
        </w:tabs>
        <w:kinsoku/>
        <w:overflowPunct/>
        <w:bidi w:val="0"/>
        <w:spacing w:line="360" w:lineRule="auto"/>
        <w:ind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）经评标委员会认定评分畸高、畸低的。</w:t>
      </w:r>
    </w:p>
    <w:p w14:paraId="721E8E41">
      <w:pPr>
        <w:pageBreakBefore w:val="0"/>
        <w:tabs>
          <w:tab w:val="left" w:pos="7899"/>
        </w:tabs>
        <w:kinsoku/>
        <w:overflowPunct/>
        <w:bidi w:val="0"/>
        <w:spacing w:line="360" w:lineRule="auto"/>
        <w:ind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4A847EF4">
      <w:pPr>
        <w:pageBreakBefore w:val="0"/>
        <w:tabs>
          <w:tab w:val="left" w:pos="7899"/>
        </w:tabs>
        <w:kinsoku/>
        <w:overflowPunct/>
        <w:bidi w:val="0"/>
        <w:spacing w:line="360" w:lineRule="auto"/>
        <w:ind w:firstLine="472" w:firstLineChars="19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eastAsia="zh-CN"/>
        </w:rPr>
        <w:t>）投标人对本条第一款情形提出质疑的，采购人或者采购代理机构可以组织原评标委员会进行重新评审，重新评审改变评标结果的，应当书面报告本级财政部门。</w:t>
      </w:r>
    </w:p>
    <w:p w14:paraId="5C9C0533">
      <w:pPr>
        <w:pageBreakBefore w:val="0"/>
        <w:tabs>
          <w:tab w:val="left" w:pos="7899"/>
        </w:tabs>
        <w:kinsoku/>
        <w:overflowPunct/>
        <w:bidi w:val="0"/>
        <w:spacing w:line="360" w:lineRule="auto"/>
        <w:ind w:firstLine="472" w:firstLineChars="19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lang w:eastAsia="zh-CN"/>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925B58D">
      <w:pPr>
        <w:pageBreakBefore w:val="0"/>
        <w:tabs>
          <w:tab w:val="left" w:pos="7899"/>
        </w:tabs>
        <w:kinsoku/>
        <w:overflowPunct/>
        <w:bidi w:val="0"/>
        <w:spacing w:line="360" w:lineRule="auto"/>
        <w:ind w:firstLine="413" w:firstLineChars="197"/>
        <w:jc w:val="center"/>
        <w:outlineLvl w:val="0"/>
        <w:rPr>
          <w:rFonts w:hint="eastAsia" w:ascii="宋体" w:hAnsi="宋体" w:eastAsia="宋体" w:cs="宋体"/>
          <w:b/>
          <w:bCs w:val="0"/>
          <w:color w:val="auto"/>
          <w:sz w:val="30"/>
          <w:szCs w:val="30"/>
          <w:highlight w:val="none"/>
        </w:rPr>
      </w:pPr>
      <w:r>
        <w:rPr>
          <w:rFonts w:hint="eastAsia" w:ascii="宋体" w:hAnsi="宋体" w:eastAsia="宋体" w:cs="宋体"/>
          <w:lang w:eastAsia="zh-CN"/>
        </w:rPr>
        <w:br w:type="page"/>
      </w:r>
      <w:bookmarkStart w:id="162" w:name="_Toc4861"/>
      <w:bookmarkStart w:id="163" w:name="_Toc3289"/>
      <w:bookmarkStart w:id="164" w:name="_Toc4043"/>
      <w:bookmarkStart w:id="165" w:name="_Toc25104"/>
      <w:r>
        <w:rPr>
          <w:rStyle w:val="33"/>
          <w:rFonts w:hint="eastAsia" w:ascii="宋体" w:hAnsi="宋体" w:eastAsia="宋体" w:cs="宋体"/>
          <w:lang w:val="en-US" w:eastAsia="zh-CN"/>
        </w:rPr>
        <w:t xml:space="preserve">第六章  </w:t>
      </w:r>
      <w:r>
        <w:rPr>
          <w:rStyle w:val="33"/>
          <w:rFonts w:hint="eastAsia" w:ascii="宋体" w:hAnsi="宋体" w:eastAsia="宋体" w:cs="宋体"/>
        </w:rPr>
        <w:t>投标文件格式</w:t>
      </w:r>
      <w:bookmarkEnd w:id="162"/>
      <w:bookmarkEnd w:id="163"/>
      <w:bookmarkEnd w:id="164"/>
      <w:bookmarkEnd w:id="165"/>
    </w:p>
    <w:p w14:paraId="67F04253">
      <w:pPr>
        <w:pageBreakBefore w:val="0"/>
        <w:kinsoku/>
        <w:overflowPunct/>
        <w:bidi w:val="0"/>
        <w:spacing w:line="360" w:lineRule="auto"/>
        <w:rPr>
          <w:rFonts w:hint="eastAsia" w:ascii="宋体" w:hAnsi="宋体" w:eastAsia="宋体" w:cs="宋体"/>
          <w:color w:val="auto"/>
          <w:highlight w:val="none"/>
        </w:rPr>
      </w:pPr>
    </w:p>
    <w:p w14:paraId="742A532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宋体" w:hAnsi="宋体" w:eastAsia="宋体" w:cs="宋体"/>
          <w:b/>
          <w:color w:val="auto"/>
          <w:sz w:val="52"/>
          <w:szCs w:val="40"/>
          <w:highlight w:val="none"/>
          <w:u w:val="single"/>
          <w:shd w:val="clear" w:color="auto" w:fill="FFFFFF"/>
          <w:lang w:val="en-US" w:eastAsia="zh-CN"/>
        </w:rPr>
      </w:pPr>
      <w:r>
        <w:rPr>
          <w:rFonts w:hint="eastAsia" w:ascii="宋体" w:hAnsi="宋体" w:cs="宋体"/>
          <w:b/>
          <w:color w:val="auto"/>
          <w:sz w:val="48"/>
          <w:szCs w:val="36"/>
          <w:highlight w:val="none"/>
          <w:shd w:val="clear" w:color="auto" w:fill="FFFFFF"/>
          <w:lang w:eastAsia="zh-CN"/>
        </w:rPr>
        <w:t>珠江流域（玉溪段）生态环境监测能力提升项目</w:t>
      </w:r>
      <w:r>
        <w:rPr>
          <w:rFonts w:hint="eastAsia" w:ascii="宋体" w:hAnsi="宋体" w:cs="宋体"/>
          <w:b/>
          <w:color w:val="auto"/>
          <w:sz w:val="48"/>
          <w:szCs w:val="36"/>
          <w:highlight w:val="none"/>
          <w:u w:val="single"/>
          <w:shd w:val="clear" w:color="auto" w:fill="FFFFFF"/>
          <w:lang w:val="en-US" w:eastAsia="zh-CN"/>
        </w:rPr>
        <w:t xml:space="preserve">    </w:t>
      </w:r>
      <w:r>
        <w:rPr>
          <w:rFonts w:hint="eastAsia" w:ascii="宋体" w:hAnsi="宋体" w:cs="宋体"/>
          <w:b/>
          <w:color w:val="auto"/>
          <w:sz w:val="48"/>
          <w:szCs w:val="36"/>
          <w:highlight w:val="none"/>
          <w:u w:val="none"/>
          <w:shd w:val="clear" w:color="auto" w:fill="FFFFFF"/>
          <w:lang w:val="en-US" w:eastAsia="zh-CN"/>
        </w:rPr>
        <w:t>包</w:t>
      </w:r>
    </w:p>
    <w:p w14:paraId="2737C1C1">
      <w:pPr>
        <w:pageBreakBefore w:val="0"/>
        <w:kinsoku/>
        <w:overflowPunct/>
        <w:bidi w:val="0"/>
        <w:spacing w:line="360" w:lineRule="auto"/>
        <w:ind w:firstLine="397"/>
        <w:jc w:val="center"/>
        <w:rPr>
          <w:rFonts w:hint="eastAsia" w:ascii="宋体" w:hAnsi="宋体" w:eastAsia="宋体" w:cs="宋体"/>
          <w:color w:val="auto"/>
          <w:sz w:val="44"/>
          <w:highlight w:val="none"/>
        </w:rPr>
      </w:pPr>
    </w:p>
    <w:p w14:paraId="1B06C37A">
      <w:pPr>
        <w:pStyle w:val="5"/>
        <w:pageBreakBefore w:val="0"/>
        <w:kinsoku/>
        <w:overflowPunct/>
        <w:bidi w:val="0"/>
        <w:spacing w:line="360" w:lineRule="auto"/>
        <w:rPr>
          <w:rFonts w:hint="eastAsia" w:ascii="宋体" w:hAnsi="宋体" w:eastAsia="宋体" w:cs="宋体"/>
          <w:color w:val="auto"/>
          <w:highlight w:val="none"/>
        </w:rPr>
      </w:pPr>
    </w:p>
    <w:p w14:paraId="17DD897B">
      <w:pPr>
        <w:pStyle w:val="28"/>
        <w:pageBreakBefore w:val="0"/>
        <w:kinsoku/>
        <w:overflowPunct/>
        <w:bidi w:val="0"/>
        <w:spacing w:line="360" w:lineRule="auto"/>
        <w:rPr>
          <w:rFonts w:hint="eastAsia" w:ascii="宋体" w:hAnsi="宋体" w:eastAsia="宋体" w:cs="宋体"/>
          <w:color w:val="auto"/>
          <w:sz w:val="44"/>
          <w:highlight w:val="none"/>
        </w:rPr>
      </w:pPr>
    </w:p>
    <w:p w14:paraId="3FDE57A9">
      <w:pPr>
        <w:pStyle w:val="28"/>
        <w:pageBreakBefore w:val="0"/>
        <w:kinsoku/>
        <w:overflowPunct/>
        <w:bidi w:val="0"/>
        <w:spacing w:line="360" w:lineRule="auto"/>
        <w:rPr>
          <w:rFonts w:hint="eastAsia" w:ascii="宋体" w:hAnsi="宋体" w:eastAsia="宋体" w:cs="宋体"/>
          <w:color w:val="auto"/>
          <w:sz w:val="44"/>
          <w:highlight w:val="none"/>
        </w:rPr>
      </w:pPr>
    </w:p>
    <w:p w14:paraId="734A9FBA">
      <w:pPr>
        <w:pStyle w:val="28"/>
        <w:pageBreakBefore w:val="0"/>
        <w:kinsoku/>
        <w:overflowPunct/>
        <w:bidi w:val="0"/>
        <w:spacing w:line="360" w:lineRule="auto"/>
        <w:rPr>
          <w:rFonts w:hint="eastAsia" w:ascii="宋体" w:hAnsi="宋体" w:eastAsia="宋体" w:cs="宋体"/>
          <w:color w:val="auto"/>
          <w:sz w:val="44"/>
          <w:highlight w:val="none"/>
        </w:rPr>
      </w:pPr>
    </w:p>
    <w:p w14:paraId="6B097125">
      <w:pPr>
        <w:pStyle w:val="5"/>
        <w:pageBreakBefore w:val="0"/>
        <w:kinsoku/>
        <w:overflowPunct/>
        <w:bidi w:val="0"/>
        <w:spacing w:line="360" w:lineRule="auto"/>
        <w:rPr>
          <w:rFonts w:hint="eastAsia" w:ascii="宋体" w:hAnsi="宋体" w:eastAsia="宋体" w:cs="宋体"/>
          <w:color w:val="auto"/>
          <w:highlight w:val="none"/>
        </w:rPr>
      </w:pPr>
    </w:p>
    <w:p w14:paraId="450944DC">
      <w:pPr>
        <w:pageBreakBefore w:val="0"/>
        <w:kinsoku/>
        <w:overflowPunct/>
        <w:bidi w:val="0"/>
        <w:spacing w:line="360" w:lineRule="auto"/>
        <w:ind w:firstLine="397"/>
        <w:jc w:val="center"/>
        <w:rPr>
          <w:rFonts w:hint="eastAsia" w:ascii="宋体" w:hAnsi="宋体" w:eastAsia="宋体" w:cs="宋体"/>
          <w:b/>
          <w:color w:val="auto"/>
          <w:sz w:val="96"/>
          <w:szCs w:val="28"/>
          <w:highlight w:val="none"/>
        </w:rPr>
      </w:pPr>
      <w:r>
        <w:rPr>
          <w:rFonts w:hint="eastAsia" w:ascii="宋体" w:hAnsi="宋体" w:eastAsia="宋体" w:cs="宋体"/>
          <w:b/>
          <w:color w:val="auto"/>
          <w:sz w:val="96"/>
          <w:szCs w:val="28"/>
          <w:highlight w:val="none"/>
        </w:rPr>
        <w:t>投 标 文 件</w:t>
      </w:r>
    </w:p>
    <w:p w14:paraId="7DE4544A">
      <w:pPr>
        <w:pageBreakBefore w:val="0"/>
        <w:kinsoku/>
        <w:overflowPunct/>
        <w:bidi w:val="0"/>
        <w:spacing w:line="360" w:lineRule="auto"/>
        <w:ind w:leftChars="800" w:firstLine="397"/>
        <w:jc w:val="both"/>
        <w:rPr>
          <w:rFonts w:hint="eastAsia" w:ascii="宋体" w:hAnsi="宋体" w:eastAsia="宋体" w:cs="宋体"/>
          <w:b/>
          <w:bCs/>
          <w:color w:val="auto"/>
          <w:sz w:val="32"/>
          <w:szCs w:val="32"/>
          <w:highlight w:val="none"/>
          <w:u w:val="single"/>
        </w:rPr>
      </w:pPr>
      <w:r>
        <w:rPr>
          <w:rFonts w:hint="eastAsia" w:ascii="宋体" w:hAnsi="宋体" w:eastAsia="宋体" w:cs="宋体"/>
          <w:b/>
          <w:bCs/>
          <w:color w:val="auto"/>
          <w:sz w:val="36"/>
          <w:szCs w:val="32"/>
          <w:highlight w:val="none"/>
        </w:rPr>
        <w:t>项目编号：</w:t>
      </w:r>
      <w:r>
        <w:rPr>
          <w:rFonts w:hint="eastAsia" w:ascii="宋体" w:hAnsi="宋体" w:eastAsia="宋体" w:cs="宋体"/>
          <w:b/>
          <w:bCs/>
          <w:color w:val="auto"/>
          <w:sz w:val="36"/>
          <w:szCs w:val="32"/>
          <w:highlight w:val="none"/>
          <w:u w:val="single"/>
          <w:lang w:val="en-US" w:eastAsia="zh-CN"/>
        </w:rPr>
        <w:t xml:space="preserve">                  </w:t>
      </w:r>
      <w:r>
        <w:rPr>
          <w:rFonts w:hint="eastAsia" w:ascii="宋体" w:hAnsi="宋体" w:eastAsia="宋体" w:cs="宋体"/>
          <w:b/>
          <w:bCs/>
          <w:color w:val="auto"/>
          <w:sz w:val="36"/>
          <w:szCs w:val="32"/>
          <w:highlight w:val="none"/>
          <w:lang w:val="en-US" w:eastAsia="zh-CN"/>
        </w:rPr>
        <w:t xml:space="preserve">      </w:t>
      </w:r>
    </w:p>
    <w:p w14:paraId="65B5A588">
      <w:pPr>
        <w:pageBreakBefore w:val="0"/>
        <w:kinsoku/>
        <w:overflowPunct/>
        <w:bidi w:val="0"/>
        <w:spacing w:line="360" w:lineRule="auto"/>
        <w:ind w:firstLine="397"/>
        <w:jc w:val="center"/>
        <w:rPr>
          <w:rFonts w:hint="eastAsia" w:ascii="宋体" w:hAnsi="宋体" w:eastAsia="宋体" w:cs="宋体"/>
          <w:color w:val="auto"/>
          <w:sz w:val="24"/>
          <w:highlight w:val="none"/>
        </w:rPr>
      </w:pPr>
    </w:p>
    <w:p w14:paraId="686E5769">
      <w:pPr>
        <w:pageBreakBefore w:val="0"/>
        <w:kinsoku/>
        <w:overflowPunct/>
        <w:bidi w:val="0"/>
        <w:spacing w:line="360" w:lineRule="auto"/>
        <w:ind w:firstLine="397"/>
        <w:jc w:val="center"/>
        <w:rPr>
          <w:rFonts w:hint="eastAsia" w:ascii="宋体" w:hAnsi="宋体" w:eastAsia="宋体" w:cs="宋体"/>
          <w:color w:val="auto"/>
          <w:sz w:val="24"/>
          <w:highlight w:val="none"/>
        </w:rPr>
      </w:pPr>
    </w:p>
    <w:p w14:paraId="294D68F8">
      <w:pPr>
        <w:pageBreakBefore w:val="0"/>
        <w:kinsoku/>
        <w:overflowPunct/>
        <w:bidi w:val="0"/>
        <w:spacing w:line="360" w:lineRule="auto"/>
        <w:ind w:firstLine="397"/>
        <w:jc w:val="center"/>
        <w:rPr>
          <w:rFonts w:hint="eastAsia" w:ascii="宋体" w:hAnsi="宋体" w:eastAsia="宋体" w:cs="宋体"/>
          <w:color w:val="auto"/>
          <w:sz w:val="24"/>
          <w:highlight w:val="none"/>
        </w:rPr>
      </w:pPr>
    </w:p>
    <w:p w14:paraId="050D44E7">
      <w:pPr>
        <w:pStyle w:val="28"/>
        <w:pageBreakBefore w:val="0"/>
        <w:kinsoku/>
        <w:overflowPunct/>
        <w:bidi w:val="0"/>
        <w:spacing w:line="360" w:lineRule="auto"/>
        <w:rPr>
          <w:rFonts w:hint="eastAsia" w:ascii="宋体" w:hAnsi="宋体" w:eastAsia="宋体" w:cs="宋体"/>
          <w:color w:val="auto"/>
          <w:highlight w:val="none"/>
        </w:rPr>
      </w:pPr>
    </w:p>
    <w:p w14:paraId="3403ED5B">
      <w:pPr>
        <w:pageBreakBefore w:val="0"/>
        <w:kinsoku/>
        <w:overflowPunct/>
        <w:bidi w:val="0"/>
        <w:spacing w:line="360" w:lineRule="auto"/>
        <w:rPr>
          <w:rFonts w:hint="eastAsia" w:ascii="宋体" w:hAnsi="宋体" w:eastAsia="宋体" w:cs="宋体"/>
          <w:color w:val="auto"/>
          <w:highlight w:val="none"/>
        </w:rPr>
      </w:pPr>
    </w:p>
    <w:p w14:paraId="7E20326D">
      <w:pPr>
        <w:pStyle w:val="28"/>
        <w:pageBreakBefore w:val="0"/>
        <w:kinsoku/>
        <w:overflowPunct/>
        <w:bidi w:val="0"/>
        <w:spacing w:line="360" w:lineRule="auto"/>
        <w:rPr>
          <w:rFonts w:hint="eastAsia" w:ascii="宋体" w:hAnsi="宋体" w:eastAsia="宋体" w:cs="宋体"/>
          <w:color w:val="auto"/>
          <w:highlight w:val="none"/>
        </w:rPr>
      </w:pPr>
    </w:p>
    <w:p w14:paraId="23CEB8DE">
      <w:pPr>
        <w:pageBreakBefore w:val="0"/>
        <w:kinsoku/>
        <w:overflowPunct/>
        <w:bidi w:val="0"/>
        <w:spacing w:line="360" w:lineRule="auto"/>
        <w:rPr>
          <w:rFonts w:hint="eastAsia" w:ascii="宋体" w:hAnsi="宋体" w:eastAsia="宋体" w:cs="宋体"/>
          <w:color w:val="auto"/>
          <w:highlight w:val="none"/>
        </w:rPr>
      </w:pPr>
    </w:p>
    <w:p w14:paraId="255DFDF8">
      <w:pPr>
        <w:pageBreakBefore w:val="0"/>
        <w:kinsoku/>
        <w:overflowPunct/>
        <w:bidi w:val="0"/>
        <w:spacing w:line="360" w:lineRule="auto"/>
        <w:jc w:val="center"/>
        <w:rPr>
          <w:rFonts w:hint="eastAsia" w:ascii="宋体" w:hAnsi="宋体" w:eastAsia="宋体" w:cs="宋体"/>
          <w:color w:val="auto"/>
          <w:sz w:val="28"/>
          <w:highlight w:val="none"/>
          <w:u w:val="single"/>
        </w:rPr>
      </w:pPr>
      <w:r>
        <w:rPr>
          <w:rFonts w:hint="eastAsia" w:ascii="宋体" w:hAnsi="宋体" w:eastAsia="宋体" w:cs="宋体"/>
          <w:color w:val="auto"/>
          <w:sz w:val="28"/>
          <w:highlight w:val="none"/>
        </w:rPr>
        <w:t xml:space="preserve">投标人名称: </w:t>
      </w: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highlight w:val="none"/>
        </w:rPr>
        <w:t>（电子签章）</w:t>
      </w:r>
    </w:p>
    <w:p w14:paraId="1CE5EDE7">
      <w:pPr>
        <w:pageBreakBefore w:val="0"/>
        <w:kinsoku/>
        <w:overflowPunct/>
        <w:bidi w:val="0"/>
        <w:spacing w:line="360" w:lineRule="auto"/>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法定代表人或其委托代理人:</w:t>
      </w: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highlight w:val="none"/>
        </w:rPr>
        <w:t>（电子签章或电子签名）</w:t>
      </w:r>
    </w:p>
    <w:p w14:paraId="47FDC512">
      <w:pPr>
        <w:pStyle w:val="5"/>
        <w:pageBreakBefore w:val="0"/>
        <w:kinsoku/>
        <w:overflowPunct/>
        <w:bidi w:val="0"/>
        <w:spacing w:line="360" w:lineRule="auto"/>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日期:</w:t>
      </w: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highlight w:val="none"/>
        </w:rPr>
        <w:t>年</w:t>
      </w: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highlight w:val="none"/>
        </w:rPr>
        <w:t>月</w:t>
      </w: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highlight w:val="none"/>
        </w:rPr>
        <w:t>日</w:t>
      </w:r>
    </w:p>
    <w:p w14:paraId="4D045C65">
      <w:pPr>
        <w:pageBreakBefore w:val="0"/>
        <w:shd w:val="solid" w:color="FFFFFF" w:fill="auto"/>
        <w:kinsoku/>
        <w:overflowPunct/>
        <w:autoSpaceDN w:val="0"/>
        <w:bidi w:val="0"/>
        <w:spacing w:line="360" w:lineRule="auto"/>
        <w:jc w:val="center"/>
        <w:outlineLvl w:val="1"/>
        <w:rPr>
          <w:rFonts w:hint="eastAsia" w:ascii="宋体" w:hAnsi="宋体" w:eastAsia="宋体" w:cs="宋体"/>
          <w:b/>
          <w:color w:val="auto"/>
          <w:sz w:val="32"/>
          <w:szCs w:val="32"/>
          <w:highlight w:val="none"/>
          <w:shd w:val="clear" w:color="auto" w:fill="FFFFFF"/>
        </w:rPr>
      </w:pPr>
      <w:r>
        <w:rPr>
          <w:rFonts w:hint="eastAsia" w:ascii="宋体" w:hAnsi="宋体" w:eastAsia="宋体" w:cs="宋体"/>
          <w:color w:val="auto"/>
          <w:sz w:val="28"/>
          <w:highlight w:val="none"/>
        </w:rPr>
        <w:br w:type="page"/>
      </w:r>
      <w:bookmarkStart w:id="166" w:name="_Toc18314"/>
      <w:bookmarkStart w:id="167" w:name="_Toc16937"/>
      <w:bookmarkStart w:id="168" w:name="_Toc15964"/>
      <w:bookmarkStart w:id="169" w:name="_Toc28608"/>
      <w:r>
        <w:rPr>
          <w:rFonts w:hint="eastAsia" w:ascii="宋体" w:hAnsi="宋体" w:eastAsia="宋体" w:cs="宋体"/>
          <w:b/>
          <w:color w:val="auto"/>
          <w:sz w:val="32"/>
          <w:szCs w:val="32"/>
          <w:highlight w:val="none"/>
          <w:shd w:val="clear" w:color="auto" w:fill="FFFFFF"/>
        </w:rPr>
        <w:t>一、投 标 函</w:t>
      </w:r>
      <w:bookmarkEnd w:id="166"/>
      <w:bookmarkEnd w:id="167"/>
      <w:bookmarkEnd w:id="168"/>
      <w:bookmarkEnd w:id="169"/>
    </w:p>
    <w:p w14:paraId="0B9BE2B2">
      <w:pPr>
        <w:pStyle w:val="28"/>
        <w:pageBreakBefore w:val="0"/>
        <w:kinsoku/>
        <w:overflowPunct/>
        <w:bidi w:val="0"/>
        <w:spacing w:line="360" w:lineRule="auto"/>
        <w:rPr>
          <w:rFonts w:hint="eastAsia" w:ascii="宋体" w:hAnsi="宋体" w:eastAsia="宋体" w:cs="宋体"/>
          <w:color w:val="auto"/>
          <w:highlight w:val="none"/>
        </w:rPr>
      </w:pPr>
    </w:p>
    <w:p w14:paraId="5E95A885">
      <w:pPr>
        <w:pageBreakBefore w:val="0"/>
        <w:shd w:val="solid" w:color="FFFFFF" w:fill="auto"/>
        <w:kinsoku/>
        <w:overflowPunct/>
        <w:autoSpaceDN w:val="0"/>
        <w:bidi w:val="0"/>
        <w:spacing w:line="360" w:lineRule="auto"/>
        <w:rPr>
          <w:rFonts w:hint="eastAsia" w:ascii="宋体" w:hAnsi="宋体" w:eastAsia="宋体" w:cs="宋体"/>
          <w:color w:val="auto"/>
          <w:highlight w:val="none"/>
          <w:shd w:val="clear" w:color="auto" w:fill="FFFFFF"/>
        </w:rPr>
      </w:pP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shd w:val="clear" w:color="auto" w:fill="FFFFFF"/>
        </w:rPr>
        <w:t>（采购人名称）：</w:t>
      </w:r>
    </w:p>
    <w:p w14:paraId="1B658B46">
      <w:pPr>
        <w:pageBreakBefore w:val="0"/>
        <w:shd w:val="solid" w:color="FFFFFF" w:fill="auto"/>
        <w:kinsoku/>
        <w:overflowPunct/>
        <w:autoSpaceDN w:val="0"/>
        <w:bidi w:val="0"/>
        <w:spacing w:line="360" w:lineRule="auto"/>
        <w:ind w:firstLine="480"/>
        <w:rPr>
          <w:rFonts w:hint="eastAsia" w:ascii="宋体" w:hAnsi="宋体" w:eastAsia="宋体" w:cs="宋体"/>
          <w:color w:val="auto"/>
          <w:highlight w:val="none"/>
          <w:shd w:val="clear" w:color="auto" w:fill="FFFFFF"/>
        </w:rPr>
      </w:pPr>
      <w:r>
        <w:rPr>
          <w:rFonts w:hint="eastAsia" w:ascii="宋体" w:hAnsi="宋体" w:eastAsia="宋体" w:cs="宋体"/>
          <w:color w:val="auto"/>
          <w:sz w:val="24"/>
          <w:highlight w:val="none"/>
          <w:shd w:val="clear" w:color="auto" w:fill="FFFFFF"/>
        </w:rPr>
        <w:t>我方全面研究了“</w:t>
      </w:r>
      <w:r>
        <w:rPr>
          <w:rFonts w:hint="eastAsia" w:ascii="宋体" w:hAnsi="宋体" w:cs="宋体"/>
          <w:color w:val="auto"/>
          <w:sz w:val="24"/>
          <w:szCs w:val="20"/>
          <w:highlight w:val="none"/>
          <w:u w:val="single"/>
          <w:shd w:val="clear" w:color="auto" w:fill="FFFFFF"/>
          <w:lang w:eastAsia="zh-CN"/>
        </w:rPr>
        <w:t>珠江流域（玉溪段）生态环境监测能力提升项目（</w:t>
      </w:r>
      <w:r>
        <w:rPr>
          <w:rFonts w:hint="eastAsia" w:ascii="宋体" w:hAnsi="宋体" w:cs="宋体"/>
          <w:color w:val="auto"/>
          <w:sz w:val="24"/>
          <w:szCs w:val="20"/>
          <w:highlight w:val="none"/>
          <w:u w:val="single"/>
          <w:shd w:val="clear" w:color="auto" w:fill="FFFFFF"/>
          <w:lang w:val="en-US" w:eastAsia="zh-CN"/>
        </w:rPr>
        <w:t xml:space="preserve">   包</w:t>
      </w:r>
      <w:r>
        <w:rPr>
          <w:rFonts w:hint="eastAsia" w:ascii="宋体" w:hAnsi="宋体" w:cs="宋体"/>
          <w:color w:val="auto"/>
          <w:sz w:val="24"/>
          <w:szCs w:val="20"/>
          <w:highlight w:val="none"/>
          <w:u w:val="single"/>
          <w:shd w:val="clear" w:color="auto" w:fill="FFFFFF"/>
          <w:lang w:eastAsia="zh-CN"/>
        </w:rPr>
        <w:t>）</w:t>
      </w:r>
      <w:r>
        <w:rPr>
          <w:rFonts w:hint="eastAsia" w:ascii="宋体" w:hAnsi="宋体" w:eastAsia="宋体" w:cs="宋体"/>
          <w:color w:val="auto"/>
          <w:sz w:val="24"/>
          <w:highlight w:val="none"/>
          <w:shd w:val="clear" w:color="auto" w:fill="FFFFFF"/>
        </w:rPr>
        <w:t>”的招标文件（项目编号：</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shd w:val="clear" w:color="auto" w:fill="FFFFFF"/>
        </w:rPr>
        <w:t>），决定参加贵单位组织的本项目投标。我方授权</w:t>
      </w:r>
      <w:r>
        <w:rPr>
          <w:rFonts w:hint="eastAsia" w:ascii="宋体" w:hAnsi="宋体" w:eastAsia="宋体" w:cs="宋体"/>
          <w:color w:val="auto"/>
          <w:sz w:val="24"/>
          <w:highlight w:val="none"/>
          <w:u w:val="single"/>
          <w:shd w:val="clear" w:color="auto" w:fill="FFFFFF"/>
        </w:rPr>
        <w:t>　　 （姓名、职务）</w:t>
      </w:r>
      <w:r>
        <w:rPr>
          <w:rFonts w:hint="eastAsia" w:ascii="宋体" w:hAnsi="宋体" w:eastAsia="宋体" w:cs="宋体"/>
          <w:color w:val="auto"/>
          <w:sz w:val="24"/>
          <w:highlight w:val="none"/>
          <w:shd w:val="clear" w:color="auto" w:fill="FFFFFF"/>
        </w:rPr>
        <w:t>代表我方</w:t>
      </w:r>
      <w:r>
        <w:rPr>
          <w:rFonts w:hint="eastAsia" w:ascii="宋体" w:hAnsi="宋体" w:eastAsia="宋体" w:cs="宋体"/>
          <w:color w:val="auto"/>
          <w:sz w:val="24"/>
          <w:highlight w:val="none"/>
          <w:u w:val="single"/>
          <w:shd w:val="clear" w:color="auto" w:fill="FFFFFF"/>
        </w:rPr>
        <w:t>（投标</w:t>
      </w:r>
      <w:r>
        <w:rPr>
          <w:rFonts w:hint="eastAsia" w:ascii="宋体" w:hAnsi="宋体" w:eastAsia="宋体" w:cs="宋体"/>
          <w:color w:val="auto"/>
          <w:sz w:val="24"/>
          <w:highlight w:val="none"/>
          <w:u w:val="single"/>
          <w:shd w:val="clear" w:color="auto" w:fill="FFFFFF"/>
          <w:lang w:val="en-US" w:eastAsia="zh-CN"/>
        </w:rPr>
        <w:t>单位</w:t>
      </w:r>
      <w:r>
        <w:rPr>
          <w:rFonts w:hint="eastAsia" w:ascii="宋体" w:hAnsi="宋体" w:eastAsia="宋体" w:cs="宋体"/>
          <w:color w:val="auto"/>
          <w:sz w:val="24"/>
          <w:highlight w:val="none"/>
          <w:u w:val="single"/>
          <w:shd w:val="clear" w:color="auto" w:fill="FFFFFF"/>
        </w:rPr>
        <w:t>的名称）</w:t>
      </w:r>
      <w:r>
        <w:rPr>
          <w:rFonts w:hint="eastAsia" w:ascii="宋体" w:hAnsi="宋体" w:eastAsia="宋体" w:cs="宋体"/>
          <w:color w:val="auto"/>
          <w:sz w:val="24"/>
          <w:highlight w:val="none"/>
          <w:shd w:val="clear" w:color="auto" w:fill="FFFFFF"/>
        </w:rPr>
        <w:t>全权处理本项目投标的有关事宜。</w:t>
      </w:r>
    </w:p>
    <w:p w14:paraId="1469BB63">
      <w:pPr>
        <w:pageBreakBefore w:val="0"/>
        <w:shd w:val="solid" w:color="FFFFFF" w:fill="auto"/>
        <w:kinsoku/>
        <w:overflowPunct/>
        <w:autoSpaceDN w:val="0"/>
        <w:bidi w:val="0"/>
        <w:spacing w:line="360" w:lineRule="auto"/>
        <w:ind w:firstLine="480"/>
        <w:rPr>
          <w:rFonts w:hint="eastAsia" w:ascii="宋体" w:hAnsi="宋体" w:eastAsia="宋体" w:cs="宋体"/>
          <w:color w:val="auto"/>
          <w:highlight w:val="none"/>
          <w:shd w:val="clear" w:color="auto" w:fill="FFFFFF"/>
        </w:rPr>
      </w:pPr>
      <w:r>
        <w:rPr>
          <w:rFonts w:hint="eastAsia" w:ascii="宋体" w:hAnsi="宋体" w:eastAsia="宋体" w:cs="宋体"/>
          <w:color w:val="auto"/>
          <w:sz w:val="24"/>
          <w:highlight w:val="none"/>
          <w:shd w:val="clear" w:color="auto" w:fill="FFFFFF"/>
        </w:rPr>
        <w:t>1、我方自愿按照招标文件规定的各项要求向采购人提供所需货物/服务，我方愿按“投标报价一览表”所报的投标价格承担招标文件中所规定的投标人的全部责任和义务。</w:t>
      </w:r>
    </w:p>
    <w:p w14:paraId="3D9B587C">
      <w:pPr>
        <w:pageBreakBefore w:val="0"/>
        <w:shd w:val="solid" w:color="FFFFFF" w:fill="auto"/>
        <w:kinsoku/>
        <w:overflowPunct/>
        <w:autoSpaceDN w:val="0"/>
        <w:bidi w:val="0"/>
        <w:spacing w:line="360" w:lineRule="auto"/>
        <w:ind w:firstLine="480"/>
        <w:rPr>
          <w:rFonts w:hint="eastAsia" w:ascii="宋体" w:hAnsi="宋体" w:eastAsia="宋体" w:cs="宋体"/>
          <w:color w:val="auto"/>
          <w:highlight w:val="none"/>
          <w:shd w:val="clear" w:color="auto" w:fill="FFFFFF"/>
        </w:rPr>
      </w:pPr>
      <w:r>
        <w:rPr>
          <w:rFonts w:hint="eastAsia" w:ascii="宋体" w:hAnsi="宋体" w:eastAsia="宋体" w:cs="宋体"/>
          <w:color w:val="auto"/>
          <w:sz w:val="24"/>
          <w:highlight w:val="none"/>
          <w:shd w:val="clear" w:color="auto" w:fill="FFFFFF"/>
        </w:rPr>
        <w:t>2、一旦我方中标，我方将严格履行合同规定的责任和义务，保证于合同签字生效后按采购人要求完成项目内容。</w:t>
      </w:r>
    </w:p>
    <w:p w14:paraId="2B3723D7">
      <w:pPr>
        <w:pageBreakBefore w:val="0"/>
        <w:shd w:val="solid" w:color="FFFFFF" w:fill="auto"/>
        <w:kinsoku/>
        <w:overflowPunct/>
        <w:autoSpaceDN w:val="0"/>
        <w:bidi w:val="0"/>
        <w:spacing w:line="360" w:lineRule="auto"/>
        <w:ind w:firstLine="480"/>
        <w:rPr>
          <w:rFonts w:hint="eastAsia" w:ascii="宋体" w:hAnsi="宋体" w:eastAsia="宋体" w:cs="宋体"/>
          <w:color w:val="auto"/>
          <w:highlight w:val="none"/>
          <w:shd w:val="clear" w:color="auto" w:fill="FFFFFF"/>
        </w:rPr>
      </w:pPr>
      <w:r>
        <w:rPr>
          <w:rFonts w:hint="eastAsia" w:ascii="宋体" w:hAnsi="宋体" w:eastAsia="宋体" w:cs="宋体"/>
          <w:color w:val="auto"/>
          <w:sz w:val="24"/>
          <w:highlight w:val="none"/>
          <w:shd w:val="clear" w:color="auto" w:fill="FFFFFF"/>
        </w:rPr>
        <w:t>3、我方同意按照招标文件的要求，向贵单位缴纳人民币</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shd w:val="clear" w:color="auto" w:fill="FFFFFF"/>
        </w:rPr>
        <w:t>元（大写：</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shd w:val="clear" w:color="auto" w:fill="FFFFFF"/>
        </w:rPr>
        <w:t>）的投标保证金。并承诺：下列任何情况发生时，我方将不要求退还投标保证金：</w:t>
      </w:r>
    </w:p>
    <w:p w14:paraId="6C43CCF0">
      <w:pPr>
        <w:pageBreakBefore w:val="0"/>
        <w:shd w:val="solid" w:color="FFFFFF" w:fill="auto"/>
        <w:kinsoku/>
        <w:overflowPunct/>
        <w:autoSpaceDN w:val="0"/>
        <w:bidi w:val="0"/>
        <w:spacing w:line="360" w:lineRule="auto"/>
        <w:ind w:firstLine="480"/>
        <w:rPr>
          <w:rFonts w:hint="eastAsia" w:ascii="宋体" w:hAnsi="宋体" w:eastAsia="宋体" w:cs="宋体"/>
          <w:color w:val="auto"/>
          <w:highlight w:val="none"/>
          <w:shd w:val="clear" w:color="auto" w:fill="FFFFFF"/>
        </w:rPr>
      </w:pPr>
      <w:r>
        <w:rPr>
          <w:rFonts w:hint="eastAsia" w:ascii="宋体" w:hAnsi="宋体" w:eastAsia="宋体" w:cs="宋体"/>
          <w:color w:val="auto"/>
          <w:sz w:val="24"/>
          <w:highlight w:val="none"/>
          <w:shd w:val="clear" w:color="auto" w:fill="FFFFFF"/>
        </w:rPr>
        <w:t>（1）如果我方在投标有效期内撤回投标；</w:t>
      </w:r>
    </w:p>
    <w:p w14:paraId="604F75EB">
      <w:pPr>
        <w:pageBreakBefore w:val="0"/>
        <w:shd w:val="solid" w:color="FFFFFF" w:fill="auto"/>
        <w:kinsoku/>
        <w:overflowPunct/>
        <w:autoSpaceDN w:val="0"/>
        <w:bidi w:val="0"/>
        <w:spacing w:line="360" w:lineRule="auto"/>
        <w:ind w:firstLine="482"/>
        <w:rPr>
          <w:rFonts w:hint="eastAsia" w:ascii="宋体" w:hAnsi="宋体" w:eastAsia="宋体" w:cs="宋体"/>
          <w:color w:val="auto"/>
          <w:highlight w:val="none"/>
          <w:shd w:val="clear" w:color="auto" w:fill="FFFFFF"/>
        </w:rPr>
      </w:pPr>
      <w:r>
        <w:rPr>
          <w:rFonts w:hint="eastAsia" w:ascii="宋体" w:hAnsi="宋体" w:eastAsia="宋体" w:cs="宋体"/>
          <w:color w:val="auto"/>
          <w:sz w:val="24"/>
          <w:highlight w:val="none"/>
          <w:shd w:val="clear" w:color="auto" w:fill="FFFFFF"/>
        </w:rPr>
        <w:t>（2）我方提供了虚假响应招标文件的投标文件；</w:t>
      </w:r>
    </w:p>
    <w:p w14:paraId="3C1531D9">
      <w:pPr>
        <w:pageBreakBefore w:val="0"/>
        <w:shd w:val="solid" w:color="FFFFFF" w:fill="auto"/>
        <w:kinsoku/>
        <w:overflowPunct/>
        <w:autoSpaceDN w:val="0"/>
        <w:bidi w:val="0"/>
        <w:spacing w:line="360" w:lineRule="auto"/>
        <w:ind w:firstLine="482"/>
        <w:rPr>
          <w:rFonts w:hint="eastAsia" w:ascii="宋体" w:hAnsi="宋体" w:eastAsia="宋体" w:cs="宋体"/>
          <w:color w:val="auto"/>
          <w:highlight w:val="none"/>
          <w:shd w:val="clear" w:color="auto" w:fill="FFFFFF"/>
        </w:rPr>
      </w:pPr>
      <w:r>
        <w:rPr>
          <w:rFonts w:hint="eastAsia" w:ascii="宋体" w:hAnsi="宋体" w:eastAsia="宋体" w:cs="宋体"/>
          <w:color w:val="auto"/>
          <w:sz w:val="24"/>
          <w:highlight w:val="none"/>
          <w:shd w:val="clear" w:color="auto" w:fill="FFFFFF"/>
        </w:rPr>
        <w:t>（3）在投标过程中有违规违纪行为；</w:t>
      </w:r>
    </w:p>
    <w:p w14:paraId="5DD10BE8">
      <w:pPr>
        <w:pageBreakBefore w:val="0"/>
        <w:shd w:val="solid" w:color="FFFFFF" w:fill="auto"/>
        <w:kinsoku/>
        <w:overflowPunct/>
        <w:autoSpaceDN w:val="0"/>
        <w:bidi w:val="0"/>
        <w:spacing w:line="360" w:lineRule="auto"/>
        <w:ind w:firstLine="482"/>
        <w:rPr>
          <w:rFonts w:hint="eastAsia" w:ascii="宋体" w:hAnsi="宋体" w:eastAsia="宋体" w:cs="宋体"/>
          <w:color w:val="auto"/>
          <w:highlight w:val="none"/>
          <w:shd w:val="clear" w:color="auto" w:fill="FFFFFF"/>
        </w:rPr>
      </w:pPr>
      <w:r>
        <w:rPr>
          <w:rFonts w:hint="eastAsia" w:ascii="宋体" w:hAnsi="宋体" w:eastAsia="宋体" w:cs="宋体"/>
          <w:color w:val="auto"/>
          <w:sz w:val="24"/>
          <w:highlight w:val="none"/>
          <w:shd w:val="clear" w:color="auto" w:fill="FFFFFF"/>
        </w:rPr>
        <w:t>（4）我方在投标有效期内收到中标通知书后，由于我方原因未能按照招标文件要求提交履约保证金或与采购人签订并履行合同。</w:t>
      </w:r>
    </w:p>
    <w:p w14:paraId="2846B0C3">
      <w:pPr>
        <w:pageBreakBefore w:val="0"/>
        <w:shd w:val="solid" w:color="FFFFFF" w:fill="auto"/>
        <w:kinsoku/>
        <w:overflowPunct/>
        <w:autoSpaceDN w:val="0"/>
        <w:bidi w:val="0"/>
        <w:spacing w:line="360" w:lineRule="auto"/>
        <w:ind w:firstLine="482"/>
        <w:rPr>
          <w:rFonts w:hint="eastAsia" w:ascii="宋体" w:hAnsi="宋体" w:eastAsia="宋体" w:cs="宋体"/>
          <w:color w:val="auto"/>
          <w:highlight w:val="none"/>
          <w:shd w:val="clear" w:color="auto" w:fill="FFFFFF"/>
        </w:rPr>
      </w:pPr>
      <w:r>
        <w:rPr>
          <w:rFonts w:hint="eastAsia" w:ascii="宋体" w:hAnsi="宋体" w:eastAsia="宋体" w:cs="宋体"/>
          <w:color w:val="auto"/>
          <w:sz w:val="24"/>
          <w:highlight w:val="none"/>
          <w:shd w:val="clear" w:color="auto" w:fill="FFFFFF"/>
        </w:rPr>
        <w:t>4、我方严格按照招标文件的要求提交投标文件。</w:t>
      </w:r>
    </w:p>
    <w:p w14:paraId="0A5E41A7">
      <w:pPr>
        <w:pageBreakBefore w:val="0"/>
        <w:shd w:val="solid" w:color="FFFFFF" w:fill="auto"/>
        <w:kinsoku/>
        <w:overflowPunct/>
        <w:autoSpaceDN w:val="0"/>
        <w:bidi w:val="0"/>
        <w:spacing w:line="360" w:lineRule="auto"/>
        <w:ind w:firstLine="480"/>
        <w:rPr>
          <w:rFonts w:hint="eastAsia" w:ascii="宋体" w:hAnsi="宋体" w:eastAsia="宋体" w:cs="宋体"/>
          <w:color w:val="auto"/>
          <w:highlight w:val="none"/>
          <w:shd w:val="clear" w:color="auto" w:fill="FFFFFF"/>
        </w:rPr>
      </w:pPr>
      <w:r>
        <w:rPr>
          <w:rFonts w:hint="eastAsia" w:ascii="宋体" w:hAnsi="宋体" w:eastAsia="宋体" w:cs="宋体"/>
          <w:color w:val="auto"/>
          <w:sz w:val="24"/>
          <w:highlight w:val="none"/>
          <w:shd w:val="clear" w:color="auto" w:fill="FFFFFF"/>
        </w:rPr>
        <w:t>5、我方愿意提供贵方可能另外要求的，与投标有关的文件资料，并保证我方已提供和将要提供的文件资料是真实、准确的。</w:t>
      </w:r>
    </w:p>
    <w:p w14:paraId="57DBD128">
      <w:pPr>
        <w:pageBreakBefore w:val="0"/>
        <w:shd w:val="solid" w:color="FFFFFF" w:fill="auto"/>
        <w:kinsoku/>
        <w:overflowPunct/>
        <w:autoSpaceDN w:val="0"/>
        <w:bidi w:val="0"/>
        <w:spacing w:line="360" w:lineRule="auto"/>
        <w:ind w:firstLine="480"/>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6、我方完全理解采购人不一定将合同授予最低报价的投标人的行为。</w:t>
      </w:r>
    </w:p>
    <w:p w14:paraId="06F12547">
      <w:pPr>
        <w:pageBreakBefore w:val="0"/>
        <w:shd w:val="solid" w:color="FFFFFF" w:fill="auto"/>
        <w:kinsoku/>
        <w:overflowPunct/>
        <w:autoSpaceDN w:val="0"/>
        <w:bidi w:val="0"/>
        <w:spacing w:line="360" w:lineRule="auto"/>
        <w:ind w:firstLine="480"/>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7、投标有效期：</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shd w:val="clear" w:color="auto" w:fill="FFFFFF"/>
        </w:rPr>
        <w:t>。</w:t>
      </w:r>
    </w:p>
    <w:p w14:paraId="369B35DE">
      <w:pPr>
        <w:pStyle w:val="5"/>
        <w:pageBreakBefore w:val="0"/>
        <w:kinsoku/>
        <w:overflowPunct/>
        <w:bidi w:val="0"/>
        <w:spacing w:after="0" w:line="360" w:lineRule="auto"/>
        <w:ind w:firstLine="420" w:firstLineChars="200"/>
        <w:rPr>
          <w:rFonts w:hint="eastAsia" w:ascii="宋体" w:hAnsi="宋体" w:eastAsia="宋体" w:cs="宋体"/>
          <w:color w:val="auto"/>
          <w:sz w:val="24"/>
          <w:highlight w:val="none"/>
          <w:shd w:val="clear" w:color="auto" w:fill="FFFFFF"/>
        </w:rPr>
      </w:pPr>
      <w:r>
        <w:rPr>
          <w:rFonts w:hint="eastAsia" w:ascii="宋体" w:hAnsi="宋体" w:eastAsia="宋体" w:cs="宋体"/>
          <w:color w:val="auto"/>
          <w:highlight w:val="none"/>
          <w:lang w:val="en-US" w:eastAsia="zh-CN"/>
        </w:rPr>
        <w:t>......</w:t>
      </w:r>
    </w:p>
    <w:p w14:paraId="2C114A43">
      <w:pPr>
        <w:pageBreakBefore w:val="0"/>
        <w:shd w:val="solid" w:color="FFFFFF" w:fill="auto"/>
        <w:kinsoku/>
        <w:overflowPunct/>
        <w:autoSpaceDN w:val="0"/>
        <w:bidi w:val="0"/>
        <w:spacing w:line="360" w:lineRule="auto"/>
        <w:ind w:firstLine="480"/>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投标人名称:</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shd w:val="clear" w:color="auto" w:fill="FFFFFF"/>
        </w:rPr>
        <w:t>（电子签章）</w:t>
      </w:r>
    </w:p>
    <w:p w14:paraId="08666FEA">
      <w:pPr>
        <w:pageBreakBefore w:val="0"/>
        <w:shd w:val="solid" w:color="FFFFFF" w:fill="auto"/>
        <w:kinsoku/>
        <w:overflowPunct/>
        <w:autoSpaceDN w:val="0"/>
        <w:bidi w:val="0"/>
        <w:spacing w:line="360" w:lineRule="auto"/>
        <w:ind w:firstLine="480"/>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法定代表人或其委托代理人:</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shd w:val="clear" w:color="auto" w:fill="FFFFFF"/>
        </w:rPr>
        <w:t xml:space="preserve">（电子签章或电子签名）        </w:t>
      </w:r>
    </w:p>
    <w:p w14:paraId="374D9270">
      <w:pPr>
        <w:pageBreakBefore w:val="0"/>
        <w:shd w:val="solid" w:color="FFFFFF" w:fill="auto"/>
        <w:kinsoku/>
        <w:overflowPunct/>
        <w:autoSpaceDN w:val="0"/>
        <w:bidi w:val="0"/>
        <w:spacing w:line="360" w:lineRule="auto"/>
        <w:ind w:firstLine="480"/>
        <w:rPr>
          <w:rFonts w:hint="eastAsia" w:ascii="宋体" w:hAnsi="宋体" w:eastAsia="宋体" w:cs="宋体"/>
          <w:color w:val="auto"/>
          <w:highlight w:val="none"/>
          <w:shd w:val="clear" w:color="auto" w:fill="FFFFFF"/>
        </w:rPr>
      </w:pPr>
      <w:r>
        <w:rPr>
          <w:rFonts w:hint="eastAsia" w:ascii="宋体" w:hAnsi="宋体" w:eastAsia="宋体" w:cs="宋体"/>
          <w:color w:val="auto"/>
          <w:sz w:val="24"/>
          <w:highlight w:val="none"/>
          <w:shd w:val="clear" w:color="auto" w:fill="FFFFFF"/>
        </w:rPr>
        <w:t>通讯地址：</w:t>
      </w:r>
      <w:r>
        <w:rPr>
          <w:rFonts w:hint="eastAsia" w:ascii="宋体" w:hAnsi="宋体" w:eastAsia="宋体" w:cs="宋体"/>
          <w:color w:val="auto"/>
          <w:sz w:val="24"/>
          <w:highlight w:val="none"/>
          <w:u w:val="single"/>
          <w:shd w:val="clear" w:color="auto" w:fill="FFFFFF"/>
        </w:rPr>
        <w:t xml:space="preserve">　　　　　　　　　　　　　 </w:t>
      </w:r>
    </w:p>
    <w:p w14:paraId="00E0C9CC">
      <w:pPr>
        <w:pageBreakBefore w:val="0"/>
        <w:shd w:val="solid" w:color="FFFFFF" w:fill="auto"/>
        <w:kinsoku/>
        <w:overflowPunct/>
        <w:autoSpaceDN w:val="0"/>
        <w:bidi w:val="0"/>
        <w:spacing w:line="360" w:lineRule="auto"/>
        <w:ind w:firstLine="480"/>
        <w:rPr>
          <w:rFonts w:hint="eastAsia" w:ascii="宋体" w:hAnsi="宋体" w:eastAsia="宋体" w:cs="宋体"/>
          <w:color w:val="auto"/>
          <w:highlight w:val="none"/>
          <w:shd w:val="clear" w:color="auto" w:fill="FFFFFF"/>
        </w:rPr>
      </w:pPr>
      <w:r>
        <w:rPr>
          <w:rFonts w:hint="eastAsia" w:ascii="宋体" w:hAnsi="宋体" w:eastAsia="宋体" w:cs="宋体"/>
          <w:color w:val="auto"/>
          <w:sz w:val="24"/>
          <w:highlight w:val="none"/>
          <w:shd w:val="clear" w:color="auto" w:fill="FFFFFF"/>
        </w:rPr>
        <w:t>联系电话（手机号）：</w:t>
      </w:r>
      <w:r>
        <w:rPr>
          <w:rFonts w:hint="eastAsia" w:ascii="宋体" w:hAnsi="宋体" w:eastAsia="宋体" w:cs="宋体"/>
          <w:color w:val="auto"/>
          <w:sz w:val="24"/>
          <w:highlight w:val="none"/>
          <w:u w:val="single"/>
          <w:shd w:val="clear" w:color="auto" w:fill="FFFFFF"/>
        </w:rPr>
        <w:t xml:space="preserve">　　　　　　　　　　 </w:t>
      </w:r>
    </w:p>
    <w:p w14:paraId="6DC42F99">
      <w:pPr>
        <w:pageBreakBefore w:val="0"/>
        <w:shd w:val="solid" w:color="FFFFFF" w:fill="auto"/>
        <w:kinsoku/>
        <w:overflowPunct/>
        <w:autoSpaceDN w:val="0"/>
        <w:bidi w:val="0"/>
        <w:spacing w:line="360" w:lineRule="auto"/>
        <w:ind w:firstLine="480"/>
        <w:rPr>
          <w:rFonts w:hint="eastAsia" w:ascii="宋体" w:hAnsi="宋体" w:eastAsia="宋体" w:cs="宋体"/>
          <w:color w:val="auto"/>
          <w:highlight w:val="none"/>
          <w:shd w:val="clear" w:color="auto" w:fill="FFFFFF"/>
        </w:rPr>
      </w:pPr>
      <w:r>
        <w:rPr>
          <w:rFonts w:hint="eastAsia" w:ascii="宋体" w:hAnsi="宋体" w:eastAsia="宋体" w:cs="宋体"/>
          <w:color w:val="auto"/>
          <w:sz w:val="24"/>
          <w:highlight w:val="none"/>
          <w:shd w:val="clear" w:color="auto" w:fill="FFFFFF"/>
        </w:rPr>
        <w:t>座机：</w:t>
      </w:r>
      <w:r>
        <w:rPr>
          <w:rFonts w:hint="eastAsia" w:ascii="宋体" w:hAnsi="宋体" w:eastAsia="宋体" w:cs="宋体"/>
          <w:color w:val="auto"/>
          <w:sz w:val="24"/>
          <w:highlight w:val="none"/>
          <w:u w:val="single"/>
          <w:shd w:val="clear" w:color="auto" w:fill="FFFFFF"/>
        </w:rPr>
        <w:t xml:space="preserve">　　　　　　　　　　　　　 </w:t>
      </w:r>
    </w:p>
    <w:p w14:paraId="08DFE7CA">
      <w:pPr>
        <w:pageBreakBefore w:val="0"/>
        <w:shd w:val="solid" w:color="FFFFFF" w:fill="auto"/>
        <w:kinsoku/>
        <w:overflowPunct/>
        <w:autoSpaceDN w:val="0"/>
        <w:bidi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shd w:val="clear" w:color="auto" w:fill="FFFFFF"/>
        </w:rPr>
        <w:t>：</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月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26C92E88">
      <w:pPr>
        <w:pageBreakBefore w:val="0"/>
        <w:tabs>
          <w:tab w:val="right" w:pos="8306"/>
        </w:tabs>
        <w:kinsoku/>
        <w:overflowPunct/>
        <w:bidi w:val="0"/>
        <w:spacing w:after="156" w:line="360" w:lineRule="auto"/>
        <w:jc w:val="center"/>
        <w:outlineLvl w:val="1"/>
        <w:rPr>
          <w:rFonts w:hint="eastAsia" w:ascii="宋体" w:hAnsi="宋体" w:eastAsia="宋体" w:cs="宋体"/>
          <w:color w:val="auto"/>
          <w:sz w:val="32"/>
          <w:szCs w:val="32"/>
          <w:highlight w:val="none"/>
        </w:rPr>
      </w:pPr>
      <w:bookmarkStart w:id="170" w:name="_Toc30762"/>
      <w:bookmarkStart w:id="171" w:name="_Toc3346"/>
      <w:bookmarkStart w:id="172" w:name="_Toc27908"/>
      <w:bookmarkStart w:id="173" w:name="_Toc4631"/>
      <w:bookmarkStart w:id="174" w:name="_Toc29426"/>
      <w:bookmarkStart w:id="175" w:name="_Toc18194"/>
      <w:bookmarkStart w:id="176" w:name="_Toc21908"/>
      <w:bookmarkStart w:id="177" w:name="_Toc15973"/>
      <w:bookmarkStart w:id="178" w:name="_Toc20026"/>
      <w:r>
        <w:rPr>
          <w:rFonts w:hint="eastAsia" w:ascii="宋体" w:hAnsi="宋体" w:eastAsia="宋体" w:cs="宋体"/>
          <w:b/>
          <w:color w:val="auto"/>
          <w:sz w:val="32"/>
          <w:szCs w:val="32"/>
          <w:highlight w:val="none"/>
          <w:shd w:val="clear" w:color="auto" w:fill="FFFFFF"/>
        </w:rPr>
        <w:t>二、法定代表人身份证明书</w:t>
      </w:r>
      <w:bookmarkEnd w:id="170"/>
      <w:bookmarkEnd w:id="171"/>
      <w:bookmarkEnd w:id="172"/>
      <w:bookmarkEnd w:id="173"/>
      <w:bookmarkEnd w:id="174"/>
      <w:bookmarkEnd w:id="175"/>
      <w:bookmarkEnd w:id="176"/>
      <w:bookmarkEnd w:id="177"/>
      <w:bookmarkEnd w:id="178"/>
    </w:p>
    <w:p w14:paraId="5195735D">
      <w:pPr>
        <w:pageBreakBefore w:val="0"/>
        <w:tabs>
          <w:tab w:val="right" w:pos="8306"/>
        </w:tabs>
        <w:kinsoku/>
        <w:overflowPunct/>
        <w:bidi w:val="0"/>
        <w:spacing w:line="360" w:lineRule="auto"/>
        <w:rPr>
          <w:rFonts w:hint="eastAsia" w:ascii="宋体" w:hAnsi="宋体" w:eastAsia="宋体" w:cs="宋体"/>
          <w:color w:val="auto"/>
          <w:sz w:val="24"/>
          <w:highlight w:val="none"/>
        </w:rPr>
      </w:pPr>
    </w:p>
    <w:p w14:paraId="2C6F3518">
      <w:pPr>
        <w:pageBreakBefore w:val="0"/>
        <w:tabs>
          <w:tab w:val="right" w:pos="8306"/>
        </w:tabs>
        <w:kinsoku/>
        <w:overflowPunct/>
        <w:bidi w:val="0"/>
        <w:spacing w:line="360" w:lineRule="auto"/>
        <w:rPr>
          <w:rFonts w:hint="eastAsia" w:ascii="宋体" w:hAnsi="宋体" w:eastAsia="宋体" w:cs="宋体"/>
          <w:color w:val="auto"/>
          <w:sz w:val="24"/>
          <w:highlight w:val="none"/>
        </w:rPr>
      </w:pPr>
    </w:p>
    <w:p w14:paraId="4B371A25">
      <w:pPr>
        <w:pageBreakBefore w:val="0"/>
        <w:tabs>
          <w:tab w:val="right" w:pos="8306"/>
        </w:tabs>
        <w:kinsoku/>
        <w:overflowPunct/>
        <w:bidi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单位名称：</w:t>
      </w:r>
      <w:r>
        <w:rPr>
          <w:rFonts w:hint="eastAsia" w:ascii="宋体" w:hAnsi="宋体" w:eastAsia="宋体" w:cs="宋体"/>
          <w:color w:val="auto"/>
          <w:sz w:val="24"/>
          <w:highlight w:val="none"/>
          <w:u w:val="single"/>
        </w:rPr>
        <w:t xml:space="preserve">                               </w:t>
      </w:r>
    </w:p>
    <w:p w14:paraId="69419567">
      <w:pPr>
        <w:pageBreakBefore w:val="0"/>
        <w:tabs>
          <w:tab w:val="right" w:pos="8306"/>
        </w:tabs>
        <w:kinsoku/>
        <w:overflowPunct/>
        <w:bidi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 xml:space="preserve">                               </w:t>
      </w:r>
    </w:p>
    <w:p w14:paraId="54F45E05">
      <w:pPr>
        <w:pageBreakBefore w:val="0"/>
        <w:tabs>
          <w:tab w:val="right" w:pos="8306"/>
        </w:tabs>
        <w:kinsoku/>
        <w:overflowPunct/>
        <w:bidi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p>
    <w:p w14:paraId="68401A1F">
      <w:pPr>
        <w:pageBreakBefore w:val="0"/>
        <w:tabs>
          <w:tab w:val="right" w:pos="8306"/>
        </w:tabs>
        <w:kinsoku/>
        <w:overflowPunct/>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日 </w:t>
      </w:r>
    </w:p>
    <w:p w14:paraId="73337F8F">
      <w:pPr>
        <w:pageBreakBefore w:val="0"/>
        <w:tabs>
          <w:tab w:val="right" w:pos="8306"/>
        </w:tabs>
        <w:kinsoku/>
        <w:overflowPunct/>
        <w:bidi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 xml:space="preserve">                              </w:t>
      </w:r>
    </w:p>
    <w:p w14:paraId="600D4DB2">
      <w:pPr>
        <w:pageBreakBefore w:val="0"/>
        <w:tabs>
          <w:tab w:val="right" w:pos="8306"/>
        </w:tabs>
        <w:kinsoku/>
        <w:overflowPunct/>
        <w:bidi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w:t>
      </w:r>
      <w:r>
        <w:rPr>
          <w:rFonts w:hint="eastAsia" w:ascii="宋体" w:hAnsi="宋体" w:eastAsia="宋体" w:cs="宋体"/>
          <w:color w:val="auto"/>
          <w:sz w:val="24"/>
          <w:highlight w:val="none"/>
          <w:u w:val="single"/>
        </w:rPr>
        <w:t xml:space="preserve">       </w:t>
      </w:r>
    </w:p>
    <w:p w14:paraId="15DE71C0">
      <w:pPr>
        <w:pageBreakBefore w:val="0"/>
        <w:tabs>
          <w:tab w:val="right" w:pos="8306"/>
        </w:tabs>
        <w:kinsoku/>
        <w:overflowPunct/>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（投标人的单位名称）</w:t>
      </w:r>
      <w:r>
        <w:rPr>
          <w:rFonts w:hint="eastAsia" w:ascii="宋体" w:hAnsi="宋体" w:eastAsia="宋体" w:cs="宋体"/>
          <w:color w:val="auto"/>
          <w:sz w:val="24"/>
          <w:highlight w:val="none"/>
        </w:rPr>
        <w:t>的法定代表人。</w:t>
      </w:r>
    </w:p>
    <w:p w14:paraId="5615A145">
      <w:pPr>
        <w:pageBreakBefore w:val="0"/>
        <w:tabs>
          <w:tab w:val="right" w:pos="8306"/>
        </w:tabs>
        <w:kinsoku/>
        <w:overflowPunct/>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特此证明。</w:t>
      </w:r>
    </w:p>
    <w:p w14:paraId="7DB12093">
      <w:pPr>
        <w:pageBreakBefore w:val="0"/>
        <w:tabs>
          <w:tab w:val="right" w:pos="8306"/>
        </w:tabs>
        <w:kinsoku/>
        <w:overflowPunct/>
        <w:bidi w:val="0"/>
        <w:spacing w:line="360" w:lineRule="auto"/>
        <w:rPr>
          <w:rFonts w:hint="eastAsia" w:ascii="宋体" w:hAnsi="宋体" w:eastAsia="宋体" w:cs="宋体"/>
          <w:color w:val="auto"/>
          <w:sz w:val="24"/>
          <w:highlight w:val="none"/>
        </w:rPr>
      </w:pPr>
    </w:p>
    <w:p w14:paraId="65FB2445">
      <w:pPr>
        <w:pStyle w:val="28"/>
        <w:pageBreakBefore w:val="0"/>
        <w:kinsoku/>
        <w:overflowPunct/>
        <w:bidi w:val="0"/>
        <w:spacing w:line="360" w:lineRule="auto"/>
        <w:rPr>
          <w:rFonts w:hint="eastAsia" w:ascii="宋体" w:hAnsi="宋体" w:eastAsia="宋体" w:cs="宋体"/>
          <w:color w:val="auto"/>
          <w:highlight w:val="none"/>
        </w:rPr>
      </w:pPr>
    </w:p>
    <w:p w14:paraId="5A9BA5A7">
      <w:pPr>
        <w:pageBreakBefore w:val="0"/>
        <w:tabs>
          <w:tab w:val="right" w:pos="8306"/>
        </w:tabs>
        <w:kinsoku/>
        <w:overflowPunct/>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投标人名称：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w:t>
      </w:r>
    </w:p>
    <w:p w14:paraId="45A3DF39">
      <w:pPr>
        <w:pageBreakBefore w:val="0"/>
        <w:tabs>
          <w:tab w:val="right" w:pos="8306"/>
        </w:tabs>
        <w:kinsoku/>
        <w:overflowPunct/>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6D33C6CC">
      <w:pPr>
        <w:pageBreakBefore w:val="0"/>
        <w:tabs>
          <w:tab w:val="right" w:pos="8306"/>
        </w:tabs>
        <w:kinsoku/>
        <w:overflowPunct/>
        <w:bidi w:val="0"/>
        <w:spacing w:line="360" w:lineRule="auto"/>
        <w:rPr>
          <w:rFonts w:hint="eastAsia" w:ascii="宋体" w:hAnsi="宋体" w:eastAsia="宋体" w:cs="宋体"/>
          <w:color w:val="auto"/>
          <w:sz w:val="24"/>
          <w:highlight w:val="none"/>
        </w:rPr>
      </w:pPr>
    </w:p>
    <w:p w14:paraId="5F7D76D0">
      <w:pPr>
        <w:pageBreakBefore w:val="0"/>
        <w:tabs>
          <w:tab w:val="right" w:pos="8306"/>
        </w:tabs>
        <w:kinsoku/>
        <w:overflowPunct/>
        <w:bidi w:val="0"/>
        <w:spacing w:line="360" w:lineRule="auto"/>
        <w:ind w:firstLine="284"/>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附：法定代表人身份证复印件正、反面</w:t>
      </w:r>
    </w:p>
    <w:tbl>
      <w:tblPr>
        <w:tblStyle w:val="23"/>
        <w:tblW w:w="0" w:type="auto"/>
        <w:jc w:val="center"/>
        <w:tblLayout w:type="fixed"/>
        <w:tblCellMar>
          <w:top w:w="0" w:type="dxa"/>
          <w:left w:w="108" w:type="dxa"/>
          <w:bottom w:w="0" w:type="dxa"/>
          <w:right w:w="108" w:type="dxa"/>
        </w:tblCellMar>
      </w:tblPr>
      <w:tblGrid>
        <w:gridCol w:w="4620"/>
        <w:gridCol w:w="4305"/>
      </w:tblGrid>
      <w:tr w14:paraId="20319807">
        <w:tblPrEx>
          <w:tblCellMar>
            <w:top w:w="0" w:type="dxa"/>
            <w:left w:w="108" w:type="dxa"/>
            <w:bottom w:w="0" w:type="dxa"/>
            <w:right w:w="108" w:type="dxa"/>
          </w:tblCellMar>
        </w:tblPrEx>
        <w:trPr>
          <w:trHeight w:val="2918" w:hRule="atLeast"/>
          <w:jc w:val="center"/>
        </w:trPr>
        <w:tc>
          <w:tcPr>
            <w:tcW w:w="4620" w:type="dxa"/>
            <w:tcBorders>
              <w:top w:val="single" w:color="000000" w:sz="4" w:space="0"/>
              <w:left w:val="single" w:color="000000" w:sz="4" w:space="0"/>
              <w:bottom w:val="single" w:color="000000" w:sz="4" w:space="0"/>
              <w:right w:val="single" w:color="000000" w:sz="4" w:space="0"/>
            </w:tcBorders>
            <w:noWrap w:val="0"/>
            <w:vAlign w:val="top"/>
          </w:tcPr>
          <w:p w14:paraId="361F6427">
            <w:pPr>
              <w:pageBreakBefore w:val="0"/>
              <w:kinsoku/>
              <w:overflowPunct/>
              <w:bidi w:val="0"/>
              <w:spacing w:line="360" w:lineRule="auto"/>
              <w:jc w:val="center"/>
              <w:rPr>
                <w:rFonts w:hint="eastAsia" w:ascii="宋体" w:hAnsi="宋体" w:eastAsia="宋体" w:cs="宋体"/>
                <w:color w:val="auto"/>
                <w:kern w:val="1"/>
                <w:sz w:val="24"/>
                <w:highlight w:val="none"/>
              </w:rPr>
            </w:pPr>
          </w:p>
          <w:p w14:paraId="27C6D75B">
            <w:pPr>
              <w:pageBreakBefore w:val="0"/>
              <w:kinsoku/>
              <w:overflowPunct/>
              <w:bidi w:val="0"/>
              <w:spacing w:line="360" w:lineRule="auto"/>
              <w:jc w:val="center"/>
              <w:rPr>
                <w:rFonts w:hint="eastAsia" w:ascii="宋体" w:hAnsi="宋体" w:eastAsia="宋体" w:cs="宋体"/>
                <w:color w:val="auto"/>
                <w:kern w:val="1"/>
                <w:sz w:val="24"/>
                <w:highlight w:val="none"/>
              </w:rPr>
            </w:pPr>
          </w:p>
          <w:p w14:paraId="6253A122">
            <w:pPr>
              <w:pageBreakBefore w:val="0"/>
              <w:kinsoku/>
              <w:overflowPunct/>
              <w:bidi w:val="0"/>
              <w:spacing w:line="360" w:lineRule="auto"/>
              <w:jc w:val="center"/>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rPr>
              <w:t>附身份证复印件正面</w:t>
            </w:r>
          </w:p>
        </w:tc>
        <w:tc>
          <w:tcPr>
            <w:tcW w:w="4305" w:type="dxa"/>
            <w:tcBorders>
              <w:top w:val="single" w:color="000000" w:sz="4" w:space="0"/>
              <w:left w:val="single" w:color="000000" w:sz="4" w:space="0"/>
              <w:bottom w:val="single" w:color="000000" w:sz="4" w:space="0"/>
              <w:right w:val="single" w:color="000000" w:sz="4" w:space="0"/>
            </w:tcBorders>
            <w:noWrap w:val="0"/>
            <w:vAlign w:val="top"/>
          </w:tcPr>
          <w:p w14:paraId="1C4A1A70">
            <w:pPr>
              <w:pageBreakBefore w:val="0"/>
              <w:kinsoku/>
              <w:overflowPunct/>
              <w:bidi w:val="0"/>
              <w:spacing w:line="360" w:lineRule="auto"/>
              <w:jc w:val="center"/>
              <w:rPr>
                <w:rFonts w:hint="eastAsia" w:ascii="宋体" w:hAnsi="宋体" w:eastAsia="宋体" w:cs="宋体"/>
                <w:color w:val="auto"/>
                <w:kern w:val="1"/>
                <w:sz w:val="24"/>
                <w:highlight w:val="none"/>
              </w:rPr>
            </w:pPr>
          </w:p>
          <w:p w14:paraId="71AE8531">
            <w:pPr>
              <w:pageBreakBefore w:val="0"/>
              <w:kinsoku/>
              <w:overflowPunct/>
              <w:bidi w:val="0"/>
              <w:spacing w:line="360" w:lineRule="auto"/>
              <w:jc w:val="center"/>
              <w:rPr>
                <w:rFonts w:hint="eastAsia" w:ascii="宋体" w:hAnsi="宋体" w:eastAsia="宋体" w:cs="宋体"/>
                <w:color w:val="auto"/>
                <w:kern w:val="1"/>
                <w:sz w:val="24"/>
                <w:highlight w:val="none"/>
              </w:rPr>
            </w:pPr>
          </w:p>
          <w:p w14:paraId="7C79A357">
            <w:pPr>
              <w:pageBreakBefore w:val="0"/>
              <w:kinsoku/>
              <w:overflowPunct/>
              <w:bidi w:val="0"/>
              <w:spacing w:line="360" w:lineRule="auto"/>
              <w:jc w:val="center"/>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rPr>
              <w:t>附身份证复印件背面</w:t>
            </w:r>
          </w:p>
        </w:tc>
      </w:tr>
    </w:tbl>
    <w:p w14:paraId="392BA3A5">
      <w:pPr>
        <w:pageBreakBefore w:val="0"/>
        <w:shd w:val="solid" w:color="FFFFFF" w:fill="auto"/>
        <w:kinsoku/>
        <w:overflowPunct/>
        <w:autoSpaceDN w:val="0"/>
        <w:bidi w:val="0"/>
        <w:spacing w:line="360" w:lineRule="auto"/>
        <w:jc w:val="center"/>
        <w:outlineLvl w:val="1"/>
        <w:rPr>
          <w:rFonts w:hint="eastAsia" w:ascii="宋体" w:hAnsi="宋体" w:eastAsia="宋体" w:cs="宋体"/>
          <w:color w:val="auto"/>
          <w:sz w:val="32"/>
          <w:szCs w:val="32"/>
          <w:highlight w:val="none"/>
          <w:shd w:val="clear" w:color="auto" w:fill="FFFFFF"/>
        </w:rPr>
      </w:pPr>
      <w:r>
        <w:rPr>
          <w:rFonts w:hint="eastAsia" w:ascii="宋体" w:hAnsi="宋体" w:eastAsia="宋体" w:cs="宋体"/>
          <w:lang w:eastAsia="zh-CN"/>
        </w:rPr>
        <w:br w:type="page"/>
      </w:r>
      <w:bookmarkStart w:id="179" w:name="_Toc13993"/>
      <w:bookmarkStart w:id="180" w:name="_Toc11455"/>
      <w:bookmarkStart w:id="181" w:name="_Toc16570"/>
      <w:bookmarkStart w:id="182" w:name="_Toc8354"/>
      <w:bookmarkStart w:id="183" w:name="_Toc15027"/>
      <w:bookmarkStart w:id="184" w:name="_Toc2956"/>
      <w:bookmarkStart w:id="185" w:name="_Toc28784"/>
      <w:r>
        <w:rPr>
          <w:rFonts w:hint="eastAsia" w:ascii="宋体" w:hAnsi="宋体" w:eastAsia="宋体" w:cs="宋体"/>
          <w:b/>
          <w:color w:val="auto"/>
          <w:sz w:val="32"/>
          <w:szCs w:val="32"/>
          <w:highlight w:val="none"/>
          <w:shd w:val="clear" w:color="auto" w:fill="FFFFFF"/>
        </w:rPr>
        <w:t>三、法定代表人授权</w:t>
      </w:r>
      <w:r>
        <w:rPr>
          <w:rFonts w:hint="eastAsia" w:ascii="宋体" w:hAnsi="宋体" w:eastAsia="宋体" w:cs="宋体"/>
          <w:b/>
          <w:color w:val="auto"/>
          <w:sz w:val="32"/>
          <w:szCs w:val="32"/>
          <w:highlight w:val="none"/>
          <w:shd w:val="clear" w:color="auto" w:fill="FFFFFF"/>
          <w:lang w:val="en-US" w:eastAsia="zh-CN"/>
        </w:rPr>
        <w:t>委托</w:t>
      </w:r>
      <w:r>
        <w:rPr>
          <w:rFonts w:hint="eastAsia" w:ascii="宋体" w:hAnsi="宋体" w:eastAsia="宋体" w:cs="宋体"/>
          <w:b/>
          <w:color w:val="auto"/>
          <w:sz w:val="32"/>
          <w:szCs w:val="32"/>
          <w:highlight w:val="none"/>
          <w:shd w:val="clear" w:color="auto" w:fill="FFFFFF"/>
        </w:rPr>
        <w:t>书</w:t>
      </w:r>
      <w:bookmarkEnd w:id="179"/>
      <w:bookmarkEnd w:id="180"/>
      <w:bookmarkEnd w:id="181"/>
      <w:bookmarkEnd w:id="182"/>
      <w:bookmarkEnd w:id="183"/>
      <w:bookmarkEnd w:id="184"/>
      <w:bookmarkEnd w:id="185"/>
    </w:p>
    <w:p w14:paraId="68ACAFCD">
      <w:pPr>
        <w:pageBreakBefore w:val="0"/>
        <w:shd w:val="solid" w:color="FFFFFF" w:fill="auto"/>
        <w:kinsoku/>
        <w:overflowPunct/>
        <w:autoSpaceDN w:val="0"/>
        <w:bidi w:val="0"/>
        <w:spacing w:line="360" w:lineRule="auto"/>
        <w:rPr>
          <w:rFonts w:hint="eastAsia" w:ascii="宋体" w:hAnsi="宋体" w:eastAsia="宋体" w:cs="宋体"/>
          <w:color w:val="auto"/>
          <w:highlight w:val="none"/>
          <w:shd w:val="clear" w:color="auto" w:fill="FFFFFF"/>
        </w:rPr>
      </w:pPr>
      <w:r>
        <w:rPr>
          <w:rFonts w:hint="eastAsia" w:ascii="宋体" w:hAnsi="宋体" w:eastAsia="宋体" w:cs="宋体"/>
          <w:b/>
          <w:color w:val="auto"/>
          <w:highlight w:val="none"/>
          <w:shd w:val="clear" w:color="auto" w:fill="FFFFFF"/>
        </w:rPr>
        <w:t xml:space="preserve"> </w:t>
      </w:r>
    </w:p>
    <w:p w14:paraId="4A01C312">
      <w:pPr>
        <w:pageBreakBefore w:val="0"/>
        <w:kinsoku/>
        <w:overflowPunct/>
        <w:bidi w:val="0"/>
        <w:spacing w:before="10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（法定代表人姓名）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投标人</w:t>
      </w:r>
      <w:r>
        <w:rPr>
          <w:rFonts w:hint="eastAsia" w:ascii="宋体" w:hAnsi="宋体" w:eastAsia="宋体" w:cs="宋体"/>
          <w:color w:val="auto"/>
          <w:sz w:val="24"/>
          <w:szCs w:val="24"/>
          <w:highlight w:val="none"/>
          <w:u w:val="single"/>
        </w:rPr>
        <w:t xml:space="preserve">名称）        </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single"/>
        </w:rPr>
        <w:t xml:space="preserve">    （姓名</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为我方代理人。代理人根据授权，以我方名义签署、澄清、说明、补正、递交、撤回、修改“</w:t>
      </w:r>
      <w:r>
        <w:rPr>
          <w:rFonts w:hint="eastAsia" w:ascii="宋体" w:hAnsi="宋体" w:cs="宋体"/>
          <w:color w:val="auto"/>
          <w:sz w:val="24"/>
          <w:szCs w:val="20"/>
          <w:highlight w:val="none"/>
          <w:shd w:val="clear" w:color="auto" w:fill="FFFFFF"/>
          <w:lang w:eastAsia="zh-CN"/>
        </w:rPr>
        <w:t>珠江流域（玉溪段）生态环境监测能力提升项目</w:t>
      </w:r>
      <w:r>
        <w:rPr>
          <w:rFonts w:hint="eastAsia" w:ascii="宋体" w:hAnsi="宋体" w:eastAsia="宋体" w:cs="宋体"/>
          <w:color w:val="auto"/>
          <w:sz w:val="24"/>
          <w:szCs w:val="20"/>
          <w:highlight w:val="none"/>
          <w:u w:val="single"/>
          <w:shd w:val="clear" w:color="auto" w:fill="FFFFFF"/>
          <w:lang w:val="en-US" w:eastAsia="zh-CN"/>
        </w:rPr>
        <w:t xml:space="preserve">    </w:t>
      </w:r>
      <w:r>
        <w:rPr>
          <w:rFonts w:hint="eastAsia" w:ascii="宋体" w:hAnsi="宋体" w:eastAsia="宋体" w:cs="宋体"/>
          <w:color w:val="auto"/>
          <w:sz w:val="24"/>
          <w:szCs w:val="20"/>
          <w:highlight w:val="none"/>
          <w:shd w:val="clear" w:color="auto" w:fill="FFFFFF"/>
          <w:lang w:val="en-US" w:eastAsia="zh-CN"/>
        </w:rPr>
        <w:t>包</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文件、签订合同和处理有关事宜，其法律后果由我方承担。</w:t>
      </w:r>
    </w:p>
    <w:p w14:paraId="5B6F5508">
      <w:pPr>
        <w:pageBreakBefore w:val="0"/>
        <w:kinsoku/>
        <w:overflowPunct/>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09BFE931">
      <w:pPr>
        <w:pageBreakBefore w:val="0"/>
        <w:kinsoku/>
        <w:overflowPunct/>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14:paraId="7866766A">
      <w:pPr>
        <w:pageBreakBefore w:val="0"/>
        <w:shd w:val="solid" w:color="FFFFFF" w:fill="auto"/>
        <w:kinsoku/>
        <w:overflowPunct/>
        <w:autoSpaceDN w:val="0"/>
        <w:bidi w:val="0"/>
        <w:spacing w:line="360" w:lineRule="auto"/>
        <w:ind w:firstLine="48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 xml:space="preserve"> </w:t>
      </w:r>
    </w:p>
    <w:p w14:paraId="2F89011D">
      <w:pPr>
        <w:pageBreakBefore w:val="0"/>
        <w:kinsoku/>
        <w:overflowPunct/>
        <w:bidi w:val="0"/>
        <w:spacing w:line="360" w:lineRule="auto"/>
        <w:ind w:right="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投标人名称：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w:t>
      </w:r>
    </w:p>
    <w:p w14:paraId="4F252A65">
      <w:pPr>
        <w:pageBreakBefore w:val="0"/>
        <w:kinsoku/>
        <w:overflowPunct/>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（电子签章或电子签名）</w:t>
      </w:r>
    </w:p>
    <w:p w14:paraId="62BE5DD8">
      <w:pPr>
        <w:pageBreakBefore w:val="0"/>
        <w:kinsoku/>
        <w:wordWrap w:val="0"/>
        <w:overflowPunct/>
        <w:bidi w:val="0"/>
        <w:spacing w:line="360" w:lineRule="auto"/>
        <w:ind w:left="3780" w:leftChars="18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0012F9BA">
      <w:pPr>
        <w:pageBreakBefore w:val="0"/>
        <w:kinsoku/>
        <w:overflowPunct/>
        <w:bidi w:val="0"/>
        <w:spacing w:line="360" w:lineRule="auto"/>
        <w:ind w:right="42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委托代理人：</w:t>
      </w:r>
      <w:r>
        <w:rPr>
          <w:rFonts w:hint="eastAsia" w:ascii="宋体" w:hAnsi="宋体" w:eastAsia="宋体" w:cs="宋体"/>
          <w:color w:val="auto"/>
          <w:sz w:val="24"/>
          <w:highlight w:val="none"/>
          <w:u w:val="single"/>
        </w:rPr>
        <w:t xml:space="preserve">                       </w:t>
      </w:r>
    </w:p>
    <w:p w14:paraId="4376F7E4">
      <w:pPr>
        <w:pageBreakBefore w:val="0"/>
        <w:kinsoku/>
        <w:overflowPunct/>
        <w:bidi w:val="0"/>
        <w:spacing w:line="360" w:lineRule="auto"/>
        <w:ind w:right="42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身份证号码：</w:t>
      </w:r>
      <w:r>
        <w:rPr>
          <w:rFonts w:hint="eastAsia" w:ascii="宋体" w:hAnsi="宋体" w:eastAsia="宋体" w:cs="宋体"/>
          <w:color w:val="auto"/>
          <w:sz w:val="24"/>
          <w:highlight w:val="none"/>
          <w:u w:val="single"/>
        </w:rPr>
        <w:t xml:space="preserve">                       </w:t>
      </w:r>
    </w:p>
    <w:p w14:paraId="63C6F399">
      <w:pPr>
        <w:pageBreakBefore w:val="0"/>
        <w:kinsoku/>
        <w:overflowPunct/>
        <w:bidi w:val="0"/>
        <w:spacing w:line="360" w:lineRule="auto"/>
        <w:ind w:right="42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联系电话(手机)：</w:t>
      </w:r>
      <w:r>
        <w:rPr>
          <w:rFonts w:hint="eastAsia" w:ascii="宋体" w:hAnsi="宋体" w:eastAsia="宋体" w:cs="宋体"/>
          <w:color w:val="auto"/>
          <w:sz w:val="24"/>
          <w:highlight w:val="none"/>
          <w:u w:val="single"/>
        </w:rPr>
        <w:t xml:space="preserve">                   </w:t>
      </w:r>
    </w:p>
    <w:p w14:paraId="37D0771D">
      <w:pPr>
        <w:pageBreakBefore w:val="0"/>
        <w:kinsoku/>
        <w:overflowPunct/>
        <w:bidi w:val="0"/>
        <w:spacing w:line="360" w:lineRule="auto"/>
        <w:ind w:right="42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座机：</w:t>
      </w:r>
      <w:r>
        <w:rPr>
          <w:rFonts w:hint="eastAsia" w:ascii="宋体" w:hAnsi="宋体" w:eastAsia="宋体" w:cs="宋体"/>
          <w:color w:val="auto"/>
          <w:sz w:val="24"/>
          <w:highlight w:val="none"/>
          <w:u w:val="single"/>
        </w:rPr>
        <w:t xml:space="preserve">                             </w:t>
      </w:r>
    </w:p>
    <w:p w14:paraId="16EE8626">
      <w:pPr>
        <w:pStyle w:val="28"/>
        <w:pageBreakBefore w:val="0"/>
        <w:kinsoku/>
        <w:overflowPunct/>
        <w:bidi w:val="0"/>
        <w:spacing w:line="360" w:lineRule="auto"/>
        <w:jc w:val="right"/>
        <w:rPr>
          <w:rFonts w:hint="eastAsia" w:ascii="宋体" w:hAnsi="宋体" w:eastAsia="宋体" w:cs="宋体"/>
          <w:color w:val="auto"/>
          <w:highlight w:val="none"/>
          <w:u w:val="single"/>
        </w:rPr>
      </w:pPr>
    </w:p>
    <w:p w14:paraId="09EE0491">
      <w:pPr>
        <w:pStyle w:val="28"/>
        <w:pageBreakBefore w:val="0"/>
        <w:kinsoku/>
        <w:overflowPunct/>
        <w:bidi w:val="0"/>
        <w:spacing w:line="360" w:lineRule="auto"/>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5647DFC8">
      <w:pPr>
        <w:pStyle w:val="28"/>
        <w:pageBreakBefore w:val="0"/>
        <w:kinsoku/>
        <w:overflowPunct/>
        <w:bidi w:val="0"/>
        <w:spacing w:line="360" w:lineRule="auto"/>
        <w:jc w:val="right"/>
        <w:rPr>
          <w:rFonts w:hint="eastAsia" w:ascii="宋体" w:hAnsi="宋体" w:eastAsia="宋体" w:cs="宋体"/>
          <w:color w:val="auto"/>
          <w:highlight w:val="none"/>
        </w:rPr>
      </w:pPr>
    </w:p>
    <w:p w14:paraId="4708F0F0">
      <w:pPr>
        <w:pageBreakBefore w:val="0"/>
        <w:shd w:val="solid" w:color="FFFFFF" w:fill="auto"/>
        <w:kinsoku/>
        <w:overflowPunct/>
        <w:autoSpaceDN w:val="0"/>
        <w:bidi w:val="0"/>
        <w:spacing w:line="360" w:lineRule="auto"/>
        <w:ind w:firstLine="480"/>
        <w:rPr>
          <w:rFonts w:hint="eastAsia" w:ascii="宋体" w:hAnsi="宋体" w:eastAsia="宋体" w:cs="宋体"/>
          <w:color w:val="auto"/>
          <w:sz w:val="24"/>
          <w:highlight w:val="none"/>
          <w:shd w:val="clear" w:color="auto" w:fill="FFFFFF"/>
        </w:rPr>
      </w:pPr>
    </w:p>
    <w:p w14:paraId="48B98D9A">
      <w:pPr>
        <w:pageBreakBefore w:val="0"/>
        <w:tabs>
          <w:tab w:val="right" w:pos="8306"/>
        </w:tabs>
        <w:kinsoku/>
        <w:overflowPunct/>
        <w:bidi w:val="0"/>
        <w:spacing w:line="360" w:lineRule="auto"/>
        <w:ind w:left="106" w:firstLine="603"/>
        <w:rPr>
          <w:rFonts w:hint="eastAsia" w:ascii="宋体" w:hAnsi="宋体" w:eastAsia="宋体" w:cs="宋体"/>
          <w:color w:val="auto"/>
          <w:sz w:val="28"/>
          <w:szCs w:val="28"/>
          <w:highlight w:val="none"/>
        </w:rPr>
      </w:pPr>
      <w:r>
        <w:rPr>
          <w:rFonts w:hint="eastAsia" w:ascii="宋体" w:hAnsi="宋体" w:eastAsia="宋体" w:cs="宋体"/>
          <w:b/>
          <w:color w:val="auto"/>
          <w:highlight w:val="none"/>
          <w:shd w:val="clear" w:color="auto" w:fill="FFFFFF"/>
        </w:rPr>
        <w:t xml:space="preserve"> </w:t>
      </w:r>
      <w:r>
        <w:rPr>
          <w:rFonts w:hint="eastAsia" w:ascii="宋体" w:hAnsi="宋体" w:eastAsia="宋体" w:cs="宋体"/>
          <w:b/>
          <w:color w:val="auto"/>
          <w:sz w:val="24"/>
          <w:highlight w:val="none"/>
        </w:rPr>
        <w:t>附：代理人身份证复印件正、反面</w:t>
      </w:r>
    </w:p>
    <w:tbl>
      <w:tblPr>
        <w:tblStyle w:val="23"/>
        <w:tblW w:w="9018" w:type="dxa"/>
        <w:jc w:val="center"/>
        <w:tblLayout w:type="fixed"/>
        <w:tblCellMar>
          <w:top w:w="0" w:type="dxa"/>
          <w:left w:w="108" w:type="dxa"/>
          <w:bottom w:w="0" w:type="dxa"/>
          <w:right w:w="108" w:type="dxa"/>
        </w:tblCellMar>
      </w:tblPr>
      <w:tblGrid>
        <w:gridCol w:w="4620"/>
        <w:gridCol w:w="4398"/>
      </w:tblGrid>
      <w:tr w14:paraId="237D16F3">
        <w:trPr>
          <w:trHeight w:val="2918" w:hRule="atLeast"/>
          <w:jc w:val="center"/>
        </w:trPr>
        <w:tc>
          <w:tcPr>
            <w:tcW w:w="4620" w:type="dxa"/>
            <w:tcBorders>
              <w:top w:val="single" w:color="000000" w:sz="4" w:space="0"/>
              <w:left w:val="single" w:color="000000" w:sz="4" w:space="0"/>
              <w:bottom w:val="single" w:color="000000" w:sz="4" w:space="0"/>
              <w:right w:val="single" w:color="000000" w:sz="4" w:space="0"/>
            </w:tcBorders>
            <w:noWrap w:val="0"/>
            <w:vAlign w:val="top"/>
          </w:tcPr>
          <w:p w14:paraId="6D29800A">
            <w:pPr>
              <w:pageBreakBefore w:val="0"/>
              <w:kinsoku/>
              <w:overflowPunct/>
              <w:bidi w:val="0"/>
              <w:spacing w:line="360" w:lineRule="auto"/>
              <w:jc w:val="center"/>
              <w:rPr>
                <w:rFonts w:hint="eastAsia" w:ascii="宋体" w:hAnsi="宋体" w:eastAsia="宋体" w:cs="宋体"/>
                <w:color w:val="auto"/>
                <w:kern w:val="1"/>
                <w:sz w:val="24"/>
                <w:highlight w:val="none"/>
              </w:rPr>
            </w:pPr>
          </w:p>
          <w:p w14:paraId="7D5A45CF">
            <w:pPr>
              <w:pageBreakBefore w:val="0"/>
              <w:kinsoku/>
              <w:overflowPunct/>
              <w:bidi w:val="0"/>
              <w:spacing w:line="360" w:lineRule="auto"/>
              <w:jc w:val="center"/>
              <w:rPr>
                <w:rFonts w:hint="eastAsia" w:ascii="宋体" w:hAnsi="宋体" w:eastAsia="宋体" w:cs="宋体"/>
                <w:color w:val="auto"/>
                <w:kern w:val="1"/>
                <w:sz w:val="24"/>
                <w:highlight w:val="none"/>
              </w:rPr>
            </w:pPr>
          </w:p>
          <w:p w14:paraId="63BE78E0">
            <w:pPr>
              <w:pageBreakBefore w:val="0"/>
              <w:kinsoku/>
              <w:overflowPunct/>
              <w:bidi w:val="0"/>
              <w:spacing w:line="360" w:lineRule="auto"/>
              <w:jc w:val="center"/>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rPr>
              <w:t>附身份证复印件正面</w:t>
            </w:r>
          </w:p>
        </w:tc>
        <w:tc>
          <w:tcPr>
            <w:tcW w:w="4398" w:type="dxa"/>
            <w:tcBorders>
              <w:top w:val="single" w:color="000000" w:sz="4" w:space="0"/>
              <w:left w:val="single" w:color="000000" w:sz="4" w:space="0"/>
              <w:bottom w:val="single" w:color="000000" w:sz="4" w:space="0"/>
              <w:right w:val="single" w:color="000000" w:sz="4" w:space="0"/>
            </w:tcBorders>
            <w:noWrap w:val="0"/>
            <w:vAlign w:val="top"/>
          </w:tcPr>
          <w:p w14:paraId="623F447F">
            <w:pPr>
              <w:pageBreakBefore w:val="0"/>
              <w:kinsoku/>
              <w:overflowPunct/>
              <w:bidi w:val="0"/>
              <w:spacing w:line="360" w:lineRule="auto"/>
              <w:jc w:val="center"/>
              <w:rPr>
                <w:rFonts w:hint="eastAsia" w:ascii="宋体" w:hAnsi="宋体" w:eastAsia="宋体" w:cs="宋体"/>
                <w:color w:val="auto"/>
                <w:kern w:val="1"/>
                <w:sz w:val="24"/>
                <w:highlight w:val="none"/>
              </w:rPr>
            </w:pPr>
          </w:p>
          <w:p w14:paraId="47D94E26">
            <w:pPr>
              <w:pageBreakBefore w:val="0"/>
              <w:kinsoku/>
              <w:overflowPunct/>
              <w:bidi w:val="0"/>
              <w:spacing w:line="360" w:lineRule="auto"/>
              <w:jc w:val="center"/>
              <w:rPr>
                <w:rFonts w:hint="eastAsia" w:ascii="宋体" w:hAnsi="宋体" w:eastAsia="宋体" w:cs="宋体"/>
                <w:color w:val="auto"/>
                <w:kern w:val="1"/>
                <w:sz w:val="24"/>
                <w:highlight w:val="none"/>
              </w:rPr>
            </w:pPr>
          </w:p>
          <w:p w14:paraId="35655A14">
            <w:pPr>
              <w:pageBreakBefore w:val="0"/>
              <w:kinsoku/>
              <w:overflowPunct/>
              <w:bidi w:val="0"/>
              <w:spacing w:line="360" w:lineRule="auto"/>
              <w:jc w:val="center"/>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rPr>
              <w:t>附身份证复印件背面</w:t>
            </w:r>
          </w:p>
        </w:tc>
      </w:tr>
    </w:tbl>
    <w:p w14:paraId="01B6F9A1">
      <w:pPr>
        <w:pageBreakBefore w:val="0"/>
        <w:shd w:val="solid" w:color="FFFFFF" w:fill="auto"/>
        <w:kinsoku/>
        <w:overflowPunct/>
        <w:autoSpaceDN w:val="0"/>
        <w:bidi w:val="0"/>
        <w:spacing w:line="360" w:lineRule="auto"/>
        <w:jc w:val="center"/>
        <w:outlineLvl w:val="1"/>
        <w:rPr>
          <w:rFonts w:hint="eastAsia" w:ascii="宋体" w:hAnsi="宋体" w:eastAsia="宋体" w:cs="宋体"/>
          <w:b/>
          <w:color w:val="auto"/>
          <w:sz w:val="32"/>
          <w:szCs w:val="32"/>
          <w:highlight w:val="none"/>
          <w:shd w:val="clear" w:color="auto" w:fill="FFFFFF"/>
          <w:lang w:eastAsia="zh-Hans"/>
        </w:rPr>
      </w:pPr>
      <w:bookmarkStart w:id="186" w:name="_Toc29093"/>
      <w:bookmarkStart w:id="187" w:name="_Toc32386"/>
      <w:bookmarkStart w:id="188" w:name="_Toc1685"/>
      <w:bookmarkStart w:id="189" w:name="_Toc28810"/>
      <w:bookmarkStart w:id="190" w:name="_Toc8967"/>
    </w:p>
    <w:p w14:paraId="4230C6E6">
      <w:pPr>
        <w:pageBreakBefore w:val="0"/>
        <w:shd w:val="solid" w:color="FFFFFF" w:fill="auto"/>
        <w:kinsoku/>
        <w:overflowPunct/>
        <w:autoSpaceDN w:val="0"/>
        <w:bidi w:val="0"/>
        <w:spacing w:line="360" w:lineRule="auto"/>
        <w:jc w:val="center"/>
        <w:outlineLvl w:val="1"/>
        <w:rPr>
          <w:rFonts w:hint="eastAsia" w:ascii="宋体" w:hAnsi="宋体" w:eastAsia="宋体" w:cs="宋体"/>
          <w:b/>
          <w:color w:val="auto"/>
          <w:sz w:val="32"/>
          <w:szCs w:val="32"/>
          <w:highlight w:val="none"/>
          <w:shd w:val="clear" w:color="auto" w:fill="FFFFFF"/>
        </w:rPr>
      </w:pPr>
      <w:bookmarkStart w:id="191" w:name="_Toc32546"/>
      <w:bookmarkStart w:id="192" w:name="_Toc2211"/>
      <w:bookmarkStart w:id="193" w:name="_Toc18592"/>
      <w:bookmarkStart w:id="194" w:name="_Toc25938"/>
      <w:r>
        <w:rPr>
          <w:rFonts w:hint="eastAsia" w:ascii="宋体" w:hAnsi="宋体" w:eastAsia="宋体" w:cs="宋体"/>
          <w:b/>
          <w:color w:val="auto"/>
          <w:sz w:val="32"/>
          <w:szCs w:val="32"/>
          <w:highlight w:val="none"/>
          <w:shd w:val="clear" w:color="auto" w:fill="FFFFFF"/>
          <w:lang w:eastAsia="zh-Hans"/>
        </w:rPr>
        <w:t>四</w:t>
      </w:r>
      <w:r>
        <w:rPr>
          <w:rFonts w:hint="eastAsia" w:ascii="宋体" w:hAnsi="宋体" w:eastAsia="宋体" w:cs="宋体"/>
          <w:b/>
          <w:color w:val="auto"/>
          <w:sz w:val="32"/>
          <w:szCs w:val="32"/>
          <w:highlight w:val="none"/>
          <w:shd w:val="clear" w:color="auto" w:fill="FFFFFF"/>
        </w:rPr>
        <w:t>、投标保证金缴纳凭证</w:t>
      </w:r>
      <w:bookmarkEnd w:id="186"/>
      <w:bookmarkEnd w:id="187"/>
      <w:bookmarkEnd w:id="188"/>
      <w:bookmarkEnd w:id="189"/>
      <w:bookmarkEnd w:id="190"/>
      <w:bookmarkEnd w:id="191"/>
      <w:bookmarkEnd w:id="192"/>
      <w:bookmarkEnd w:id="193"/>
      <w:bookmarkEnd w:id="194"/>
    </w:p>
    <w:p w14:paraId="0CD0D9EF">
      <w:pPr>
        <w:pageBreakBefore w:val="0"/>
        <w:shd w:val="solid" w:color="FFFFFF" w:fill="auto"/>
        <w:kinsoku/>
        <w:overflowPunct/>
        <w:autoSpaceDN w:val="0"/>
        <w:bidi w:val="0"/>
        <w:spacing w:line="360" w:lineRule="auto"/>
        <w:rPr>
          <w:rFonts w:hint="eastAsia" w:ascii="宋体" w:hAnsi="宋体" w:eastAsia="宋体" w:cs="宋体"/>
          <w:b/>
          <w:color w:val="auto"/>
          <w:sz w:val="24"/>
          <w:highlight w:val="none"/>
          <w:shd w:val="clear" w:color="auto" w:fill="FFFFFF"/>
        </w:rPr>
      </w:pPr>
      <w:r>
        <w:rPr>
          <w:rFonts w:hint="eastAsia" w:ascii="宋体" w:hAnsi="宋体" w:eastAsia="宋体" w:cs="宋体"/>
          <w:b/>
          <w:color w:val="auto"/>
          <w:sz w:val="32"/>
          <w:szCs w:val="32"/>
          <w:highlight w:val="none"/>
          <w:shd w:val="clear" w:color="auto" w:fill="FFFFFF"/>
        </w:rPr>
        <w:t xml:space="preserve">        </w:t>
      </w:r>
      <w:r>
        <w:rPr>
          <w:rFonts w:hint="eastAsia" w:ascii="宋体" w:hAnsi="宋体" w:eastAsia="宋体" w:cs="宋体"/>
          <w:b/>
          <w:color w:val="auto"/>
          <w:sz w:val="24"/>
          <w:highlight w:val="none"/>
          <w:shd w:val="clear" w:color="auto" w:fill="FFFFFF"/>
        </w:rPr>
        <w:t xml:space="preserve">                </w:t>
      </w:r>
      <w:bookmarkStart w:id="195" w:name="_Toc13266"/>
      <w:bookmarkStart w:id="196" w:name="_Toc13221"/>
    </w:p>
    <w:bookmarkEnd w:id="195"/>
    <w:bookmarkEnd w:id="196"/>
    <w:p w14:paraId="0A483EA3">
      <w:pPr>
        <w:pageBreakBefore w:val="0"/>
        <w:shd w:val="solid" w:color="FFFFFF" w:fill="auto"/>
        <w:kinsoku/>
        <w:overflowPunct/>
        <w:autoSpaceDN w:val="0"/>
        <w:bidi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（一）投标保证金</w:t>
      </w:r>
      <w:r>
        <w:rPr>
          <w:rFonts w:hint="eastAsia" w:ascii="宋体" w:hAnsi="宋体" w:eastAsia="宋体" w:cs="宋体"/>
          <w:bCs/>
          <w:color w:val="auto"/>
          <w:sz w:val="24"/>
          <w:highlight w:val="none"/>
          <w:lang w:val="en-US" w:eastAsia="zh-CN"/>
        </w:rPr>
        <w:t>银行转账</w:t>
      </w:r>
      <w:r>
        <w:rPr>
          <w:rFonts w:hint="eastAsia" w:ascii="宋体" w:hAnsi="宋体" w:eastAsia="宋体" w:cs="宋体"/>
          <w:bCs/>
          <w:color w:val="auto"/>
          <w:sz w:val="24"/>
          <w:highlight w:val="none"/>
        </w:rPr>
        <w:t>凭证或银行保函或保险单或</w:t>
      </w:r>
      <w:r>
        <w:rPr>
          <w:rFonts w:hint="eastAsia" w:ascii="宋体" w:hAnsi="宋体" w:eastAsia="宋体" w:cs="宋体"/>
          <w:bCs/>
          <w:color w:val="auto"/>
          <w:sz w:val="24"/>
          <w:highlight w:val="none"/>
          <w:lang w:val="en-US" w:eastAsia="zh-CN"/>
        </w:rPr>
        <w:t>其他凭证（如支票、汇票、本票等非现金形式提交的凭证）</w:t>
      </w:r>
      <w:r>
        <w:rPr>
          <w:rFonts w:hint="eastAsia" w:ascii="宋体" w:hAnsi="宋体" w:eastAsia="宋体" w:cs="宋体"/>
          <w:bCs/>
          <w:color w:val="auto"/>
          <w:sz w:val="24"/>
          <w:highlight w:val="none"/>
        </w:rPr>
        <w:t>；</w:t>
      </w:r>
    </w:p>
    <w:p w14:paraId="6EA141AD">
      <w:pPr>
        <w:pageBreakBefore w:val="0"/>
        <w:shd w:val="solid" w:color="FFFFFF" w:fill="auto"/>
        <w:kinsoku/>
        <w:overflowPunct/>
        <w:autoSpaceDN w:val="0"/>
        <w:bidi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（附扫描件或复印件）</w:t>
      </w:r>
    </w:p>
    <w:p w14:paraId="2952282A">
      <w:pPr>
        <w:pageBreakBefore w:val="0"/>
        <w:shd w:val="solid" w:color="FFFFFF" w:fill="auto"/>
        <w:kinsoku/>
        <w:overflowPunct/>
        <w:autoSpaceDN w:val="0"/>
        <w:bidi w:val="0"/>
        <w:spacing w:line="360" w:lineRule="auto"/>
        <w:rPr>
          <w:rFonts w:hint="eastAsia" w:ascii="宋体" w:hAnsi="宋体" w:eastAsia="宋体" w:cs="宋体"/>
          <w:bCs/>
          <w:color w:val="auto"/>
          <w:sz w:val="24"/>
          <w:highlight w:val="none"/>
        </w:rPr>
      </w:pPr>
    </w:p>
    <w:p w14:paraId="58FEE420">
      <w:pPr>
        <w:pageBreakBefore w:val="0"/>
        <w:numPr>
          <w:ilvl w:val="0"/>
          <w:numId w:val="9"/>
        </w:numPr>
        <w:shd w:val="solid" w:color="FFFFFF" w:fill="auto"/>
        <w:kinsoku/>
        <w:overflowPunct/>
        <w:autoSpaceDN w:val="0"/>
        <w:bidi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基本存款账户信息或开户许可证</w:t>
      </w:r>
    </w:p>
    <w:p w14:paraId="328E1F16">
      <w:pPr>
        <w:pStyle w:val="5"/>
        <w:pageBreakBefore w:val="0"/>
        <w:kinsoku/>
        <w:overflowPunct/>
        <w:bidi w:val="0"/>
        <w:spacing w:line="360" w:lineRule="auto"/>
        <w:jc w:val="both"/>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（附扫描件或复印件</w:t>
      </w:r>
      <w:r>
        <w:rPr>
          <w:rFonts w:hint="eastAsia" w:ascii="宋体" w:hAnsi="宋体" w:eastAsia="宋体" w:cs="宋体"/>
          <w:bCs/>
          <w:color w:val="auto"/>
          <w:sz w:val="24"/>
          <w:highlight w:val="none"/>
          <w:lang w:eastAsia="zh-CN"/>
        </w:rPr>
        <w:t>）</w:t>
      </w:r>
    </w:p>
    <w:p w14:paraId="10EE29A7">
      <w:pPr>
        <w:pageBreakBefore w:val="0"/>
        <w:kinsoku/>
        <w:overflowPunct/>
        <w:bidi w:val="0"/>
        <w:spacing w:line="360" w:lineRule="auto"/>
        <w:rPr>
          <w:rFonts w:hint="eastAsia" w:ascii="宋体" w:hAnsi="宋体" w:eastAsia="宋体" w:cs="宋体"/>
          <w:bCs/>
          <w:color w:val="auto"/>
          <w:sz w:val="24"/>
          <w:highlight w:val="none"/>
          <w:lang w:eastAsia="zh-CN"/>
        </w:rPr>
      </w:pPr>
    </w:p>
    <w:p w14:paraId="167DBE4B">
      <w:pPr>
        <w:pageBreakBefore w:val="0"/>
        <w:kinsoku/>
        <w:overflowPunct/>
        <w:bidi w:val="0"/>
        <w:spacing w:line="360" w:lineRule="auto"/>
        <w:jc w:val="center"/>
        <w:outlineLvl w:val="1"/>
        <w:rPr>
          <w:rFonts w:hint="eastAsia" w:ascii="宋体" w:hAnsi="宋体" w:eastAsia="宋体" w:cs="宋体"/>
          <w:b/>
          <w:color w:val="auto"/>
          <w:sz w:val="32"/>
          <w:szCs w:val="32"/>
          <w:highlight w:val="none"/>
          <w:shd w:val="clear" w:color="auto" w:fill="FFFFFF"/>
        </w:rPr>
      </w:pPr>
      <w:r>
        <w:rPr>
          <w:rFonts w:hint="eastAsia" w:ascii="宋体" w:hAnsi="宋体" w:eastAsia="宋体" w:cs="宋体"/>
          <w:lang w:eastAsia="zh-CN"/>
        </w:rPr>
        <w:br w:type="page"/>
      </w:r>
      <w:bookmarkStart w:id="197" w:name="_Toc688"/>
      <w:bookmarkStart w:id="198" w:name="_Toc15146"/>
      <w:bookmarkStart w:id="199" w:name="_Toc29370"/>
      <w:bookmarkStart w:id="200" w:name="_Toc27737"/>
      <w:r>
        <w:rPr>
          <w:rFonts w:hint="eastAsia" w:ascii="宋体" w:hAnsi="宋体" w:eastAsia="宋体" w:cs="宋体"/>
          <w:b/>
          <w:color w:val="auto"/>
          <w:sz w:val="32"/>
          <w:szCs w:val="32"/>
          <w:highlight w:val="none"/>
          <w:shd w:val="clear" w:color="auto" w:fill="FFFFFF"/>
          <w:lang w:eastAsia="zh-Hans"/>
        </w:rPr>
        <w:t>五</w:t>
      </w:r>
      <w:r>
        <w:rPr>
          <w:rFonts w:hint="eastAsia" w:ascii="宋体" w:hAnsi="宋体" w:eastAsia="宋体" w:cs="宋体"/>
          <w:b/>
          <w:color w:val="auto"/>
          <w:sz w:val="32"/>
          <w:szCs w:val="32"/>
          <w:highlight w:val="none"/>
          <w:shd w:val="clear" w:color="auto" w:fill="FFFFFF"/>
        </w:rPr>
        <w:t>、</w:t>
      </w:r>
      <w:r>
        <w:rPr>
          <w:rFonts w:hint="eastAsia" w:ascii="宋体" w:hAnsi="宋体" w:eastAsia="宋体" w:cs="宋体"/>
          <w:b/>
          <w:bCs/>
          <w:color w:val="auto"/>
          <w:sz w:val="32"/>
          <w:szCs w:val="32"/>
          <w:highlight w:val="none"/>
        </w:rPr>
        <w:t>投标报价一览表</w:t>
      </w:r>
      <w:bookmarkEnd w:id="197"/>
      <w:bookmarkEnd w:id="198"/>
      <w:bookmarkEnd w:id="199"/>
      <w:bookmarkEnd w:id="200"/>
    </w:p>
    <w:p w14:paraId="412ECCFA">
      <w:pPr>
        <w:pageBreakBefore w:val="0"/>
        <w:shd w:val="solid" w:color="FFFFFF" w:fill="auto"/>
        <w:kinsoku/>
        <w:overflowPunct/>
        <w:autoSpaceDN w:val="0"/>
        <w:bidi w:val="0"/>
        <w:spacing w:line="360" w:lineRule="auto"/>
        <w:rPr>
          <w:rFonts w:hint="eastAsia" w:ascii="宋体" w:hAnsi="宋体" w:eastAsia="宋体" w:cs="宋体"/>
          <w:color w:val="auto"/>
          <w:sz w:val="24"/>
          <w:highlight w:val="none"/>
          <w:u w:val="single"/>
          <w:shd w:val="clear" w:color="auto" w:fill="FFFFFF"/>
        </w:rPr>
      </w:pPr>
      <w:r>
        <w:rPr>
          <w:rFonts w:hint="eastAsia" w:ascii="宋体" w:hAnsi="宋体" w:eastAsia="宋体" w:cs="宋体"/>
          <w:color w:val="auto"/>
          <w:sz w:val="24"/>
          <w:highlight w:val="none"/>
          <w:shd w:val="clear" w:color="auto" w:fill="FFFFFF"/>
        </w:rPr>
        <w:t>项目名称：</w:t>
      </w:r>
      <w:r>
        <w:rPr>
          <w:rFonts w:hint="eastAsia" w:ascii="宋体" w:hAnsi="宋体" w:cs="宋体"/>
          <w:color w:val="auto"/>
          <w:sz w:val="24"/>
          <w:szCs w:val="20"/>
          <w:highlight w:val="none"/>
          <w:u w:val="single"/>
          <w:shd w:val="clear" w:color="auto" w:fill="FFFFFF"/>
          <w:lang w:eastAsia="zh-CN"/>
        </w:rPr>
        <w:t>珠江流域（玉溪段）生态环境监测能力提升项目（</w:t>
      </w:r>
      <w:r>
        <w:rPr>
          <w:rFonts w:hint="eastAsia" w:ascii="宋体" w:hAnsi="宋体" w:cs="宋体"/>
          <w:color w:val="auto"/>
          <w:sz w:val="24"/>
          <w:szCs w:val="20"/>
          <w:highlight w:val="none"/>
          <w:u w:val="single"/>
          <w:shd w:val="clear" w:color="auto" w:fill="FFFFFF"/>
          <w:lang w:val="en-US" w:eastAsia="zh-CN"/>
        </w:rPr>
        <w:t xml:space="preserve">   包</w:t>
      </w:r>
      <w:r>
        <w:rPr>
          <w:rFonts w:hint="eastAsia" w:ascii="宋体" w:hAnsi="宋体" w:cs="宋体"/>
          <w:color w:val="auto"/>
          <w:sz w:val="24"/>
          <w:szCs w:val="20"/>
          <w:highlight w:val="none"/>
          <w:u w:val="single"/>
          <w:shd w:val="clear" w:color="auto" w:fill="FFFFFF"/>
          <w:lang w:eastAsia="zh-CN"/>
        </w:rPr>
        <w:t>）</w:t>
      </w:r>
    </w:p>
    <w:p w14:paraId="3B7DF05B">
      <w:pPr>
        <w:pageBreakBefore w:val="0"/>
        <w:kinsoku/>
        <w:overflowPunct/>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shd w:val="clear" w:color="auto" w:fill="FFFFFF"/>
        </w:rPr>
        <w:t>项目编号：</w:t>
      </w:r>
      <w:r>
        <w:rPr>
          <w:rFonts w:hint="eastAsia" w:ascii="宋体" w:hAnsi="宋体" w:eastAsia="宋体" w:cs="宋体"/>
          <w:color w:val="auto"/>
          <w:sz w:val="24"/>
          <w:highlight w:val="none"/>
          <w:u w:val="single"/>
          <w:shd w:val="clear" w:color="auto" w:fill="FFFFFF"/>
        </w:rPr>
        <w:t xml:space="preserve">                       </w:t>
      </w:r>
    </w:p>
    <w:tbl>
      <w:tblPr>
        <w:tblStyle w:val="23"/>
        <w:tblW w:w="9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0"/>
        <w:gridCol w:w="7436"/>
      </w:tblGrid>
      <w:tr w14:paraId="775C7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exact"/>
          <w:jc w:val="center"/>
        </w:trPr>
        <w:tc>
          <w:tcPr>
            <w:tcW w:w="1690" w:type="dxa"/>
            <w:noWrap w:val="0"/>
            <w:vAlign w:val="center"/>
          </w:tcPr>
          <w:p w14:paraId="586698CC">
            <w:pPr>
              <w:pageBreakBefore w:val="0"/>
              <w:kinsoku/>
              <w:overflowPunct/>
              <w:bidi w:val="0"/>
              <w:spacing w:before="120" w:after="12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w:t>
            </w:r>
          </w:p>
        </w:tc>
        <w:tc>
          <w:tcPr>
            <w:tcW w:w="7436" w:type="dxa"/>
            <w:noWrap w:val="0"/>
            <w:vAlign w:val="center"/>
          </w:tcPr>
          <w:p w14:paraId="5C25D922">
            <w:pPr>
              <w:pageBreakBefore w:val="0"/>
              <w:kinsoku/>
              <w:overflowPunct/>
              <w:bidi w:val="0"/>
              <w:spacing w:before="120" w:after="12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内容</w:t>
            </w:r>
          </w:p>
        </w:tc>
      </w:tr>
      <w:tr w14:paraId="65B6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exact"/>
          <w:jc w:val="center"/>
        </w:trPr>
        <w:tc>
          <w:tcPr>
            <w:tcW w:w="1690" w:type="dxa"/>
            <w:vMerge w:val="restart"/>
            <w:noWrap w:val="0"/>
            <w:vAlign w:val="center"/>
          </w:tcPr>
          <w:p w14:paraId="643E2A11">
            <w:pPr>
              <w:pageBreakBefore w:val="0"/>
              <w:kinsoku/>
              <w:overflowPunct/>
              <w:bidi w:val="0"/>
              <w:spacing w:before="120" w:after="12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投标总报价</w:t>
            </w:r>
          </w:p>
        </w:tc>
        <w:tc>
          <w:tcPr>
            <w:tcW w:w="7436" w:type="dxa"/>
            <w:noWrap w:val="0"/>
            <w:vAlign w:val="center"/>
          </w:tcPr>
          <w:p w14:paraId="68886917">
            <w:pPr>
              <w:pageBreakBefore w:val="0"/>
              <w:tabs>
                <w:tab w:val="left" w:pos="5468"/>
              </w:tabs>
              <w:kinsoku/>
              <w:overflowPunct/>
              <w:bidi w:val="0"/>
              <w:spacing w:line="360" w:lineRule="auto"/>
              <w:ind w:firstLine="28" w:firstLineChars="12"/>
              <w:rPr>
                <w:rFonts w:hint="eastAsia" w:ascii="宋体" w:hAnsi="宋体" w:eastAsia="宋体" w:cs="宋体"/>
                <w:color w:val="auto"/>
                <w:sz w:val="24"/>
                <w:highlight w:val="none"/>
              </w:rPr>
            </w:pPr>
            <w:r>
              <w:rPr>
                <w:rFonts w:hint="eastAsia" w:ascii="宋体" w:hAnsi="宋体" w:eastAsia="宋体" w:cs="宋体"/>
                <w:color w:val="auto"/>
                <w:sz w:val="24"/>
                <w:highlight w:val="none"/>
              </w:rPr>
              <w:t>大写：</w:t>
            </w:r>
            <w:r>
              <w:rPr>
                <w:rFonts w:hint="eastAsia" w:ascii="宋体" w:hAnsi="宋体" w:eastAsia="宋体" w:cs="宋体"/>
                <w:color w:val="auto"/>
                <w:sz w:val="24"/>
                <w:highlight w:val="none"/>
                <w:lang w:val="en-US" w:eastAsia="zh-CN"/>
              </w:rPr>
              <w:t>人民币</w:t>
            </w:r>
            <w:r>
              <w:rPr>
                <w:rFonts w:hint="eastAsia" w:ascii="宋体" w:hAnsi="宋体" w:eastAsia="宋体" w:cs="宋体"/>
                <w:color w:val="auto"/>
                <w:sz w:val="24"/>
                <w:highlight w:val="none"/>
                <w:u w:val="single"/>
                <w:lang w:val="en-US" w:eastAsia="zh-CN"/>
              </w:rPr>
              <w:t xml:space="preserve">               </w:t>
            </w:r>
          </w:p>
        </w:tc>
      </w:tr>
      <w:tr w14:paraId="2E492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exact"/>
          <w:jc w:val="center"/>
        </w:trPr>
        <w:tc>
          <w:tcPr>
            <w:tcW w:w="1690" w:type="dxa"/>
            <w:vMerge w:val="continue"/>
            <w:noWrap w:val="0"/>
            <w:vAlign w:val="center"/>
          </w:tcPr>
          <w:p w14:paraId="3C7E3847">
            <w:pPr>
              <w:pageBreakBefore w:val="0"/>
              <w:kinsoku/>
              <w:overflowPunct/>
              <w:bidi w:val="0"/>
              <w:spacing w:before="120" w:after="120" w:line="360" w:lineRule="auto"/>
              <w:jc w:val="center"/>
              <w:rPr>
                <w:rFonts w:hint="eastAsia" w:ascii="宋体" w:hAnsi="宋体" w:eastAsia="宋体" w:cs="宋体"/>
                <w:color w:val="auto"/>
                <w:sz w:val="24"/>
                <w:highlight w:val="none"/>
              </w:rPr>
            </w:pPr>
          </w:p>
        </w:tc>
        <w:tc>
          <w:tcPr>
            <w:tcW w:w="7436" w:type="dxa"/>
            <w:noWrap w:val="0"/>
            <w:vAlign w:val="center"/>
          </w:tcPr>
          <w:p w14:paraId="5A9CD58E">
            <w:pPr>
              <w:pageBreakBefore w:val="0"/>
              <w:tabs>
                <w:tab w:val="left" w:pos="5468"/>
              </w:tabs>
              <w:kinsoku/>
              <w:overflowPunct/>
              <w:bidi w:val="0"/>
              <w:spacing w:line="360" w:lineRule="auto"/>
              <w:ind w:firstLine="28" w:firstLineChars="12"/>
              <w:rPr>
                <w:rFonts w:hint="eastAsia" w:ascii="宋体" w:hAnsi="宋体" w:eastAsia="宋体" w:cs="宋体"/>
                <w:color w:val="auto"/>
                <w:sz w:val="24"/>
                <w:highlight w:val="none"/>
              </w:rPr>
            </w:pPr>
            <w:r>
              <w:rPr>
                <w:rFonts w:hint="eastAsia" w:ascii="宋体" w:hAnsi="宋体" w:eastAsia="宋体" w:cs="宋体"/>
                <w:color w:val="auto"/>
                <w:sz w:val="24"/>
                <w:highlight w:val="none"/>
              </w:rPr>
              <w:t>小写：</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元</w:t>
            </w:r>
          </w:p>
        </w:tc>
      </w:tr>
      <w:tr w14:paraId="72B3C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exact"/>
          <w:jc w:val="center"/>
        </w:trPr>
        <w:tc>
          <w:tcPr>
            <w:tcW w:w="1690" w:type="dxa"/>
            <w:noWrap w:val="0"/>
            <w:vAlign w:val="center"/>
          </w:tcPr>
          <w:p w14:paraId="739B7B38">
            <w:pPr>
              <w:pageBreakBefore w:val="0"/>
              <w:kinsoku/>
              <w:overflowPunct/>
              <w:bidi w:val="0"/>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交货期</w:t>
            </w:r>
          </w:p>
        </w:tc>
        <w:tc>
          <w:tcPr>
            <w:tcW w:w="7436" w:type="dxa"/>
            <w:noWrap w:val="0"/>
            <w:vAlign w:val="center"/>
          </w:tcPr>
          <w:p w14:paraId="243164BD">
            <w:pPr>
              <w:pageBreakBefore w:val="0"/>
              <w:tabs>
                <w:tab w:val="left" w:pos="5468"/>
              </w:tabs>
              <w:kinsoku/>
              <w:overflowPunct/>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签订合同后</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日历天内完成安装、调试、验收合格并交付使用。</w:t>
            </w:r>
          </w:p>
        </w:tc>
      </w:tr>
      <w:tr w14:paraId="5D8A6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exact"/>
          <w:jc w:val="center"/>
        </w:trPr>
        <w:tc>
          <w:tcPr>
            <w:tcW w:w="1690" w:type="dxa"/>
            <w:noWrap w:val="0"/>
            <w:vAlign w:val="center"/>
          </w:tcPr>
          <w:p w14:paraId="318D1040">
            <w:pPr>
              <w:pageBreakBefore w:val="0"/>
              <w:kinsoku/>
              <w:overflowPunct/>
              <w:bidi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交货地点</w:t>
            </w:r>
          </w:p>
        </w:tc>
        <w:tc>
          <w:tcPr>
            <w:tcW w:w="7436" w:type="dxa"/>
            <w:noWrap w:val="0"/>
            <w:vAlign w:val="center"/>
          </w:tcPr>
          <w:p w14:paraId="1613030B">
            <w:pPr>
              <w:pageBreakBefore w:val="0"/>
              <w:tabs>
                <w:tab w:val="left" w:pos="5468"/>
              </w:tabs>
              <w:kinsoku/>
              <w:overflowPunct/>
              <w:bidi w:val="0"/>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玉溪市生态环境局</w:t>
            </w:r>
            <w:r>
              <w:rPr>
                <w:rFonts w:hint="eastAsia" w:ascii="宋体" w:hAnsi="宋体" w:eastAsia="宋体" w:cs="宋体"/>
                <w:color w:val="auto"/>
                <w:sz w:val="24"/>
                <w:highlight w:val="none"/>
                <w:lang w:val="en-US" w:eastAsia="zh-CN"/>
              </w:rPr>
              <w:t>(采购人指定地点)。</w:t>
            </w:r>
          </w:p>
        </w:tc>
      </w:tr>
      <w:tr w14:paraId="1ED49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exact"/>
          <w:jc w:val="center"/>
        </w:trPr>
        <w:tc>
          <w:tcPr>
            <w:tcW w:w="1690" w:type="dxa"/>
            <w:noWrap w:val="0"/>
            <w:vAlign w:val="center"/>
          </w:tcPr>
          <w:p w14:paraId="207449FF">
            <w:pPr>
              <w:pageBreakBefore w:val="0"/>
              <w:kinsoku/>
              <w:overflowPunct/>
              <w:bidi w:val="0"/>
              <w:spacing w:line="360" w:lineRule="auto"/>
              <w:jc w:val="center"/>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其它</w:t>
            </w:r>
          </w:p>
        </w:tc>
        <w:tc>
          <w:tcPr>
            <w:tcW w:w="7436" w:type="dxa"/>
            <w:noWrap w:val="0"/>
            <w:vAlign w:val="center"/>
          </w:tcPr>
          <w:p w14:paraId="1CE142A8">
            <w:pPr>
              <w:pageBreakBefore w:val="0"/>
              <w:tabs>
                <w:tab w:val="left" w:pos="5468"/>
              </w:tabs>
              <w:kinsoku/>
              <w:overflowPunct/>
              <w:bidi w:val="0"/>
              <w:spacing w:line="360" w:lineRule="auto"/>
              <w:rPr>
                <w:rFonts w:hint="eastAsia" w:ascii="宋体" w:hAnsi="宋体" w:eastAsia="宋体" w:cs="宋体"/>
                <w:b w:val="0"/>
                <w:bCs w:val="0"/>
                <w:color w:val="auto"/>
                <w:sz w:val="24"/>
                <w:highlight w:val="none"/>
              </w:rPr>
            </w:pPr>
          </w:p>
        </w:tc>
      </w:tr>
      <w:tr w14:paraId="17826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1690" w:type="dxa"/>
            <w:noWrap w:val="0"/>
            <w:vAlign w:val="center"/>
          </w:tcPr>
          <w:p w14:paraId="56FF817F">
            <w:pPr>
              <w:pageBreakBefore w:val="0"/>
              <w:kinsoku/>
              <w:overflowPunct/>
              <w:bidi w:val="0"/>
              <w:spacing w:before="120" w:after="12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c>
          <w:tcPr>
            <w:tcW w:w="7436" w:type="dxa"/>
            <w:noWrap w:val="0"/>
            <w:vAlign w:val="center"/>
          </w:tcPr>
          <w:p w14:paraId="66CE4316">
            <w:pPr>
              <w:pageBreakBefore w:val="0"/>
              <w:kinsoku/>
              <w:overflowPunct/>
              <w:bidi w:val="0"/>
              <w:spacing w:before="120" w:after="120" w:line="360" w:lineRule="auto"/>
              <w:rPr>
                <w:rFonts w:hint="eastAsia" w:ascii="宋体" w:hAnsi="宋体" w:eastAsia="宋体" w:cs="宋体"/>
                <w:color w:val="auto"/>
                <w:sz w:val="24"/>
                <w:highlight w:val="none"/>
              </w:rPr>
            </w:pPr>
          </w:p>
        </w:tc>
      </w:tr>
    </w:tbl>
    <w:p w14:paraId="317514D2">
      <w:pPr>
        <w:pageBreakBefore w:val="0"/>
        <w:kinsoku/>
        <w:overflowPunct/>
        <w:bidi w:val="0"/>
        <w:spacing w:line="360" w:lineRule="auto"/>
        <w:rPr>
          <w:rFonts w:hint="eastAsia" w:ascii="宋体" w:hAnsi="宋体" w:eastAsia="宋体" w:cs="宋体"/>
          <w:color w:val="auto"/>
          <w:sz w:val="24"/>
          <w:highlight w:val="none"/>
        </w:rPr>
      </w:pPr>
    </w:p>
    <w:p w14:paraId="446B70EF">
      <w:pPr>
        <w:pageBreakBefore w:val="0"/>
        <w:kinsoku/>
        <w:overflowPunct/>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注：投标报价币种：按人民币报价。</w:t>
      </w:r>
    </w:p>
    <w:p w14:paraId="3CF9E8B0">
      <w:pPr>
        <w:pageBreakBefore w:val="0"/>
        <w:shd w:val="solid" w:color="FFFFFF" w:fill="auto"/>
        <w:kinsoku/>
        <w:overflowPunct/>
        <w:autoSpaceDN w:val="0"/>
        <w:bidi w:val="0"/>
        <w:spacing w:line="360" w:lineRule="auto"/>
        <w:jc w:val="left"/>
        <w:rPr>
          <w:rFonts w:hint="eastAsia" w:ascii="宋体" w:hAnsi="宋体" w:eastAsia="宋体" w:cs="宋体"/>
          <w:color w:val="auto"/>
          <w:sz w:val="24"/>
          <w:highlight w:val="none"/>
        </w:rPr>
      </w:pPr>
    </w:p>
    <w:p w14:paraId="3F37A517">
      <w:pPr>
        <w:pageBreakBefore w:val="0"/>
        <w:shd w:val="solid" w:color="FFFFFF" w:fill="auto"/>
        <w:kinsoku/>
        <w:overflowPunct/>
        <w:autoSpaceDN w:val="0"/>
        <w:bidi w:val="0"/>
        <w:spacing w:line="360" w:lineRule="auto"/>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（投标人全称）      </w:t>
      </w:r>
      <w:r>
        <w:rPr>
          <w:rFonts w:hint="eastAsia" w:ascii="宋体" w:hAnsi="宋体" w:eastAsia="宋体" w:cs="宋体"/>
          <w:color w:val="auto"/>
          <w:sz w:val="24"/>
          <w:highlight w:val="none"/>
        </w:rPr>
        <w:t>（电子签章）</w:t>
      </w:r>
    </w:p>
    <w:p w14:paraId="5570C85B">
      <w:pPr>
        <w:pageBreakBefore w:val="0"/>
        <w:shd w:val="solid" w:color="FFFFFF" w:fill="auto"/>
        <w:kinsoku/>
        <w:overflowPunct/>
        <w:autoSpaceDN w:val="0"/>
        <w:bidi w:val="0"/>
        <w:spacing w:line="360" w:lineRule="auto"/>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法定代表人或其委托代理人：</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shd w:val="clear" w:color="auto" w:fill="FFFFFF"/>
        </w:rPr>
        <w:t>（电子签章或电子签名）</w:t>
      </w:r>
    </w:p>
    <w:p w14:paraId="5415F86A">
      <w:pPr>
        <w:pStyle w:val="5"/>
        <w:pageBreakBefore w:val="0"/>
        <w:kinsoku/>
        <w:overflowPunct/>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rPr>
        <w:t>日</w:t>
      </w:r>
    </w:p>
    <w:p w14:paraId="6C4F48F9">
      <w:pPr>
        <w:pageBreakBefore w:val="0"/>
        <w:shd w:val="solid" w:color="FFFFFF" w:fill="auto"/>
        <w:kinsoku/>
        <w:overflowPunct/>
        <w:autoSpaceDN w:val="0"/>
        <w:bidi w:val="0"/>
        <w:spacing w:line="360" w:lineRule="auto"/>
        <w:jc w:val="center"/>
        <w:outlineLvl w:val="1"/>
        <w:rPr>
          <w:rFonts w:hint="eastAsia" w:ascii="宋体" w:hAnsi="宋体" w:eastAsia="宋体" w:cs="宋体"/>
          <w:color w:val="auto"/>
          <w:sz w:val="32"/>
          <w:szCs w:val="32"/>
          <w:highlight w:val="none"/>
          <w:shd w:val="clear" w:color="auto" w:fill="FFFFFF"/>
        </w:rPr>
      </w:pPr>
      <w:r>
        <w:rPr>
          <w:rFonts w:hint="eastAsia" w:ascii="宋体" w:hAnsi="宋体" w:eastAsia="宋体" w:cs="宋体"/>
          <w:color w:val="auto"/>
          <w:sz w:val="24"/>
          <w:highlight w:val="none"/>
        </w:rPr>
        <w:br w:type="page"/>
      </w:r>
      <w:bookmarkStart w:id="201" w:name="_Toc10809"/>
      <w:bookmarkStart w:id="202" w:name="_Toc30702"/>
      <w:bookmarkStart w:id="203" w:name="_Toc19158"/>
      <w:bookmarkStart w:id="204" w:name="_Toc22875"/>
      <w:r>
        <w:rPr>
          <w:rFonts w:hint="eastAsia" w:ascii="宋体" w:hAnsi="宋体" w:eastAsia="宋体" w:cs="宋体"/>
          <w:b/>
          <w:color w:val="auto"/>
          <w:sz w:val="32"/>
          <w:szCs w:val="32"/>
          <w:highlight w:val="none"/>
          <w:shd w:val="clear" w:color="auto" w:fill="FFFFFF"/>
        </w:rPr>
        <w:t>六、分项报价明细表</w:t>
      </w:r>
      <w:bookmarkEnd w:id="201"/>
      <w:bookmarkEnd w:id="202"/>
      <w:bookmarkEnd w:id="203"/>
      <w:bookmarkEnd w:id="204"/>
    </w:p>
    <w:p w14:paraId="761155F9">
      <w:pPr>
        <w:pageBreakBefore w:val="0"/>
        <w:shd w:val="solid" w:color="FFFFFF" w:fill="auto"/>
        <w:kinsoku/>
        <w:overflowPunct/>
        <w:autoSpaceDN w:val="0"/>
        <w:bidi w:val="0"/>
        <w:spacing w:line="360" w:lineRule="auto"/>
        <w:rPr>
          <w:rFonts w:hint="eastAsia" w:ascii="宋体" w:hAnsi="宋体" w:eastAsia="宋体" w:cs="宋体"/>
          <w:color w:val="auto"/>
          <w:sz w:val="24"/>
          <w:highlight w:val="none"/>
          <w:u w:val="single"/>
          <w:shd w:val="clear" w:color="auto" w:fill="FFFFFF"/>
        </w:rPr>
      </w:pPr>
      <w:r>
        <w:rPr>
          <w:rFonts w:hint="eastAsia" w:ascii="宋体" w:hAnsi="宋体" w:eastAsia="宋体" w:cs="宋体"/>
          <w:color w:val="auto"/>
          <w:sz w:val="24"/>
          <w:highlight w:val="none"/>
          <w:shd w:val="clear" w:color="auto" w:fill="FFFFFF"/>
        </w:rPr>
        <w:t>项目名称：</w:t>
      </w:r>
      <w:r>
        <w:rPr>
          <w:rFonts w:hint="eastAsia" w:ascii="宋体" w:hAnsi="宋体" w:cs="宋体"/>
          <w:color w:val="auto"/>
          <w:sz w:val="24"/>
          <w:szCs w:val="20"/>
          <w:highlight w:val="none"/>
          <w:u w:val="single"/>
          <w:shd w:val="clear" w:color="auto" w:fill="FFFFFF"/>
          <w:lang w:eastAsia="zh-CN"/>
        </w:rPr>
        <w:t>珠江流域（玉溪段）生态环境监测能力提升项目</w:t>
      </w:r>
      <w:r>
        <w:rPr>
          <w:rFonts w:hint="eastAsia" w:ascii="宋体" w:hAnsi="宋体" w:cs="宋体"/>
          <w:color w:val="auto"/>
          <w:sz w:val="24"/>
          <w:szCs w:val="20"/>
          <w:highlight w:val="none"/>
          <w:u w:val="single"/>
          <w:shd w:val="clear" w:color="auto" w:fill="FFFFFF"/>
          <w:lang w:val="en-US" w:eastAsia="zh-CN"/>
        </w:rPr>
        <w:t xml:space="preserve">   包</w:t>
      </w:r>
    </w:p>
    <w:p w14:paraId="2A2434E0">
      <w:pPr>
        <w:pageBreakBefore w:val="0"/>
        <w:kinsoku/>
        <w:overflowPunct/>
        <w:bidi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shd w:val="clear" w:color="auto" w:fill="FFFFFF"/>
        </w:rPr>
        <w:t>项目编号：</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u w:val="single"/>
        </w:rPr>
        <w:t xml:space="preserve"> </w:t>
      </w:r>
    </w:p>
    <w:tbl>
      <w:tblPr>
        <w:tblStyle w:val="23"/>
        <w:tblW w:w="9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1330"/>
        <w:gridCol w:w="734"/>
        <w:gridCol w:w="756"/>
        <w:gridCol w:w="785"/>
        <w:gridCol w:w="834"/>
        <w:gridCol w:w="673"/>
        <w:gridCol w:w="913"/>
        <w:gridCol w:w="1121"/>
        <w:gridCol w:w="758"/>
        <w:gridCol w:w="690"/>
        <w:gridCol w:w="690"/>
      </w:tblGrid>
      <w:tr w14:paraId="10540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561" w:type="dxa"/>
            <w:noWrap w:val="0"/>
            <w:vAlign w:val="center"/>
          </w:tcPr>
          <w:p w14:paraId="28A6C313">
            <w:pPr>
              <w:pageBreakBefore w:val="0"/>
              <w:kinsoku/>
              <w:overflowPunct/>
              <w:bidi w:val="0"/>
              <w:spacing w:line="360" w:lineRule="auto"/>
              <w:jc w:val="cente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序号</w:t>
            </w:r>
          </w:p>
        </w:tc>
        <w:tc>
          <w:tcPr>
            <w:tcW w:w="1330" w:type="dxa"/>
            <w:noWrap w:val="0"/>
            <w:vAlign w:val="center"/>
          </w:tcPr>
          <w:p w14:paraId="59914BE0">
            <w:pPr>
              <w:pageBreakBefore w:val="0"/>
              <w:kinsoku/>
              <w:overflowPunct/>
              <w:bidi w:val="0"/>
              <w:spacing w:line="360" w:lineRule="auto"/>
              <w:jc w:val="center"/>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val="en-US" w:eastAsia="zh-CN"/>
              </w:rPr>
              <w:t>设备</w:t>
            </w:r>
            <w:r>
              <w:rPr>
                <w:rFonts w:hint="eastAsia" w:ascii="宋体" w:hAnsi="宋体" w:eastAsia="宋体" w:cs="宋体"/>
                <w:bCs/>
                <w:color w:val="auto"/>
                <w:sz w:val="22"/>
                <w:highlight w:val="none"/>
              </w:rPr>
              <w:t>（</w:t>
            </w:r>
            <w:r>
              <w:rPr>
                <w:rFonts w:hint="eastAsia" w:ascii="宋体" w:hAnsi="宋体" w:eastAsia="宋体" w:cs="宋体"/>
                <w:bCs/>
                <w:color w:val="auto"/>
                <w:sz w:val="22"/>
                <w:highlight w:val="none"/>
                <w:lang w:val="en-US" w:eastAsia="zh-CN"/>
              </w:rPr>
              <w:t>产品</w:t>
            </w:r>
            <w:r>
              <w:rPr>
                <w:rFonts w:hint="eastAsia" w:ascii="宋体" w:hAnsi="宋体" w:eastAsia="宋体" w:cs="宋体"/>
                <w:bCs/>
                <w:color w:val="auto"/>
                <w:sz w:val="22"/>
                <w:highlight w:val="none"/>
              </w:rPr>
              <w:t>）名称</w:t>
            </w:r>
          </w:p>
        </w:tc>
        <w:tc>
          <w:tcPr>
            <w:tcW w:w="734" w:type="dxa"/>
            <w:noWrap w:val="0"/>
            <w:vAlign w:val="center"/>
          </w:tcPr>
          <w:p w14:paraId="39368CEB">
            <w:pPr>
              <w:pageBreakBefore w:val="0"/>
              <w:kinsoku/>
              <w:overflowPunct/>
              <w:bidi w:val="0"/>
              <w:spacing w:line="360" w:lineRule="auto"/>
              <w:jc w:val="cente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厂家</w:t>
            </w:r>
          </w:p>
        </w:tc>
        <w:tc>
          <w:tcPr>
            <w:tcW w:w="756" w:type="dxa"/>
            <w:noWrap w:val="0"/>
            <w:vAlign w:val="center"/>
          </w:tcPr>
          <w:p w14:paraId="689C3150">
            <w:pPr>
              <w:pageBreakBefore w:val="0"/>
              <w:kinsoku/>
              <w:overflowPunct/>
              <w:bidi w:val="0"/>
              <w:spacing w:line="360" w:lineRule="auto"/>
              <w:jc w:val="cente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品牌</w:t>
            </w:r>
          </w:p>
        </w:tc>
        <w:tc>
          <w:tcPr>
            <w:tcW w:w="785" w:type="dxa"/>
            <w:noWrap w:val="0"/>
            <w:vAlign w:val="center"/>
          </w:tcPr>
          <w:p w14:paraId="436C1B19">
            <w:pPr>
              <w:pageBreakBefore w:val="0"/>
              <w:kinsoku/>
              <w:overflowPunct/>
              <w:bidi w:val="0"/>
              <w:spacing w:line="360" w:lineRule="auto"/>
              <w:jc w:val="cente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型号</w:t>
            </w:r>
          </w:p>
        </w:tc>
        <w:tc>
          <w:tcPr>
            <w:tcW w:w="834" w:type="dxa"/>
            <w:noWrap w:val="0"/>
            <w:vAlign w:val="center"/>
          </w:tcPr>
          <w:p w14:paraId="582318D5">
            <w:pPr>
              <w:pageBreakBefore w:val="0"/>
              <w:kinsoku/>
              <w:overflowPunct/>
              <w:bidi w:val="0"/>
              <w:spacing w:line="360" w:lineRule="auto"/>
              <w:jc w:val="cente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数量</w:t>
            </w:r>
          </w:p>
        </w:tc>
        <w:tc>
          <w:tcPr>
            <w:tcW w:w="673" w:type="dxa"/>
            <w:noWrap w:val="0"/>
            <w:vAlign w:val="center"/>
          </w:tcPr>
          <w:p w14:paraId="650C8F4B">
            <w:pPr>
              <w:pageBreakBefore w:val="0"/>
              <w:kinsoku/>
              <w:overflowPunct/>
              <w:bidi w:val="0"/>
              <w:spacing w:line="360" w:lineRule="auto"/>
              <w:jc w:val="cente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计量单位</w:t>
            </w:r>
          </w:p>
        </w:tc>
        <w:tc>
          <w:tcPr>
            <w:tcW w:w="913" w:type="dxa"/>
            <w:noWrap w:val="0"/>
            <w:vAlign w:val="center"/>
          </w:tcPr>
          <w:p w14:paraId="60B47879">
            <w:pPr>
              <w:pageBreakBefore w:val="0"/>
              <w:kinsoku/>
              <w:overflowPunct/>
              <w:bidi w:val="0"/>
              <w:spacing w:line="360" w:lineRule="auto"/>
              <w:jc w:val="center"/>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val="en-US" w:eastAsia="zh-CN"/>
              </w:rPr>
              <w:t>投标</w:t>
            </w:r>
            <w:r>
              <w:rPr>
                <w:rFonts w:hint="eastAsia" w:ascii="宋体" w:hAnsi="宋体" w:eastAsia="宋体" w:cs="宋体"/>
                <w:bCs/>
                <w:color w:val="auto"/>
                <w:sz w:val="22"/>
                <w:highlight w:val="none"/>
              </w:rPr>
              <w:t>单价（元）</w:t>
            </w:r>
          </w:p>
        </w:tc>
        <w:tc>
          <w:tcPr>
            <w:tcW w:w="1121" w:type="dxa"/>
            <w:noWrap w:val="0"/>
            <w:vAlign w:val="center"/>
          </w:tcPr>
          <w:p w14:paraId="76B498C0">
            <w:pPr>
              <w:pageBreakBefore w:val="0"/>
              <w:kinsoku/>
              <w:overflowPunct/>
              <w:bidi w:val="0"/>
              <w:spacing w:line="360" w:lineRule="auto"/>
              <w:jc w:val="center"/>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val="en-US" w:eastAsia="zh-CN"/>
              </w:rPr>
              <w:t>投标</w:t>
            </w:r>
            <w:r>
              <w:rPr>
                <w:rFonts w:hint="eastAsia" w:ascii="宋体" w:hAnsi="宋体" w:eastAsia="宋体" w:cs="宋体"/>
                <w:bCs/>
                <w:color w:val="auto"/>
                <w:sz w:val="22"/>
                <w:highlight w:val="none"/>
              </w:rPr>
              <w:t>合价</w:t>
            </w:r>
          </w:p>
          <w:p w14:paraId="10CBA816">
            <w:pPr>
              <w:pageBreakBefore w:val="0"/>
              <w:kinsoku/>
              <w:overflowPunct/>
              <w:bidi w:val="0"/>
              <w:spacing w:line="360" w:lineRule="auto"/>
              <w:jc w:val="cente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（元）</w:t>
            </w:r>
          </w:p>
        </w:tc>
        <w:tc>
          <w:tcPr>
            <w:tcW w:w="758" w:type="dxa"/>
            <w:noWrap w:val="0"/>
            <w:vAlign w:val="center"/>
          </w:tcPr>
          <w:p w14:paraId="1C98744F">
            <w:pPr>
              <w:pageBreakBefore w:val="0"/>
              <w:kinsoku/>
              <w:overflowPunct/>
              <w:bidi w:val="0"/>
              <w:spacing w:line="360" w:lineRule="auto"/>
              <w:jc w:val="center"/>
              <w:rPr>
                <w:rFonts w:hint="eastAsia" w:ascii="宋体" w:hAnsi="宋体" w:eastAsia="宋体" w:cs="宋体"/>
                <w:bCs/>
                <w:color w:val="auto"/>
                <w:sz w:val="22"/>
                <w:highlight w:val="none"/>
              </w:rPr>
            </w:pPr>
            <w:r>
              <w:rPr>
                <w:rFonts w:hint="eastAsia" w:ascii="宋体" w:hAnsi="宋体" w:eastAsia="宋体" w:cs="宋体"/>
                <w:b/>
                <w:color w:val="auto"/>
                <w:sz w:val="22"/>
                <w:highlight w:val="none"/>
              </w:rPr>
              <w:t>厂家所属情形</w:t>
            </w:r>
          </w:p>
        </w:tc>
        <w:tc>
          <w:tcPr>
            <w:tcW w:w="690" w:type="dxa"/>
            <w:noWrap w:val="0"/>
            <w:vAlign w:val="center"/>
          </w:tcPr>
          <w:p w14:paraId="68FE929F">
            <w:pPr>
              <w:pageBreakBefore w:val="0"/>
              <w:kinsoku/>
              <w:overflowPunct/>
              <w:bidi w:val="0"/>
              <w:spacing w:line="360" w:lineRule="auto"/>
              <w:jc w:val="center"/>
              <w:rPr>
                <w:rFonts w:hint="default" w:ascii="宋体" w:hAnsi="宋体" w:eastAsia="宋体" w:cs="宋体"/>
                <w:b/>
                <w:color w:val="auto"/>
                <w:sz w:val="22"/>
                <w:highlight w:val="none"/>
                <w:lang w:val="en-US" w:eastAsia="zh-CN"/>
              </w:rPr>
            </w:pPr>
            <w:r>
              <w:rPr>
                <w:rFonts w:hint="eastAsia" w:ascii="宋体" w:hAnsi="宋体" w:cs="宋体"/>
                <w:b/>
                <w:color w:val="auto"/>
                <w:sz w:val="22"/>
                <w:highlight w:val="none"/>
                <w:lang w:val="en-US" w:eastAsia="zh-CN"/>
              </w:rPr>
              <w:t>产品国别</w:t>
            </w:r>
          </w:p>
        </w:tc>
        <w:tc>
          <w:tcPr>
            <w:tcW w:w="690" w:type="dxa"/>
            <w:noWrap w:val="0"/>
            <w:vAlign w:val="center"/>
          </w:tcPr>
          <w:p w14:paraId="62D92949">
            <w:pPr>
              <w:pageBreakBefore w:val="0"/>
              <w:kinsoku/>
              <w:overflowPunct/>
              <w:bidi w:val="0"/>
              <w:spacing w:line="360" w:lineRule="auto"/>
              <w:jc w:val="cente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备注</w:t>
            </w:r>
          </w:p>
        </w:tc>
      </w:tr>
      <w:tr w14:paraId="2C99F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61" w:type="dxa"/>
            <w:noWrap w:val="0"/>
            <w:vAlign w:val="center"/>
          </w:tcPr>
          <w:p w14:paraId="7FB28E5A">
            <w:pPr>
              <w:pageBreakBefore w:val="0"/>
              <w:kinsoku/>
              <w:overflowPunct/>
              <w:bidi w:val="0"/>
              <w:spacing w:line="360" w:lineRule="auto"/>
              <w:jc w:val="cente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1</w:t>
            </w:r>
          </w:p>
        </w:tc>
        <w:tc>
          <w:tcPr>
            <w:tcW w:w="1330" w:type="dxa"/>
            <w:noWrap w:val="0"/>
            <w:vAlign w:val="center"/>
          </w:tcPr>
          <w:p w14:paraId="7F24C66E">
            <w:pPr>
              <w:pageBreakBefore w:val="0"/>
              <w:kinsoku/>
              <w:overflowPunct/>
              <w:bidi w:val="0"/>
              <w:spacing w:line="360" w:lineRule="auto"/>
              <w:jc w:val="center"/>
              <w:rPr>
                <w:rFonts w:hint="eastAsia" w:ascii="宋体" w:hAnsi="宋体" w:eastAsia="宋体" w:cs="宋体"/>
                <w:bCs/>
                <w:color w:val="auto"/>
                <w:sz w:val="22"/>
                <w:highlight w:val="none"/>
              </w:rPr>
            </w:pPr>
            <w:r>
              <w:rPr>
                <w:rFonts w:hint="eastAsia" w:ascii="宋体" w:hAnsi="宋体" w:cs="宋体"/>
                <w:bCs/>
                <w:color w:val="auto"/>
                <w:sz w:val="22"/>
                <w:highlight w:val="none"/>
                <w:lang w:val="en-US" w:eastAsia="zh-CN"/>
              </w:rPr>
              <w:t xml:space="preserve"> </w:t>
            </w:r>
          </w:p>
        </w:tc>
        <w:tc>
          <w:tcPr>
            <w:tcW w:w="734" w:type="dxa"/>
            <w:noWrap w:val="0"/>
            <w:vAlign w:val="center"/>
          </w:tcPr>
          <w:p w14:paraId="2D782DE4">
            <w:pPr>
              <w:pageBreakBefore w:val="0"/>
              <w:kinsoku/>
              <w:overflowPunct/>
              <w:bidi w:val="0"/>
              <w:spacing w:line="360" w:lineRule="auto"/>
              <w:jc w:val="center"/>
              <w:rPr>
                <w:rFonts w:hint="eastAsia" w:ascii="宋体" w:hAnsi="宋体" w:eastAsia="宋体" w:cs="宋体"/>
                <w:bCs/>
                <w:color w:val="auto"/>
                <w:sz w:val="22"/>
                <w:highlight w:val="none"/>
              </w:rPr>
            </w:pPr>
          </w:p>
        </w:tc>
        <w:tc>
          <w:tcPr>
            <w:tcW w:w="756" w:type="dxa"/>
            <w:noWrap w:val="0"/>
            <w:vAlign w:val="center"/>
          </w:tcPr>
          <w:p w14:paraId="03A9483D">
            <w:pPr>
              <w:pageBreakBefore w:val="0"/>
              <w:kinsoku/>
              <w:overflowPunct/>
              <w:bidi w:val="0"/>
              <w:spacing w:line="360" w:lineRule="auto"/>
              <w:jc w:val="center"/>
              <w:rPr>
                <w:rFonts w:hint="eastAsia" w:ascii="宋体" w:hAnsi="宋体" w:eastAsia="宋体" w:cs="宋体"/>
                <w:bCs/>
                <w:color w:val="auto"/>
                <w:sz w:val="22"/>
                <w:highlight w:val="none"/>
              </w:rPr>
            </w:pPr>
          </w:p>
        </w:tc>
        <w:tc>
          <w:tcPr>
            <w:tcW w:w="785" w:type="dxa"/>
            <w:noWrap w:val="0"/>
            <w:vAlign w:val="center"/>
          </w:tcPr>
          <w:p w14:paraId="08D6E459">
            <w:pPr>
              <w:pageBreakBefore w:val="0"/>
              <w:kinsoku/>
              <w:overflowPunct/>
              <w:bidi w:val="0"/>
              <w:spacing w:line="360" w:lineRule="auto"/>
              <w:jc w:val="center"/>
              <w:rPr>
                <w:rFonts w:hint="eastAsia" w:ascii="宋体" w:hAnsi="宋体" w:eastAsia="宋体" w:cs="宋体"/>
                <w:bCs/>
                <w:color w:val="auto"/>
                <w:sz w:val="22"/>
                <w:highlight w:val="none"/>
              </w:rPr>
            </w:pPr>
          </w:p>
        </w:tc>
        <w:tc>
          <w:tcPr>
            <w:tcW w:w="834" w:type="dxa"/>
            <w:noWrap w:val="0"/>
            <w:vAlign w:val="center"/>
          </w:tcPr>
          <w:p w14:paraId="47A9856E">
            <w:pPr>
              <w:pageBreakBefore w:val="0"/>
              <w:kinsoku/>
              <w:overflowPunct/>
              <w:bidi w:val="0"/>
              <w:spacing w:line="360" w:lineRule="auto"/>
              <w:jc w:val="center"/>
              <w:rPr>
                <w:rFonts w:hint="default" w:ascii="宋体" w:hAnsi="宋体" w:eastAsia="宋体" w:cs="宋体"/>
                <w:bCs/>
                <w:color w:val="auto"/>
                <w:sz w:val="22"/>
                <w:highlight w:val="none"/>
                <w:lang w:val="en-US" w:eastAsia="zh-CN"/>
              </w:rPr>
            </w:pPr>
            <w:r>
              <w:rPr>
                <w:rFonts w:hint="eastAsia" w:ascii="宋体" w:hAnsi="宋体" w:cs="宋体"/>
                <w:bCs/>
                <w:color w:val="auto"/>
                <w:sz w:val="22"/>
                <w:highlight w:val="none"/>
                <w:lang w:val="en-US" w:eastAsia="zh-CN"/>
              </w:rPr>
              <w:t xml:space="preserve"> </w:t>
            </w:r>
          </w:p>
        </w:tc>
        <w:tc>
          <w:tcPr>
            <w:tcW w:w="673" w:type="dxa"/>
            <w:noWrap w:val="0"/>
            <w:vAlign w:val="center"/>
          </w:tcPr>
          <w:p w14:paraId="3E288C4E">
            <w:pPr>
              <w:pageBreakBefore w:val="0"/>
              <w:kinsoku/>
              <w:overflowPunct/>
              <w:bidi w:val="0"/>
              <w:spacing w:line="360" w:lineRule="auto"/>
              <w:jc w:val="center"/>
              <w:rPr>
                <w:rFonts w:hint="default" w:ascii="宋体" w:hAnsi="宋体" w:eastAsia="宋体" w:cs="宋体"/>
                <w:bCs/>
                <w:color w:val="auto"/>
                <w:sz w:val="22"/>
                <w:highlight w:val="none"/>
                <w:lang w:val="en-US"/>
              </w:rPr>
            </w:pPr>
          </w:p>
        </w:tc>
        <w:tc>
          <w:tcPr>
            <w:tcW w:w="913" w:type="dxa"/>
            <w:noWrap w:val="0"/>
            <w:vAlign w:val="center"/>
          </w:tcPr>
          <w:p w14:paraId="7E76AE1D">
            <w:pPr>
              <w:pageBreakBefore w:val="0"/>
              <w:kinsoku/>
              <w:overflowPunct/>
              <w:bidi w:val="0"/>
              <w:spacing w:line="360" w:lineRule="auto"/>
              <w:jc w:val="center"/>
              <w:rPr>
                <w:rFonts w:hint="eastAsia" w:ascii="宋体" w:hAnsi="宋体" w:eastAsia="宋体" w:cs="宋体"/>
                <w:bCs/>
                <w:color w:val="auto"/>
                <w:sz w:val="22"/>
                <w:highlight w:val="none"/>
              </w:rPr>
            </w:pPr>
          </w:p>
        </w:tc>
        <w:tc>
          <w:tcPr>
            <w:tcW w:w="1121" w:type="dxa"/>
            <w:noWrap w:val="0"/>
            <w:vAlign w:val="top"/>
          </w:tcPr>
          <w:p w14:paraId="5161EFB2">
            <w:pPr>
              <w:pageBreakBefore w:val="0"/>
              <w:kinsoku/>
              <w:overflowPunct/>
              <w:bidi w:val="0"/>
              <w:spacing w:line="360" w:lineRule="auto"/>
              <w:rPr>
                <w:rFonts w:hint="eastAsia" w:ascii="宋体" w:hAnsi="宋体" w:eastAsia="宋体" w:cs="宋体"/>
                <w:bCs/>
                <w:color w:val="auto"/>
                <w:sz w:val="22"/>
                <w:highlight w:val="none"/>
              </w:rPr>
            </w:pPr>
          </w:p>
        </w:tc>
        <w:tc>
          <w:tcPr>
            <w:tcW w:w="758" w:type="dxa"/>
            <w:noWrap w:val="0"/>
            <w:vAlign w:val="top"/>
          </w:tcPr>
          <w:p w14:paraId="5A4E6134">
            <w:pPr>
              <w:pageBreakBefore w:val="0"/>
              <w:kinsoku/>
              <w:overflowPunct/>
              <w:bidi w:val="0"/>
              <w:spacing w:line="360" w:lineRule="auto"/>
              <w:rPr>
                <w:rFonts w:hint="eastAsia" w:ascii="宋体" w:hAnsi="宋体" w:eastAsia="宋体" w:cs="宋体"/>
                <w:bCs/>
                <w:color w:val="auto"/>
                <w:sz w:val="22"/>
                <w:highlight w:val="none"/>
              </w:rPr>
            </w:pPr>
          </w:p>
        </w:tc>
        <w:tc>
          <w:tcPr>
            <w:tcW w:w="690" w:type="dxa"/>
            <w:noWrap w:val="0"/>
            <w:vAlign w:val="top"/>
          </w:tcPr>
          <w:p w14:paraId="600500D4">
            <w:pPr>
              <w:pageBreakBefore w:val="0"/>
              <w:kinsoku/>
              <w:overflowPunct/>
              <w:bidi w:val="0"/>
              <w:spacing w:line="360" w:lineRule="auto"/>
              <w:rPr>
                <w:rFonts w:hint="eastAsia" w:ascii="宋体" w:hAnsi="宋体" w:eastAsia="宋体" w:cs="宋体"/>
                <w:bCs/>
                <w:color w:val="auto"/>
                <w:sz w:val="22"/>
                <w:highlight w:val="none"/>
              </w:rPr>
            </w:pPr>
          </w:p>
        </w:tc>
        <w:tc>
          <w:tcPr>
            <w:tcW w:w="690" w:type="dxa"/>
            <w:noWrap w:val="0"/>
            <w:vAlign w:val="top"/>
          </w:tcPr>
          <w:p w14:paraId="08EFE029">
            <w:pPr>
              <w:pageBreakBefore w:val="0"/>
              <w:kinsoku/>
              <w:overflowPunct/>
              <w:bidi w:val="0"/>
              <w:spacing w:line="360" w:lineRule="auto"/>
              <w:rPr>
                <w:rFonts w:hint="eastAsia" w:ascii="宋体" w:hAnsi="宋体" w:eastAsia="宋体" w:cs="宋体"/>
                <w:bCs/>
                <w:color w:val="auto"/>
                <w:sz w:val="22"/>
                <w:highlight w:val="none"/>
              </w:rPr>
            </w:pPr>
          </w:p>
        </w:tc>
      </w:tr>
      <w:tr w14:paraId="19DDC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61" w:type="dxa"/>
            <w:noWrap w:val="0"/>
            <w:vAlign w:val="center"/>
          </w:tcPr>
          <w:p w14:paraId="76BB9AD5">
            <w:pPr>
              <w:pageBreakBefore w:val="0"/>
              <w:kinsoku/>
              <w:overflowPunct/>
              <w:bidi w:val="0"/>
              <w:spacing w:line="360" w:lineRule="auto"/>
              <w:jc w:val="center"/>
              <w:rPr>
                <w:rFonts w:hint="eastAsia" w:ascii="宋体" w:hAnsi="宋体" w:eastAsia="宋体" w:cs="宋体"/>
                <w:bCs/>
                <w:color w:val="auto"/>
                <w:sz w:val="22"/>
                <w:highlight w:val="none"/>
                <w:lang w:val="en-US" w:eastAsia="zh-CN"/>
              </w:rPr>
            </w:pPr>
            <w:r>
              <w:rPr>
                <w:rFonts w:hint="eastAsia" w:ascii="宋体" w:hAnsi="宋体" w:cs="宋体"/>
                <w:bCs/>
                <w:color w:val="auto"/>
                <w:sz w:val="22"/>
                <w:highlight w:val="none"/>
                <w:lang w:val="en-US" w:eastAsia="zh-CN"/>
              </w:rPr>
              <w:t>2</w:t>
            </w:r>
          </w:p>
        </w:tc>
        <w:tc>
          <w:tcPr>
            <w:tcW w:w="1330" w:type="dxa"/>
            <w:noWrap w:val="0"/>
            <w:vAlign w:val="center"/>
          </w:tcPr>
          <w:p w14:paraId="65230B80">
            <w:pPr>
              <w:pageBreakBefore w:val="0"/>
              <w:kinsoku/>
              <w:overflowPunct/>
              <w:bidi w:val="0"/>
              <w:spacing w:line="360" w:lineRule="auto"/>
              <w:jc w:val="center"/>
              <w:rPr>
                <w:rFonts w:hint="eastAsia" w:ascii="宋体" w:hAnsi="宋体" w:cs="宋体"/>
                <w:bCs/>
                <w:color w:val="auto"/>
                <w:sz w:val="22"/>
                <w:highlight w:val="none"/>
                <w:lang w:val="en-US" w:eastAsia="zh-CN"/>
              </w:rPr>
            </w:pPr>
          </w:p>
        </w:tc>
        <w:tc>
          <w:tcPr>
            <w:tcW w:w="734" w:type="dxa"/>
            <w:noWrap w:val="0"/>
            <w:vAlign w:val="center"/>
          </w:tcPr>
          <w:p w14:paraId="4AA6CF25">
            <w:pPr>
              <w:pageBreakBefore w:val="0"/>
              <w:kinsoku/>
              <w:overflowPunct/>
              <w:bidi w:val="0"/>
              <w:spacing w:line="360" w:lineRule="auto"/>
              <w:jc w:val="center"/>
              <w:rPr>
                <w:rFonts w:hint="eastAsia" w:ascii="宋体" w:hAnsi="宋体" w:eastAsia="宋体" w:cs="宋体"/>
                <w:bCs/>
                <w:color w:val="auto"/>
                <w:sz w:val="22"/>
                <w:highlight w:val="none"/>
              </w:rPr>
            </w:pPr>
          </w:p>
        </w:tc>
        <w:tc>
          <w:tcPr>
            <w:tcW w:w="756" w:type="dxa"/>
            <w:noWrap w:val="0"/>
            <w:vAlign w:val="center"/>
          </w:tcPr>
          <w:p w14:paraId="3D1D4808">
            <w:pPr>
              <w:pageBreakBefore w:val="0"/>
              <w:kinsoku/>
              <w:overflowPunct/>
              <w:bidi w:val="0"/>
              <w:spacing w:line="360" w:lineRule="auto"/>
              <w:jc w:val="center"/>
              <w:rPr>
                <w:rFonts w:hint="eastAsia" w:ascii="宋体" w:hAnsi="宋体" w:eastAsia="宋体" w:cs="宋体"/>
                <w:bCs/>
                <w:color w:val="auto"/>
                <w:sz w:val="22"/>
                <w:highlight w:val="none"/>
              </w:rPr>
            </w:pPr>
          </w:p>
        </w:tc>
        <w:tc>
          <w:tcPr>
            <w:tcW w:w="785" w:type="dxa"/>
            <w:noWrap w:val="0"/>
            <w:vAlign w:val="center"/>
          </w:tcPr>
          <w:p w14:paraId="341EA10F">
            <w:pPr>
              <w:pageBreakBefore w:val="0"/>
              <w:kinsoku/>
              <w:overflowPunct/>
              <w:bidi w:val="0"/>
              <w:spacing w:line="360" w:lineRule="auto"/>
              <w:jc w:val="center"/>
              <w:rPr>
                <w:rFonts w:hint="eastAsia" w:ascii="宋体" w:hAnsi="宋体" w:eastAsia="宋体" w:cs="宋体"/>
                <w:bCs/>
                <w:color w:val="auto"/>
                <w:sz w:val="22"/>
                <w:highlight w:val="none"/>
              </w:rPr>
            </w:pPr>
          </w:p>
        </w:tc>
        <w:tc>
          <w:tcPr>
            <w:tcW w:w="834" w:type="dxa"/>
            <w:noWrap w:val="0"/>
            <w:vAlign w:val="center"/>
          </w:tcPr>
          <w:p w14:paraId="2A907ECE">
            <w:pPr>
              <w:pageBreakBefore w:val="0"/>
              <w:kinsoku/>
              <w:overflowPunct/>
              <w:bidi w:val="0"/>
              <w:spacing w:line="360" w:lineRule="auto"/>
              <w:jc w:val="center"/>
              <w:rPr>
                <w:rFonts w:hint="eastAsia" w:ascii="宋体" w:hAnsi="宋体" w:cs="宋体"/>
                <w:bCs/>
                <w:color w:val="auto"/>
                <w:sz w:val="22"/>
                <w:highlight w:val="none"/>
                <w:lang w:val="en-US" w:eastAsia="zh-CN"/>
              </w:rPr>
            </w:pPr>
          </w:p>
        </w:tc>
        <w:tc>
          <w:tcPr>
            <w:tcW w:w="673" w:type="dxa"/>
            <w:noWrap w:val="0"/>
            <w:vAlign w:val="center"/>
          </w:tcPr>
          <w:p w14:paraId="3AD4411B">
            <w:pPr>
              <w:pageBreakBefore w:val="0"/>
              <w:kinsoku/>
              <w:overflowPunct/>
              <w:bidi w:val="0"/>
              <w:spacing w:line="360" w:lineRule="auto"/>
              <w:jc w:val="center"/>
              <w:rPr>
                <w:rFonts w:hint="default" w:ascii="宋体" w:hAnsi="宋体" w:eastAsia="宋体" w:cs="宋体"/>
                <w:bCs/>
                <w:color w:val="auto"/>
                <w:sz w:val="22"/>
                <w:highlight w:val="none"/>
                <w:lang w:val="en-US"/>
              </w:rPr>
            </w:pPr>
          </w:p>
        </w:tc>
        <w:tc>
          <w:tcPr>
            <w:tcW w:w="913" w:type="dxa"/>
            <w:noWrap w:val="0"/>
            <w:vAlign w:val="center"/>
          </w:tcPr>
          <w:p w14:paraId="5E584313">
            <w:pPr>
              <w:pageBreakBefore w:val="0"/>
              <w:kinsoku/>
              <w:overflowPunct/>
              <w:bidi w:val="0"/>
              <w:spacing w:line="360" w:lineRule="auto"/>
              <w:jc w:val="center"/>
              <w:rPr>
                <w:rFonts w:hint="eastAsia" w:ascii="宋体" w:hAnsi="宋体" w:eastAsia="宋体" w:cs="宋体"/>
                <w:bCs/>
                <w:color w:val="auto"/>
                <w:sz w:val="22"/>
                <w:highlight w:val="none"/>
              </w:rPr>
            </w:pPr>
          </w:p>
        </w:tc>
        <w:tc>
          <w:tcPr>
            <w:tcW w:w="1121" w:type="dxa"/>
            <w:noWrap w:val="0"/>
            <w:vAlign w:val="top"/>
          </w:tcPr>
          <w:p w14:paraId="58A90DEB">
            <w:pPr>
              <w:pageBreakBefore w:val="0"/>
              <w:kinsoku/>
              <w:overflowPunct/>
              <w:bidi w:val="0"/>
              <w:spacing w:line="360" w:lineRule="auto"/>
              <w:rPr>
                <w:rFonts w:hint="eastAsia" w:ascii="宋体" w:hAnsi="宋体" w:eastAsia="宋体" w:cs="宋体"/>
                <w:bCs/>
                <w:color w:val="auto"/>
                <w:sz w:val="22"/>
                <w:highlight w:val="none"/>
              </w:rPr>
            </w:pPr>
          </w:p>
        </w:tc>
        <w:tc>
          <w:tcPr>
            <w:tcW w:w="758" w:type="dxa"/>
            <w:noWrap w:val="0"/>
            <w:vAlign w:val="top"/>
          </w:tcPr>
          <w:p w14:paraId="1350A26A">
            <w:pPr>
              <w:pageBreakBefore w:val="0"/>
              <w:kinsoku/>
              <w:overflowPunct/>
              <w:bidi w:val="0"/>
              <w:spacing w:line="360" w:lineRule="auto"/>
              <w:rPr>
                <w:rFonts w:hint="eastAsia" w:ascii="宋体" w:hAnsi="宋体" w:eastAsia="宋体" w:cs="宋体"/>
                <w:bCs/>
                <w:color w:val="auto"/>
                <w:sz w:val="22"/>
                <w:highlight w:val="none"/>
              </w:rPr>
            </w:pPr>
          </w:p>
        </w:tc>
        <w:tc>
          <w:tcPr>
            <w:tcW w:w="690" w:type="dxa"/>
            <w:noWrap w:val="0"/>
            <w:vAlign w:val="top"/>
          </w:tcPr>
          <w:p w14:paraId="0ED68392">
            <w:pPr>
              <w:pageBreakBefore w:val="0"/>
              <w:kinsoku/>
              <w:overflowPunct/>
              <w:bidi w:val="0"/>
              <w:spacing w:line="360" w:lineRule="auto"/>
              <w:rPr>
                <w:rFonts w:hint="eastAsia" w:ascii="宋体" w:hAnsi="宋体" w:eastAsia="宋体" w:cs="宋体"/>
                <w:bCs/>
                <w:color w:val="auto"/>
                <w:sz w:val="22"/>
                <w:highlight w:val="none"/>
              </w:rPr>
            </w:pPr>
          </w:p>
        </w:tc>
        <w:tc>
          <w:tcPr>
            <w:tcW w:w="690" w:type="dxa"/>
            <w:noWrap w:val="0"/>
            <w:vAlign w:val="top"/>
          </w:tcPr>
          <w:p w14:paraId="2DED3005">
            <w:pPr>
              <w:pageBreakBefore w:val="0"/>
              <w:kinsoku/>
              <w:overflowPunct/>
              <w:bidi w:val="0"/>
              <w:spacing w:line="360" w:lineRule="auto"/>
              <w:rPr>
                <w:rFonts w:hint="eastAsia" w:ascii="宋体" w:hAnsi="宋体" w:eastAsia="宋体" w:cs="宋体"/>
                <w:bCs/>
                <w:color w:val="auto"/>
                <w:sz w:val="22"/>
                <w:highlight w:val="none"/>
              </w:rPr>
            </w:pPr>
          </w:p>
        </w:tc>
      </w:tr>
      <w:tr w14:paraId="246E7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561" w:type="dxa"/>
            <w:noWrap w:val="0"/>
            <w:vAlign w:val="center"/>
          </w:tcPr>
          <w:p w14:paraId="134294AB">
            <w:pPr>
              <w:pageBreakBefore w:val="0"/>
              <w:kinsoku/>
              <w:overflowPunct/>
              <w:bidi w:val="0"/>
              <w:spacing w:line="360" w:lineRule="auto"/>
              <w:jc w:val="center"/>
              <w:rPr>
                <w:rFonts w:hint="default" w:ascii="宋体" w:hAnsi="宋体" w:eastAsia="宋体" w:cs="宋体"/>
                <w:bCs/>
                <w:color w:val="auto"/>
                <w:sz w:val="22"/>
                <w:highlight w:val="none"/>
                <w:lang w:val="en-US" w:eastAsia="zh-CN"/>
              </w:rPr>
            </w:pPr>
            <w:r>
              <w:rPr>
                <w:rFonts w:hint="eastAsia" w:ascii="宋体" w:hAnsi="宋体" w:cs="宋体"/>
                <w:bCs/>
                <w:color w:val="auto"/>
                <w:sz w:val="22"/>
                <w:highlight w:val="none"/>
                <w:lang w:val="en-US" w:eastAsia="zh-CN"/>
              </w:rPr>
              <w:t>......</w:t>
            </w:r>
          </w:p>
        </w:tc>
        <w:tc>
          <w:tcPr>
            <w:tcW w:w="1330" w:type="dxa"/>
            <w:noWrap w:val="0"/>
            <w:vAlign w:val="center"/>
          </w:tcPr>
          <w:p w14:paraId="05044679">
            <w:pPr>
              <w:pageBreakBefore w:val="0"/>
              <w:kinsoku/>
              <w:overflowPunct/>
              <w:bidi w:val="0"/>
              <w:spacing w:line="360" w:lineRule="auto"/>
              <w:jc w:val="center"/>
              <w:rPr>
                <w:rFonts w:hint="eastAsia" w:ascii="宋体" w:hAnsi="宋体" w:cs="宋体"/>
                <w:bCs/>
                <w:color w:val="auto"/>
                <w:sz w:val="22"/>
                <w:highlight w:val="none"/>
                <w:lang w:val="en-US" w:eastAsia="zh-CN"/>
              </w:rPr>
            </w:pPr>
          </w:p>
        </w:tc>
        <w:tc>
          <w:tcPr>
            <w:tcW w:w="734" w:type="dxa"/>
            <w:noWrap w:val="0"/>
            <w:vAlign w:val="center"/>
          </w:tcPr>
          <w:p w14:paraId="4F63AF0A">
            <w:pPr>
              <w:pageBreakBefore w:val="0"/>
              <w:kinsoku/>
              <w:overflowPunct/>
              <w:bidi w:val="0"/>
              <w:spacing w:line="360" w:lineRule="auto"/>
              <w:jc w:val="center"/>
              <w:rPr>
                <w:rFonts w:hint="eastAsia" w:ascii="宋体" w:hAnsi="宋体" w:eastAsia="宋体" w:cs="宋体"/>
                <w:bCs/>
                <w:color w:val="auto"/>
                <w:sz w:val="22"/>
                <w:highlight w:val="none"/>
              </w:rPr>
            </w:pPr>
          </w:p>
        </w:tc>
        <w:tc>
          <w:tcPr>
            <w:tcW w:w="756" w:type="dxa"/>
            <w:noWrap w:val="0"/>
            <w:vAlign w:val="center"/>
          </w:tcPr>
          <w:p w14:paraId="435AEFF2">
            <w:pPr>
              <w:pageBreakBefore w:val="0"/>
              <w:kinsoku/>
              <w:overflowPunct/>
              <w:bidi w:val="0"/>
              <w:spacing w:line="360" w:lineRule="auto"/>
              <w:jc w:val="center"/>
              <w:rPr>
                <w:rFonts w:hint="eastAsia" w:ascii="宋体" w:hAnsi="宋体" w:eastAsia="宋体" w:cs="宋体"/>
                <w:bCs/>
                <w:color w:val="auto"/>
                <w:sz w:val="22"/>
                <w:highlight w:val="none"/>
              </w:rPr>
            </w:pPr>
          </w:p>
        </w:tc>
        <w:tc>
          <w:tcPr>
            <w:tcW w:w="785" w:type="dxa"/>
            <w:noWrap w:val="0"/>
            <w:vAlign w:val="center"/>
          </w:tcPr>
          <w:p w14:paraId="5ADDC35F">
            <w:pPr>
              <w:pageBreakBefore w:val="0"/>
              <w:kinsoku/>
              <w:overflowPunct/>
              <w:bidi w:val="0"/>
              <w:spacing w:line="360" w:lineRule="auto"/>
              <w:jc w:val="center"/>
              <w:rPr>
                <w:rFonts w:hint="eastAsia" w:ascii="宋体" w:hAnsi="宋体" w:eastAsia="宋体" w:cs="宋体"/>
                <w:bCs/>
                <w:color w:val="auto"/>
                <w:sz w:val="22"/>
                <w:highlight w:val="none"/>
              </w:rPr>
            </w:pPr>
          </w:p>
        </w:tc>
        <w:tc>
          <w:tcPr>
            <w:tcW w:w="834" w:type="dxa"/>
            <w:noWrap w:val="0"/>
            <w:vAlign w:val="center"/>
          </w:tcPr>
          <w:p w14:paraId="71E1C3AA">
            <w:pPr>
              <w:pageBreakBefore w:val="0"/>
              <w:kinsoku/>
              <w:overflowPunct/>
              <w:bidi w:val="0"/>
              <w:spacing w:line="360" w:lineRule="auto"/>
              <w:jc w:val="center"/>
              <w:rPr>
                <w:rFonts w:hint="eastAsia" w:ascii="宋体" w:hAnsi="宋体" w:cs="宋体"/>
                <w:bCs/>
                <w:color w:val="auto"/>
                <w:sz w:val="22"/>
                <w:highlight w:val="none"/>
                <w:lang w:val="en-US" w:eastAsia="zh-CN"/>
              </w:rPr>
            </w:pPr>
          </w:p>
        </w:tc>
        <w:tc>
          <w:tcPr>
            <w:tcW w:w="673" w:type="dxa"/>
            <w:noWrap w:val="0"/>
            <w:vAlign w:val="center"/>
          </w:tcPr>
          <w:p w14:paraId="271F5A3A">
            <w:pPr>
              <w:pageBreakBefore w:val="0"/>
              <w:kinsoku/>
              <w:overflowPunct/>
              <w:bidi w:val="0"/>
              <w:spacing w:line="360" w:lineRule="auto"/>
              <w:jc w:val="center"/>
              <w:rPr>
                <w:rFonts w:hint="default" w:ascii="宋体" w:hAnsi="宋体" w:eastAsia="宋体" w:cs="宋体"/>
                <w:bCs/>
                <w:color w:val="auto"/>
                <w:sz w:val="22"/>
                <w:highlight w:val="none"/>
                <w:lang w:val="en-US"/>
              </w:rPr>
            </w:pPr>
          </w:p>
        </w:tc>
        <w:tc>
          <w:tcPr>
            <w:tcW w:w="913" w:type="dxa"/>
            <w:noWrap w:val="0"/>
            <w:vAlign w:val="center"/>
          </w:tcPr>
          <w:p w14:paraId="507073FC">
            <w:pPr>
              <w:pageBreakBefore w:val="0"/>
              <w:kinsoku/>
              <w:overflowPunct/>
              <w:bidi w:val="0"/>
              <w:spacing w:line="360" w:lineRule="auto"/>
              <w:jc w:val="center"/>
              <w:rPr>
                <w:rFonts w:hint="eastAsia" w:ascii="宋体" w:hAnsi="宋体" w:eastAsia="宋体" w:cs="宋体"/>
                <w:bCs/>
                <w:color w:val="auto"/>
                <w:sz w:val="22"/>
                <w:highlight w:val="none"/>
              </w:rPr>
            </w:pPr>
          </w:p>
        </w:tc>
        <w:tc>
          <w:tcPr>
            <w:tcW w:w="1121" w:type="dxa"/>
            <w:noWrap w:val="0"/>
            <w:vAlign w:val="top"/>
          </w:tcPr>
          <w:p w14:paraId="6EBE50D2">
            <w:pPr>
              <w:pageBreakBefore w:val="0"/>
              <w:kinsoku/>
              <w:overflowPunct/>
              <w:bidi w:val="0"/>
              <w:spacing w:line="360" w:lineRule="auto"/>
              <w:rPr>
                <w:rFonts w:hint="eastAsia" w:ascii="宋体" w:hAnsi="宋体" w:eastAsia="宋体" w:cs="宋体"/>
                <w:bCs/>
                <w:color w:val="auto"/>
                <w:sz w:val="22"/>
                <w:highlight w:val="none"/>
              </w:rPr>
            </w:pPr>
          </w:p>
        </w:tc>
        <w:tc>
          <w:tcPr>
            <w:tcW w:w="758" w:type="dxa"/>
            <w:noWrap w:val="0"/>
            <w:vAlign w:val="top"/>
          </w:tcPr>
          <w:p w14:paraId="3E8E62C2">
            <w:pPr>
              <w:pageBreakBefore w:val="0"/>
              <w:kinsoku/>
              <w:overflowPunct/>
              <w:bidi w:val="0"/>
              <w:spacing w:line="360" w:lineRule="auto"/>
              <w:rPr>
                <w:rFonts w:hint="eastAsia" w:ascii="宋体" w:hAnsi="宋体" w:eastAsia="宋体" w:cs="宋体"/>
                <w:bCs/>
                <w:color w:val="auto"/>
                <w:sz w:val="22"/>
                <w:highlight w:val="none"/>
              </w:rPr>
            </w:pPr>
          </w:p>
        </w:tc>
        <w:tc>
          <w:tcPr>
            <w:tcW w:w="690" w:type="dxa"/>
            <w:noWrap w:val="0"/>
            <w:vAlign w:val="top"/>
          </w:tcPr>
          <w:p w14:paraId="0173F77E">
            <w:pPr>
              <w:pageBreakBefore w:val="0"/>
              <w:kinsoku/>
              <w:overflowPunct/>
              <w:bidi w:val="0"/>
              <w:spacing w:line="360" w:lineRule="auto"/>
              <w:rPr>
                <w:rFonts w:hint="eastAsia" w:ascii="宋体" w:hAnsi="宋体" w:eastAsia="宋体" w:cs="宋体"/>
                <w:bCs/>
                <w:color w:val="auto"/>
                <w:sz w:val="22"/>
                <w:highlight w:val="none"/>
              </w:rPr>
            </w:pPr>
          </w:p>
        </w:tc>
        <w:tc>
          <w:tcPr>
            <w:tcW w:w="690" w:type="dxa"/>
            <w:noWrap w:val="0"/>
            <w:vAlign w:val="top"/>
          </w:tcPr>
          <w:p w14:paraId="2D5E1784">
            <w:pPr>
              <w:pageBreakBefore w:val="0"/>
              <w:kinsoku/>
              <w:overflowPunct/>
              <w:bidi w:val="0"/>
              <w:spacing w:line="360" w:lineRule="auto"/>
              <w:rPr>
                <w:rFonts w:hint="eastAsia" w:ascii="宋体" w:hAnsi="宋体" w:eastAsia="宋体" w:cs="宋体"/>
                <w:bCs/>
                <w:color w:val="auto"/>
                <w:sz w:val="22"/>
                <w:highlight w:val="none"/>
              </w:rPr>
            </w:pPr>
          </w:p>
        </w:tc>
      </w:tr>
      <w:tr w14:paraId="41DA0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673" w:type="dxa"/>
            <w:gridSpan w:val="7"/>
            <w:noWrap w:val="0"/>
            <w:vAlign w:val="center"/>
          </w:tcPr>
          <w:p w14:paraId="24EEF28F">
            <w:pPr>
              <w:pageBreakBefore w:val="0"/>
              <w:kinsoku/>
              <w:overflowPunct/>
              <w:bidi w:val="0"/>
              <w:spacing w:line="360" w:lineRule="auto"/>
              <w:jc w:val="center"/>
              <w:rPr>
                <w:rFonts w:hint="eastAsia" w:ascii="宋体" w:hAnsi="宋体" w:eastAsia="宋体" w:cs="宋体"/>
                <w:bCs/>
                <w:color w:val="auto"/>
                <w:sz w:val="22"/>
                <w:highlight w:val="none"/>
              </w:rPr>
            </w:pPr>
            <w:r>
              <w:rPr>
                <w:rFonts w:hint="eastAsia" w:ascii="宋体" w:hAnsi="宋体" w:eastAsia="宋体" w:cs="宋体"/>
                <w:bCs/>
                <w:color w:val="auto"/>
                <w:sz w:val="24"/>
                <w:highlight w:val="none"/>
                <w:shd w:val="clear" w:color="auto" w:fill="FFFFFF"/>
              </w:rPr>
              <w:t>合计（元）</w:t>
            </w:r>
          </w:p>
        </w:tc>
        <w:tc>
          <w:tcPr>
            <w:tcW w:w="3482" w:type="dxa"/>
            <w:gridSpan w:val="4"/>
            <w:noWrap w:val="0"/>
            <w:vAlign w:val="center"/>
          </w:tcPr>
          <w:p w14:paraId="1297D907">
            <w:pPr>
              <w:pageBreakBefore w:val="0"/>
              <w:kinsoku/>
              <w:overflowPunct/>
              <w:bidi w:val="0"/>
              <w:spacing w:line="360" w:lineRule="auto"/>
              <w:rPr>
                <w:rFonts w:hint="eastAsia" w:ascii="宋体" w:hAnsi="宋体" w:eastAsia="宋体" w:cs="宋体"/>
                <w:bCs/>
                <w:color w:val="auto"/>
                <w:sz w:val="22"/>
                <w:highlight w:val="none"/>
              </w:rPr>
            </w:pPr>
          </w:p>
        </w:tc>
        <w:tc>
          <w:tcPr>
            <w:tcW w:w="690" w:type="dxa"/>
            <w:noWrap w:val="0"/>
            <w:vAlign w:val="center"/>
          </w:tcPr>
          <w:p w14:paraId="2D83AE59">
            <w:pPr>
              <w:pageBreakBefore w:val="0"/>
              <w:kinsoku/>
              <w:overflowPunct/>
              <w:bidi w:val="0"/>
              <w:spacing w:line="360" w:lineRule="auto"/>
              <w:rPr>
                <w:rFonts w:hint="eastAsia" w:ascii="宋体" w:hAnsi="宋体" w:eastAsia="宋体" w:cs="宋体"/>
                <w:bCs/>
                <w:color w:val="auto"/>
                <w:sz w:val="22"/>
                <w:highlight w:val="none"/>
              </w:rPr>
            </w:pPr>
          </w:p>
        </w:tc>
      </w:tr>
    </w:tbl>
    <w:p w14:paraId="38D1D818">
      <w:pPr>
        <w:keepNext w:val="0"/>
        <w:keepLines w:val="0"/>
        <w:pageBreakBefore w:val="0"/>
        <w:widowControl w:val="0"/>
        <w:shd w:val="solid" w:color="FFFFFF" w:fill="auto"/>
        <w:kinsoku/>
        <w:wordWrap/>
        <w:overflowPunct/>
        <w:topLinePunct w:val="0"/>
        <w:autoSpaceDE/>
        <w:autoSpaceDN w:val="0"/>
        <w:bidi w:val="0"/>
        <w:adjustRightInd/>
        <w:snapToGrid/>
        <w:spacing w:line="360" w:lineRule="auto"/>
        <w:ind w:left="0" w:leftChars="0" w:right="0" w:rightChars="0"/>
        <w:jc w:val="left"/>
        <w:textAlignment w:val="auto"/>
        <w:outlineLvl w:val="9"/>
        <w:rPr>
          <w:rFonts w:hint="eastAsia" w:ascii="宋体" w:hAnsi="宋体" w:eastAsia="宋体" w:cs="宋体"/>
          <w:b/>
          <w:bCs/>
          <w:color w:val="auto"/>
          <w:sz w:val="22"/>
          <w:szCs w:val="22"/>
          <w:highlight w:val="none"/>
          <w:shd w:val="clear" w:color="auto" w:fill="FFFFFF"/>
        </w:rPr>
      </w:pPr>
      <w:r>
        <w:rPr>
          <w:rFonts w:hint="eastAsia" w:ascii="宋体" w:hAnsi="宋体" w:eastAsia="宋体" w:cs="宋体"/>
          <w:b/>
          <w:bCs/>
          <w:color w:val="auto"/>
          <w:sz w:val="22"/>
          <w:szCs w:val="22"/>
          <w:highlight w:val="none"/>
          <w:shd w:val="clear" w:color="auto" w:fill="FFFFFF"/>
        </w:rPr>
        <w:t>表格可扩展。</w:t>
      </w:r>
    </w:p>
    <w:p w14:paraId="6C9991A8">
      <w:pPr>
        <w:keepNext w:val="0"/>
        <w:keepLines w:val="0"/>
        <w:pageBreakBefore w:val="0"/>
        <w:widowControl w:val="0"/>
        <w:shd w:val="solid" w:color="FFFFFF" w:fill="auto"/>
        <w:kinsoku/>
        <w:wordWrap/>
        <w:overflowPunct/>
        <w:topLinePunct w:val="0"/>
        <w:autoSpaceDE/>
        <w:autoSpaceDN w:val="0"/>
        <w:bidi w:val="0"/>
        <w:adjustRightInd/>
        <w:snapToGrid/>
        <w:spacing w:line="360" w:lineRule="auto"/>
        <w:ind w:left="0" w:leftChars="0" w:right="0" w:rightChars="0"/>
        <w:jc w:val="left"/>
        <w:textAlignment w:val="auto"/>
        <w:outlineLvl w:val="9"/>
        <w:rPr>
          <w:rFonts w:hint="eastAsia" w:ascii="宋体" w:hAnsi="宋体" w:eastAsia="宋体" w:cs="宋体"/>
          <w:color w:val="auto"/>
          <w:sz w:val="22"/>
          <w:szCs w:val="22"/>
          <w:highlight w:val="none"/>
          <w:shd w:val="clear" w:color="auto" w:fill="FFFFFF"/>
        </w:rPr>
      </w:pPr>
      <w:r>
        <w:rPr>
          <w:rFonts w:hint="eastAsia" w:ascii="宋体" w:hAnsi="宋体" w:eastAsia="宋体" w:cs="宋体"/>
          <w:b/>
          <w:bCs/>
          <w:color w:val="auto"/>
          <w:sz w:val="22"/>
          <w:szCs w:val="22"/>
          <w:highlight w:val="none"/>
          <w:shd w:val="clear" w:color="auto" w:fill="FFFFFF"/>
        </w:rPr>
        <w:t>注：</w:t>
      </w:r>
      <w:r>
        <w:rPr>
          <w:rFonts w:hint="eastAsia" w:ascii="宋体" w:hAnsi="宋体" w:eastAsia="宋体" w:cs="宋体"/>
          <w:b w:val="0"/>
          <w:bCs w:val="0"/>
          <w:color w:val="auto"/>
          <w:sz w:val="22"/>
          <w:szCs w:val="22"/>
          <w:highlight w:val="none"/>
          <w:shd w:val="clear" w:color="auto" w:fill="FFFFFF"/>
        </w:rPr>
        <w:t>①表格中“厂家所属情形”指投标人所投产品的厂家属于何种类型的企业（填写大型企业或中型企业或小型企业或微型企业）；若投标人符合招标文件中第二章《投标人须知前附表》第</w:t>
      </w:r>
      <w:r>
        <w:rPr>
          <w:rFonts w:hint="eastAsia" w:ascii="宋体" w:hAnsi="宋体" w:eastAsia="宋体" w:cs="宋体"/>
          <w:b w:val="0"/>
          <w:bCs w:val="0"/>
          <w:color w:val="auto"/>
          <w:sz w:val="22"/>
          <w:szCs w:val="22"/>
          <w:highlight w:val="none"/>
          <w:shd w:val="clear" w:color="auto" w:fill="FFFFFF"/>
          <w:lang w:val="en-US" w:eastAsia="zh-CN"/>
        </w:rPr>
        <w:t>29</w:t>
      </w:r>
      <w:r>
        <w:rPr>
          <w:rFonts w:hint="eastAsia" w:ascii="宋体" w:hAnsi="宋体" w:eastAsia="宋体" w:cs="宋体"/>
          <w:b w:val="0"/>
          <w:bCs w:val="0"/>
          <w:color w:val="auto"/>
          <w:sz w:val="22"/>
          <w:szCs w:val="22"/>
          <w:highlight w:val="none"/>
          <w:shd w:val="clear" w:color="auto" w:fill="FFFFFF"/>
        </w:rPr>
        <w:t>条中相关规定的，则投标人须按其规定提供</w:t>
      </w:r>
      <w:r>
        <w:rPr>
          <w:rFonts w:hint="eastAsia" w:ascii="宋体" w:hAnsi="宋体" w:cs="宋体"/>
          <w:b w:val="0"/>
          <w:bCs w:val="0"/>
          <w:color w:val="auto"/>
          <w:sz w:val="22"/>
          <w:szCs w:val="22"/>
          <w:highlight w:val="none"/>
          <w:shd w:val="clear" w:color="auto" w:fill="FFFFFF"/>
          <w:lang w:val="en-US" w:eastAsia="zh-CN"/>
        </w:rPr>
        <w:t>声明函</w:t>
      </w:r>
      <w:r>
        <w:rPr>
          <w:rFonts w:hint="eastAsia" w:ascii="宋体" w:hAnsi="宋体" w:eastAsia="宋体" w:cs="宋体"/>
          <w:b w:val="0"/>
          <w:bCs w:val="0"/>
          <w:color w:val="auto"/>
          <w:sz w:val="22"/>
          <w:szCs w:val="22"/>
          <w:highlight w:val="none"/>
          <w:shd w:val="clear" w:color="auto" w:fill="FFFFFF"/>
        </w:rPr>
        <w:t>。</w:t>
      </w:r>
      <w:r>
        <w:rPr>
          <w:rFonts w:hint="eastAsia" w:ascii="宋体" w:hAnsi="宋体" w:eastAsia="宋体" w:cs="宋体"/>
          <w:b/>
          <w:bCs/>
          <w:color w:val="auto"/>
          <w:sz w:val="22"/>
          <w:szCs w:val="22"/>
          <w:highlight w:val="none"/>
          <w:shd w:val="clear" w:color="auto" w:fill="FFFFFF"/>
        </w:rPr>
        <w:t> </w:t>
      </w:r>
    </w:p>
    <w:p w14:paraId="0DDC5DC3">
      <w:pPr>
        <w:pStyle w:val="28"/>
        <w:keepNext w:val="0"/>
        <w:keepLines w:val="0"/>
        <w:pageBreakBefore w:val="0"/>
        <w:widowControl w:val="0"/>
        <w:kinsoku/>
        <w:wordWrap/>
        <w:overflowPunct/>
        <w:topLinePunct w:val="0"/>
        <w:autoSpaceDE/>
        <w:bidi w:val="0"/>
        <w:adjustRightInd/>
        <w:snapToGrid/>
        <w:spacing w:before="0" w:after="0" w:line="360" w:lineRule="auto"/>
        <w:ind w:left="0" w:leftChars="0" w:right="0" w:rightChars="0" w:firstLine="480" w:firstLineChars="200"/>
        <w:jc w:val="left"/>
        <w:textAlignment w:val="auto"/>
        <w:outlineLvl w:val="9"/>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②投标人对每包件内所有采购内容进行整体投标并作出完整唯一的投标报价，不得出现缺项、漏项或无报价情况，每一项设备的投标报价单价和合价均不得超过采购预算单价和合价，否则按无效标书处理。</w:t>
      </w:r>
    </w:p>
    <w:p w14:paraId="3B3F2A41">
      <w:pPr>
        <w:pStyle w:val="28"/>
        <w:keepNext w:val="0"/>
        <w:keepLines w:val="0"/>
        <w:pageBreakBefore w:val="0"/>
        <w:widowControl w:val="0"/>
        <w:kinsoku/>
        <w:wordWrap/>
        <w:overflowPunct/>
        <w:topLinePunct w:val="0"/>
        <w:autoSpaceDE/>
        <w:bidi w:val="0"/>
        <w:adjustRightInd/>
        <w:snapToGrid/>
        <w:spacing w:before="0" w:after="0" w:line="360" w:lineRule="auto"/>
        <w:ind w:left="0" w:leftChars="0" w:right="0" w:rightChars="0" w:firstLine="480" w:firstLineChars="200"/>
        <w:jc w:val="left"/>
        <w:textAlignment w:val="auto"/>
        <w:outlineLvl w:val="9"/>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③此表中“合计（元）”的金额应与“一、投标（唱标）报价一览表”中的投标总报价一致。</w:t>
      </w:r>
    </w:p>
    <w:p w14:paraId="20B1976B">
      <w:pPr>
        <w:pageBreakBefore w:val="0"/>
        <w:shd w:val="solid" w:color="FFFFFF" w:fill="auto"/>
        <w:kinsoku/>
        <w:overflowPunct/>
        <w:autoSpaceDN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3D8CA00">
      <w:pPr>
        <w:pageBreakBefore w:val="0"/>
        <w:shd w:val="solid" w:color="FFFFFF" w:fill="auto"/>
        <w:kinsoku/>
        <w:overflowPunct/>
        <w:autoSpaceDN w:val="0"/>
        <w:bidi w:val="0"/>
        <w:spacing w:line="360" w:lineRule="auto"/>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（投标人全称）      </w:t>
      </w:r>
      <w:r>
        <w:rPr>
          <w:rFonts w:hint="eastAsia" w:ascii="宋体" w:hAnsi="宋体" w:eastAsia="宋体" w:cs="宋体"/>
          <w:color w:val="auto"/>
          <w:sz w:val="24"/>
          <w:highlight w:val="none"/>
        </w:rPr>
        <w:t>（电子签章）</w:t>
      </w:r>
    </w:p>
    <w:p w14:paraId="1E3A983B">
      <w:pPr>
        <w:pageBreakBefore w:val="0"/>
        <w:shd w:val="solid" w:color="FFFFFF" w:fill="auto"/>
        <w:kinsoku/>
        <w:overflowPunct/>
        <w:autoSpaceDN w:val="0"/>
        <w:bidi w:val="0"/>
        <w:spacing w:line="360" w:lineRule="auto"/>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法定代表人或其委托代理人：</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shd w:val="clear" w:color="auto" w:fill="FFFFFF"/>
        </w:rPr>
        <w:t>（电子签章或电子签名）</w:t>
      </w:r>
    </w:p>
    <w:p w14:paraId="4136527A">
      <w:pPr>
        <w:pStyle w:val="5"/>
        <w:pageBreakBefore w:val="0"/>
        <w:kinsoku/>
        <w:overflowPunct/>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rPr>
        <w:t>日</w:t>
      </w:r>
    </w:p>
    <w:p w14:paraId="08EC936A">
      <w:pPr>
        <w:keepNext w:val="0"/>
        <w:keepLines w:val="0"/>
        <w:pageBreakBefore w:val="0"/>
        <w:widowControl w:val="0"/>
        <w:shd w:val="solid" w:color="FFFFFF" w:fill="auto"/>
        <w:kinsoku/>
        <w:wordWrap/>
        <w:overflowPunct/>
        <w:topLinePunct w:val="0"/>
        <w:autoSpaceDE/>
        <w:autoSpaceDN w:val="0"/>
        <w:bidi w:val="0"/>
        <w:adjustRightInd/>
        <w:snapToGrid/>
        <w:spacing w:line="360" w:lineRule="auto"/>
        <w:jc w:val="center"/>
        <w:textAlignment w:val="auto"/>
        <w:outlineLvl w:val="1"/>
        <w:rPr>
          <w:rFonts w:hint="default" w:ascii="宋体" w:hAnsi="宋体" w:eastAsia="宋体" w:cs="宋体"/>
          <w:b/>
          <w:bCs/>
          <w:color w:val="auto"/>
          <w:sz w:val="32"/>
          <w:szCs w:val="32"/>
          <w:highlight w:val="none"/>
          <w:shd w:val="clear" w:color="auto" w:fill="FFFFFF"/>
          <w:lang w:val="en-US" w:eastAsia="zh-CN"/>
        </w:rPr>
      </w:pPr>
      <w:r>
        <w:rPr>
          <w:rFonts w:hint="eastAsia" w:ascii="宋体" w:hAnsi="宋体" w:eastAsia="宋体" w:cs="宋体"/>
          <w:color w:val="auto"/>
          <w:sz w:val="24"/>
          <w:highlight w:val="none"/>
        </w:rPr>
        <w:br w:type="page"/>
      </w:r>
      <w:bookmarkStart w:id="205" w:name="_Toc16367"/>
      <w:bookmarkStart w:id="206" w:name="_Toc18599"/>
      <w:bookmarkStart w:id="207" w:name="_Toc3215"/>
      <w:bookmarkStart w:id="208" w:name="_Toc5059"/>
      <w:r>
        <w:rPr>
          <w:rFonts w:hint="eastAsia" w:ascii="宋体" w:hAnsi="宋体" w:eastAsia="宋体" w:cs="宋体"/>
          <w:b/>
          <w:bCs/>
          <w:color w:val="auto"/>
          <w:sz w:val="32"/>
          <w:szCs w:val="32"/>
          <w:highlight w:val="none"/>
          <w:shd w:val="clear" w:color="auto" w:fill="FFFFFF"/>
        </w:rPr>
        <w:t>七、</w:t>
      </w:r>
      <w:r>
        <w:rPr>
          <w:rFonts w:hint="eastAsia" w:ascii="宋体" w:hAnsi="宋体" w:eastAsia="宋体" w:cs="宋体"/>
          <w:b/>
          <w:bCs/>
          <w:color w:val="auto"/>
          <w:sz w:val="32"/>
          <w:szCs w:val="32"/>
          <w:highlight w:val="none"/>
          <w:shd w:val="clear" w:color="auto" w:fill="FFFFFF"/>
          <w:lang w:val="en-US" w:eastAsia="zh-CN"/>
        </w:rPr>
        <w:t>响应偏离表</w:t>
      </w:r>
      <w:bookmarkEnd w:id="205"/>
      <w:bookmarkEnd w:id="206"/>
    </w:p>
    <w:p w14:paraId="4467150C">
      <w:pPr>
        <w:keepNext w:val="0"/>
        <w:keepLines w:val="0"/>
        <w:pageBreakBefore w:val="0"/>
        <w:widowControl w:val="0"/>
        <w:kinsoku/>
        <w:wordWrap/>
        <w:overflowPunct/>
        <w:topLinePunct w:val="0"/>
        <w:autoSpaceDE/>
        <w:bidi w:val="0"/>
        <w:adjustRightInd/>
        <w:snapToGrid/>
        <w:spacing w:line="360" w:lineRule="auto"/>
        <w:jc w:val="center"/>
        <w:textAlignment w:val="auto"/>
        <w:rPr>
          <w:rFonts w:hint="default" w:ascii="宋体" w:hAnsi="宋体" w:eastAsia="宋体" w:cs="宋体"/>
          <w:b/>
          <w:bCs/>
          <w:color w:val="auto"/>
          <w:sz w:val="32"/>
          <w:szCs w:val="32"/>
          <w:highlight w:val="none"/>
          <w:shd w:val="clear" w:color="auto" w:fill="FFFFFF"/>
          <w:lang w:val="en-US" w:eastAsia="zh-CN"/>
        </w:rPr>
      </w:pPr>
      <w:r>
        <w:rPr>
          <w:rFonts w:hint="eastAsia" w:ascii="宋体" w:hAnsi="宋体" w:eastAsia="宋体" w:cs="宋体"/>
          <w:b/>
          <w:bCs/>
          <w:color w:val="auto"/>
          <w:sz w:val="32"/>
          <w:szCs w:val="32"/>
          <w:highlight w:val="none"/>
          <w:shd w:val="clear" w:color="auto" w:fill="FFFFFF"/>
          <w:lang w:val="en-US" w:eastAsia="zh-CN"/>
        </w:rPr>
        <w:t>（一）商务部分响应偏离表</w:t>
      </w:r>
    </w:p>
    <w:p w14:paraId="16D90B2C">
      <w:pPr>
        <w:keepNext w:val="0"/>
        <w:keepLines w:val="0"/>
        <w:pageBreakBefore w:val="0"/>
        <w:widowControl w:val="0"/>
        <w:shd w:val="solid" w:color="FFFFFF" w:fill="auto"/>
        <w:kinsoku/>
        <w:wordWrap/>
        <w:overflowPunct/>
        <w:topLinePunct w:val="0"/>
        <w:autoSpaceDE/>
        <w:autoSpaceDN w:val="0"/>
        <w:bidi w:val="0"/>
        <w:adjustRightInd/>
        <w:snapToGrid/>
        <w:spacing w:line="360" w:lineRule="auto"/>
        <w:textAlignment w:val="auto"/>
        <w:rPr>
          <w:rFonts w:hint="eastAsia" w:ascii="宋体" w:hAnsi="宋体" w:eastAsia="宋体" w:cs="宋体"/>
          <w:color w:val="auto"/>
          <w:sz w:val="24"/>
          <w:highlight w:val="none"/>
          <w:shd w:val="clear" w:color="auto" w:fill="FFFFFF"/>
        </w:rPr>
      </w:pPr>
    </w:p>
    <w:p w14:paraId="22AC3765">
      <w:pPr>
        <w:keepNext w:val="0"/>
        <w:keepLines w:val="0"/>
        <w:pageBreakBefore w:val="0"/>
        <w:widowControl w:val="0"/>
        <w:shd w:val="solid" w:color="FFFFFF" w:fill="auto"/>
        <w:kinsoku/>
        <w:wordWrap/>
        <w:overflowPunct/>
        <w:topLinePunct w:val="0"/>
        <w:autoSpaceDE/>
        <w:autoSpaceDN w:val="0"/>
        <w:bidi w:val="0"/>
        <w:adjustRightInd/>
        <w:snapToGrid/>
        <w:spacing w:line="360" w:lineRule="auto"/>
        <w:textAlignment w:val="auto"/>
        <w:rPr>
          <w:rFonts w:hint="eastAsia" w:ascii="宋体" w:hAnsi="宋体" w:eastAsia="宋体" w:cs="宋体"/>
          <w:color w:val="auto"/>
          <w:sz w:val="24"/>
          <w:highlight w:val="none"/>
          <w:u w:val="single"/>
          <w:shd w:val="clear" w:color="auto" w:fill="FFFFFF"/>
        </w:rPr>
      </w:pPr>
      <w:r>
        <w:rPr>
          <w:rFonts w:hint="eastAsia" w:ascii="宋体" w:hAnsi="宋体" w:eastAsia="宋体" w:cs="宋体"/>
          <w:color w:val="auto"/>
          <w:sz w:val="24"/>
          <w:highlight w:val="none"/>
          <w:shd w:val="clear" w:color="auto" w:fill="FFFFFF"/>
        </w:rPr>
        <w:t>项目名称：</w:t>
      </w:r>
      <w:r>
        <w:rPr>
          <w:rFonts w:hint="eastAsia" w:ascii="宋体" w:hAnsi="宋体" w:cs="宋体"/>
          <w:color w:val="auto"/>
          <w:sz w:val="24"/>
          <w:szCs w:val="20"/>
          <w:highlight w:val="none"/>
          <w:u w:val="single"/>
          <w:shd w:val="clear" w:color="auto" w:fill="FFFFFF"/>
          <w:lang w:eastAsia="zh-CN"/>
        </w:rPr>
        <w:t>珠江流域（玉溪段）生态环境监测能力提升项目</w:t>
      </w:r>
      <w:r>
        <w:rPr>
          <w:rFonts w:hint="eastAsia" w:ascii="宋体" w:hAnsi="宋体" w:cs="宋体"/>
          <w:color w:val="auto"/>
          <w:sz w:val="24"/>
          <w:szCs w:val="20"/>
          <w:highlight w:val="none"/>
          <w:u w:val="single"/>
          <w:shd w:val="clear" w:color="auto" w:fill="FFFFFF"/>
          <w:lang w:val="en-US" w:eastAsia="zh-CN"/>
        </w:rPr>
        <w:t xml:space="preserve">   包</w:t>
      </w:r>
    </w:p>
    <w:p w14:paraId="627B6271">
      <w:pPr>
        <w:keepNext w:val="0"/>
        <w:keepLines w:val="0"/>
        <w:pageBreakBefore w:val="0"/>
        <w:widowControl w:val="0"/>
        <w:kinsoku/>
        <w:wordWrap/>
        <w:overflowPunct/>
        <w:topLinePunct w:val="0"/>
        <w:autoSpaceDE/>
        <w:bidi w:val="0"/>
        <w:adjustRightInd/>
        <w:snapToGrid/>
        <w:spacing w:line="360" w:lineRule="auto"/>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shd w:val="clear" w:color="auto" w:fill="FFFFFF"/>
        </w:rPr>
        <w:t>项目编号：</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u w:val="single"/>
        </w:rPr>
        <w:t xml:space="preserve"> </w:t>
      </w:r>
    </w:p>
    <w:p w14:paraId="25DCDFBC">
      <w:pPr>
        <w:pageBreakBefore w:val="0"/>
        <w:widowControl/>
        <w:kinsoku/>
        <w:overflowPunct/>
        <w:bidi w:val="0"/>
        <w:snapToGrid w:val="0"/>
        <w:spacing w:line="360" w:lineRule="auto"/>
        <w:ind w:firstLine="420"/>
        <w:jc w:val="left"/>
        <w:rPr>
          <w:rFonts w:hint="eastAsia" w:ascii="宋体" w:hAnsi="宋体" w:cs="宋体"/>
          <w:color w:val="000000"/>
          <w:kern w:val="0"/>
          <w:sz w:val="24"/>
          <w:szCs w:val="24"/>
        </w:rPr>
      </w:pPr>
      <w:r>
        <w:rPr>
          <w:rFonts w:hint="eastAsia" w:ascii="宋体" w:hAnsi="宋体" w:cs="宋体"/>
          <w:b/>
          <w:bCs/>
          <w:color w:val="000000"/>
          <w:kern w:val="0"/>
          <w:sz w:val="28"/>
          <w:szCs w:val="28"/>
        </w:rPr>
        <w:t>□</w:t>
      </w:r>
      <w:r>
        <w:rPr>
          <w:rFonts w:hint="eastAsia" w:ascii="宋体" w:hAnsi="宋体" w:cs="宋体"/>
          <w:color w:val="000000"/>
          <w:kern w:val="0"/>
          <w:sz w:val="24"/>
          <w:szCs w:val="24"/>
        </w:rPr>
        <w:t>A、我公司已详细阅读</w:t>
      </w:r>
      <w:r>
        <w:rPr>
          <w:rFonts w:hint="eastAsia" w:ascii="宋体" w:hAnsi="宋体" w:cs="宋体"/>
          <w:color w:val="000000"/>
          <w:kern w:val="0"/>
          <w:sz w:val="24"/>
          <w:szCs w:val="24"/>
          <w:lang w:val="en-US" w:eastAsia="zh-CN"/>
        </w:rPr>
        <w:t>招标</w:t>
      </w:r>
      <w:r>
        <w:rPr>
          <w:rFonts w:hint="eastAsia" w:ascii="宋体" w:hAnsi="宋体" w:cs="宋体"/>
          <w:color w:val="000000"/>
          <w:kern w:val="0"/>
          <w:sz w:val="24"/>
          <w:szCs w:val="24"/>
        </w:rPr>
        <w:t>文件中</w:t>
      </w:r>
      <w:r>
        <w:rPr>
          <w:rFonts w:hint="eastAsia" w:ascii="宋体" w:hAnsi="宋体" w:cs="宋体"/>
          <w:color w:val="000000"/>
          <w:kern w:val="0"/>
          <w:sz w:val="24"/>
          <w:szCs w:val="24"/>
          <w:lang w:val="en-US" w:eastAsia="zh-CN"/>
        </w:rPr>
        <w:t>商务部分</w:t>
      </w:r>
      <w:r>
        <w:rPr>
          <w:rFonts w:hint="eastAsia" w:ascii="宋体" w:hAnsi="宋体" w:cs="宋体"/>
          <w:color w:val="000000"/>
          <w:kern w:val="0"/>
          <w:sz w:val="24"/>
          <w:szCs w:val="24"/>
        </w:rPr>
        <w:t>的各项内容，所有内容均无偏差，</w:t>
      </w:r>
      <w:r>
        <w:rPr>
          <w:rFonts w:hint="eastAsia" w:ascii="宋体" w:hAnsi="宋体" w:cs="宋体"/>
          <w:color w:val="000000"/>
          <w:kern w:val="0"/>
          <w:sz w:val="24"/>
          <w:szCs w:val="24"/>
          <w:lang w:val="en-US" w:eastAsia="zh-CN"/>
        </w:rPr>
        <w:t>中标</w:t>
      </w:r>
      <w:r>
        <w:rPr>
          <w:rFonts w:hint="eastAsia" w:ascii="宋体" w:hAnsi="宋体" w:cs="宋体"/>
          <w:color w:val="000000"/>
          <w:kern w:val="0"/>
          <w:sz w:val="24"/>
          <w:szCs w:val="24"/>
        </w:rPr>
        <w:t>后我公司将严格遵照执行。</w:t>
      </w:r>
    </w:p>
    <w:p w14:paraId="257FFC40">
      <w:pPr>
        <w:pageBreakBefore w:val="0"/>
        <w:widowControl/>
        <w:kinsoku/>
        <w:overflowPunct/>
        <w:bidi w:val="0"/>
        <w:snapToGrid w:val="0"/>
        <w:spacing w:line="360" w:lineRule="auto"/>
        <w:ind w:firstLine="420"/>
        <w:jc w:val="left"/>
        <w:rPr>
          <w:rFonts w:hint="eastAsia" w:ascii="宋体" w:hAnsi="宋体" w:cs="宋体"/>
          <w:color w:val="000000"/>
          <w:kern w:val="0"/>
          <w:sz w:val="24"/>
          <w:szCs w:val="24"/>
        </w:rPr>
      </w:pPr>
      <w:r>
        <w:rPr>
          <w:rFonts w:hint="eastAsia" w:ascii="宋体" w:hAnsi="宋体" w:cs="宋体"/>
          <w:b/>
          <w:bCs/>
          <w:color w:val="000000"/>
          <w:kern w:val="0"/>
          <w:sz w:val="28"/>
          <w:szCs w:val="28"/>
        </w:rPr>
        <w:t>□</w:t>
      </w:r>
      <w:r>
        <w:rPr>
          <w:rFonts w:hint="eastAsia" w:ascii="宋体" w:hAnsi="宋体" w:cs="宋体"/>
          <w:color w:val="000000"/>
          <w:kern w:val="0"/>
          <w:sz w:val="24"/>
          <w:szCs w:val="24"/>
        </w:rPr>
        <w:t>B、我公司已详细阅读</w:t>
      </w:r>
      <w:r>
        <w:rPr>
          <w:rFonts w:hint="eastAsia" w:ascii="宋体" w:hAnsi="宋体" w:cs="宋体"/>
          <w:color w:val="000000"/>
          <w:kern w:val="0"/>
          <w:sz w:val="24"/>
          <w:szCs w:val="24"/>
          <w:lang w:val="en-US" w:eastAsia="zh-CN"/>
        </w:rPr>
        <w:t>招标</w:t>
      </w:r>
      <w:r>
        <w:rPr>
          <w:rFonts w:hint="eastAsia" w:ascii="宋体" w:hAnsi="宋体" w:cs="宋体"/>
          <w:color w:val="000000"/>
          <w:kern w:val="0"/>
          <w:sz w:val="24"/>
          <w:szCs w:val="24"/>
        </w:rPr>
        <w:t>文件中</w:t>
      </w:r>
      <w:r>
        <w:rPr>
          <w:rFonts w:hint="eastAsia" w:ascii="宋体" w:hAnsi="宋体" w:cs="宋体"/>
          <w:color w:val="000000"/>
          <w:kern w:val="0"/>
          <w:sz w:val="24"/>
          <w:szCs w:val="24"/>
          <w:lang w:val="en-US" w:eastAsia="zh-CN"/>
        </w:rPr>
        <w:t>商务部分</w:t>
      </w:r>
      <w:r>
        <w:rPr>
          <w:rFonts w:hint="eastAsia" w:ascii="宋体" w:hAnsi="宋体" w:cs="宋体"/>
          <w:color w:val="000000"/>
          <w:kern w:val="0"/>
          <w:sz w:val="24"/>
          <w:szCs w:val="24"/>
        </w:rPr>
        <w:t>的各项内容，除下述条款有偏离外，其余条款我公司均予以认可，</w:t>
      </w:r>
      <w:r>
        <w:rPr>
          <w:rFonts w:hint="eastAsia" w:ascii="宋体" w:hAnsi="宋体" w:cs="宋体"/>
          <w:color w:val="000000"/>
          <w:kern w:val="0"/>
          <w:sz w:val="24"/>
          <w:szCs w:val="24"/>
          <w:lang w:val="en-US" w:eastAsia="zh-CN"/>
        </w:rPr>
        <w:t>中标</w:t>
      </w:r>
      <w:r>
        <w:rPr>
          <w:rFonts w:hint="eastAsia" w:ascii="宋体" w:hAnsi="宋体" w:cs="宋体"/>
          <w:color w:val="000000"/>
          <w:kern w:val="0"/>
          <w:sz w:val="24"/>
          <w:szCs w:val="24"/>
        </w:rPr>
        <w:t>后将严格遵照执行。</w:t>
      </w:r>
    </w:p>
    <w:p w14:paraId="39FCEBA2">
      <w:pPr>
        <w:pStyle w:val="5"/>
        <w:pageBreakBefore w:val="0"/>
        <w:kinsoku/>
        <w:overflowPunct/>
        <w:bidi w:val="0"/>
        <w:spacing w:line="360" w:lineRule="auto"/>
        <w:jc w:val="center"/>
        <w:rPr>
          <w:color w:val="000000"/>
        </w:rPr>
      </w:pPr>
      <w:r>
        <w:rPr>
          <w:rFonts w:hint="eastAsia" w:ascii="宋体" w:hAnsi="宋体" w:cs="宋体"/>
          <w:b/>
          <w:bCs/>
          <w:color w:val="000000"/>
          <w:sz w:val="28"/>
          <w:szCs w:val="28"/>
          <w:lang w:val="en-US" w:eastAsia="zh-CN"/>
        </w:rPr>
        <w:t>投标文件商务部分</w:t>
      </w:r>
      <w:r>
        <w:rPr>
          <w:rFonts w:hint="eastAsia" w:ascii="宋体" w:hAnsi="宋体" w:cs="宋体"/>
          <w:b/>
          <w:bCs/>
          <w:color w:val="000000"/>
          <w:sz w:val="28"/>
          <w:szCs w:val="28"/>
        </w:rPr>
        <w:t>偏差的条款</w:t>
      </w:r>
    </w:p>
    <w:tbl>
      <w:tblPr>
        <w:tblStyle w:val="23"/>
        <w:tblW w:w="0" w:type="auto"/>
        <w:tblInd w:w="0" w:type="dxa"/>
        <w:tblLayout w:type="fixed"/>
        <w:tblCellMar>
          <w:top w:w="0" w:type="dxa"/>
          <w:left w:w="0" w:type="dxa"/>
          <w:bottom w:w="0" w:type="dxa"/>
          <w:right w:w="0" w:type="dxa"/>
        </w:tblCellMar>
      </w:tblPr>
      <w:tblGrid>
        <w:gridCol w:w="1013"/>
        <w:gridCol w:w="3444"/>
        <w:gridCol w:w="2731"/>
        <w:gridCol w:w="1645"/>
      </w:tblGrid>
      <w:tr w14:paraId="4DFE4219">
        <w:tblPrEx>
          <w:tblCellMar>
            <w:top w:w="0" w:type="dxa"/>
            <w:left w:w="0" w:type="dxa"/>
            <w:bottom w:w="0" w:type="dxa"/>
            <w:right w:w="0" w:type="dxa"/>
          </w:tblCellMar>
        </w:tblPrEx>
        <w:trPr>
          <w:trHeight w:val="662" w:hRule="atLeast"/>
        </w:trPr>
        <w:tc>
          <w:tcPr>
            <w:tcW w:w="1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6E86B29">
            <w:pPr>
              <w:pageBreakBefore w:val="0"/>
              <w:widowControl/>
              <w:kinsoku/>
              <w:overflowPunct/>
              <w:bidi w:val="0"/>
              <w:snapToGrid w:val="0"/>
              <w:spacing w:line="360"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序号</w:t>
            </w:r>
          </w:p>
        </w:tc>
        <w:tc>
          <w:tcPr>
            <w:tcW w:w="3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D63DE69">
            <w:pPr>
              <w:pageBreakBefore w:val="0"/>
              <w:widowControl/>
              <w:kinsoku/>
              <w:overflowPunct/>
              <w:bidi w:val="0"/>
              <w:snapToGrid w:val="0"/>
              <w:spacing w:line="360" w:lineRule="auto"/>
              <w:jc w:val="center"/>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招标</w:t>
            </w:r>
            <w:r>
              <w:rPr>
                <w:rFonts w:hint="eastAsia" w:ascii="宋体" w:hAnsi="宋体" w:cs="宋体"/>
                <w:color w:val="000000"/>
                <w:kern w:val="0"/>
                <w:sz w:val="24"/>
                <w:szCs w:val="24"/>
              </w:rPr>
              <w:t>文件章节及条款号</w:t>
            </w:r>
          </w:p>
        </w:tc>
        <w:tc>
          <w:tcPr>
            <w:tcW w:w="27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5825CE">
            <w:pPr>
              <w:pageBreakBefore w:val="0"/>
              <w:widowControl/>
              <w:kinsoku/>
              <w:overflowPunct/>
              <w:bidi w:val="0"/>
              <w:snapToGrid w:val="0"/>
              <w:spacing w:line="360" w:lineRule="auto"/>
              <w:jc w:val="center"/>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投标</w:t>
            </w:r>
            <w:r>
              <w:rPr>
                <w:rFonts w:hint="eastAsia" w:ascii="宋体" w:hAnsi="宋体" w:cs="宋体"/>
                <w:color w:val="000000"/>
                <w:kern w:val="0"/>
                <w:sz w:val="24"/>
                <w:szCs w:val="24"/>
              </w:rPr>
              <w:t>文件章节及条款号</w:t>
            </w:r>
          </w:p>
        </w:tc>
        <w:tc>
          <w:tcPr>
            <w:tcW w:w="1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FAF2A81">
            <w:pPr>
              <w:pageBreakBefore w:val="0"/>
              <w:widowControl/>
              <w:kinsoku/>
              <w:overflowPunct/>
              <w:bidi w:val="0"/>
              <w:snapToGrid w:val="0"/>
              <w:spacing w:line="360"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偏差说明</w:t>
            </w:r>
          </w:p>
        </w:tc>
      </w:tr>
      <w:tr w14:paraId="528FEBEA">
        <w:tblPrEx>
          <w:tblCellMar>
            <w:top w:w="0" w:type="dxa"/>
            <w:left w:w="0" w:type="dxa"/>
            <w:bottom w:w="0" w:type="dxa"/>
            <w:right w:w="0" w:type="dxa"/>
          </w:tblCellMar>
        </w:tblPrEx>
        <w:trPr>
          <w:trHeight w:val="396" w:hRule="atLeast"/>
        </w:trPr>
        <w:tc>
          <w:tcPr>
            <w:tcW w:w="1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E3A8B81">
            <w:pPr>
              <w:pageBreakBefore w:val="0"/>
              <w:widowControl/>
              <w:kinsoku/>
              <w:overflowPunct/>
              <w:bidi w:val="0"/>
              <w:snapToGrid w:val="0"/>
              <w:spacing w:line="360" w:lineRule="auto"/>
              <w:jc w:val="center"/>
              <w:rPr>
                <w:rFonts w:hint="eastAsia" w:ascii="宋体" w:hAnsi="宋体" w:cs="宋体"/>
                <w:color w:val="000000"/>
                <w:kern w:val="0"/>
                <w:sz w:val="24"/>
                <w:szCs w:val="24"/>
              </w:rPr>
            </w:pPr>
          </w:p>
        </w:tc>
        <w:tc>
          <w:tcPr>
            <w:tcW w:w="3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706A636">
            <w:pPr>
              <w:pageBreakBefore w:val="0"/>
              <w:widowControl/>
              <w:kinsoku/>
              <w:overflowPunct/>
              <w:bidi w:val="0"/>
              <w:snapToGrid w:val="0"/>
              <w:spacing w:line="360" w:lineRule="auto"/>
              <w:jc w:val="center"/>
              <w:rPr>
                <w:rFonts w:hint="eastAsia" w:ascii="宋体" w:hAnsi="宋体" w:cs="宋体"/>
                <w:color w:val="000000"/>
                <w:kern w:val="0"/>
                <w:sz w:val="24"/>
                <w:szCs w:val="24"/>
              </w:rPr>
            </w:pPr>
          </w:p>
        </w:tc>
        <w:tc>
          <w:tcPr>
            <w:tcW w:w="27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52330FE">
            <w:pPr>
              <w:pageBreakBefore w:val="0"/>
              <w:widowControl/>
              <w:kinsoku/>
              <w:overflowPunct/>
              <w:bidi w:val="0"/>
              <w:snapToGrid w:val="0"/>
              <w:spacing w:line="360" w:lineRule="auto"/>
              <w:jc w:val="center"/>
              <w:rPr>
                <w:rFonts w:hint="eastAsia" w:ascii="宋体" w:hAnsi="宋体" w:cs="宋体"/>
                <w:color w:val="000000"/>
                <w:kern w:val="0"/>
                <w:sz w:val="24"/>
                <w:szCs w:val="24"/>
              </w:rPr>
            </w:pPr>
          </w:p>
        </w:tc>
        <w:tc>
          <w:tcPr>
            <w:tcW w:w="1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21B7622">
            <w:pPr>
              <w:pageBreakBefore w:val="0"/>
              <w:widowControl/>
              <w:kinsoku/>
              <w:overflowPunct/>
              <w:bidi w:val="0"/>
              <w:snapToGrid w:val="0"/>
              <w:spacing w:line="360" w:lineRule="auto"/>
              <w:jc w:val="center"/>
              <w:rPr>
                <w:rFonts w:hint="eastAsia" w:ascii="宋体" w:hAnsi="宋体" w:cs="宋体"/>
                <w:color w:val="000000"/>
                <w:kern w:val="0"/>
                <w:sz w:val="24"/>
                <w:szCs w:val="24"/>
              </w:rPr>
            </w:pPr>
          </w:p>
        </w:tc>
      </w:tr>
      <w:tr w14:paraId="6DC4D72E">
        <w:tblPrEx>
          <w:tblCellMar>
            <w:top w:w="0" w:type="dxa"/>
            <w:left w:w="0" w:type="dxa"/>
            <w:bottom w:w="0" w:type="dxa"/>
            <w:right w:w="0" w:type="dxa"/>
          </w:tblCellMar>
        </w:tblPrEx>
        <w:trPr>
          <w:trHeight w:val="396" w:hRule="atLeast"/>
        </w:trPr>
        <w:tc>
          <w:tcPr>
            <w:tcW w:w="1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65A499E">
            <w:pPr>
              <w:pageBreakBefore w:val="0"/>
              <w:widowControl/>
              <w:kinsoku/>
              <w:overflowPunct/>
              <w:bidi w:val="0"/>
              <w:snapToGrid w:val="0"/>
              <w:spacing w:line="360" w:lineRule="auto"/>
              <w:jc w:val="center"/>
              <w:rPr>
                <w:rFonts w:hint="eastAsia" w:ascii="宋体" w:hAnsi="宋体" w:cs="宋体"/>
                <w:color w:val="000000"/>
                <w:kern w:val="0"/>
                <w:sz w:val="24"/>
                <w:szCs w:val="24"/>
              </w:rPr>
            </w:pPr>
          </w:p>
        </w:tc>
        <w:tc>
          <w:tcPr>
            <w:tcW w:w="3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C73BE5">
            <w:pPr>
              <w:pageBreakBefore w:val="0"/>
              <w:widowControl/>
              <w:kinsoku/>
              <w:overflowPunct/>
              <w:bidi w:val="0"/>
              <w:snapToGrid w:val="0"/>
              <w:spacing w:line="360" w:lineRule="auto"/>
              <w:jc w:val="center"/>
              <w:rPr>
                <w:rFonts w:hint="eastAsia" w:ascii="宋体" w:hAnsi="宋体" w:cs="宋体"/>
                <w:color w:val="000000"/>
                <w:kern w:val="0"/>
                <w:sz w:val="24"/>
                <w:szCs w:val="24"/>
              </w:rPr>
            </w:pPr>
          </w:p>
        </w:tc>
        <w:tc>
          <w:tcPr>
            <w:tcW w:w="27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6517FA7">
            <w:pPr>
              <w:pageBreakBefore w:val="0"/>
              <w:widowControl/>
              <w:kinsoku/>
              <w:overflowPunct/>
              <w:bidi w:val="0"/>
              <w:snapToGrid w:val="0"/>
              <w:spacing w:line="360" w:lineRule="auto"/>
              <w:jc w:val="center"/>
              <w:rPr>
                <w:rFonts w:hint="eastAsia" w:ascii="宋体" w:hAnsi="宋体" w:cs="宋体"/>
                <w:color w:val="000000"/>
                <w:kern w:val="0"/>
                <w:sz w:val="24"/>
                <w:szCs w:val="24"/>
              </w:rPr>
            </w:pPr>
          </w:p>
        </w:tc>
        <w:tc>
          <w:tcPr>
            <w:tcW w:w="1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F9B241A">
            <w:pPr>
              <w:pageBreakBefore w:val="0"/>
              <w:widowControl/>
              <w:kinsoku/>
              <w:overflowPunct/>
              <w:bidi w:val="0"/>
              <w:snapToGrid w:val="0"/>
              <w:spacing w:line="360" w:lineRule="auto"/>
              <w:jc w:val="center"/>
              <w:rPr>
                <w:rFonts w:hint="eastAsia" w:ascii="宋体" w:hAnsi="宋体" w:cs="宋体"/>
                <w:color w:val="000000"/>
                <w:kern w:val="0"/>
                <w:sz w:val="24"/>
                <w:szCs w:val="24"/>
              </w:rPr>
            </w:pPr>
          </w:p>
        </w:tc>
      </w:tr>
      <w:tr w14:paraId="67B96333">
        <w:tblPrEx>
          <w:tblCellMar>
            <w:top w:w="0" w:type="dxa"/>
            <w:left w:w="0" w:type="dxa"/>
            <w:bottom w:w="0" w:type="dxa"/>
            <w:right w:w="0" w:type="dxa"/>
          </w:tblCellMar>
        </w:tblPrEx>
        <w:trPr>
          <w:trHeight w:val="396" w:hRule="atLeast"/>
        </w:trPr>
        <w:tc>
          <w:tcPr>
            <w:tcW w:w="1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37FE278">
            <w:pPr>
              <w:pageBreakBefore w:val="0"/>
              <w:widowControl/>
              <w:kinsoku/>
              <w:overflowPunct/>
              <w:bidi w:val="0"/>
              <w:snapToGrid w:val="0"/>
              <w:spacing w:line="360" w:lineRule="auto"/>
              <w:jc w:val="center"/>
              <w:rPr>
                <w:rFonts w:hint="eastAsia" w:ascii="宋体" w:hAnsi="宋体" w:cs="宋体"/>
                <w:color w:val="000000"/>
                <w:kern w:val="0"/>
                <w:sz w:val="24"/>
                <w:szCs w:val="24"/>
              </w:rPr>
            </w:pPr>
          </w:p>
        </w:tc>
        <w:tc>
          <w:tcPr>
            <w:tcW w:w="3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C1FD8A7">
            <w:pPr>
              <w:pageBreakBefore w:val="0"/>
              <w:widowControl/>
              <w:kinsoku/>
              <w:overflowPunct/>
              <w:bidi w:val="0"/>
              <w:snapToGrid w:val="0"/>
              <w:spacing w:line="360" w:lineRule="auto"/>
              <w:jc w:val="center"/>
              <w:rPr>
                <w:rFonts w:hint="eastAsia" w:ascii="宋体" w:hAnsi="宋体" w:cs="宋体"/>
                <w:color w:val="000000"/>
                <w:kern w:val="0"/>
                <w:sz w:val="24"/>
                <w:szCs w:val="24"/>
              </w:rPr>
            </w:pPr>
          </w:p>
        </w:tc>
        <w:tc>
          <w:tcPr>
            <w:tcW w:w="27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CC76E4F">
            <w:pPr>
              <w:pageBreakBefore w:val="0"/>
              <w:widowControl/>
              <w:kinsoku/>
              <w:overflowPunct/>
              <w:bidi w:val="0"/>
              <w:snapToGrid w:val="0"/>
              <w:spacing w:line="360" w:lineRule="auto"/>
              <w:jc w:val="center"/>
              <w:rPr>
                <w:rFonts w:hint="eastAsia" w:ascii="宋体" w:hAnsi="宋体" w:cs="宋体"/>
                <w:color w:val="000000"/>
                <w:kern w:val="0"/>
                <w:sz w:val="24"/>
                <w:szCs w:val="24"/>
              </w:rPr>
            </w:pPr>
          </w:p>
        </w:tc>
        <w:tc>
          <w:tcPr>
            <w:tcW w:w="1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9DFBF45">
            <w:pPr>
              <w:pageBreakBefore w:val="0"/>
              <w:widowControl/>
              <w:kinsoku/>
              <w:overflowPunct/>
              <w:bidi w:val="0"/>
              <w:snapToGrid w:val="0"/>
              <w:spacing w:line="360" w:lineRule="auto"/>
              <w:jc w:val="center"/>
              <w:rPr>
                <w:rFonts w:hint="eastAsia" w:ascii="宋体" w:hAnsi="宋体" w:cs="宋体"/>
                <w:color w:val="000000"/>
                <w:kern w:val="0"/>
                <w:sz w:val="24"/>
                <w:szCs w:val="24"/>
              </w:rPr>
            </w:pPr>
          </w:p>
        </w:tc>
      </w:tr>
      <w:tr w14:paraId="48D26199">
        <w:tblPrEx>
          <w:tblCellMar>
            <w:top w:w="0" w:type="dxa"/>
            <w:left w:w="0" w:type="dxa"/>
            <w:bottom w:w="0" w:type="dxa"/>
            <w:right w:w="0" w:type="dxa"/>
          </w:tblCellMar>
        </w:tblPrEx>
        <w:trPr>
          <w:trHeight w:val="396" w:hRule="atLeast"/>
        </w:trPr>
        <w:tc>
          <w:tcPr>
            <w:tcW w:w="1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E1F9104">
            <w:pPr>
              <w:pageBreakBefore w:val="0"/>
              <w:widowControl/>
              <w:kinsoku/>
              <w:overflowPunct/>
              <w:bidi w:val="0"/>
              <w:snapToGrid w:val="0"/>
              <w:spacing w:line="360" w:lineRule="auto"/>
              <w:jc w:val="center"/>
              <w:rPr>
                <w:rFonts w:hint="eastAsia" w:ascii="宋体" w:hAnsi="宋体" w:cs="宋体"/>
                <w:color w:val="000000"/>
                <w:kern w:val="0"/>
                <w:sz w:val="24"/>
                <w:szCs w:val="24"/>
              </w:rPr>
            </w:pPr>
          </w:p>
        </w:tc>
        <w:tc>
          <w:tcPr>
            <w:tcW w:w="3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C0B191A">
            <w:pPr>
              <w:pageBreakBefore w:val="0"/>
              <w:widowControl/>
              <w:kinsoku/>
              <w:overflowPunct/>
              <w:bidi w:val="0"/>
              <w:snapToGrid w:val="0"/>
              <w:spacing w:line="360" w:lineRule="auto"/>
              <w:jc w:val="center"/>
              <w:rPr>
                <w:rFonts w:hint="eastAsia" w:ascii="宋体" w:hAnsi="宋体" w:cs="宋体"/>
                <w:color w:val="000000"/>
                <w:kern w:val="0"/>
                <w:sz w:val="24"/>
                <w:szCs w:val="24"/>
              </w:rPr>
            </w:pPr>
          </w:p>
        </w:tc>
        <w:tc>
          <w:tcPr>
            <w:tcW w:w="27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0CEBB55">
            <w:pPr>
              <w:pageBreakBefore w:val="0"/>
              <w:widowControl/>
              <w:kinsoku/>
              <w:overflowPunct/>
              <w:bidi w:val="0"/>
              <w:snapToGrid w:val="0"/>
              <w:spacing w:line="360" w:lineRule="auto"/>
              <w:jc w:val="center"/>
              <w:rPr>
                <w:rFonts w:hint="eastAsia" w:ascii="宋体" w:hAnsi="宋体" w:cs="宋体"/>
                <w:color w:val="000000"/>
                <w:kern w:val="0"/>
                <w:sz w:val="24"/>
                <w:szCs w:val="24"/>
              </w:rPr>
            </w:pPr>
          </w:p>
        </w:tc>
        <w:tc>
          <w:tcPr>
            <w:tcW w:w="1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5F59142">
            <w:pPr>
              <w:pageBreakBefore w:val="0"/>
              <w:widowControl/>
              <w:kinsoku/>
              <w:overflowPunct/>
              <w:bidi w:val="0"/>
              <w:snapToGrid w:val="0"/>
              <w:spacing w:line="360" w:lineRule="auto"/>
              <w:jc w:val="center"/>
              <w:rPr>
                <w:rFonts w:hint="eastAsia" w:ascii="宋体" w:hAnsi="宋体" w:cs="宋体"/>
                <w:color w:val="000000"/>
                <w:kern w:val="0"/>
                <w:sz w:val="24"/>
                <w:szCs w:val="24"/>
              </w:rPr>
            </w:pPr>
          </w:p>
        </w:tc>
      </w:tr>
      <w:tr w14:paraId="30862F01">
        <w:tblPrEx>
          <w:tblCellMar>
            <w:top w:w="0" w:type="dxa"/>
            <w:left w:w="0" w:type="dxa"/>
            <w:bottom w:w="0" w:type="dxa"/>
            <w:right w:w="0" w:type="dxa"/>
          </w:tblCellMar>
        </w:tblPrEx>
        <w:trPr>
          <w:trHeight w:val="396" w:hRule="atLeast"/>
        </w:trPr>
        <w:tc>
          <w:tcPr>
            <w:tcW w:w="1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9F71581">
            <w:pPr>
              <w:pageBreakBefore w:val="0"/>
              <w:widowControl/>
              <w:kinsoku/>
              <w:overflowPunct/>
              <w:bidi w:val="0"/>
              <w:snapToGrid w:val="0"/>
              <w:spacing w:line="360" w:lineRule="auto"/>
              <w:jc w:val="center"/>
              <w:rPr>
                <w:rFonts w:hint="eastAsia" w:ascii="宋体" w:hAnsi="宋体" w:cs="宋体"/>
                <w:color w:val="000000"/>
                <w:kern w:val="0"/>
                <w:sz w:val="24"/>
                <w:szCs w:val="24"/>
              </w:rPr>
            </w:pPr>
          </w:p>
        </w:tc>
        <w:tc>
          <w:tcPr>
            <w:tcW w:w="3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700D76C">
            <w:pPr>
              <w:pageBreakBefore w:val="0"/>
              <w:widowControl/>
              <w:kinsoku/>
              <w:overflowPunct/>
              <w:bidi w:val="0"/>
              <w:snapToGrid w:val="0"/>
              <w:spacing w:line="360" w:lineRule="auto"/>
              <w:jc w:val="center"/>
              <w:rPr>
                <w:rFonts w:hint="eastAsia" w:ascii="宋体" w:hAnsi="宋体" w:cs="宋体"/>
                <w:color w:val="000000"/>
                <w:kern w:val="0"/>
                <w:sz w:val="24"/>
                <w:szCs w:val="24"/>
              </w:rPr>
            </w:pPr>
          </w:p>
        </w:tc>
        <w:tc>
          <w:tcPr>
            <w:tcW w:w="27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65510BD">
            <w:pPr>
              <w:pageBreakBefore w:val="0"/>
              <w:widowControl/>
              <w:kinsoku/>
              <w:overflowPunct/>
              <w:bidi w:val="0"/>
              <w:snapToGrid w:val="0"/>
              <w:spacing w:line="360" w:lineRule="auto"/>
              <w:jc w:val="center"/>
              <w:rPr>
                <w:rFonts w:hint="eastAsia" w:ascii="宋体" w:hAnsi="宋体" w:cs="宋体"/>
                <w:color w:val="000000"/>
                <w:kern w:val="0"/>
                <w:sz w:val="24"/>
                <w:szCs w:val="24"/>
              </w:rPr>
            </w:pPr>
          </w:p>
        </w:tc>
        <w:tc>
          <w:tcPr>
            <w:tcW w:w="1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8701FF0">
            <w:pPr>
              <w:pageBreakBefore w:val="0"/>
              <w:widowControl/>
              <w:kinsoku/>
              <w:overflowPunct/>
              <w:bidi w:val="0"/>
              <w:snapToGrid w:val="0"/>
              <w:spacing w:line="360" w:lineRule="auto"/>
              <w:jc w:val="center"/>
              <w:rPr>
                <w:rFonts w:hint="eastAsia" w:ascii="宋体" w:hAnsi="宋体" w:cs="宋体"/>
                <w:color w:val="000000"/>
                <w:kern w:val="0"/>
                <w:sz w:val="24"/>
                <w:szCs w:val="24"/>
              </w:rPr>
            </w:pPr>
          </w:p>
        </w:tc>
      </w:tr>
    </w:tbl>
    <w:p w14:paraId="26C5F3A9">
      <w:pPr>
        <w:pageBreakBefore w:val="0"/>
        <w:widowControl/>
        <w:kinsoku/>
        <w:overflowPunct/>
        <w:bidi w:val="0"/>
        <w:snapToGrid w:val="0"/>
        <w:spacing w:line="360" w:lineRule="auto"/>
        <w:jc w:val="left"/>
        <w:rPr>
          <w:rFonts w:hint="eastAsia" w:ascii="宋体" w:hAnsi="宋体" w:cs="宋体"/>
          <w:color w:val="000000"/>
          <w:kern w:val="0"/>
          <w:sz w:val="24"/>
          <w:szCs w:val="24"/>
        </w:rPr>
      </w:pPr>
    </w:p>
    <w:p w14:paraId="0AB1692E">
      <w:pPr>
        <w:pageBreakBefore w:val="0"/>
        <w:shd w:val="solid" w:color="FFFFFF" w:fill="auto"/>
        <w:kinsoku/>
        <w:overflowPunct/>
        <w:autoSpaceDN w:val="0"/>
        <w:bidi w:val="0"/>
        <w:spacing w:line="360" w:lineRule="auto"/>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（投标人全称）      </w:t>
      </w:r>
      <w:r>
        <w:rPr>
          <w:rFonts w:hint="eastAsia" w:ascii="宋体" w:hAnsi="宋体" w:eastAsia="宋体" w:cs="宋体"/>
          <w:color w:val="auto"/>
          <w:sz w:val="24"/>
          <w:highlight w:val="none"/>
        </w:rPr>
        <w:t>（电子签章）</w:t>
      </w:r>
    </w:p>
    <w:p w14:paraId="201B66DC">
      <w:pPr>
        <w:pageBreakBefore w:val="0"/>
        <w:shd w:val="solid" w:color="FFFFFF" w:fill="auto"/>
        <w:kinsoku/>
        <w:overflowPunct/>
        <w:autoSpaceDN w:val="0"/>
        <w:bidi w:val="0"/>
        <w:spacing w:line="360" w:lineRule="auto"/>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法定代表人或其委托代理人：</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shd w:val="clear" w:color="auto" w:fill="FFFFFF"/>
        </w:rPr>
        <w:t>（电子签章或电子签名）</w:t>
      </w:r>
    </w:p>
    <w:p w14:paraId="1B50F96B">
      <w:pPr>
        <w:pageBreakBefore w:val="0"/>
        <w:shd w:val="solid" w:color="FFFFFF" w:fill="auto"/>
        <w:kinsoku/>
        <w:overflowPunct/>
        <w:autoSpaceDN w:val="0"/>
        <w:bidi w:val="0"/>
        <w:spacing w:line="360" w:lineRule="auto"/>
        <w:jc w:val="left"/>
        <w:rPr>
          <w:rFonts w:hint="eastAsia" w:ascii="宋体" w:hAnsi="宋体" w:eastAsia="宋体" w:cs="宋体"/>
          <w:color w:val="auto"/>
          <w:kern w:val="1"/>
          <w:sz w:val="24"/>
          <w:szCs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rPr>
        <w:t>日</w:t>
      </w:r>
    </w:p>
    <w:p w14:paraId="6A01F008">
      <w:pPr>
        <w:pageBreakBefore w:val="0"/>
        <w:widowControl/>
        <w:kinsoku/>
        <w:overflowPunct/>
        <w:bidi w:val="0"/>
        <w:snapToGrid w:val="0"/>
        <w:spacing w:line="360" w:lineRule="auto"/>
        <w:jc w:val="left"/>
        <w:rPr>
          <w:rFonts w:hint="eastAsia" w:ascii="宋体" w:hAnsi="宋体" w:cs="宋体"/>
          <w:b/>
          <w:color w:val="000000"/>
          <w:kern w:val="0"/>
          <w:sz w:val="24"/>
          <w:szCs w:val="24"/>
        </w:rPr>
      </w:pPr>
    </w:p>
    <w:p w14:paraId="6762638E">
      <w:pPr>
        <w:pageBreakBefore w:val="0"/>
        <w:widowControl/>
        <w:kinsoku/>
        <w:overflowPunct/>
        <w:bidi w:val="0"/>
        <w:snapToGrid w:val="0"/>
        <w:spacing w:line="360" w:lineRule="auto"/>
        <w:jc w:val="left"/>
        <w:rPr>
          <w:rFonts w:hint="eastAsia" w:ascii="宋体" w:hAnsi="宋体" w:cs="宋体"/>
          <w:b/>
          <w:color w:val="000000"/>
          <w:kern w:val="0"/>
          <w:sz w:val="24"/>
          <w:szCs w:val="24"/>
        </w:rPr>
      </w:pPr>
      <w:r>
        <w:rPr>
          <w:rFonts w:hint="eastAsia" w:ascii="宋体" w:hAnsi="宋体" w:cs="宋体"/>
          <w:b/>
          <w:color w:val="000000"/>
          <w:kern w:val="0"/>
          <w:sz w:val="24"/>
          <w:szCs w:val="24"/>
        </w:rPr>
        <w:t>表格填写说明：</w:t>
      </w:r>
    </w:p>
    <w:p w14:paraId="44923A11">
      <w:pPr>
        <w:pageBreakBefore w:val="0"/>
        <w:widowControl/>
        <w:kinsoku/>
        <w:overflowPunct/>
        <w:bidi w:val="0"/>
        <w:snapToGrid w:val="0"/>
        <w:spacing w:line="360" w:lineRule="auto"/>
        <w:jc w:val="left"/>
        <w:rPr>
          <w:rFonts w:hint="eastAsia" w:ascii="宋体" w:hAnsi="宋体" w:cs="宋体"/>
          <w:b/>
          <w:color w:val="000000"/>
          <w:kern w:val="0"/>
          <w:sz w:val="24"/>
          <w:szCs w:val="24"/>
        </w:rPr>
      </w:pPr>
      <w:r>
        <w:rPr>
          <w:rFonts w:hint="eastAsia" w:ascii="宋体" w:hAnsi="宋体" w:cs="宋体"/>
          <w:b/>
          <w:color w:val="000000"/>
          <w:kern w:val="0"/>
          <w:sz w:val="24"/>
          <w:szCs w:val="24"/>
        </w:rPr>
        <w:t>1.</w:t>
      </w:r>
      <w:r>
        <w:rPr>
          <w:rFonts w:hint="eastAsia" w:ascii="宋体" w:hAnsi="宋体" w:cs="宋体"/>
          <w:b/>
          <w:color w:val="000000"/>
          <w:kern w:val="0"/>
          <w:sz w:val="24"/>
          <w:szCs w:val="24"/>
          <w:lang w:eastAsia="zh-CN"/>
        </w:rPr>
        <w:t>投标人</w:t>
      </w:r>
      <w:r>
        <w:rPr>
          <w:rFonts w:hint="eastAsia" w:ascii="宋体" w:hAnsi="宋体" w:cs="宋体"/>
          <w:b/>
          <w:color w:val="000000"/>
          <w:kern w:val="0"/>
          <w:sz w:val="24"/>
          <w:szCs w:val="24"/>
        </w:rPr>
        <w:t>应根据实际情况响应，填写本表格，若无偏离，则勾选A项，签字或盖章即可。若有偏离，则勾选B项，按表格要求及实际情况填写后，签字或盖章。</w:t>
      </w:r>
    </w:p>
    <w:p w14:paraId="38CA8534">
      <w:pPr>
        <w:pageBreakBefore w:val="0"/>
        <w:widowControl/>
        <w:kinsoku/>
        <w:overflowPunct/>
        <w:bidi w:val="0"/>
        <w:snapToGrid w:val="0"/>
        <w:spacing w:line="360" w:lineRule="auto"/>
        <w:jc w:val="left"/>
        <w:rPr>
          <w:rFonts w:hint="eastAsia" w:ascii="宋体" w:hAnsi="宋体" w:cs="宋体"/>
          <w:b/>
          <w:color w:val="000000"/>
          <w:kern w:val="0"/>
          <w:sz w:val="24"/>
          <w:szCs w:val="24"/>
        </w:rPr>
      </w:pPr>
      <w:r>
        <w:rPr>
          <w:rFonts w:hint="eastAsia" w:ascii="宋体" w:hAnsi="宋体" w:cs="宋体"/>
          <w:b/>
          <w:color w:val="000000"/>
          <w:kern w:val="0"/>
          <w:sz w:val="24"/>
          <w:szCs w:val="24"/>
        </w:rPr>
        <w:t>2.表格中“</w:t>
      </w:r>
      <w:r>
        <w:rPr>
          <w:rFonts w:hint="eastAsia" w:ascii="宋体" w:hAnsi="宋体" w:cs="宋体"/>
          <w:b/>
          <w:color w:val="000000"/>
          <w:kern w:val="0"/>
          <w:sz w:val="24"/>
          <w:szCs w:val="24"/>
          <w:lang w:val="en-US" w:eastAsia="zh-CN"/>
        </w:rPr>
        <w:t>招标</w:t>
      </w:r>
      <w:r>
        <w:rPr>
          <w:rFonts w:hint="eastAsia" w:ascii="宋体" w:hAnsi="宋体" w:cs="宋体"/>
          <w:b/>
          <w:color w:val="000000"/>
          <w:kern w:val="0"/>
          <w:sz w:val="24"/>
          <w:szCs w:val="24"/>
        </w:rPr>
        <w:t>文件章节及条款号”在填写时应注明该条款在</w:t>
      </w:r>
      <w:r>
        <w:rPr>
          <w:rFonts w:hint="eastAsia" w:ascii="宋体" w:hAnsi="宋体" w:cs="宋体"/>
          <w:b/>
          <w:color w:val="000000"/>
          <w:kern w:val="0"/>
          <w:sz w:val="24"/>
          <w:szCs w:val="24"/>
          <w:lang w:val="en-US" w:eastAsia="zh-CN"/>
        </w:rPr>
        <w:t>招标</w:t>
      </w:r>
      <w:r>
        <w:rPr>
          <w:rFonts w:hint="eastAsia" w:ascii="宋体" w:hAnsi="宋体" w:cs="宋体"/>
          <w:b/>
          <w:color w:val="000000"/>
          <w:kern w:val="0"/>
          <w:sz w:val="24"/>
          <w:szCs w:val="24"/>
        </w:rPr>
        <w:t>文件的章节及条款号。</w:t>
      </w:r>
    </w:p>
    <w:p w14:paraId="4C64EC5D">
      <w:pPr>
        <w:pageBreakBefore w:val="0"/>
        <w:widowControl/>
        <w:kinsoku/>
        <w:overflowPunct/>
        <w:bidi w:val="0"/>
        <w:snapToGrid w:val="0"/>
        <w:spacing w:line="360" w:lineRule="auto"/>
        <w:jc w:val="left"/>
        <w:rPr>
          <w:rFonts w:hint="eastAsia" w:ascii="宋体" w:hAnsi="宋体" w:cs="宋体"/>
          <w:b/>
          <w:color w:val="000000"/>
          <w:kern w:val="0"/>
          <w:sz w:val="24"/>
          <w:szCs w:val="24"/>
        </w:rPr>
      </w:pPr>
      <w:r>
        <w:rPr>
          <w:rFonts w:hint="eastAsia" w:ascii="宋体" w:hAnsi="宋体" w:cs="宋体"/>
          <w:b/>
          <w:color w:val="000000"/>
          <w:kern w:val="0"/>
          <w:sz w:val="24"/>
          <w:szCs w:val="24"/>
        </w:rPr>
        <w:t>3.表格中“</w:t>
      </w:r>
      <w:r>
        <w:rPr>
          <w:rFonts w:hint="eastAsia" w:ascii="宋体" w:hAnsi="宋体" w:cs="宋体"/>
          <w:b/>
          <w:color w:val="000000"/>
          <w:kern w:val="0"/>
          <w:sz w:val="24"/>
          <w:szCs w:val="24"/>
          <w:lang w:val="en-US" w:eastAsia="zh-CN"/>
        </w:rPr>
        <w:t>投标</w:t>
      </w:r>
      <w:r>
        <w:rPr>
          <w:rFonts w:hint="eastAsia" w:ascii="宋体" w:hAnsi="宋体" w:cs="宋体"/>
          <w:b/>
          <w:color w:val="000000"/>
          <w:kern w:val="0"/>
          <w:sz w:val="24"/>
          <w:szCs w:val="24"/>
        </w:rPr>
        <w:t>文件章节及条款号”请</w:t>
      </w:r>
      <w:r>
        <w:rPr>
          <w:rFonts w:hint="eastAsia" w:ascii="宋体" w:hAnsi="宋体" w:cs="宋体"/>
          <w:b/>
          <w:color w:val="000000"/>
          <w:kern w:val="0"/>
          <w:sz w:val="24"/>
          <w:szCs w:val="24"/>
          <w:lang w:eastAsia="zh-CN"/>
        </w:rPr>
        <w:t>投标人</w:t>
      </w:r>
      <w:r>
        <w:rPr>
          <w:rFonts w:hint="eastAsia" w:ascii="宋体" w:hAnsi="宋体" w:cs="宋体"/>
          <w:b/>
          <w:color w:val="000000"/>
          <w:kern w:val="0"/>
          <w:sz w:val="24"/>
          <w:szCs w:val="24"/>
        </w:rPr>
        <w:t>根据实际响应情况如实、完整、准确地填写。</w:t>
      </w:r>
    </w:p>
    <w:p w14:paraId="56CC88C5">
      <w:pPr>
        <w:pageBreakBefore w:val="0"/>
        <w:widowControl/>
        <w:kinsoku/>
        <w:overflowPunct/>
        <w:bidi w:val="0"/>
        <w:snapToGrid w:val="0"/>
        <w:spacing w:line="360" w:lineRule="auto"/>
        <w:jc w:val="left"/>
        <w:rPr>
          <w:rFonts w:hint="eastAsia" w:ascii="宋体" w:hAnsi="宋体" w:cs="宋体"/>
          <w:b/>
          <w:color w:val="000000"/>
          <w:kern w:val="0"/>
          <w:sz w:val="24"/>
          <w:szCs w:val="24"/>
        </w:rPr>
      </w:pPr>
      <w:r>
        <w:rPr>
          <w:rFonts w:hint="eastAsia" w:ascii="宋体" w:hAnsi="宋体" w:cs="宋体"/>
          <w:b/>
          <w:color w:val="000000"/>
          <w:kern w:val="0"/>
          <w:sz w:val="24"/>
          <w:szCs w:val="24"/>
        </w:rPr>
        <w:t>4.本表格中内容与</w:t>
      </w:r>
      <w:r>
        <w:rPr>
          <w:rFonts w:hint="eastAsia" w:ascii="宋体" w:hAnsi="宋体" w:cs="宋体"/>
          <w:b/>
          <w:color w:val="000000"/>
          <w:kern w:val="0"/>
          <w:sz w:val="24"/>
          <w:szCs w:val="24"/>
          <w:lang w:val="en-US" w:eastAsia="zh-CN"/>
        </w:rPr>
        <w:t>投标</w:t>
      </w:r>
      <w:r>
        <w:rPr>
          <w:rFonts w:hint="eastAsia" w:ascii="宋体" w:hAnsi="宋体" w:cs="宋体"/>
          <w:b/>
          <w:color w:val="000000"/>
          <w:kern w:val="0"/>
          <w:sz w:val="24"/>
          <w:szCs w:val="24"/>
        </w:rPr>
        <w:t>文件其余部分不一致的，以本表格为准。</w:t>
      </w:r>
    </w:p>
    <w:p w14:paraId="71DF9036">
      <w:pPr>
        <w:pageBreakBefore w:val="0"/>
        <w:kinsoku/>
        <w:overflowPunct/>
        <w:bidi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br w:type="page"/>
      </w:r>
    </w:p>
    <w:p w14:paraId="78408B8E">
      <w:pPr>
        <w:pageBreakBefore w:val="0"/>
        <w:shd w:val="solid" w:color="FFFFFF" w:fill="auto"/>
        <w:kinsoku/>
        <w:overflowPunct/>
        <w:autoSpaceDN w:val="0"/>
        <w:bidi w:val="0"/>
        <w:spacing w:line="360" w:lineRule="auto"/>
        <w:jc w:val="center"/>
        <w:outlineLvl w:val="1"/>
        <w:rPr>
          <w:rFonts w:hint="eastAsia" w:ascii="宋体" w:hAnsi="宋体" w:eastAsia="宋体" w:cs="宋体"/>
          <w:b/>
          <w:bCs/>
          <w:color w:val="auto"/>
          <w:sz w:val="32"/>
          <w:szCs w:val="32"/>
          <w:highlight w:val="none"/>
          <w:shd w:val="clear" w:color="auto" w:fill="FFFFFF"/>
        </w:rPr>
      </w:pPr>
      <w:bookmarkStart w:id="209" w:name="_Toc24762"/>
      <w:bookmarkStart w:id="210" w:name="_Toc13531"/>
      <w:r>
        <w:rPr>
          <w:rFonts w:hint="eastAsia" w:ascii="宋体" w:hAnsi="宋体" w:eastAsia="宋体" w:cs="宋体"/>
          <w:b/>
          <w:bCs/>
          <w:color w:val="auto"/>
          <w:sz w:val="32"/>
          <w:szCs w:val="32"/>
          <w:highlight w:val="none"/>
          <w:shd w:val="clear" w:color="auto" w:fill="FFFFFF"/>
          <w:lang w:eastAsia="zh-CN"/>
        </w:rPr>
        <w:t>（</w:t>
      </w:r>
      <w:r>
        <w:rPr>
          <w:rFonts w:hint="eastAsia" w:ascii="宋体" w:hAnsi="宋体" w:eastAsia="宋体" w:cs="宋体"/>
          <w:b/>
          <w:bCs/>
          <w:color w:val="auto"/>
          <w:sz w:val="32"/>
          <w:szCs w:val="32"/>
          <w:highlight w:val="none"/>
          <w:shd w:val="clear" w:color="auto" w:fill="FFFFFF"/>
          <w:lang w:val="en-US" w:eastAsia="zh-CN"/>
        </w:rPr>
        <w:t>二</w:t>
      </w:r>
      <w:r>
        <w:rPr>
          <w:rFonts w:hint="eastAsia" w:ascii="宋体" w:hAnsi="宋体" w:eastAsia="宋体" w:cs="宋体"/>
          <w:b/>
          <w:bCs/>
          <w:color w:val="auto"/>
          <w:sz w:val="32"/>
          <w:szCs w:val="32"/>
          <w:highlight w:val="none"/>
          <w:shd w:val="clear" w:color="auto" w:fill="FFFFFF"/>
          <w:lang w:eastAsia="zh-CN"/>
        </w:rPr>
        <w:t>）技术参数响应偏离表</w:t>
      </w:r>
      <w:bookmarkEnd w:id="207"/>
      <w:bookmarkEnd w:id="208"/>
      <w:bookmarkEnd w:id="209"/>
      <w:bookmarkEnd w:id="210"/>
    </w:p>
    <w:p w14:paraId="0210E836">
      <w:pPr>
        <w:pageBreakBefore w:val="0"/>
        <w:shd w:val="solid" w:color="FFFFFF" w:fill="auto"/>
        <w:kinsoku/>
        <w:overflowPunct/>
        <w:autoSpaceDN w:val="0"/>
        <w:bidi w:val="0"/>
        <w:spacing w:line="360" w:lineRule="auto"/>
        <w:rPr>
          <w:rFonts w:hint="eastAsia" w:ascii="宋体" w:hAnsi="宋体" w:eastAsia="宋体" w:cs="宋体"/>
          <w:color w:val="auto"/>
          <w:sz w:val="24"/>
          <w:highlight w:val="none"/>
          <w:u w:val="single"/>
          <w:shd w:val="clear" w:color="auto" w:fill="FFFFFF"/>
        </w:rPr>
      </w:pPr>
      <w:r>
        <w:rPr>
          <w:rFonts w:hint="eastAsia" w:ascii="宋体" w:hAnsi="宋体" w:eastAsia="宋体" w:cs="宋体"/>
          <w:color w:val="auto"/>
          <w:sz w:val="24"/>
          <w:highlight w:val="none"/>
          <w:shd w:val="clear" w:color="auto" w:fill="FFFFFF"/>
        </w:rPr>
        <w:t>项目名称：</w:t>
      </w:r>
      <w:r>
        <w:rPr>
          <w:rFonts w:hint="eastAsia" w:ascii="宋体" w:hAnsi="宋体" w:cs="宋体"/>
          <w:color w:val="auto"/>
          <w:sz w:val="24"/>
          <w:szCs w:val="20"/>
          <w:highlight w:val="none"/>
          <w:u w:val="single"/>
          <w:shd w:val="clear" w:color="auto" w:fill="FFFFFF"/>
          <w:lang w:eastAsia="zh-CN"/>
        </w:rPr>
        <w:t>珠江流域（玉溪段）生态环境监测能力提升项目</w:t>
      </w:r>
      <w:r>
        <w:rPr>
          <w:rFonts w:hint="eastAsia" w:ascii="宋体" w:hAnsi="宋体" w:cs="宋体"/>
          <w:color w:val="auto"/>
          <w:sz w:val="24"/>
          <w:szCs w:val="20"/>
          <w:highlight w:val="none"/>
          <w:u w:val="single"/>
          <w:shd w:val="clear" w:color="auto" w:fill="FFFFFF"/>
          <w:lang w:val="en-US" w:eastAsia="zh-CN"/>
        </w:rPr>
        <w:t>（   包）</w:t>
      </w:r>
    </w:p>
    <w:p w14:paraId="4346E74C">
      <w:pPr>
        <w:keepNext w:val="0"/>
        <w:keepLines w:val="0"/>
        <w:pageBreakBefore w:val="0"/>
        <w:widowControl w:val="0"/>
        <w:shd w:val="solid" w:color="FFFFFF" w:fill="auto"/>
        <w:kinsoku/>
        <w:wordWrap/>
        <w:overflowPunct/>
        <w:topLinePunct w:val="0"/>
        <w:autoSpaceDE/>
        <w:autoSpaceDN w:val="0"/>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项目编号：</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shd w:val="clear" w:color="auto" w:fill="FFFFFF"/>
        </w:rPr>
        <w:t>　　　</w:t>
      </w:r>
    </w:p>
    <w:tbl>
      <w:tblPr>
        <w:tblStyle w:val="23"/>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405"/>
        <w:gridCol w:w="1600"/>
        <w:gridCol w:w="1674"/>
        <w:gridCol w:w="1126"/>
        <w:gridCol w:w="1259"/>
        <w:gridCol w:w="1679"/>
      </w:tblGrid>
      <w:tr w14:paraId="6CA9D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7" w:hRule="atLeast"/>
          <w:jc w:val="center"/>
        </w:trPr>
        <w:tc>
          <w:tcPr>
            <w:tcW w:w="682" w:type="dxa"/>
            <w:noWrap w:val="0"/>
            <w:vAlign w:val="center"/>
          </w:tcPr>
          <w:p w14:paraId="6DC50D09">
            <w:pPr>
              <w:pageBreakBefore w:val="0"/>
              <w:shd w:val="solid" w:color="FFFFFF" w:fill="auto"/>
              <w:kinsoku/>
              <w:overflowPunct/>
              <w:autoSpaceDN w:val="0"/>
              <w:bidi w:val="0"/>
              <w:spacing w:line="360" w:lineRule="auto"/>
              <w:jc w:val="cente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序号</w:t>
            </w:r>
          </w:p>
        </w:tc>
        <w:tc>
          <w:tcPr>
            <w:tcW w:w="1405" w:type="dxa"/>
            <w:noWrap w:val="0"/>
            <w:vAlign w:val="center"/>
          </w:tcPr>
          <w:p w14:paraId="67969A9B">
            <w:pPr>
              <w:pageBreakBefore w:val="0"/>
              <w:shd w:val="solid" w:color="FFFFFF" w:fill="auto"/>
              <w:kinsoku/>
              <w:overflowPunct/>
              <w:autoSpaceDN w:val="0"/>
              <w:bidi w:val="0"/>
              <w:spacing w:line="360" w:lineRule="auto"/>
              <w:jc w:val="center"/>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val="en-US" w:eastAsia="zh-CN"/>
              </w:rPr>
              <w:t>设备</w:t>
            </w:r>
            <w:r>
              <w:rPr>
                <w:rFonts w:hint="eastAsia" w:ascii="宋体" w:hAnsi="宋体" w:eastAsia="宋体" w:cs="宋体"/>
                <w:bCs/>
                <w:color w:val="auto"/>
                <w:sz w:val="22"/>
                <w:highlight w:val="none"/>
              </w:rPr>
              <w:t>（</w:t>
            </w:r>
            <w:r>
              <w:rPr>
                <w:rFonts w:hint="eastAsia" w:ascii="宋体" w:hAnsi="宋体" w:eastAsia="宋体" w:cs="宋体"/>
                <w:bCs/>
                <w:color w:val="auto"/>
                <w:sz w:val="22"/>
                <w:highlight w:val="none"/>
                <w:lang w:val="en-US" w:eastAsia="zh-CN"/>
              </w:rPr>
              <w:t>产品</w:t>
            </w:r>
            <w:r>
              <w:rPr>
                <w:rFonts w:hint="eastAsia" w:ascii="宋体" w:hAnsi="宋体" w:eastAsia="宋体" w:cs="宋体"/>
                <w:bCs/>
                <w:color w:val="auto"/>
                <w:sz w:val="22"/>
                <w:highlight w:val="none"/>
              </w:rPr>
              <w:t>）名称</w:t>
            </w:r>
          </w:p>
        </w:tc>
        <w:tc>
          <w:tcPr>
            <w:tcW w:w="1600" w:type="dxa"/>
            <w:noWrap w:val="0"/>
            <w:vAlign w:val="center"/>
          </w:tcPr>
          <w:p w14:paraId="16868CEC">
            <w:pPr>
              <w:pageBreakBefore w:val="0"/>
              <w:shd w:val="solid" w:color="FFFFFF" w:fill="auto"/>
              <w:kinsoku/>
              <w:overflowPunct/>
              <w:autoSpaceDN w:val="0"/>
              <w:bidi w:val="0"/>
              <w:spacing w:line="360" w:lineRule="auto"/>
              <w:jc w:val="center"/>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招标文件技术</w:t>
            </w:r>
            <w:r>
              <w:rPr>
                <w:rFonts w:hint="eastAsia" w:ascii="宋体" w:hAnsi="宋体" w:eastAsia="宋体" w:cs="宋体"/>
                <w:color w:val="auto"/>
                <w:sz w:val="22"/>
                <w:szCs w:val="22"/>
                <w:highlight w:val="none"/>
                <w:shd w:val="clear" w:color="auto" w:fill="FFFFFF"/>
                <w:lang w:val="en-US" w:eastAsia="zh-CN"/>
              </w:rPr>
              <w:t>参数</w:t>
            </w:r>
            <w:r>
              <w:rPr>
                <w:rFonts w:hint="eastAsia" w:ascii="宋体" w:hAnsi="宋体" w:eastAsia="宋体" w:cs="宋体"/>
                <w:color w:val="auto"/>
                <w:sz w:val="22"/>
                <w:szCs w:val="22"/>
                <w:highlight w:val="none"/>
                <w:shd w:val="clear" w:color="auto" w:fill="FFFFFF"/>
              </w:rPr>
              <w:t>要求</w:t>
            </w:r>
          </w:p>
        </w:tc>
        <w:tc>
          <w:tcPr>
            <w:tcW w:w="1674" w:type="dxa"/>
            <w:noWrap w:val="0"/>
            <w:vAlign w:val="center"/>
          </w:tcPr>
          <w:p w14:paraId="51157061">
            <w:pPr>
              <w:pageBreakBefore w:val="0"/>
              <w:shd w:val="solid" w:color="FFFFFF" w:fill="auto"/>
              <w:kinsoku/>
              <w:overflowPunct/>
              <w:autoSpaceDN w:val="0"/>
              <w:bidi w:val="0"/>
              <w:spacing w:line="360" w:lineRule="auto"/>
              <w:jc w:val="center"/>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投标文件技术</w:t>
            </w:r>
            <w:r>
              <w:rPr>
                <w:rFonts w:hint="eastAsia" w:ascii="宋体" w:hAnsi="宋体" w:eastAsia="宋体" w:cs="宋体"/>
                <w:color w:val="auto"/>
                <w:sz w:val="22"/>
                <w:szCs w:val="22"/>
                <w:highlight w:val="none"/>
                <w:shd w:val="clear" w:color="auto" w:fill="FFFFFF"/>
                <w:lang w:val="en-US" w:eastAsia="zh-CN"/>
              </w:rPr>
              <w:t>参数</w:t>
            </w:r>
            <w:r>
              <w:rPr>
                <w:rFonts w:hint="eastAsia" w:ascii="宋体" w:hAnsi="宋体" w:eastAsia="宋体" w:cs="宋体"/>
                <w:color w:val="auto"/>
                <w:sz w:val="22"/>
                <w:szCs w:val="22"/>
                <w:highlight w:val="none"/>
                <w:shd w:val="clear" w:color="auto" w:fill="FFFFFF"/>
              </w:rPr>
              <w:t>响应内容</w:t>
            </w:r>
          </w:p>
        </w:tc>
        <w:tc>
          <w:tcPr>
            <w:tcW w:w="1126" w:type="dxa"/>
            <w:noWrap w:val="0"/>
            <w:vAlign w:val="center"/>
          </w:tcPr>
          <w:p w14:paraId="1BFA8580">
            <w:pPr>
              <w:pageBreakBefore w:val="0"/>
              <w:shd w:val="solid" w:color="FFFFFF" w:fill="auto"/>
              <w:kinsoku/>
              <w:overflowPunct/>
              <w:autoSpaceDN w:val="0"/>
              <w:bidi w:val="0"/>
              <w:spacing w:line="360" w:lineRule="auto"/>
              <w:jc w:val="center"/>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偏离</w:t>
            </w:r>
          </w:p>
        </w:tc>
        <w:tc>
          <w:tcPr>
            <w:tcW w:w="1259" w:type="dxa"/>
            <w:noWrap w:val="0"/>
            <w:vAlign w:val="center"/>
          </w:tcPr>
          <w:p w14:paraId="0EC0AE67">
            <w:pPr>
              <w:pageBreakBefore w:val="0"/>
              <w:shd w:val="solid" w:color="FFFFFF" w:fill="auto"/>
              <w:kinsoku/>
              <w:overflowPunct/>
              <w:autoSpaceDN w:val="0"/>
              <w:bidi w:val="0"/>
              <w:spacing w:line="360" w:lineRule="auto"/>
              <w:jc w:val="center"/>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说明</w:t>
            </w:r>
          </w:p>
        </w:tc>
        <w:tc>
          <w:tcPr>
            <w:tcW w:w="1679" w:type="dxa"/>
            <w:noWrap w:val="0"/>
            <w:vAlign w:val="center"/>
          </w:tcPr>
          <w:p w14:paraId="4082308F">
            <w:pPr>
              <w:pageBreakBefore w:val="0"/>
              <w:shd w:val="solid" w:color="FFFFFF" w:fill="auto"/>
              <w:kinsoku/>
              <w:overflowPunct/>
              <w:autoSpaceDN w:val="0"/>
              <w:bidi w:val="0"/>
              <w:spacing w:line="360" w:lineRule="auto"/>
              <w:jc w:val="center"/>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技术支持资料索引（页码及条目号等）</w:t>
            </w:r>
          </w:p>
        </w:tc>
      </w:tr>
      <w:tr w14:paraId="10DD8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682" w:type="dxa"/>
            <w:noWrap w:val="0"/>
            <w:vAlign w:val="center"/>
          </w:tcPr>
          <w:p w14:paraId="1896018A">
            <w:pPr>
              <w:pageBreakBefore w:val="0"/>
              <w:shd w:val="solid" w:color="FFFFFF" w:fill="auto"/>
              <w:kinsoku/>
              <w:overflowPunct/>
              <w:autoSpaceDN w:val="0"/>
              <w:bidi w:val="0"/>
              <w:spacing w:line="360" w:lineRule="auto"/>
              <w:jc w:val="cente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1</w:t>
            </w:r>
          </w:p>
        </w:tc>
        <w:tc>
          <w:tcPr>
            <w:tcW w:w="1405" w:type="dxa"/>
            <w:noWrap w:val="0"/>
            <w:vAlign w:val="center"/>
          </w:tcPr>
          <w:p w14:paraId="20C8551A">
            <w:pPr>
              <w:pageBreakBefore w:val="0"/>
              <w:shd w:val="solid" w:color="FFFFFF" w:fill="auto"/>
              <w:kinsoku/>
              <w:overflowPunct/>
              <w:autoSpaceDN w:val="0"/>
              <w:bidi w:val="0"/>
              <w:spacing w:line="360" w:lineRule="auto"/>
              <w:jc w:val="center"/>
              <w:rPr>
                <w:rFonts w:hint="eastAsia" w:ascii="宋体" w:hAnsi="宋体" w:eastAsia="宋体" w:cs="宋体"/>
                <w:bCs/>
                <w:color w:val="auto"/>
                <w:sz w:val="22"/>
                <w:highlight w:val="none"/>
              </w:rPr>
            </w:pPr>
          </w:p>
        </w:tc>
        <w:tc>
          <w:tcPr>
            <w:tcW w:w="1600" w:type="dxa"/>
            <w:noWrap w:val="0"/>
            <w:vAlign w:val="center"/>
          </w:tcPr>
          <w:p w14:paraId="13FA2D1A">
            <w:pPr>
              <w:pageBreakBefore w:val="0"/>
              <w:shd w:val="solid" w:color="FFFFFF" w:fill="auto"/>
              <w:kinsoku/>
              <w:overflowPunct/>
              <w:autoSpaceDN w:val="0"/>
              <w:bidi w:val="0"/>
              <w:spacing w:line="360" w:lineRule="auto"/>
              <w:rPr>
                <w:rFonts w:hint="eastAsia" w:ascii="宋体" w:hAnsi="宋体" w:eastAsia="宋体" w:cs="宋体"/>
                <w:color w:val="auto"/>
                <w:sz w:val="22"/>
                <w:szCs w:val="22"/>
                <w:highlight w:val="none"/>
                <w:shd w:val="clear" w:color="auto" w:fill="FFFFFF"/>
              </w:rPr>
            </w:pPr>
          </w:p>
        </w:tc>
        <w:tc>
          <w:tcPr>
            <w:tcW w:w="1674" w:type="dxa"/>
            <w:noWrap w:val="0"/>
            <w:vAlign w:val="center"/>
          </w:tcPr>
          <w:p w14:paraId="33101C3E">
            <w:pPr>
              <w:pageBreakBefore w:val="0"/>
              <w:shd w:val="solid" w:color="FFFFFF" w:fill="auto"/>
              <w:kinsoku/>
              <w:overflowPunct/>
              <w:autoSpaceDN w:val="0"/>
              <w:bidi w:val="0"/>
              <w:spacing w:line="360" w:lineRule="auto"/>
              <w:rPr>
                <w:rFonts w:hint="eastAsia" w:ascii="宋体" w:hAnsi="宋体" w:eastAsia="宋体" w:cs="宋体"/>
                <w:color w:val="auto"/>
                <w:sz w:val="22"/>
                <w:szCs w:val="22"/>
                <w:highlight w:val="none"/>
                <w:shd w:val="clear" w:color="auto" w:fill="FFFFFF"/>
              </w:rPr>
            </w:pPr>
          </w:p>
        </w:tc>
        <w:tc>
          <w:tcPr>
            <w:tcW w:w="1126" w:type="dxa"/>
            <w:noWrap w:val="0"/>
            <w:vAlign w:val="center"/>
          </w:tcPr>
          <w:p w14:paraId="3FCEC380">
            <w:pPr>
              <w:pageBreakBefore w:val="0"/>
              <w:shd w:val="solid" w:color="FFFFFF" w:fill="auto"/>
              <w:kinsoku/>
              <w:overflowPunct/>
              <w:autoSpaceDN w:val="0"/>
              <w:bidi w:val="0"/>
              <w:spacing w:line="360" w:lineRule="auto"/>
              <w:rPr>
                <w:rFonts w:hint="eastAsia" w:ascii="宋体" w:hAnsi="宋体" w:eastAsia="宋体" w:cs="宋体"/>
                <w:color w:val="auto"/>
                <w:sz w:val="22"/>
                <w:szCs w:val="22"/>
                <w:highlight w:val="none"/>
                <w:shd w:val="clear" w:color="auto" w:fill="FFFFFF"/>
              </w:rPr>
            </w:pPr>
          </w:p>
        </w:tc>
        <w:tc>
          <w:tcPr>
            <w:tcW w:w="1259" w:type="dxa"/>
            <w:noWrap w:val="0"/>
            <w:vAlign w:val="center"/>
          </w:tcPr>
          <w:p w14:paraId="0152AB3A">
            <w:pPr>
              <w:pageBreakBefore w:val="0"/>
              <w:shd w:val="solid" w:color="FFFFFF" w:fill="auto"/>
              <w:kinsoku/>
              <w:overflowPunct/>
              <w:autoSpaceDN w:val="0"/>
              <w:bidi w:val="0"/>
              <w:spacing w:line="360" w:lineRule="auto"/>
              <w:rPr>
                <w:rFonts w:hint="eastAsia" w:ascii="宋体" w:hAnsi="宋体" w:eastAsia="宋体" w:cs="宋体"/>
                <w:color w:val="auto"/>
                <w:sz w:val="22"/>
                <w:szCs w:val="22"/>
                <w:highlight w:val="none"/>
                <w:shd w:val="clear" w:color="auto" w:fill="FFFFFF"/>
              </w:rPr>
            </w:pPr>
          </w:p>
        </w:tc>
        <w:tc>
          <w:tcPr>
            <w:tcW w:w="1679" w:type="dxa"/>
            <w:noWrap w:val="0"/>
            <w:vAlign w:val="center"/>
          </w:tcPr>
          <w:p w14:paraId="7942B95C">
            <w:pPr>
              <w:pageBreakBefore w:val="0"/>
              <w:shd w:val="solid" w:color="FFFFFF" w:fill="auto"/>
              <w:kinsoku/>
              <w:overflowPunct/>
              <w:autoSpaceDN w:val="0"/>
              <w:bidi w:val="0"/>
              <w:spacing w:line="360" w:lineRule="auto"/>
              <w:rPr>
                <w:rFonts w:hint="eastAsia" w:ascii="宋体" w:hAnsi="宋体" w:eastAsia="宋体" w:cs="宋体"/>
                <w:color w:val="auto"/>
                <w:sz w:val="22"/>
                <w:szCs w:val="22"/>
                <w:highlight w:val="none"/>
                <w:shd w:val="clear" w:color="auto" w:fill="FFFFFF"/>
              </w:rPr>
            </w:pPr>
          </w:p>
        </w:tc>
      </w:tr>
      <w:tr w14:paraId="47B45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682" w:type="dxa"/>
            <w:noWrap w:val="0"/>
            <w:vAlign w:val="center"/>
          </w:tcPr>
          <w:p w14:paraId="6045E5DC">
            <w:pPr>
              <w:pageBreakBefore w:val="0"/>
              <w:shd w:val="solid" w:color="FFFFFF" w:fill="auto"/>
              <w:kinsoku/>
              <w:overflowPunct/>
              <w:autoSpaceDN w:val="0"/>
              <w:bidi w:val="0"/>
              <w:spacing w:line="360" w:lineRule="auto"/>
              <w:jc w:val="center"/>
              <w:rPr>
                <w:rFonts w:hint="eastAsia" w:ascii="宋体" w:hAnsi="宋体" w:eastAsia="宋体" w:cs="宋体"/>
                <w:bCs/>
                <w:color w:val="auto"/>
                <w:sz w:val="22"/>
                <w:highlight w:val="none"/>
                <w:lang w:val="en-US" w:eastAsia="zh-CN"/>
              </w:rPr>
            </w:pPr>
            <w:r>
              <w:rPr>
                <w:rFonts w:hint="eastAsia" w:ascii="宋体" w:hAnsi="宋体" w:cs="宋体"/>
                <w:bCs/>
                <w:color w:val="auto"/>
                <w:sz w:val="22"/>
                <w:highlight w:val="none"/>
                <w:lang w:val="en-US" w:eastAsia="zh-CN"/>
              </w:rPr>
              <w:t>2</w:t>
            </w:r>
          </w:p>
        </w:tc>
        <w:tc>
          <w:tcPr>
            <w:tcW w:w="1405" w:type="dxa"/>
            <w:noWrap w:val="0"/>
            <w:vAlign w:val="center"/>
          </w:tcPr>
          <w:p w14:paraId="0983AACF">
            <w:pPr>
              <w:pageBreakBefore w:val="0"/>
              <w:shd w:val="solid" w:color="FFFFFF" w:fill="auto"/>
              <w:kinsoku/>
              <w:overflowPunct/>
              <w:autoSpaceDN w:val="0"/>
              <w:bidi w:val="0"/>
              <w:spacing w:line="360" w:lineRule="auto"/>
              <w:jc w:val="center"/>
              <w:rPr>
                <w:rFonts w:hint="eastAsia" w:ascii="宋体" w:hAnsi="宋体" w:eastAsia="宋体" w:cs="宋体"/>
                <w:bCs/>
                <w:color w:val="auto"/>
                <w:sz w:val="22"/>
                <w:highlight w:val="none"/>
              </w:rPr>
            </w:pPr>
          </w:p>
        </w:tc>
        <w:tc>
          <w:tcPr>
            <w:tcW w:w="1600" w:type="dxa"/>
            <w:noWrap w:val="0"/>
            <w:vAlign w:val="center"/>
          </w:tcPr>
          <w:p w14:paraId="06D64018">
            <w:pPr>
              <w:pageBreakBefore w:val="0"/>
              <w:shd w:val="solid" w:color="FFFFFF" w:fill="auto"/>
              <w:kinsoku/>
              <w:overflowPunct/>
              <w:autoSpaceDN w:val="0"/>
              <w:bidi w:val="0"/>
              <w:spacing w:line="360" w:lineRule="auto"/>
              <w:rPr>
                <w:rFonts w:hint="eastAsia" w:ascii="宋体" w:hAnsi="宋体" w:eastAsia="宋体" w:cs="宋体"/>
                <w:color w:val="auto"/>
                <w:sz w:val="22"/>
                <w:szCs w:val="22"/>
                <w:highlight w:val="none"/>
                <w:shd w:val="clear" w:color="auto" w:fill="FFFFFF"/>
              </w:rPr>
            </w:pPr>
          </w:p>
        </w:tc>
        <w:tc>
          <w:tcPr>
            <w:tcW w:w="1674" w:type="dxa"/>
            <w:noWrap w:val="0"/>
            <w:vAlign w:val="center"/>
          </w:tcPr>
          <w:p w14:paraId="45D10DC5">
            <w:pPr>
              <w:pageBreakBefore w:val="0"/>
              <w:shd w:val="solid" w:color="FFFFFF" w:fill="auto"/>
              <w:kinsoku/>
              <w:overflowPunct/>
              <w:autoSpaceDN w:val="0"/>
              <w:bidi w:val="0"/>
              <w:spacing w:line="360" w:lineRule="auto"/>
              <w:rPr>
                <w:rFonts w:hint="eastAsia" w:ascii="宋体" w:hAnsi="宋体" w:eastAsia="宋体" w:cs="宋体"/>
                <w:color w:val="auto"/>
                <w:sz w:val="22"/>
                <w:szCs w:val="22"/>
                <w:highlight w:val="none"/>
                <w:shd w:val="clear" w:color="auto" w:fill="FFFFFF"/>
              </w:rPr>
            </w:pPr>
          </w:p>
        </w:tc>
        <w:tc>
          <w:tcPr>
            <w:tcW w:w="1126" w:type="dxa"/>
            <w:noWrap w:val="0"/>
            <w:vAlign w:val="center"/>
          </w:tcPr>
          <w:p w14:paraId="71B3DC41">
            <w:pPr>
              <w:pageBreakBefore w:val="0"/>
              <w:shd w:val="solid" w:color="FFFFFF" w:fill="auto"/>
              <w:kinsoku/>
              <w:overflowPunct/>
              <w:autoSpaceDN w:val="0"/>
              <w:bidi w:val="0"/>
              <w:spacing w:line="360" w:lineRule="auto"/>
              <w:rPr>
                <w:rFonts w:hint="eastAsia" w:ascii="宋体" w:hAnsi="宋体" w:eastAsia="宋体" w:cs="宋体"/>
                <w:color w:val="auto"/>
                <w:sz w:val="22"/>
                <w:szCs w:val="22"/>
                <w:highlight w:val="none"/>
                <w:shd w:val="clear" w:color="auto" w:fill="FFFFFF"/>
              </w:rPr>
            </w:pPr>
          </w:p>
        </w:tc>
        <w:tc>
          <w:tcPr>
            <w:tcW w:w="1259" w:type="dxa"/>
            <w:noWrap w:val="0"/>
            <w:vAlign w:val="center"/>
          </w:tcPr>
          <w:p w14:paraId="03D0F2CF">
            <w:pPr>
              <w:pageBreakBefore w:val="0"/>
              <w:shd w:val="solid" w:color="FFFFFF" w:fill="auto"/>
              <w:kinsoku/>
              <w:overflowPunct/>
              <w:autoSpaceDN w:val="0"/>
              <w:bidi w:val="0"/>
              <w:spacing w:line="360" w:lineRule="auto"/>
              <w:rPr>
                <w:rFonts w:hint="eastAsia" w:ascii="宋体" w:hAnsi="宋体" w:eastAsia="宋体" w:cs="宋体"/>
                <w:color w:val="auto"/>
                <w:sz w:val="22"/>
                <w:szCs w:val="22"/>
                <w:highlight w:val="none"/>
                <w:shd w:val="clear" w:color="auto" w:fill="FFFFFF"/>
              </w:rPr>
            </w:pPr>
          </w:p>
        </w:tc>
        <w:tc>
          <w:tcPr>
            <w:tcW w:w="1679" w:type="dxa"/>
            <w:noWrap w:val="0"/>
            <w:vAlign w:val="center"/>
          </w:tcPr>
          <w:p w14:paraId="45211CFF">
            <w:pPr>
              <w:pageBreakBefore w:val="0"/>
              <w:shd w:val="solid" w:color="FFFFFF" w:fill="auto"/>
              <w:kinsoku/>
              <w:overflowPunct/>
              <w:autoSpaceDN w:val="0"/>
              <w:bidi w:val="0"/>
              <w:spacing w:line="360" w:lineRule="auto"/>
              <w:rPr>
                <w:rFonts w:hint="eastAsia" w:ascii="宋体" w:hAnsi="宋体" w:eastAsia="宋体" w:cs="宋体"/>
                <w:color w:val="auto"/>
                <w:sz w:val="22"/>
                <w:szCs w:val="22"/>
                <w:highlight w:val="none"/>
                <w:shd w:val="clear" w:color="auto" w:fill="FFFFFF"/>
              </w:rPr>
            </w:pPr>
          </w:p>
        </w:tc>
      </w:tr>
      <w:tr w14:paraId="5AAC5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682" w:type="dxa"/>
            <w:noWrap w:val="0"/>
            <w:vAlign w:val="center"/>
          </w:tcPr>
          <w:p w14:paraId="3CED6521">
            <w:pPr>
              <w:pageBreakBefore w:val="0"/>
              <w:shd w:val="solid" w:color="FFFFFF" w:fill="auto"/>
              <w:kinsoku/>
              <w:overflowPunct/>
              <w:autoSpaceDN w:val="0"/>
              <w:bidi w:val="0"/>
              <w:spacing w:line="360" w:lineRule="auto"/>
              <w:jc w:val="center"/>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w:t>
            </w:r>
          </w:p>
        </w:tc>
        <w:tc>
          <w:tcPr>
            <w:tcW w:w="1405" w:type="dxa"/>
            <w:noWrap w:val="0"/>
            <w:vAlign w:val="center"/>
          </w:tcPr>
          <w:p w14:paraId="41E25148">
            <w:pPr>
              <w:pageBreakBefore w:val="0"/>
              <w:shd w:val="solid" w:color="FFFFFF" w:fill="auto"/>
              <w:kinsoku/>
              <w:overflowPunct/>
              <w:autoSpaceDN w:val="0"/>
              <w:bidi w:val="0"/>
              <w:spacing w:line="360" w:lineRule="auto"/>
              <w:rPr>
                <w:rFonts w:hint="eastAsia" w:ascii="宋体" w:hAnsi="宋体" w:eastAsia="宋体" w:cs="宋体"/>
                <w:color w:val="auto"/>
                <w:sz w:val="22"/>
                <w:szCs w:val="22"/>
                <w:highlight w:val="none"/>
                <w:shd w:val="clear" w:color="auto" w:fill="FFFFFF"/>
              </w:rPr>
            </w:pPr>
          </w:p>
        </w:tc>
        <w:tc>
          <w:tcPr>
            <w:tcW w:w="1600" w:type="dxa"/>
            <w:noWrap w:val="0"/>
            <w:vAlign w:val="center"/>
          </w:tcPr>
          <w:p w14:paraId="3677C916">
            <w:pPr>
              <w:pageBreakBefore w:val="0"/>
              <w:shd w:val="solid" w:color="FFFFFF" w:fill="auto"/>
              <w:kinsoku/>
              <w:overflowPunct/>
              <w:autoSpaceDN w:val="0"/>
              <w:bidi w:val="0"/>
              <w:spacing w:line="360" w:lineRule="auto"/>
              <w:rPr>
                <w:rFonts w:hint="eastAsia" w:ascii="宋体" w:hAnsi="宋体" w:eastAsia="宋体" w:cs="宋体"/>
                <w:color w:val="auto"/>
                <w:sz w:val="22"/>
                <w:szCs w:val="22"/>
                <w:highlight w:val="none"/>
                <w:shd w:val="clear" w:color="auto" w:fill="FFFFFF"/>
              </w:rPr>
            </w:pPr>
          </w:p>
        </w:tc>
        <w:tc>
          <w:tcPr>
            <w:tcW w:w="1674" w:type="dxa"/>
            <w:noWrap w:val="0"/>
            <w:vAlign w:val="center"/>
          </w:tcPr>
          <w:p w14:paraId="423E9807">
            <w:pPr>
              <w:pageBreakBefore w:val="0"/>
              <w:shd w:val="solid" w:color="FFFFFF" w:fill="auto"/>
              <w:kinsoku/>
              <w:overflowPunct/>
              <w:autoSpaceDN w:val="0"/>
              <w:bidi w:val="0"/>
              <w:spacing w:line="360" w:lineRule="auto"/>
              <w:rPr>
                <w:rFonts w:hint="eastAsia" w:ascii="宋体" w:hAnsi="宋体" w:eastAsia="宋体" w:cs="宋体"/>
                <w:color w:val="auto"/>
                <w:sz w:val="22"/>
                <w:szCs w:val="22"/>
                <w:highlight w:val="none"/>
                <w:shd w:val="clear" w:color="auto" w:fill="FFFFFF"/>
              </w:rPr>
            </w:pPr>
          </w:p>
        </w:tc>
        <w:tc>
          <w:tcPr>
            <w:tcW w:w="1126" w:type="dxa"/>
            <w:noWrap w:val="0"/>
            <w:vAlign w:val="center"/>
          </w:tcPr>
          <w:p w14:paraId="21BD1C16">
            <w:pPr>
              <w:pageBreakBefore w:val="0"/>
              <w:shd w:val="solid" w:color="FFFFFF" w:fill="auto"/>
              <w:kinsoku/>
              <w:overflowPunct/>
              <w:autoSpaceDN w:val="0"/>
              <w:bidi w:val="0"/>
              <w:spacing w:line="360" w:lineRule="auto"/>
              <w:rPr>
                <w:rFonts w:hint="eastAsia" w:ascii="宋体" w:hAnsi="宋体" w:eastAsia="宋体" w:cs="宋体"/>
                <w:color w:val="auto"/>
                <w:sz w:val="22"/>
                <w:szCs w:val="22"/>
                <w:highlight w:val="none"/>
                <w:shd w:val="clear" w:color="auto" w:fill="FFFFFF"/>
              </w:rPr>
            </w:pPr>
          </w:p>
        </w:tc>
        <w:tc>
          <w:tcPr>
            <w:tcW w:w="1259" w:type="dxa"/>
            <w:noWrap w:val="0"/>
            <w:vAlign w:val="center"/>
          </w:tcPr>
          <w:p w14:paraId="1C4517AF">
            <w:pPr>
              <w:pageBreakBefore w:val="0"/>
              <w:shd w:val="solid" w:color="FFFFFF" w:fill="auto"/>
              <w:kinsoku/>
              <w:overflowPunct/>
              <w:autoSpaceDN w:val="0"/>
              <w:bidi w:val="0"/>
              <w:spacing w:line="360" w:lineRule="auto"/>
              <w:rPr>
                <w:rFonts w:hint="eastAsia" w:ascii="宋体" w:hAnsi="宋体" w:eastAsia="宋体" w:cs="宋体"/>
                <w:color w:val="auto"/>
                <w:sz w:val="22"/>
                <w:szCs w:val="22"/>
                <w:highlight w:val="none"/>
                <w:shd w:val="clear" w:color="auto" w:fill="FFFFFF"/>
              </w:rPr>
            </w:pPr>
          </w:p>
        </w:tc>
        <w:tc>
          <w:tcPr>
            <w:tcW w:w="1679" w:type="dxa"/>
            <w:noWrap w:val="0"/>
            <w:vAlign w:val="center"/>
          </w:tcPr>
          <w:p w14:paraId="46ABD78A">
            <w:pPr>
              <w:pageBreakBefore w:val="0"/>
              <w:shd w:val="solid" w:color="FFFFFF" w:fill="auto"/>
              <w:kinsoku/>
              <w:overflowPunct/>
              <w:autoSpaceDN w:val="0"/>
              <w:bidi w:val="0"/>
              <w:spacing w:line="360" w:lineRule="auto"/>
              <w:rPr>
                <w:rFonts w:hint="eastAsia" w:ascii="宋体" w:hAnsi="宋体" w:eastAsia="宋体" w:cs="宋体"/>
                <w:color w:val="auto"/>
                <w:sz w:val="22"/>
                <w:szCs w:val="22"/>
                <w:highlight w:val="none"/>
                <w:shd w:val="clear" w:color="auto" w:fill="FFFFFF"/>
              </w:rPr>
            </w:pPr>
          </w:p>
        </w:tc>
      </w:tr>
    </w:tbl>
    <w:p w14:paraId="3AFBC85D">
      <w:pPr>
        <w:pageBreakBefore w:val="0"/>
        <w:shd w:val="solid" w:color="FFFFFF" w:fill="auto"/>
        <w:kinsoku/>
        <w:overflowPunct/>
        <w:autoSpaceDN w:val="0"/>
        <w:bidi w:val="0"/>
        <w:spacing w:line="360" w:lineRule="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注：（1）请投标人根据自身实际投标情况如实、完整、准确地填写，不得虚假响应。若由于投标人的疏忽大意或未能完整、如实填写，导致的一切后果由投标人自行承担。</w:t>
      </w:r>
    </w:p>
    <w:p w14:paraId="5F2E06CF">
      <w:pPr>
        <w:pageBreakBefore w:val="0"/>
        <w:shd w:val="solid" w:color="FFFFFF" w:fill="auto"/>
        <w:kinsoku/>
        <w:overflowPunct/>
        <w:autoSpaceDN w:val="0"/>
        <w:bidi w:val="0"/>
        <w:spacing w:line="360" w:lineRule="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（2）凡投标人产品内容与招标文件要求有区别的均按“正偏离”、“负偏离”填写，并在“投标文件技术</w:t>
      </w:r>
      <w:r>
        <w:rPr>
          <w:rFonts w:hint="eastAsia" w:ascii="宋体" w:hAnsi="宋体" w:eastAsia="宋体" w:cs="宋体"/>
          <w:color w:val="auto"/>
          <w:sz w:val="22"/>
          <w:szCs w:val="22"/>
          <w:highlight w:val="none"/>
          <w:shd w:val="clear" w:color="auto" w:fill="FFFFFF"/>
          <w:lang w:val="en-US" w:eastAsia="zh-CN"/>
        </w:rPr>
        <w:t>参数</w:t>
      </w:r>
      <w:r>
        <w:rPr>
          <w:rFonts w:hint="eastAsia" w:ascii="宋体" w:hAnsi="宋体" w:eastAsia="宋体" w:cs="宋体"/>
          <w:color w:val="auto"/>
          <w:sz w:val="22"/>
          <w:szCs w:val="22"/>
          <w:highlight w:val="none"/>
          <w:shd w:val="clear" w:color="auto" w:fill="FFFFFF"/>
        </w:rPr>
        <w:t>响应内容”一列中写明详细的技术参数。凡与“</w:t>
      </w:r>
      <w:r>
        <w:rPr>
          <w:rFonts w:hint="eastAsia" w:ascii="宋体" w:hAnsi="宋体" w:eastAsia="宋体" w:cs="宋体"/>
          <w:color w:val="auto"/>
          <w:sz w:val="22"/>
          <w:szCs w:val="22"/>
          <w:highlight w:val="none"/>
          <w:shd w:val="clear" w:color="auto" w:fill="FFFFFF"/>
          <w:lang w:val="en-US" w:eastAsia="zh-CN"/>
        </w:rPr>
        <w:t>采购需求及技术参数要求</w:t>
      </w:r>
      <w:r>
        <w:rPr>
          <w:rFonts w:hint="eastAsia" w:ascii="宋体" w:hAnsi="宋体" w:eastAsia="宋体" w:cs="宋体"/>
          <w:color w:val="auto"/>
          <w:sz w:val="22"/>
          <w:szCs w:val="22"/>
          <w:highlight w:val="none"/>
          <w:shd w:val="clear" w:color="auto" w:fill="FFFFFF"/>
        </w:rPr>
        <w:t xml:space="preserve">”中的技术参数要求有区别的，须在“说明”栏中逐条写明拟提供产品的技术参数，并说明偏离情况。 </w:t>
      </w:r>
    </w:p>
    <w:p w14:paraId="6F785805">
      <w:pPr>
        <w:pageBreakBefore w:val="0"/>
        <w:shd w:val="solid" w:color="FFFFFF" w:fill="auto"/>
        <w:kinsoku/>
        <w:overflowPunct/>
        <w:autoSpaceDN w:val="0"/>
        <w:bidi w:val="0"/>
        <w:spacing w:line="360" w:lineRule="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（3）对“偏离”一栏，填写“无偏离、正偏离、负偏离”。其中正偏离是指所投货物技术性能优于招标文件所规定的技术性能；负偏离是指所投货物技术性能低于招标文件所规定的技术性能。</w:t>
      </w:r>
    </w:p>
    <w:p w14:paraId="49EC396F">
      <w:pPr>
        <w:pageBreakBefore w:val="0"/>
        <w:shd w:val="solid" w:color="FFFFFF" w:fill="auto"/>
        <w:kinsoku/>
        <w:overflowPunct/>
        <w:autoSpaceDN w:val="0"/>
        <w:bidi w:val="0"/>
        <w:spacing w:line="360" w:lineRule="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lang w:val="en-US" w:eastAsia="zh-CN"/>
        </w:rPr>
        <w:t>4</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投标人应将支持该项技术</w:t>
      </w:r>
      <w:r>
        <w:rPr>
          <w:rFonts w:hint="eastAsia" w:ascii="宋体" w:hAnsi="宋体" w:eastAsia="宋体" w:cs="宋体"/>
          <w:color w:val="auto"/>
          <w:sz w:val="22"/>
          <w:szCs w:val="22"/>
          <w:highlight w:val="none"/>
          <w:shd w:val="clear" w:color="auto" w:fill="FFFFFF"/>
          <w:lang w:val="en-US" w:eastAsia="zh-CN"/>
        </w:rPr>
        <w:t>参数</w:t>
      </w:r>
      <w:r>
        <w:rPr>
          <w:rFonts w:hint="eastAsia" w:ascii="宋体" w:hAnsi="宋体" w:eastAsia="宋体" w:cs="宋体"/>
          <w:color w:val="auto"/>
          <w:sz w:val="22"/>
          <w:szCs w:val="22"/>
          <w:highlight w:val="none"/>
          <w:shd w:val="clear" w:color="auto" w:fill="FFFFFF"/>
        </w:rPr>
        <w:t>响应的技术支持资料在投标文件中的索引（页码及条目号等）标注在“技术支持资料索引”一栏中，如未标注导致的一切后果由投标人自行承担。</w:t>
      </w:r>
    </w:p>
    <w:p w14:paraId="37203F43">
      <w:pPr>
        <w:pageBreakBefore w:val="0"/>
        <w:shd w:val="solid" w:color="FFFFFF" w:fill="auto"/>
        <w:kinsoku/>
        <w:overflowPunct/>
        <w:autoSpaceDN w:val="0"/>
        <w:bidi w:val="0"/>
        <w:spacing w:line="360" w:lineRule="auto"/>
        <w:ind w:firstLine="490"/>
        <w:jc w:val="left"/>
        <w:rPr>
          <w:rFonts w:hint="eastAsia" w:ascii="宋体" w:hAnsi="宋体" w:eastAsia="宋体" w:cs="宋体"/>
          <w:color w:val="auto"/>
          <w:sz w:val="24"/>
          <w:highlight w:val="none"/>
          <w:shd w:val="clear" w:color="auto" w:fill="FFFFFF"/>
        </w:rPr>
      </w:pPr>
    </w:p>
    <w:p w14:paraId="240984D3">
      <w:pPr>
        <w:pageBreakBefore w:val="0"/>
        <w:shd w:val="solid" w:color="FFFFFF" w:fill="auto"/>
        <w:kinsoku/>
        <w:overflowPunct/>
        <w:autoSpaceDN w:val="0"/>
        <w:bidi w:val="0"/>
        <w:spacing w:line="360" w:lineRule="auto"/>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（投标人全称）      </w:t>
      </w:r>
      <w:r>
        <w:rPr>
          <w:rFonts w:hint="eastAsia" w:ascii="宋体" w:hAnsi="宋体" w:eastAsia="宋体" w:cs="宋体"/>
          <w:color w:val="auto"/>
          <w:sz w:val="24"/>
          <w:highlight w:val="none"/>
        </w:rPr>
        <w:t>（电子签章）</w:t>
      </w:r>
    </w:p>
    <w:p w14:paraId="48F48C71">
      <w:pPr>
        <w:pageBreakBefore w:val="0"/>
        <w:shd w:val="solid" w:color="FFFFFF" w:fill="auto"/>
        <w:kinsoku/>
        <w:overflowPunct/>
        <w:autoSpaceDN w:val="0"/>
        <w:bidi w:val="0"/>
        <w:spacing w:line="360" w:lineRule="auto"/>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法定代表人或其委托代理人：</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shd w:val="clear" w:color="auto" w:fill="FFFFFF"/>
        </w:rPr>
        <w:t>（电子签章或电子签名）</w:t>
      </w:r>
    </w:p>
    <w:p w14:paraId="74916D2C">
      <w:pPr>
        <w:pageBreakBefore w:val="0"/>
        <w:shd w:val="solid" w:color="FFFFFF" w:fill="auto"/>
        <w:kinsoku/>
        <w:overflowPunct/>
        <w:autoSpaceDN w:val="0"/>
        <w:bidi w:val="0"/>
        <w:spacing w:line="360" w:lineRule="auto"/>
        <w:jc w:val="left"/>
        <w:rPr>
          <w:rFonts w:hint="eastAsia" w:ascii="宋体" w:hAnsi="宋体" w:eastAsia="宋体" w:cs="宋体"/>
          <w:color w:val="auto"/>
          <w:kern w:val="1"/>
          <w:sz w:val="24"/>
          <w:szCs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rPr>
        <w:t>日</w:t>
      </w:r>
    </w:p>
    <w:p w14:paraId="5CD32472">
      <w:pPr>
        <w:pageBreakBefore w:val="0"/>
        <w:shd w:val="solid" w:color="FFFFFF" w:fill="auto"/>
        <w:kinsoku/>
        <w:overflowPunct/>
        <w:autoSpaceDN w:val="0"/>
        <w:bidi w:val="0"/>
        <w:spacing w:line="360" w:lineRule="auto"/>
        <w:jc w:val="center"/>
        <w:outlineLvl w:val="1"/>
        <w:rPr>
          <w:rFonts w:hint="eastAsia" w:ascii="宋体" w:hAnsi="宋体" w:eastAsia="宋体" w:cs="宋体"/>
          <w:b/>
          <w:color w:val="auto"/>
          <w:sz w:val="32"/>
          <w:szCs w:val="32"/>
          <w:highlight w:val="none"/>
          <w:shd w:val="clear" w:color="auto" w:fill="FFFFFF"/>
          <w:lang w:val="en-US" w:eastAsia="zh-CN"/>
        </w:rPr>
      </w:pPr>
    </w:p>
    <w:p w14:paraId="295C1879">
      <w:pPr>
        <w:pageBreakBefore w:val="0"/>
        <w:shd w:val="solid" w:color="FFFFFF" w:fill="auto"/>
        <w:kinsoku/>
        <w:overflowPunct/>
        <w:autoSpaceDN w:val="0"/>
        <w:bidi w:val="0"/>
        <w:spacing w:line="360" w:lineRule="auto"/>
        <w:jc w:val="center"/>
        <w:outlineLvl w:val="1"/>
        <w:rPr>
          <w:rFonts w:hint="eastAsia" w:ascii="宋体" w:hAnsi="宋体" w:eastAsia="宋体" w:cs="宋体"/>
          <w:b/>
          <w:color w:val="auto"/>
          <w:sz w:val="32"/>
          <w:szCs w:val="32"/>
          <w:highlight w:val="none"/>
          <w:shd w:val="clear" w:color="auto" w:fill="FFFFFF"/>
          <w:lang w:val="en-US" w:eastAsia="zh-CN"/>
        </w:rPr>
      </w:pPr>
    </w:p>
    <w:p w14:paraId="67BB0BF6">
      <w:pPr>
        <w:pageBreakBefore w:val="0"/>
        <w:kinsoku/>
        <w:overflowPunct/>
        <w:bidi w:val="0"/>
        <w:spacing w:line="360" w:lineRule="auto"/>
        <w:rPr>
          <w:rFonts w:hint="eastAsia" w:ascii="宋体" w:hAnsi="宋体" w:eastAsia="宋体" w:cs="宋体"/>
          <w:b/>
          <w:color w:val="auto"/>
          <w:sz w:val="32"/>
          <w:szCs w:val="32"/>
          <w:highlight w:val="none"/>
          <w:shd w:val="clear" w:color="auto" w:fill="FFFFFF"/>
          <w:lang w:val="en-US" w:eastAsia="zh-CN"/>
        </w:rPr>
      </w:pPr>
      <w:bookmarkStart w:id="211" w:name="_Toc18453"/>
      <w:r>
        <w:rPr>
          <w:rFonts w:hint="eastAsia" w:ascii="宋体" w:hAnsi="宋体" w:eastAsia="宋体" w:cs="宋体"/>
          <w:b/>
          <w:color w:val="auto"/>
          <w:sz w:val="32"/>
          <w:szCs w:val="32"/>
          <w:highlight w:val="none"/>
          <w:shd w:val="clear" w:color="auto" w:fill="FFFFFF"/>
          <w:lang w:val="en-US" w:eastAsia="zh-CN"/>
        </w:rPr>
        <w:br w:type="page"/>
      </w:r>
    </w:p>
    <w:p w14:paraId="2CD24548">
      <w:pPr>
        <w:pageBreakBefore w:val="0"/>
        <w:shd w:val="solid" w:color="FFFFFF" w:fill="auto"/>
        <w:kinsoku/>
        <w:overflowPunct/>
        <w:autoSpaceDN w:val="0"/>
        <w:bidi w:val="0"/>
        <w:spacing w:line="360" w:lineRule="auto"/>
        <w:jc w:val="center"/>
        <w:outlineLvl w:val="1"/>
        <w:rPr>
          <w:rFonts w:hint="eastAsia" w:ascii="宋体" w:hAnsi="宋体" w:eastAsia="宋体" w:cs="宋体"/>
          <w:b/>
          <w:color w:val="auto"/>
          <w:sz w:val="32"/>
          <w:szCs w:val="32"/>
          <w:highlight w:val="none"/>
          <w:shd w:val="clear" w:color="auto" w:fill="FFFFFF"/>
        </w:rPr>
      </w:pPr>
      <w:bookmarkStart w:id="212" w:name="_Toc21747"/>
      <w:bookmarkStart w:id="213" w:name="_Toc4885"/>
      <w:bookmarkStart w:id="214" w:name="_Toc15063"/>
      <w:r>
        <w:rPr>
          <w:rFonts w:hint="eastAsia" w:ascii="宋体" w:hAnsi="宋体" w:eastAsia="宋体" w:cs="宋体"/>
          <w:b/>
          <w:color w:val="auto"/>
          <w:sz w:val="32"/>
          <w:szCs w:val="32"/>
          <w:highlight w:val="none"/>
          <w:shd w:val="clear" w:color="auto" w:fill="FFFFFF"/>
          <w:lang w:val="en-US" w:eastAsia="zh-CN"/>
        </w:rPr>
        <w:t>八</w:t>
      </w:r>
      <w:r>
        <w:rPr>
          <w:rFonts w:hint="eastAsia" w:ascii="宋体" w:hAnsi="宋体" w:eastAsia="宋体" w:cs="宋体"/>
          <w:b/>
          <w:color w:val="auto"/>
          <w:sz w:val="32"/>
          <w:szCs w:val="32"/>
          <w:highlight w:val="none"/>
          <w:shd w:val="clear" w:color="auto" w:fill="FFFFFF"/>
        </w:rPr>
        <w:t>、技术</w:t>
      </w:r>
      <w:r>
        <w:rPr>
          <w:rFonts w:hint="eastAsia" w:ascii="宋体" w:hAnsi="宋体" w:eastAsia="宋体" w:cs="宋体"/>
          <w:b/>
          <w:color w:val="auto"/>
          <w:sz w:val="32"/>
          <w:szCs w:val="32"/>
          <w:highlight w:val="none"/>
          <w:shd w:val="clear" w:color="auto" w:fill="FFFFFF"/>
          <w:lang w:val="en-US" w:eastAsia="zh-CN"/>
        </w:rPr>
        <w:t>和商务</w:t>
      </w:r>
      <w:r>
        <w:rPr>
          <w:rFonts w:hint="eastAsia" w:ascii="宋体" w:hAnsi="宋体" w:eastAsia="宋体" w:cs="宋体"/>
          <w:b/>
          <w:color w:val="auto"/>
          <w:sz w:val="32"/>
          <w:szCs w:val="32"/>
          <w:highlight w:val="none"/>
          <w:shd w:val="clear" w:color="auto" w:fill="FFFFFF"/>
        </w:rPr>
        <w:t>部分</w:t>
      </w:r>
      <w:bookmarkEnd w:id="211"/>
      <w:bookmarkEnd w:id="212"/>
      <w:bookmarkEnd w:id="213"/>
      <w:bookmarkEnd w:id="214"/>
    </w:p>
    <w:p w14:paraId="11D3EB14">
      <w:pPr>
        <w:pageBreakBefore w:val="0"/>
        <w:kinsoku/>
        <w:overflowPunct/>
        <w:bidi w:val="0"/>
        <w:spacing w:line="360" w:lineRule="auto"/>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投标人根据招标文件及</w:t>
      </w:r>
      <w:r>
        <w:rPr>
          <w:rFonts w:hint="eastAsia" w:ascii="宋体" w:hAnsi="宋体" w:eastAsia="宋体" w:cs="宋体"/>
          <w:b w:val="0"/>
          <w:bCs w:val="0"/>
          <w:color w:val="auto"/>
          <w:sz w:val="24"/>
          <w:highlight w:val="none"/>
          <w:lang w:eastAsia="zh-CN"/>
        </w:rPr>
        <w:t>评标方法</w:t>
      </w:r>
      <w:r>
        <w:rPr>
          <w:rFonts w:hint="eastAsia" w:ascii="宋体" w:hAnsi="宋体" w:eastAsia="宋体" w:cs="宋体"/>
          <w:b w:val="0"/>
          <w:bCs w:val="0"/>
          <w:color w:val="auto"/>
          <w:sz w:val="24"/>
          <w:highlight w:val="none"/>
        </w:rPr>
        <w:t>进行编制，包含但不限于以下内容（无固定格式，由投标人自行编制）：</w:t>
      </w:r>
    </w:p>
    <w:p w14:paraId="5C405A7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rPr>
        <w:t>技术要求响应程度；</w:t>
      </w:r>
    </w:p>
    <w:p w14:paraId="691E121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z w:val="24"/>
          <w:highlight w:val="none"/>
          <w:lang w:val="en-US" w:eastAsia="zh-CN"/>
        </w:rPr>
        <w:t>投标人</w:t>
      </w:r>
      <w:r>
        <w:rPr>
          <w:rFonts w:hint="eastAsia" w:ascii="宋体" w:hAnsi="宋体" w:eastAsia="宋体" w:cs="宋体"/>
          <w:b w:val="0"/>
          <w:bCs w:val="0"/>
          <w:color w:val="auto"/>
          <w:sz w:val="24"/>
          <w:highlight w:val="none"/>
        </w:rPr>
        <w:t>根据自身情况据实填写《</w:t>
      </w:r>
      <w:r>
        <w:rPr>
          <w:rFonts w:hint="eastAsia" w:ascii="宋体" w:hAnsi="宋体" w:eastAsia="宋体" w:cs="宋体"/>
          <w:b w:val="0"/>
          <w:bCs w:val="0"/>
          <w:color w:val="auto"/>
          <w:sz w:val="24"/>
          <w:highlight w:val="none"/>
          <w:lang w:val="en-US" w:eastAsia="zh-CN"/>
        </w:rPr>
        <w:t>技术参数响应偏离表</w:t>
      </w:r>
      <w:r>
        <w:rPr>
          <w:rFonts w:hint="eastAsia" w:ascii="宋体" w:hAnsi="宋体" w:eastAsia="宋体" w:cs="宋体"/>
          <w:b w:val="0"/>
          <w:bCs w:val="0"/>
          <w:color w:val="auto"/>
          <w:sz w:val="24"/>
          <w:highlight w:val="none"/>
        </w:rPr>
        <w:t>》，根据自身情况提供技术支持资料等）</w:t>
      </w:r>
    </w:p>
    <w:p w14:paraId="126E50E3">
      <w:pPr>
        <w:pStyle w:val="22"/>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04" w:firstLineChars="200"/>
        <w:jc w:val="both"/>
        <w:textAlignment w:val="auto"/>
        <w:outlineLvl w:val="9"/>
        <w:rPr>
          <w:rFonts w:hint="eastAsia" w:ascii="宋体" w:hAnsi="宋体" w:eastAsia="宋体" w:cs="宋体"/>
          <w:b w:val="0"/>
          <w:bCs w:val="0"/>
          <w:color w:val="auto"/>
          <w:highlight w:val="none"/>
        </w:rPr>
      </w:pPr>
    </w:p>
    <w:p w14:paraId="361C2CA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2、项目供货方案；</w:t>
      </w:r>
    </w:p>
    <w:p w14:paraId="7EB1D9C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（投标人自拟格式）</w:t>
      </w:r>
    </w:p>
    <w:p w14:paraId="4B6FF5E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s="宋体"/>
          <w:b w:val="0"/>
          <w:bCs w:val="0"/>
          <w:lang w:eastAsia="zh-CN"/>
        </w:rPr>
      </w:pPr>
    </w:p>
    <w:p w14:paraId="3AEE14C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s="宋体"/>
          <w:b w:val="0"/>
          <w:bCs w:val="0"/>
          <w:lang w:eastAsia="zh-CN"/>
        </w:rPr>
      </w:pPr>
    </w:p>
    <w:p w14:paraId="42958B1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w:t>
      </w:r>
      <w:r>
        <w:rPr>
          <w:rFonts w:hint="eastAsia" w:ascii="宋体" w:hAnsi="宋体" w:eastAsia="宋体" w:cs="宋体"/>
          <w:b/>
          <w:bCs/>
          <w:color w:val="auto"/>
          <w:sz w:val="24"/>
          <w:highlight w:val="none"/>
          <w:lang w:val="en-US" w:eastAsia="zh-CN"/>
        </w:rPr>
        <w:t>、售后服务方案；</w:t>
      </w:r>
    </w:p>
    <w:p w14:paraId="0D5ADA8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（投标人自拟格式）</w:t>
      </w:r>
    </w:p>
    <w:p w14:paraId="07CAFABA">
      <w:pPr>
        <w:pageBreakBefore w:val="0"/>
        <w:kinsoku/>
        <w:overflowPunct/>
        <w:bidi w:val="0"/>
        <w:spacing w:line="360" w:lineRule="auto"/>
        <w:rPr>
          <w:rFonts w:hint="eastAsia" w:ascii="宋体" w:hAnsi="宋体" w:eastAsia="宋体" w:cs="宋体"/>
          <w:b w:val="0"/>
          <w:bCs w:val="0"/>
        </w:rPr>
      </w:pPr>
    </w:p>
    <w:p w14:paraId="528CB108">
      <w:pPr>
        <w:pageBreakBefore w:val="0"/>
        <w:kinsoku/>
        <w:overflowPunct/>
        <w:bidi w:val="0"/>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4</w:t>
      </w:r>
      <w:r>
        <w:rPr>
          <w:rFonts w:hint="eastAsia" w:ascii="宋体" w:hAnsi="宋体" w:eastAsia="宋体" w:cs="宋体"/>
          <w:b/>
          <w:bCs/>
          <w:color w:val="auto"/>
          <w:sz w:val="24"/>
          <w:highlight w:val="none"/>
          <w:lang w:val="en-US" w:eastAsia="zh-CN"/>
        </w:rPr>
        <w:t>、类似业绩；</w:t>
      </w:r>
    </w:p>
    <w:p w14:paraId="58CB10A9">
      <w:pPr>
        <w:pageBreakBefore w:val="0"/>
        <w:kinsoku/>
        <w:overflowPunct/>
        <w:bidi w:val="0"/>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（格式参考表一：《类似业绩一览表》，表格外的内容投标人自拟格式）</w:t>
      </w:r>
    </w:p>
    <w:p w14:paraId="46E18776">
      <w:pPr>
        <w:pStyle w:val="22"/>
        <w:pageBreakBefore w:val="0"/>
        <w:kinsoku/>
        <w:overflowPunct/>
        <w:bidi w:val="0"/>
        <w:spacing w:line="360" w:lineRule="auto"/>
        <w:ind w:left="0" w:leftChars="0" w:firstLine="0" w:firstLineChars="0"/>
        <w:rPr>
          <w:rFonts w:hint="eastAsia" w:ascii="宋体" w:hAnsi="宋体" w:eastAsia="宋体" w:cs="宋体"/>
          <w:b w:val="0"/>
          <w:bCs w:val="0"/>
          <w:color w:val="auto"/>
          <w:highlight w:val="none"/>
        </w:rPr>
      </w:pPr>
    </w:p>
    <w:p w14:paraId="5B152EF3">
      <w:pPr>
        <w:pageBreakBefore w:val="0"/>
        <w:numPr>
          <w:ilvl w:val="0"/>
          <w:numId w:val="0"/>
        </w:numPr>
        <w:kinsoku/>
        <w:overflowPunct/>
        <w:bidi w:val="0"/>
        <w:spacing w:line="360" w:lineRule="auto"/>
        <w:ind w:firstLine="480" w:firstLineChars="200"/>
        <w:rPr>
          <w:rFonts w:hint="eastAsia" w:ascii="宋体" w:hAnsi="宋体" w:cs="宋体"/>
          <w:b w:val="0"/>
          <w:bCs w:val="0"/>
          <w:color w:val="auto"/>
          <w:sz w:val="24"/>
          <w:highlight w:val="none"/>
          <w:lang w:val="en-US" w:eastAsia="zh-CN"/>
        </w:rPr>
      </w:pPr>
    </w:p>
    <w:p w14:paraId="4E7B9330">
      <w:pPr>
        <w:pageBreakBefore w:val="0"/>
        <w:numPr>
          <w:ilvl w:val="0"/>
          <w:numId w:val="0"/>
        </w:numPr>
        <w:kinsoku/>
        <w:overflowPunct/>
        <w:bidi w:val="0"/>
        <w:spacing w:line="360" w:lineRule="auto"/>
        <w:ind w:firstLine="480" w:firstLineChars="200"/>
        <w:rPr>
          <w:rFonts w:hint="eastAsia" w:ascii="宋体" w:hAnsi="宋体" w:cs="宋体"/>
          <w:b w:val="0"/>
          <w:bCs w:val="0"/>
          <w:color w:val="auto"/>
          <w:sz w:val="24"/>
          <w:highlight w:val="none"/>
          <w:lang w:val="en-US" w:eastAsia="zh-CN"/>
        </w:rPr>
      </w:pPr>
    </w:p>
    <w:p w14:paraId="1442D2D2">
      <w:pPr>
        <w:pageBreakBefore w:val="0"/>
        <w:numPr>
          <w:ilvl w:val="0"/>
          <w:numId w:val="0"/>
        </w:numPr>
        <w:kinsoku/>
        <w:overflowPunct/>
        <w:bidi w:val="0"/>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5、</w:t>
      </w:r>
      <w:r>
        <w:rPr>
          <w:rFonts w:hint="eastAsia" w:ascii="宋体" w:hAnsi="宋体" w:eastAsia="宋体" w:cs="宋体"/>
          <w:b/>
          <w:bCs/>
          <w:color w:val="auto"/>
          <w:sz w:val="24"/>
          <w:highlight w:val="none"/>
          <w:lang w:val="en-US" w:eastAsia="zh-CN"/>
        </w:rPr>
        <w:t>投标人认为有必要提供的其他资料。</w:t>
      </w:r>
    </w:p>
    <w:p w14:paraId="5EC801F5">
      <w:pPr>
        <w:pageBreakBefore w:val="0"/>
        <w:tabs>
          <w:tab w:val="right" w:pos="8306"/>
        </w:tabs>
        <w:kinsoku/>
        <w:overflowPunct/>
        <w:bidi w:val="0"/>
        <w:spacing w:line="360" w:lineRule="auto"/>
        <w:rPr>
          <w:rFonts w:hint="eastAsia" w:ascii="宋体" w:hAnsi="宋体" w:eastAsia="宋体" w:cs="宋体"/>
          <w:b/>
          <w:color w:val="auto"/>
          <w:sz w:val="32"/>
          <w:szCs w:val="32"/>
          <w:highlight w:val="none"/>
          <w:shd w:val="clear" w:color="auto" w:fill="FFFFFF"/>
          <w:lang w:val="en-US" w:eastAsia="zh-CN"/>
        </w:rPr>
      </w:pPr>
      <w:r>
        <w:rPr>
          <w:rFonts w:hint="eastAsia" w:ascii="宋体" w:hAnsi="宋体" w:eastAsia="宋体" w:cs="宋体"/>
          <w:lang w:val="en-US" w:eastAsia="zh-CN"/>
        </w:rPr>
        <w:br w:type="page"/>
      </w:r>
      <w:r>
        <w:rPr>
          <w:rFonts w:hint="eastAsia" w:ascii="宋体" w:hAnsi="宋体" w:eastAsia="宋体" w:cs="宋体"/>
          <w:b/>
          <w:color w:val="auto"/>
          <w:sz w:val="32"/>
          <w:szCs w:val="32"/>
          <w:highlight w:val="none"/>
          <w:shd w:val="clear" w:color="auto" w:fill="FFFFFF"/>
          <w:lang w:val="en-US" w:eastAsia="zh-CN"/>
        </w:rPr>
        <w:t>表一：</w:t>
      </w:r>
    </w:p>
    <w:p w14:paraId="5AEC754A">
      <w:pPr>
        <w:pageBreakBefore w:val="0"/>
        <w:tabs>
          <w:tab w:val="right" w:pos="8306"/>
        </w:tabs>
        <w:kinsoku/>
        <w:overflowPunct/>
        <w:bidi w:val="0"/>
        <w:spacing w:line="360" w:lineRule="auto"/>
        <w:jc w:val="center"/>
        <w:rPr>
          <w:rFonts w:hint="eastAsia" w:ascii="宋体" w:hAnsi="宋体" w:eastAsia="宋体" w:cs="宋体"/>
          <w:b/>
          <w:color w:val="auto"/>
          <w:sz w:val="32"/>
          <w:szCs w:val="32"/>
          <w:highlight w:val="none"/>
          <w:shd w:val="clear" w:color="auto" w:fill="FFFFFF"/>
        </w:rPr>
      </w:pPr>
      <w:r>
        <w:rPr>
          <w:rFonts w:hint="eastAsia" w:ascii="宋体" w:hAnsi="宋体" w:eastAsia="宋体" w:cs="宋体"/>
          <w:b/>
          <w:color w:val="auto"/>
          <w:sz w:val="32"/>
          <w:szCs w:val="32"/>
          <w:highlight w:val="none"/>
          <w:shd w:val="clear" w:color="auto" w:fill="FFFFFF"/>
          <w:lang w:val="en-US" w:eastAsia="zh-CN"/>
        </w:rPr>
        <w:t>类似</w:t>
      </w:r>
      <w:r>
        <w:rPr>
          <w:rFonts w:hint="eastAsia" w:ascii="宋体" w:hAnsi="宋体" w:eastAsia="宋体" w:cs="宋体"/>
          <w:b/>
          <w:color w:val="auto"/>
          <w:sz w:val="32"/>
          <w:szCs w:val="32"/>
          <w:highlight w:val="none"/>
          <w:shd w:val="clear" w:color="auto" w:fill="FFFFFF"/>
        </w:rPr>
        <w:t>业绩一览表</w:t>
      </w:r>
    </w:p>
    <w:p w14:paraId="0195B9D5">
      <w:pPr>
        <w:pageBreakBefore w:val="0"/>
        <w:shd w:val="solid" w:color="FFFFFF" w:fill="auto"/>
        <w:kinsoku/>
        <w:overflowPunct/>
        <w:autoSpaceDN w:val="0"/>
        <w:bidi w:val="0"/>
        <w:spacing w:line="360" w:lineRule="auto"/>
        <w:rPr>
          <w:rFonts w:hint="eastAsia" w:ascii="宋体" w:hAnsi="宋体" w:eastAsia="宋体" w:cs="宋体"/>
          <w:color w:val="auto"/>
          <w:sz w:val="24"/>
          <w:highlight w:val="none"/>
          <w:u w:val="single"/>
          <w:shd w:val="clear" w:color="auto" w:fill="FFFFFF"/>
        </w:rPr>
      </w:pPr>
      <w:r>
        <w:rPr>
          <w:rFonts w:hint="eastAsia" w:ascii="宋体" w:hAnsi="宋体" w:eastAsia="宋体" w:cs="宋体"/>
          <w:color w:val="auto"/>
          <w:sz w:val="24"/>
          <w:highlight w:val="none"/>
          <w:shd w:val="clear" w:color="auto" w:fill="FFFFFF"/>
        </w:rPr>
        <w:t>项目名称：</w:t>
      </w:r>
      <w:r>
        <w:rPr>
          <w:rFonts w:hint="eastAsia" w:ascii="宋体" w:hAnsi="宋体" w:cs="宋体"/>
          <w:color w:val="auto"/>
          <w:sz w:val="24"/>
          <w:szCs w:val="20"/>
          <w:highlight w:val="none"/>
          <w:u w:val="single"/>
          <w:shd w:val="clear" w:color="auto" w:fill="FFFFFF"/>
          <w:lang w:eastAsia="zh-CN"/>
        </w:rPr>
        <w:t>珠江流域（玉溪段）生态环境监测能力提升项目（</w:t>
      </w:r>
      <w:r>
        <w:rPr>
          <w:rFonts w:hint="eastAsia" w:ascii="宋体" w:hAnsi="宋体" w:cs="宋体"/>
          <w:color w:val="auto"/>
          <w:sz w:val="24"/>
          <w:szCs w:val="20"/>
          <w:highlight w:val="none"/>
          <w:u w:val="single"/>
          <w:shd w:val="clear" w:color="auto" w:fill="FFFFFF"/>
          <w:lang w:val="en-US" w:eastAsia="zh-CN"/>
        </w:rPr>
        <w:t xml:space="preserve">   包</w:t>
      </w:r>
      <w:r>
        <w:rPr>
          <w:rFonts w:hint="eastAsia" w:ascii="宋体" w:hAnsi="宋体" w:cs="宋体"/>
          <w:color w:val="auto"/>
          <w:sz w:val="24"/>
          <w:szCs w:val="20"/>
          <w:highlight w:val="none"/>
          <w:u w:val="single"/>
          <w:shd w:val="clear" w:color="auto" w:fill="FFFFFF"/>
          <w:lang w:eastAsia="zh-CN"/>
        </w:rPr>
        <w:t>）</w:t>
      </w:r>
    </w:p>
    <w:p w14:paraId="39575773">
      <w:pPr>
        <w:pageBreakBefore w:val="0"/>
        <w:shd w:val="solid" w:color="FFFFFF" w:fill="auto"/>
        <w:kinsoku/>
        <w:overflowPunct/>
        <w:autoSpaceDN w:val="0"/>
        <w:bidi w:val="0"/>
        <w:spacing w:line="360" w:lineRule="auto"/>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项目编号：</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shd w:val="clear" w:color="auto" w:fill="FFFFFF"/>
        </w:rPr>
        <w:t>　</w:t>
      </w:r>
    </w:p>
    <w:p w14:paraId="316EB742">
      <w:pPr>
        <w:pStyle w:val="5"/>
        <w:pageBreakBefore w:val="0"/>
        <w:kinsoku/>
        <w:overflowPunct/>
        <w:bidi w:val="0"/>
        <w:spacing w:line="360" w:lineRule="auto"/>
        <w:rPr>
          <w:rFonts w:hint="eastAsia" w:ascii="宋体" w:hAnsi="宋体" w:eastAsia="宋体" w:cs="宋体"/>
        </w:rPr>
      </w:pPr>
    </w:p>
    <w:tbl>
      <w:tblPr>
        <w:tblStyle w:val="23"/>
        <w:tblW w:w="0" w:type="auto"/>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720"/>
        <w:gridCol w:w="1440"/>
        <w:gridCol w:w="1320"/>
        <w:gridCol w:w="1161"/>
        <w:gridCol w:w="1260"/>
        <w:gridCol w:w="1651"/>
        <w:gridCol w:w="1050"/>
      </w:tblGrid>
      <w:tr w14:paraId="0A1912F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600" w:hRule="atLeast"/>
          <w:jc w:val="center"/>
        </w:trPr>
        <w:tc>
          <w:tcPr>
            <w:tcW w:w="720"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14:paraId="356E7EE6">
            <w:pPr>
              <w:pageBreakBefore w:val="0"/>
              <w:shd w:val="solid" w:color="FFFFFF" w:fill="auto"/>
              <w:kinsoku/>
              <w:overflowPunct/>
              <w:autoSpaceDN w:val="0"/>
              <w:bidi w:val="0"/>
              <w:spacing w:line="360" w:lineRule="auto"/>
              <w:ind w:firstLine="105"/>
              <w:jc w:val="center"/>
              <w:rPr>
                <w:rFonts w:hint="eastAsia" w:ascii="宋体" w:hAnsi="宋体" w:eastAsia="宋体" w:cs="宋体"/>
                <w:b/>
                <w:color w:val="auto"/>
                <w:sz w:val="24"/>
                <w:highlight w:val="none"/>
                <w:shd w:val="clear" w:color="auto" w:fill="FFFFFF"/>
              </w:rPr>
            </w:pPr>
            <w:r>
              <w:rPr>
                <w:rFonts w:hint="eastAsia" w:ascii="宋体" w:hAnsi="宋体" w:eastAsia="宋体" w:cs="宋体"/>
                <w:b/>
                <w:color w:val="auto"/>
                <w:sz w:val="24"/>
                <w:highlight w:val="none"/>
                <w:shd w:val="clear" w:color="auto" w:fill="FFFFFF"/>
              </w:rPr>
              <w:t>序号</w:t>
            </w:r>
          </w:p>
        </w:tc>
        <w:tc>
          <w:tcPr>
            <w:tcW w:w="1440"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14:paraId="15847B1F">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r>
              <w:rPr>
                <w:rFonts w:hint="eastAsia" w:ascii="宋体" w:hAnsi="宋体" w:eastAsia="宋体" w:cs="宋体"/>
                <w:b/>
                <w:color w:val="auto"/>
                <w:sz w:val="24"/>
                <w:highlight w:val="none"/>
                <w:shd w:val="clear" w:color="auto" w:fill="FFFFFF"/>
                <w:lang w:val="en-US" w:eastAsia="zh-CN"/>
              </w:rPr>
              <w:t>业主（采购方）</w:t>
            </w:r>
            <w:r>
              <w:rPr>
                <w:rFonts w:hint="eastAsia" w:ascii="宋体" w:hAnsi="宋体" w:eastAsia="宋体" w:cs="宋体"/>
                <w:b/>
                <w:color w:val="auto"/>
                <w:sz w:val="24"/>
                <w:highlight w:val="none"/>
                <w:shd w:val="clear" w:color="auto" w:fill="FFFFFF"/>
              </w:rPr>
              <w:t>名称</w:t>
            </w:r>
          </w:p>
        </w:tc>
        <w:tc>
          <w:tcPr>
            <w:tcW w:w="1320"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14:paraId="6D3B49B7">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r>
              <w:rPr>
                <w:rFonts w:hint="eastAsia" w:ascii="宋体" w:hAnsi="宋体" w:eastAsia="宋体" w:cs="宋体"/>
                <w:b/>
                <w:color w:val="auto"/>
                <w:sz w:val="24"/>
                <w:highlight w:val="none"/>
                <w:shd w:val="clear" w:color="auto" w:fill="FFFFFF"/>
              </w:rPr>
              <w:t>项目名称</w:t>
            </w:r>
          </w:p>
        </w:tc>
        <w:tc>
          <w:tcPr>
            <w:tcW w:w="1161"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14:paraId="670F0AB9">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r>
              <w:rPr>
                <w:rFonts w:hint="eastAsia" w:ascii="宋体" w:hAnsi="宋体" w:eastAsia="宋体" w:cs="宋体"/>
                <w:b/>
                <w:bCs/>
                <w:color w:val="auto"/>
                <w:sz w:val="24"/>
                <w:highlight w:val="none"/>
                <w:shd w:val="clear" w:color="auto" w:fill="FFFFFF"/>
              </w:rPr>
              <w:t>合同金额</w:t>
            </w:r>
          </w:p>
        </w:tc>
        <w:tc>
          <w:tcPr>
            <w:tcW w:w="1260"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14:paraId="7997337C">
            <w:pPr>
              <w:pageBreakBefore w:val="0"/>
              <w:shd w:val="solid" w:color="FFFFFF" w:fill="auto"/>
              <w:kinsoku/>
              <w:overflowPunct/>
              <w:autoSpaceDN w:val="0"/>
              <w:bidi w:val="0"/>
              <w:spacing w:line="360" w:lineRule="auto"/>
              <w:ind w:firstLine="105"/>
              <w:jc w:val="center"/>
              <w:rPr>
                <w:rFonts w:hint="eastAsia" w:ascii="宋体" w:hAnsi="宋体" w:eastAsia="宋体" w:cs="宋体"/>
                <w:b/>
                <w:color w:val="auto"/>
                <w:sz w:val="24"/>
                <w:highlight w:val="none"/>
                <w:shd w:val="clear" w:color="auto" w:fill="FFFFFF"/>
              </w:rPr>
            </w:pPr>
            <w:r>
              <w:rPr>
                <w:rFonts w:hint="eastAsia" w:ascii="宋体" w:hAnsi="宋体" w:eastAsia="宋体" w:cs="宋体"/>
                <w:b/>
                <w:color w:val="auto"/>
                <w:sz w:val="24"/>
                <w:highlight w:val="none"/>
                <w:shd w:val="clear" w:color="auto" w:fill="FFFFFF"/>
              </w:rPr>
              <w:t>签订时间</w:t>
            </w:r>
          </w:p>
        </w:tc>
        <w:tc>
          <w:tcPr>
            <w:tcW w:w="1651"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14:paraId="70B9C2C8">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r>
              <w:rPr>
                <w:rFonts w:hint="eastAsia" w:ascii="宋体" w:hAnsi="宋体" w:eastAsia="宋体" w:cs="宋体"/>
                <w:b/>
                <w:color w:val="auto"/>
                <w:sz w:val="24"/>
                <w:highlight w:val="none"/>
                <w:shd w:val="clear" w:color="auto" w:fill="FFFFFF"/>
              </w:rPr>
              <w:t>联系人及联系方式</w:t>
            </w:r>
          </w:p>
        </w:tc>
        <w:tc>
          <w:tcPr>
            <w:tcW w:w="1050"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14:paraId="040132FB">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r>
              <w:rPr>
                <w:rFonts w:hint="eastAsia" w:ascii="宋体" w:hAnsi="宋体" w:eastAsia="宋体" w:cs="宋体"/>
                <w:b/>
                <w:color w:val="auto"/>
                <w:sz w:val="24"/>
                <w:highlight w:val="none"/>
                <w:shd w:val="clear" w:color="auto" w:fill="FFFFFF"/>
              </w:rPr>
              <w:t>备注</w:t>
            </w:r>
          </w:p>
        </w:tc>
      </w:tr>
      <w:tr w14:paraId="440D434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566" w:hRule="atLeast"/>
          <w:jc w:val="center"/>
        </w:trPr>
        <w:tc>
          <w:tcPr>
            <w:tcW w:w="720"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14:paraId="0601746B">
            <w:pPr>
              <w:pStyle w:val="14"/>
              <w:pageBreakBefore w:val="0"/>
              <w:kinsoku/>
              <w:overflowPunct/>
              <w:bidi w:val="0"/>
              <w:spacing w:line="360" w:lineRule="auto"/>
              <w:jc w:val="center"/>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szCs w:val="24"/>
                <w:highlight w:val="none"/>
              </w:rPr>
              <w:t>1</w:t>
            </w:r>
          </w:p>
        </w:tc>
        <w:tc>
          <w:tcPr>
            <w:tcW w:w="1440"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14:paraId="66C777F1">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p>
        </w:tc>
        <w:tc>
          <w:tcPr>
            <w:tcW w:w="1320"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14:paraId="66C3125B">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p>
        </w:tc>
        <w:tc>
          <w:tcPr>
            <w:tcW w:w="1161"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14:paraId="184F4C0D">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p>
        </w:tc>
        <w:tc>
          <w:tcPr>
            <w:tcW w:w="1260"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14:paraId="2BBF5B16">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p>
        </w:tc>
        <w:tc>
          <w:tcPr>
            <w:tcW w:w="1651"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14:paraId="4518CA50">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p>
        </w:tc>
        <w:tc>
          <w:tcPr>
            <w:tcW w:w="1050"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14:paraId="40117A51">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p>
        </w:tc>
      </w:tr>
      <w:tr w14:paraId="5BC7FBA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566" w:hRule="atLeast"/>
          <w:jc w:val="center"/>
        </w:trPr>
        <w:tc>
          <w:tcPr>
            <w:tcW w:w="720"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14:paraId="49804052">
            <w:pPr>
              <w:pStyle w:val="30"/>
              <w:pageBreakBefore w:val="0"/>
              <w:kinsoku/>
              <w:overflowPunct/>
              <w:bidi w:val="0"/>
              <w:spacing w:line="360" w:lineRule="auto"/>
              <w:jc w:val="center"/>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szCs w:val="24"/>
                <w:highlight w:val="none"/>
              </w:rPr>
              <w:t>2</w:t>
            </w:r>
          </w:p>
        </w:tc>
        <w:tc>
          <w:tcPr>
            <w:tcW w:w="1440"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14:paraId="74ECDAE8">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p>
        </w:tc>
        <w:tc>
          <w:tcPr>
            <w:tcW w:w="1320"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14:paraId="651A9B27">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p>
        </w:tc>
        <w:tc>
          <w:tcPr>
            <w:tcW w:w="1161"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14:paraId="285D81E7">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p>
        </w:tc>
        <w:tc>
          <w:tcPr>
            <w:tcW w:w="1260"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14:paraId="587FAC13">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p>
        </w:tc>
        <w:tc>
          <w:tcPr>
            <w:tcW w:w="1651"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14:paraId="07007DC9">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p>
        </w:tc>
        <w:tc>
          <w:tcPr>
            <w:tcW w:w="1050"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14:paraId="0FF8BFE8">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p>
        </w:tc>
      </w:tr>
      <w:tr w14:paraId="45216B9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566" w:hRule="atLeast"/>
          <w:jc w:val="center"/>
        </w:trPr>
        <w:tc>
          <w:tcPr>
            <w:tcW w:w="720"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14:paraId="00B4E3EC">
            <w:pPr>
              <w:pStyle w:val="30"/>
              <w:pageBreakBefore w:val="0"/>
              <w:kinsoku/>
              <w:overflowPunct/>
              <w:bidi w:val="0"/>
              <w:spacing w:line="360" w:lineRule="auto"/>
              <w:jc w:val="center"/>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szCs w:val="24"/>
                <w:highlight w:val="none"/>
              </w:rPr>
              <w:t>3</w:t>
            </w:r>
          </w:p>
        </w:tc>
        <w:tc>
          <w:tcPr>
            <w:tcW w:w="1440"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14:paraId="71FC503F">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p>
        </w:tc>
        <w:tc>
          <w:tcPr>
            <w:tcW w:w="1320"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14:paraId="7E1BDE19">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p>
        </w:tc>
        <w:tc>
          <w:tcPr>
            <w:tcW w:w="1161"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14:paraId="5536FE31">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p>
        </w:tc>
        <w:tc>
          <w:tcPr>
            <w:tcW w:w="1260"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14:paraId="3C896717">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p>
        </w:tc>
        <w:tc>
          <w:tcPr>
            <w:tcW w:w="1651"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14:paraId="685E2208">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p>
        </w:tc>
        <w:tc>
          <w:tcPr>
            <w:tcW w:w="1050"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14:paraId="3466F69A">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p>
        </w:tc>
      </w:tr>
      <w:tr w14:paraId="48A396B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566" w:hRule="atLeast"/>
          <w:jc w:val="center"/>
        </w:trPr>
        <w:tc>
          <w:tcPr>
            <w:tcW w:w="720"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14:paraId="1CB16DAF">
            <w:pPr>
              <w:pStyle w:val="14"/>
              <w:pageBreakBefore w:val="0"/>
              <w:kinsoku/>
              <w:overflowPunct/>
              <w:bidi w:val="0"/>
              <w:spacing w:line="360" w:lineRule="auto"/>
              <w:jc w:val="center"/>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szCs w:val="24"/>
                <w:highlight w:val="none"/>
              </w:rPr>
              <w:t>4</w:t>
            </w:r>
          </w:p>
        </w:tc>
        <w:tc>
          <w:tcPr>
            <w:tcW w:w="1440"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14:paraId="7D919233">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p>
        </w:tc>
        <w:tc>
          <w:tcPr>
            <w:tcW w:w="1320"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14:paraId="20FB7C86">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p>
        </w:tc>
        <w:tc>
          <w:tcPr>
            <w:tcW w:w="1161"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14:paraId="3AAEB0EE">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p>
        </w:tc>
        <w:tc>
          <w:tcPr>
            <w:tcW w:w="1260"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14:paraId="7B5A18D3">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p>
        </w:tc>
        <w:tc>
          <w:tcPr>
            <w:tcW w:w="1651"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14:paraId="15E5D722">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p>
        </w:tc>
        <w:tc>
          <w:tcPr>
            <w:tcW w:w="1050"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14:paraId="4612089B">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p>
        </w:tc>
      </w:tr>
      <w:tr w14:paraId="1257397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566" w:hRule="atLeast"/>
          <w:jc w:val="center"/>
        </w:trPr>
        <w:tc>
          <w:tcPr>
            <w:tcW w:w="720"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14:paraId="2FEF6509">
            <w:pPr>
              <w:pStyle w:val="14"/>
              <w:pageBreakBefore w:val="0"/>
              <w:kinsoku/>
              <w:overflowPunct/>
              <w:bidi w:val="0"/>
              <w:spacing w:line="360" w:lineRule="auto"/>
              <w:jc w:val="center"/>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szCs w:val="24"/>
                <w:highlight w:val="none"/>
              </w:rPr>
              <w:t>5</w:t>
            </w:r>
          </w:p>
        </w:tc>
        <w:tc>
          <w:tcPr>
            <w:tcW w:w="1440"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14:paraId="4B7FAE58">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p>
        </w:tc>
        <w:tc>
          <w:tcPr>
            <w:tcW w:w="1320"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14:paraId="7EB08DB6">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p>
        </w:tc>
        <w:tc>
          <w:tcPr>
            <w:tcW w:w="1161"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14:paraId="1657D4FA">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p>
        </w:tc>
        <w:tc>
          <w:tcPr>
            <w:tcW w:w="1260"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14:paraId="505CF031">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p>
        </w:tc>
        <w:tc>
          <w:tcPr>
            <w:tcW w:w="1651"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14:paraId="661DA7F6">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p>
        </w:tc>
        <w:tc>
          <w:tcPr>
            <w:tcW w:w="1050"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14:paraId="2B5BE264">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p>
        </w:tc>
      </w:tr>
      <w:tr w14:paraId="59DA9C7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566" w:hRule="atLeast"/>
          <w:jc w:val="center"/>
        </w:trPr>
        <w:tc>
          <w:tcPr>
            <w:tcW w:w="720"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14:paraId="1EA266CA">
            <w:pPr>
              <w:pStyle w:val="14"/>
              <w:pageBreakBefore w:val="0"/>
              <w:kinsoku/>
              <w:overflowPunct/>
              <w:bidi w:val="0"/>
              <w:spacing w:line="360" w:lineRule="auto"/>
              <w:jc w:val="center"/>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szCs w:val="24"/>
                <w:highlight w:val="none"/>
                <w:lang w:val="en-US" w:eastAsia="zh-CN"/>
              </w:rPr>
              <w:t>...</w:t>
            </w:r>
          </w:p>
        </w:tc>
        <w:tc>
          <w:tcPr>
            <w:tcW w:w="1440"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14:paraId="348D51AC">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p>
        </w:tc>
        <w:tc>
          <w:tcPr>
            <w:tcW w:w="1320"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14:paraId="3C55F1BE">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p>
        </w:tc>
        <w:tc>
          <w:tcPr>
            <w:tcW w:w="1161"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14:paraId="05F54078">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p>
        </w:tc>
        <w:tc>
          <w:tcPr>
            <w:tcW w:w="1260"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14:paraId="3A475369">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p>
        </w:tc>
        <w:tc>
          <w:tcPr>
            <w:tcW w:w="1651"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14:paraId="56E38F72">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p>
        </w:tc>
        <w:tc>
          <w:tcPr>
            <w:tcW w:w="1050"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14:paraId="6D370E3F">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p>
        </w:tc>
      </w:tr>
    </w:tbl>
    <w:p w14:paraId="5777691C">
      <w:pPr>
        <w:pageBreakBefore w:val="0"/>
        <w:shd w:val="solid" w:color="FFFFFF" w:fill="auto"/>
        <w:kinsoku/>
        <w:overflowPunct/>
        <w:autoSpaceDN w:val="0"/>
        <w:bidi w:val="0"/>
        <w:spacing w:line="360" w:lineRule="auto"/>
        <w:ind w:firstLine="480"/>
        <w:rPr>
          <w:rFonts w:hint="eastAsia" w:ascii="宋体" w:hAnsi="宋体" w:eastAsia="宋体" w:cs="宋体"/>
          <w:b/>
          <w:bCs/>
          <w:color w:val="auto"/>
          <w:sz w:val="24"/>
          <w:highlight w:val="none"/>
          <w:shd w:val="clear" w:color="auto" w:fill="FFFFFF"/>
        </w:rPr>
      </w:pPr>
      <w:r>
        <w:rPr>
          <w:rFonts w:hint="eastAsia" w:ascii="宋体" w:hAnsi="宋体" w:eastAsia="宋体" w:cs="宋体"/>
          <w:b/>
          <w:bCs/>
          <w:color w:val="auto"/>
          <w:sz w:val="24"/>
          <w:highlight w:val="none"/>
          <w:shd w:val="clear" w:color="auto" w:fill="FFFFFF"/>
        </w:rPr>
        <w:t>附</w:t>
      </w:r>
      <w:r>
        <w:rPr>
          <w:rFonts w:hint="eastAsia" w:ascii="宋体" w:hAnsi="宋体" w:eastAsia="宋体" w:cs="宋体"/>
          <w:b/>
          <w:bCs/>
          <w:color w:val="auto"/>
          <w:sz w:val="24"/>
          <w:highlight w:val="none"/>
          <w:shd w:val="clear" w:color="auto" w:fill="FFFFFF"/>
          <w:lang w:eastAsia="zh-CN"/>
        </w:rPr>
        <w:t>：合同</w:t>
      </w:r>
      <w:r>
        <w:rPr>
          <w:rFonts w:hint="eastAsia" w:ascii="宋体" w:hAnsi="宋体" w:eastAsia="宋体" w:cs="宋体"/>
          <w:b/>
          <w:bCs/>
          <w:color w:val="auto"/>
          <w:sz w:val="24"/>
          <w:highlight w:val="none"/>
          <w:shd w:val="clear" w:color="auto" w:fill="FFFFFF"/>
          <w:lang w:val="en-US" w:eastAsia="zh-CN"/>
        </w:rPr>
        <w:t>扫描件或复印件</w:t>
      </w:r>
      <w:r>
        <w:rPr>
          <w:rFonts w:hint="eastAsia" w:ascii="宋体" w:hAnsi="宋体" w:eastAsia="宋体" w:cs="宋体"/>
          <w:b/>
          <w:bCs/>
          <w:color w:val="auto"/>
          <w:sz w:val="24"/>
          <w:highlight w:val="none"/>
          <w:shd w:val="clear" w:color="auto" w:fill="FFFFFF"/>
          <w:lang w:eastAsia="zh-CN"/>
        </w:rPr>
        <w:t>。</w:t>
      </w:r>
      <w:r>
        <w:rPr>
          <w:rFonts w:hint="eastAsia" w:ascii="宋体" w:hAnsi="宋体" w:eastAsia="宋体" w:cs="宋体"/>
          <w:b/>
          <w:bCs/>
          <w:color w:val="auto"/>
          <w:sz w:val="24"/>
          <w:highlight w:val="none"/>
          <w:shd w:val="clear" w:color="auto" w:fill="FFFFFF"/>
          <w:lang w:val="zh-CN" w:eastAsia="zh-CN"/>
        </w:rPr>
        <w:t>所提供的合同需包含合同首页、</w:t>
      </w:r>
      <w:r>
        <w:rPr>
          <w:rFonts w:hint="eastAsia" w:ascii="宋体" w:hAnsi="宋体" w:eastAsia="宋体" w:cs="宋体"/>
          <w:b/>
          <w:bCs/>
          <w:color w:val="auto"/>
          <w:sz w:val="24"/>
          <w:highlight w:val="none"/>
          <w:shd w:val="clear" w:color="auto" w:fill="FFFFFF"/>
          <w:lang w:val="en-US" w:eastAsia="zh-CN"/>
        </w:rPr>
        <w:t>合同标的内容页</w:t>
      </w:r>
      <w:r>
        <w:rPr>
          <w:rFonts w:hint="eastAsia" w:ascii="宋体" w:hAnsi="宋体" w:eastAsia="宋体" w:cs="宋体"/>
          <w:b/>
          <w:bCs/>
          <w:color w:val="auto"/>
          <w:sz w:val="24"/>
          <w:highlight w:val="none"/>
          <w:shd w:val="clear" w:color="auto" w:fill="FFFFFF"/>
          <w:lang w:val="zh-CN" w:eastAsia="zh-CN"/>
        </w:rPr>
        <w:t>、</w:t>
      </w:r>
      <w:r>
        <w:rPr>
          <w:rFonts w:hint="eastAsia" w:ascii="宋体" w:hAnsi="宋体" w:eastAsia="宋体" w:cs="宋体"/>
          <w:b/>
          <w:bCs/>
          <w:color w:val="auto"/>
          <w:sz w:val="24"/>
          <w:highlight w:val="none"/>
          <w:shd w:val="clear" w:color="auto" w:fill="FFFFFF"/>
          <w:lang w:val="en-US" w:eastAsia="zh-CN"/>
        </w:rPr>
        <w:t>签字盖章页。其中合同首页与合同标的内容页同属一页的，只需提供一页即可</w:t>
      </w:r>
      <w:r>
        <w:rPr>
          <w:rFonts w:hint="eastAsia" w:ascii="宋体" w:hAnsi="宋体" w:eastAsia="宋体" w:cs="宋体"/>
          <w:b/>
          <w:bCs/>
          <w:color w:val="auto"/>
          <w:sz w:val="24"/>
          <w:highlight w:val="none"/>
          <w:shd w:val="clear" w:color="auto" w:fill="FFFFFF"/>
        </w:rPr>
        <w:t>。</w:t>
      </w:r>
    </w:p>
    <w:p w14:paraId="3FE2EA33">
      <w:pPr>
        <w:pStyle w:val="5"/>
        <w:pageBreakBefore w:val="0"/>
        <w:kinsoku/>
        <w:overflowPunct/>
        <w:bidi w:val="0"/>
        <w:spacing w:line="360" w:lineRule="auto"/>
        <w:rPr>
          <w:rFonts w:hint="eastAsia" w:ascii="宋体" w:hAnsi="宋体" w:eastAsia="宋体" w:cs="宋体"/>
          <w:color w:val="auto"/>
          <w:highlight w:val="none"/>
        </w:rPr>
      </w:pPr>
    </w:p>
    <w:p w14:paraId="2D4D82EB">
      <w:pPr>
        <w:pStyle w:val="5"/>
        <w:pageBreakBefore w:val="0"/>
        <w:kinsoku/>
        <w:overflowPunct/>
        <w:bidi w:val="0"/>
        <w:spacing w:line="360" w:lineRule="auto"/>
        <w:rPr>
          <w:rFonts w:hint="eastAsia" w:ascii="宋体" w:hAnsi="宋体" w:eastAsia="宋体" w:cs="宋体"/>
          <w:b/>
          <w:color w:val="auto"/>
          <w:sz w:val="24"/>
          <w:highlight w:val="none"/>
        </w:rPr>
      </w:pPr>
    </w:p>
    <w:p w14:paraId="13C79A7C">
      <w:pPr>
        <w:pageBreakBefore w:val="0"/>
        <w:kinsoku/>
        <w:overflowPunct/>
        <w:bidi w:val="0"/>
        <w:spacing w:line="360" w:lineRule="auto"/>
        <w:rPr>
          <w:rFonts w:hint="eastAsia" w:ascii="宋体" w:hAnsi="宋体" w:eastAsia="宋体" w:cs="宋体"/>
          <w:b/>
          <w:color w:val="auto"/>
          <w:sz w:val="24"/>
          <w:highlight w:val="none"/>
        </w:rPr>
      </w:pPr>
    </w:p>
    <w:p w14:paraId="1C5A6B2F">
      <w:pPr>
        <w:pageBreakBefore w:val="0"/>
        <w:shd w:val="solid" w:color="FFFFFF" w:fill="auto"/>
        <w:kinsoku/>
        <w:overflowPunct/>
        <w:autoSpaceDN w:val="0"/>
        <w:bidi w:val="0"/>
        <w:spacing w:line="360" w:lineRule="auto"/>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shd w:val="clear" w:color="auto" w:fill="FFFFFF"/>
        </w:rPr>
        <w:t>投标人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（投标人全称）      </w:t>
      </w:r>
      <w:r>
        <w:rPr>
          <w:rFonts w:hint="eastAsia" w:ascii="宋体" w:hAnsi="宋体" w:eastAsia="宋体" w:cs="宋体"/>
          <w:color w:val="auto"/>
          <w:sz w:val="24"/>
          <w:highlight w:val="none"/>
        </w:rPr>
        <w:t>（电子签章）</w:t>
      </w:r>
    </w:p>
    <w:p w14:paraId="210BF8DE">
      <w:pPr>
        <w:pageBreakBefore w:val="0"/>
        <w:shd w:val="solid" w:color="FFFFFF" w:fill="auto"/>
        <w:kinsoku/>
        <w:overflowPunct/>
        <w:autoSpaceDN w:val="0"/>
        <w:bidi w:val="0"/>
        <w:spacing w:line="360" w:lineRule="auto"/>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 xml:space="preserve"> 法定代表人或其委托代理人：</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shd w:val="clear" w:color="auto" w:fill="FFFFFF"/>
        </w:rPr>
        <w:t>（电子签章或电子签名）</w:t>
      </w:r>
    </w:p>
    <w:p w14:paraId="5DEF39D5">
      <w:pPr>
        <w:pStyle w:val="5"/>
        <w:pageBreakBefore w:val="0"/>
        <w:numPr>
          <w:ilvl w:val="0"/>
          <w:numId w:val="0"/>
        </w:numPr>
        <w:kinsoku/>
        <w:overflowPunct/>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rPr>
        <w:t>日</w:t>
      </w:r>
    </w:p>
    <w:p w14:paraId="07E7B45B">
      <w:pPr>
        <w:pageBreakBefore w:val="0"/>
        <w:kinsoku/>
        <w:overflowPunct/>
        <w:bidi w:val="0"/>
        <w:spacing w:line="360" w:lineRule="auto"/>
        <w:rPr>
          <w:rFonts w:hint="eastAsia" w:ascii="宋体" w:hAnsi="宋体" w:eastAsia="宋体" w:cs="宋体"/>
          <w:color w:val="auto"/>
          <w:sz w:val="24"/>
          <w:highlight w:val="none"/>
        </w:rPr>
      </w:pPr>
    </w:p>
    <w:p w14:paraId="51AF9D27">
      <w:pPr>
        <w:pageBreakBefore w:val="0"/>
        <w:kinsoku/>
        <w:overflowPunct/>
        <w:bidi w:val="0"/>
        <w:spacing w:line="360" w:lineRule="auto"/>
        <w:jc w:val="center"/>
        <w:rPr>
          <w:rFonts w:hint="eastAsia" w:ascii="宋体" w:hAnsi="宋体" w:eastAsia="宋体" w:cs="宋体"/>
          <w:color w:val="auto"/>
        </w:rPr>
      </w:pPr>
      <w:r>
        <w:rPr>
          <w:rFonts w:hint="eastAsia" w:ascii="宋体" w:hAnsi="宋体" w:eastAsia="宋体" w:cs="宋体"/>
          <w:lang w:val="en-US" w:eastAsia="zh-CN"/>
        </w:rPr>
        <w:br w:type="page"/>
      </w:r>
      <w:bookmarkStart w:id="215" w:name="_Toc1682"/>
      <w:bookmarkStart w:id="216" w:name="_Toc28900"/>
      <w:bookmarkStart w:id="217" w:name="_Toc32285"/>
      <w:bookmarkStart w:id="218" w:name="_Toc12712"/>
      <w:r>
        <w:rPr>
          <w:rFonts w:hint="eastAsia" w:ascii="宋体" w:hAnsi="宋体" w:eastAsia="宋体" w:cs="宋体"/>
          <w:b/>
          <w:color w:val="auto"/>
          <w:sz w:val="32"/>
          <w:szCs w:val="32"/>
          <w:highlight w:val="none"/>
          <w:shd w:val="clear" w:color="auto" w:fill="FFFFFF"/>
          <w:lang w:val="en-US" w:eastAsia="zh-CN"/>
        </w:rPr>
        <w:t>九</w:t>
      </w:r>
      <w:r>
        <w:rPr>
          <w:rFonts w:hint="eastAsia" w:ascii="宋体" w:hAnsi="宋体" w:eastAsia="宋体" w:cs="宋体"/>
          <w:b/>
          <w:color w:val="auto"/>
          <w:sz w:val="32"/>
          <w:szCs w:val="32"/>
          <w:highlight w:val="none"/>
          <w:shd w:val="clear" w:color="auto" w:fill="FFFFFF"/>
        </w:rPr>
        <w:t>、其它资料</w:t>
      </w:r>
      <w:bookmarkEnd w:id="215"/>
      <w:bookmarkEnd w:id="216"/>
      <w:bookmarkEnd w:id="217"/>
      <w:bookmarkEnd w:id="218"/>
    </w:p>
    <w:p w14:paraId="06B9C2D6">
      <w:pPr>
        <w:pageBreakBefore w:val="0"/>
        <w:kinsoku/>
        <w:overflowPunct/>
        <w:bidi w:val="0"/>
        <w:spacing w:line="360" w:lineRule="auto"/>
        <w:rPr>
          <w:rFonts w:hint="eastAsia" w:ascii="宋体" w:hAnsi="宋体" w:eastAsia="宋体" w:cs="宋体"/>
          <w:b/>
          <w:bCs/>
          <w:sz w:val="24"/>
          <w:szCs w:val="24"/>
          <w:lang w:val="en-US" w:eastAsia="zh-CN"/>
        </w:rPr>
      </w:pPr>
    </w:p>
    <w:p w14:paraId="679549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（一）</w:t>
      </w:r>
      <w:r>
        <w:rPr>
          <w:rFonts w:hint="eastAsia" w:ascii="宋体" w:hAnsi="宋体" w:eastAsia="宋体" w:cs="宋体"/>
          <w:b/>
          <w:bCs/>
          <w:color w:val="auto"/>
          <w:sz w:val="24"/>
          <w:szCs w:val="24"/>
          <w:highlight w:val="none"/>
        </w:rPr>
        <w:t>履约承诺书</w:t>
      </w:r>
    </w:p>
    <w:p w14:paraId="66BA2F5B">
      <w:pPr>
        <w:pageBreakBefore w:val="0"/>
        <w:shd w:val="solid" w:color="FFFFFF" w:fill="auto"/>
        <w:kinsoku/>
        <w:overflowPunct/>
        <w:autoSpaceDN w:val="0"/>
        <w:bidi w:val="0"/>
        <w:spacing w:line="360" w:lineRule="auto"/>
        <w:jc w:val="left"/>
        <w:rPr>
          <w:rFonts w:hint="eastAsia" w:ascii="宋体" w:hAnsi="宋体" w:eastAsia="宋体" w:cs="宋体"/>
          <w:b/>
          <w:bCs/>
          <w:color w:val="auto"/>
          <w:sz w:val="24"/>
          <w:highlight w:val="none"/>
          <w:shd w:val="clear" w:color="auto" w:fill="FFFFFF"/>
        </w:rPr>
      </w:pPr>
      <w:r>
        <w:rPr>
          <w:rFonts w:hint="eastAsia" w:ascii="宋体" w:hAnsi="宋体" w:eastAsia="宋体" w:cs="宋体"/>
          <w:b/>
          <w:bCs/>
          <w:color w:val="auto"/>
          <w:sz w:val="24"/>
          <w:highlight w:val="none"/>
          <w:shd w:val="clear" w:color="auto" w:fill="FFFFFF"/>
        </w:rPr>
        <w:t>我单位承诺：</w:t>
      </w:r>
    </w:p>
    <w:p w14:paraId="0FB7A927">
      <w:pPr>
        <w:pageBreakBefore w:val="0"/>
        <w:shd w:val="solid" w:color="FFFFFF" w:fill="auto"/>
        <w:kinsoku/>
        <w:overflowPunct/>
        <w:autoSpaceDN w:val="0"/>
        <w:bidi w:val="0"/>
        <w:spacing w:line="360" w:lineRule="auto"/>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1）我单位已详细阅读并完全理解、同意《招标文件》的全部内容，包括修改补充文件以及全部参考资料和有关附件；除我单位在《招标文件》规定期间内书面提出的疑问外，我单位放弃对这方面不明及误解的权利，并严格按采购单位确定的技术及商务要求等履行。</w:t>
      </w:r>
    </w:p>
    <w:p w14:paraId="13E0F0A6">
      <w:pPr>
        <w:pageBreakBefore w:val="0"/>
        <w:shd w:val="solid" w:color="FFFFFF" w:fill="auto"/>
        <w:kinsoku/>
        <w:overflowPunct/>
        <w:autoSpaceDN w:val="0"/>
        <w:bidi w:val="0"/>
        <w:spacing w:line="360" w:lineRule="auto"/>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2）我单位在开标前已详细了解招标内容，并按采购单位条件及要求编制投标报价；我单位的投标报价包括《招标文件》所述报价组成的所有内容、并包括《招标文件》未列明而完成本项目所必须的所有设备、材料、工具、费用等达到交付使用及验收条件的所有一切风险、责任和义务的费用。我单位确认本次投标报价未低于成本价，保证按《招标文件》要求及投标承诺的质量诚信履约。</w:t>
      </w:r>
    </w:p>
    <w:p w14:paraId="377CBB9D">
      <w:pPr>
        <w:pageBreakBefore w:val="0"/>
        <w:shd w:val="solid" w:color="FFFFFF" w:fill="auto"/>
        <w:kinsoku/>
        <w:overflowPunct/>
        <w:autoSpaceDN w:val="0"/>
        <w:bidi w:val="0"/>
        <w:spacing w:line="360" w:lineRule="auto"/>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3）我单位保证在《招标文件》要求及承诺的时间内按期、保质完成中标项目。如我单位中标，将在中标结果公告后，积极、主动地与采购单位联系合同签订事宜，合同签订中如有任何问题，我单位保证及时书面反映情况，否则视为我单位责任、按违约处理。</w:t>
      </w:r>
    </w:p>
    <w:p w14:paraId="47364F6D">
      <w:pPr>
        <w:pageBreakBefore w:val="0"/>
        <w:shd w:val="solid" w:color="FFFFFF" w:fill="auto"/>
        <w:kinsoku/>
        <w:overflowPunct/>
        <w:autoSpaceDN w:val="0"/>
        <w:bidi w:val="0"/>
        <w:spacing w:line="360" w:lineRule="auto"/>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4）除法律规定的不可抗力因素外，我单位中标后以任何理由（包括违背上述承诺的事项）提出不能满足《招标文件》技术、服务等要求或不能实现投标承诺的或提出变更的，我单位将无条件接受违约处理、并放弃我单位中标资格。我单位知悉违约责任及其处理，并无条件接受：不退还投标保证金，情节严重的，由财政部门列入不良行为记录名单，在一至三年内禁止参加本单位政府采购活动，并予以通报，处以罚金，给采购单位及他人造成损失的，承担相应的赔偿责任。</w:t>
      </w:r>
    </w:p>
    <w:p w14:paraId="0991D6D4">
      <w:pPr>
        <w:pageBreakBefore w:val="0"/>
        <w:kinsoku/>
        <w:overflowPunct/>
        <w:bidi w:val="0"/>
        <w:spacing w:line="360" w:lineRule="auto"/>
        <w:ind w:firstLine="512" w:firstLineChars="200"/>
        <w:rPr>
          <w:rFonts w:hint="eastAsia" w:ascii="宋体" w:hAnsi="宋体" w:eastAsia="宋体" w:cs="宋体"/>
          <w:color w:val="auto"/>
          <w:spacing w:val="8"/>
          <w:sz w:val="24"/>
          <w:highlight w:val="none"/>
        </w:rPr>
      </w:pPr>
    </w:p>
    <w:p w14:paraId="69DB7D2C">
      <w:pPr>
        <w:pageBreakBefore w:val="0"/>
        <w:shd w:val="solid" w:color="FFFFFF" w:fill="auto"/>
        <w:kinsoku/>
        <w:overflowPunct/>
        <w:autoSpaceDN w:val="0"/>
        <w:bidi w:val="0"/>
        <w:spacing w:line="360" w:lineRule="auto"/>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投标人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（投标人全称）      </w:t>
      </w:r>
      <w:r>
        <w:rPr>
          <w:rFonts w:hint="eastAsia" w:ascii="宋体" w:hAnsi="宋体" w:eastAsia="宋体" w:cs="宋体"/>
          <w:color w:val="auto"/>
          <w:sz w:val="24"/>
          <w:highlight w:val="none"/>
        </w:rPr>
        <w:t>（电子签章）</w:t>
      </w:r>
    </w:p>
    <w:p w14:paraId="1184E764">
      <w:pPr>
        <w:pageBreakBefore w:val="0"/>
        <w:shd w:val="solid" w:color="FFFFFF" w:fill="auto"/>
        <w:kinsoku/>
        <w:overflowPunct/>
        <w:autoSpaceDN w:val="0"/>
        <w:bidi w:val="0"/>
        <w:spacing w:line="360" w:lineRule="auto"/>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 xml:space="preserve"> 法定代表人或其委托代理人：</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shd w:val="clear" w:color="auto" w:fill="FFFFFF"/>
        </w:rPr>
        <w:t>（电子签章或电子签名）</w:t>
      </w:r>
    </w:p>
    <w:p w14:paraId="1F3A6A4A">
      <w:pPr>
        <w:pStyle w:val="5"/>
        <w:pageBreakBefore w:val="0"/>
        <w:numPr>
          <w:ilvl w:val="0"/>
          <w:numId w:val="0"/>
        </w:numPr>
        <w:kinsoku/>
        <w:overflowPunct/>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rPr>
        <w:t>日</w:t>
      </w:r>
    </w:p>
    <w:p w14:paraId="01F74388">
      <w:pPr>
        <w:pageBreakBefore w:val="0"/>
        <w:kinsoku/>
        <w:overflowPunct/>
        <w:bidi w:val="0"/>
        <w:spacing w:line="360" w:lineRule="auto"/>
        <w:rPr>
          <w:rFonts w:hint="eastAsia" w:ascii="宋体" w:hAnsi="宋体" w:cs="宋体"/>
          <w:b/>
          <w:bCs/>
          <w:sz w:val="24"/>
          <w:szCs w:val="24"/>
          <w:lang w:val="en-US" w:eastAsia="zh-CN"/>
        </w:rPr>
      </w:pPr>
      <w:r>
        <w:rPr>
          <w:rFonts w:hint="eastAsia" w:ascii="宋体" w:hAnsi="宋体" w:cs="宋体"/>
          <w:b/>
          <w:bCs/>
          <w:sz w:val="24"/>
          <w:szCs w:val="24"/>
          <w:lang w:val="en-US" w:eastAsia="zh-CN"/>
        </w:rPr>
        <w:br w:type="page"/>
      </w:r>
    </w:p>
    <w:p w14:paraId="0FB57E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w:t>
      </w:r>
      <w:r>
        <w:rPr>
          <w:rFonts w:hint="eastAsia" w:ascii="宋体" w:hAnsi="宋体" w:cs="宋体"/>
          <w:b/>
          <w:bCs/>
          <w:sz w:val="24"/>
          <w:szCs w:val="24"/>
          <w:lang w:val="en-US" w:eastAsia="zh-CN"/>
        </w:rPr>
        <w:t>二</w:t>
      </w:r>
      <w:r>
        <w:rPr>
          <w:rFonts w:hint="eastAsia" w:ascii="宋体" w:hAnsi="宋体" w:eastAsia="宋体" w:cs="宋体"/>
          <w:b/>
          <w:bCs/>
          <w:sz w:val="24"/>
          <w:szCs w:val="24"/>
          <w:lang w:val="en-US" w:eastAsia="zh-CN"/>
        </w:rPr>
        <w:t>）所投产品必须是符合国家有关规范和环保要求的正规合格产品，质量达到国家有关标准，保证供货产品知识产权合法且厂家经销权合法。投标人保证向招标人供应交易标的物，不存在侵犯第三方知识产权权利情形，包括不得侵犯他人商标权、专利权及著作权（版权）以及我国法律规定的其他知识产权权利及关邻权利，第三方包括权利人及授权许可人。</w:t>
      </w:r>
    </w:p>
    <w:p w14:paraId="45D1DFFD">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    </w:t>
      </w:r>
    </w:p>
    <w:p w14:paraId="7D841737">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en-US" w:eastAsia="zh-CN"/>
        </w:rPr>
      </w:pPr>
    </w:p>
    <w:p w14:paraId="29EDAD70">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（投标人自拟格式进行承诺）</w:t>
      </w:r>
    </w:p>
    <w:p w14:paraId="4A9B0045">
      <w:pPr>
        <w:pageBreakBefore w:val="0"/>
        <w:kinsoku/>
        <w:overflowPunct/>
        <w:bidi w:val="0"/>
        <w:spacing w:line="360" w:lineRule="auto"/>
        <w:rPr>
          <w:rFonts w:hint="eastAsia" w:ascii="宋体" w:hAnsi="宋体" w:eastAsia="宋体" w:cs="宋体"/>
          <w:b/>
          <w:bCs/>
          <w:sz w:val="24"/>
          <w:szCs w:val="24"/>
          <w:lang w:val="en-US" w:eastAsia="zh-CN"/>
        </w:rPr>
      </w:pPr>
    </w:p>
    <w:p w14:paraId="132B1927">
      <w:pPr>
        <w:pageBreakBefore w:val="0"/>
        <w:kinsoku/>
        <w:overflowPunct/>
        <w:bidi w:val="0"/>
        <w:spacing w:line="360" w:lineRule="auto"/>
        <w:rPr>
          <w:rFonts w:hint="eastAsia" w:ascii="宋体" w:hAnsi="宋体" w:eastAsia="宋体" w:cs="宋体"/>
          <w:b/>
          <w:bCs/>
          <w:sz w:val="24"/>
          <w:szCs w:val="24"/>
          <w:lang w:val="en-US" w:eastAsia="zh-CN"/>
        </w:rPr>
      </w:pPr>
    </w:p>
    <w:p w14:paraId="60D786EF">
      <w:pPr>
        <w:pageBreakBefore w:val="0"/>
        <w:kinsoku/>
        <w:overflowPunct/>
        <w:bidi w:val="0"/>
        <w:spacing w:line="360" w:lineRule="auto"/>
        <w:rPr>
          <w:rFonts w:hint="eastAsia" w:ascii="宋体" w:hAnsi="宋体" w:eastAsia="宋体" w:cs="宋体"/>
          <w:b/>
          <w:bCs/>
          <w:sz w:val="24"/>
          <w:szCs w:val="24"/>
          <w:lang w:val="en-US" w:eastAsia="zh-CN"/>
        </w:rPr>
      </w:pPr>
    </w:p>
    <w:p w14:paraId="49997C9C">
      <w:pPr>
        <w:pageBreakBefore w:val="0"/>
        <w:kinsoku/>
        <w:overflowPunct/>
        <w:bidi w:val="0"/>
        <w:spacing w:line="360" w:lineRule="auto"/>
        <w:rPr>
          <w:rFonts w:hint="eastAsia" w:ascii="宋体" w:hAnsi="宋体" w:cs="宋体"/>
          <w:b/>
          <w:bCs/>
          <w:sz w:val="24"/>
          <w:szCs w:val="24"/>
          <w:lang w:val="en-US" w:eastAsia="zh-CN"/>
        </w:rPr>
      </w:pPr>
      <w:r>
        <w:rPr>
          <w:rFonts w:hint="eastAsia" w:ascii="宋体" w:hAnsi="宋体" w:cs="宋体"/>
          <w:b/>
          <w:bCs/>
          <w:sz w:val="24"/>
          <w:szCs w:val="24"/>
          <w:lang w:val="en-US" w:eastAsia="zh-CN"/>
        </w:rPr>
        <w:br w:type="page"/>
      </w:r>
    </w:p>
    <w:p w14:paraId="2D61DDCC">
      <w:pPr>
        <w:pageBreakBefore w:val="0"/>
        <w:kinsoku/>
        <w:overflowPunct/>
        <w:bidi w:val="0"/>
        <w:spacing w:before="360" w:beforeLines="150" w:after="100" w:afterAutospacing="1" w:line="360" w:lineRule="auto"/>
        <w:jc w:val="center"/>
        <w:rPr>
          <w:rFonts w:hint="eastAsia" w:ascii="宋体" w:hAnsi="宋体" w:eastAsia="宋体" w:cs="宋体"/>
          <w:b/>
          <w:bCs/>
          <w:color w:val="auto"/>
          <w:sz w:val="24"/>
          <w:szCs w:val="24"/>
          <w:highlight w:val="none"/>
        </w:rPr>
      </w:pPr>
      <w:r>
        <w:rPr>
          <w:rFonts w:hint="eastAsia" w:ascii="宋体" w:hAnsi="宋体" w:cs="宋体"/>
          <w:b/>
          <w:bCs/>
          <w:sz w:val="24"/>
          <w:szCs w:val="24"/>
          <w:lang w:val="en-US" w:eastAsia="zh-CN"/>
        </w:rPr>
        <w:t>（三）</w:t>
      </w:r>
      <w:r>
        <w:rPr>
          <w:rFonts w:hint="eastAsia" w:ascii="宋体" w:hAnsi="宋体" w:eastAsia="宋体" w:cs="宋体"/>
          <w:b/>
          <w:bCs/>
          <w:color w:val="auto"/>
          <w:sz w:val="24"/>
          <w:szCs w:val="24"/>
          <w:highlight w:val="none"/>
        </w:rPr>
        <w:t>不围标串标承诺书</w:t>
      </w:r>
    </w:p>
    <w:p w14:paraId="1E86A42B">
      <w:pPr>
        <w:pageBreakBefore w:val="0"/>
        <w:shd w:val="solid" w:color="FFFFFF" w:fill="auto"/>
        <w:kinsoku/>
        <w:overflowPunct/>
        <w:autoSpaceDN w:val="0"/>
        <w:bidi w:val="0"/>
        <w:spacing w:line="360" w:lineRule="auto"/>
        <w:ind w:firstLine="480" w:firstLineChars="200"/>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本公司在此郑重承诺，我们坚守诚信经营的原则，坚决反对并严格禁止任何形式的围标、串标行为。我们认识到这些不正当竞争行为不仅违反了市场公平竞争的基本原则，也损害了整个行业的健康发展和企业的长远利益。</w:t>
      </w:r>
    </w:p>
    <w:p w14:paraId="2E54BCEB">
      <w:pPr>
        <w:pageBreakBefore w:val="0"/>
        <w:shd w:val="solid" w:color="FFFFFF" w:fill="auto"/>
        <w:kinsoku/>
        <w:overflowPunct/>
        <w:autoSpaceDN w:val="0"/>
        <w:bidi w:val="0"/>
        <w:spacing w:line="360" w:lineRule="auto"/>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在参与任何项目的招标、投标过程中，我们将自觉遵守国家相关法律法规，坚持公开、公平、公正的原则，保证所有投标活动的透明性与合法性。我们承诺不会通过任何不正当手段影响或操纵招投标过程，包括但不限于与其他投标者协商报价、分配中标机会等行为。</w:t>
      </w:r>
    </w:p>
    <w:p w14:paraId="03E05F2A">
      <w:pPr>
        <w:pageBreakBefore w:val="0"/>
        <w:shd w:val="solid" w:color="FFFFFF" w:fill="auto"/>
        <w:kinsoku/>
        <w:overflowPunct/>
        <w:autoSpaceDN w:val="0"/>
        <w:bidi w:val="0"/>
        <w:spacing w:line="360" w:lineRule="auto"/>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此外，我们将加强内部管理，提升员工的法律意识和职业道德水平，确保每一位员工都能理解并执行公司的诚信经营政策。对于任何违反此承诺的行为，我们将采取零容忍的态度，一经发现，将严肃处理，绝不姑息。</w:t>
      </w:r>
    </w:p>
    <w:p w14:paraId="51AF6EED">
      <w:pPr>
        <w:pageBreakBefore w:val="0"/>
        <w:shd w:val="solid" w:color="FFFFFF" w:fill="auto"/>
        <w:kinsoku/>
        <w:overflowPunct/>
        <w:autoSpaceDN w:val="0"/>
        <w:bidi w:val="0"/>
        <w:spacing w:line="360" w:lineRule="auto"/>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最后，我们再次重申我们的承诺：坚决不参与任何围标、串标行为，致力于成为行业内诚信、守法的典范。</w:t>
      </w:r>
    </w:p>
    <w:p w14:paraId="523F5B6E">
      <w:pPr>
        <w:pageBreakBefore w:val="0"/>
        <w:shd w:val="solid" w:color="FFFFFF" w:fill="auto"/>
        <w:kinsoku/>
        <w:overflowPunct/>
        <w:autoSpaceDN w:val="0"/>
        <w:bidi w:val="0"/>
        <w:spacing w:line="360" w:lineRule="auto"/>
        <w:jc w:val="left"/>
        <w:rPr>
          <w:rFonts w:hint="eastAsia" w:ascii="宋体" w:hAnsi="宋体" w:eastAsia="宋体" w:cs="宋体"/>
          <w:color w:val="auto"/>
          <w:sz w:val="24"/>
          <w:highlight w:val="none"/>
          <w:shd w:val="clear" w:color="auto" w:fill="FFFFFF"/>
        </w:rPr>
      </w:pPr>
    </w:p>
    <w:p w14:paraId="7D61FD0C">
      <w:pPr>
        <w:pageBreakBefore w:val="0"/>
        <w:shd w:val="solid" w:color="FFFFFF" w:fill="auto"/>
        <w:kinsoku/>
        <w:overflowPunct/>
        <w:autoSpaceDN w:val="0"/>
        <w:bidi w:val="0"/>
        <w:spacing w:line="360" w:lineRule="auto"/>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投标人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（投标人全称）      </w:t>
      </w:r>
      <w:r>
        <w:rPr>
          <w:rFonts w:hint="eastAsia" w:ascii="宋体" w:hAnsi="宋体" w:eastAsia="宋体" w:cs="宋体"/>
          <w:color w:val="auto"/>
          <w:sz w:val="24"/>
          <w:highlight w:val="none"/>
        </w:rPr>
        <w:t>（电子签章）</w:t>
      </w:r>
    </w:p>
    <w:p w14:paraId="2F0C2BDE">
      <w:pPr>
        <w:pageBreakBefore w:val="0"/>
        <w:shd w:val="solid" w:color="FFFFFF" w:fill="auto"/>
        <w:kinsoku/>
        <w:overflowPunct/>
        <w:autoSpaceDN w:val="0"/>
        <w:bidi w:val="0"/>
        <w:spacing w:line="360" w:lineRule="auto"/>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 xml:space="preserve"> 法定代表人或其委托代理人：</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shd w:val="clear" w:color="auto" w:fill="FFFFFF"/>
        </w:rPr>
        <w:t>（电子签章或电子签名）</w:t>
      </w:r>
    </w:p>
    <w:p w14:paraId="55A35135">
      <w:pPr>
        <w:pStyle w:val="5"/>
        <w:pageBreakBefore w:val="0"/>
        <w:numPr>
          <w:ilvl w:val="0"/>
          <w:numId w:val="0"/>
        </w:numPr>
        <w:kinsoku/>
        <w:overflowPunct/>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rPr>
        <w:t>日</w:t>
      </w:r>
    </w:p>
    <w:p w14:paraId="671331E1">
      <w:pPr>
        <w:pageBreakBefore w:val="0"/>
        <w:kinsoku/>
        <w:overflowPunct/>
        <w:bidi w:val="0"/>
        <w:spacing w:line="360" w:lineRule="auto"/>
        <w:rPr>
          <w:rFonts w:hint="eastAsia" w:ascii="宋体" w:hAnsi="宋体" w:eastAsia="宋体" w:cs="宋体"/>
          <w:b/>
          <w:bCs/>
          <w:color w:val="auto"/>
          <w:kern w:val="44"/>
          <w:sz w:val="24"/>
          <w:szCs w:val="24"/>
          <w:highlight w:val="none"/>
          <w:lang w:val="en-US" w:eastAsia="zh-CN" w:bidi="ar-SA"/>
        </w:rPr>
      </w:pPr>
      <w:r>
        <w:rPr>
          <w:rFonts w:hint="eastAsia" w:ascii="宋体" w:hAnsi="宋体" w:eastAsia="宋体" w:cs="宋体"/>
          <w:color w:val="auto"/>
          <w:sz w:val="24"/>
          <w:highlight w:val="none"/>
          <w:shd w:val="clear" w:color="auto" w:fill="FFFFFF"/>
          <w:lang w:val="en-US" w:eastAsia="zh-CN"/>
        </w:rPr>
        <w:br w:type="page"/>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kern w:val="44"/>
          <w:sz w:val="24"/>
          <w:szCs w:val="24"/>
          <w:highlight w:val="none"/>
          <w:lang w:val="en-US" w:eastAsia="zh-CN" w:bidi="ar-SA"/>
        </w:rPr>
        <w:t>落实的政府采购政策的相关资料。</w:t>
      </w:r>
    </w:p>
    <w:p w14:paraId="509EF23F">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注：投标人根据自身情况提供，如不属于本项目招标文件第二章《投标须知前附表》第29条中（1）、（2）、（3）相关规定的情形，可不用提供。</w:t>
      </w:r>
    </w:p>
    <w:p w14:paraId="67C0AEC8">
      <w:pPr>
        <w:keepNext w:val="0"/>
        <w:keepLines w:val="0"/>
        <w:pageBreakBefore w:val="0"/>
        <w:widowControl w:val="0"/>
        <w:kinsoku/>
        <w:wordWrap/>
        <w:overflowPunct/>
        <w:topLinePunct w:val="0"/>
        <w:bidi w:val="0"/>
        <w:spacing w:line="360" w:lineRule="auto"/>
        <w:ind w:left="0" w:leftChars="0" w:right="0" w:rightChars="0"/>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lang w:val="en-US" w:eastAsia="zh-CN"/>
        </w:rPr>
        <w:t>例如</w:t>
      </w:r>
      <w:r>
        <w:rPr>
          <w:rFonts w:hint="eastAsia" w:ascii="宋体" w:hAnsi="宋体" w:eastAsia="宋体" w:cs="宋体"/>
          <w:color w:val="auto"/>
          <w:sz w:val="24"/>
          <w:highlight w:val="none"/>
          <w:shd w:val="clear" w:color="auto" w:fill="auto"/>
        </w:rPr>
        <w:t>格式：</w:t>
      </w:r>
    </w:p>
    <w:p w14:paraId="2D18DE45">
      <w:pPr>
        <w:keepNext w:val="0"/>
        <w:keepLines w:val="0"/>
        <w:pageBreakBefore w:val="0"/>
        <w:widowControl w:val="0"/>
        <w:tabs>
          <w:tab w:val="left" w:pos="426"/>
        </w:tabs>
        <w:kinsoku/>
        <w:wordWrap/>
        <w:overflowPunct/>
        <w:topLinePunct w:val="0"/>
        <w:autoSpaceDE/>
        <w:autoSpaceDN/>
        <w:bidi w:val="0"/>
        <w:adjustRightInd/>
        <w:snapToGrid/>
        <w:spacing w:before="157" w:beforeLines="50" w:after="157" w:afterLines="50" w:line="360" w:lineRule="auto"/>
        <w:ind w:left="0" w:leftChars="0" w:right="0" w:rightChars="0" w:firstLine="0" w:firstLineChars="0"/>
        <w:jc w:val="center"/>
        <w:textAlignment w:val="auto"/>
        <w:outlineLvl w:val="9"/>
        <w:rPr>
          <w:rFonts w:hint="eastAsia" w:ascii="宋体" w:hAnsi="宋体" w:eastAsia="宋体" w:cs="宋体"/>
          <w:b/>
          <w:color w:val="auto"/>
          <w:sz w:val="22"/>
          <w:szCs w:val="22"/>
          <w:highlight w:val="none"/>
          <w:shd w:val="clear" w:color="auto" w:fill="auto"/>
        </w:rPr>
      </w:pPr>
      <w:r>
        <w:rPr>
          <w:rFonts w:hint="eastAsia" w:ascii="宋体" w:hAnsi="宋体" w:eastAsia="宋体" w:cs="宋体"/>
          <w:b/>
          <w:color w:val="auto"/>
          <w:sz w:val="28"/>
          <w:szCs w:val="28"/>
          <w:highlight w:val="none"/>
          <w:shd w:val="clear" w:color="auto" w:fill="auto"/>
          <w:lang w:eastAsia="zh-CN"/>
        </w:rPr>
        <w:t>（</w:t>
      </w:r>
      <w:r>
        <w:rPr>
          <w:rFonts w:hint="eastAsia" w:ascii="宋体" w:hAnsi="宋体" w:eastAsia="宋体" w:cs="宋体"/>
          <w:b/>
          <w:color w:val="auto"/>
          <w:sz w:val="28"/>
          <w:szCs w:val="28"/>
          <w:highlight w:val="none"/>
          <w:shd w:val="clear" w:color="auto" w:fill="auto"/>
          <w:lang w:val="en-US" w:eastAsia="zh-CN"/>
        </w:rPr>
        <w:t>1</w:t>
      </w:r>
      <w:r>
        <w:rPr>
          <w:rFonts w:hint="eastAsia" w:ascii="宋体" w:hAnsi="宋体" w:eastAsia="宋体" w:cs="宋体"/>
          <w:b/>
          <w:color w:val="auto"/>
          <w:sz w:val="28"/>
          <w:szCs w:val="28"/>
          <w:highlight w:val="none"/>
          <w:shd w:val="clear" w:color="auto" w:fill="auto"/>
          <w:lang w:eastAsia="zh-CN"/>
        </w:rPr>
        <w:t>）</w:t>
      </w:r>
      <w:r>
        <w:rPr>
          <w:rFonts w:hint="eastAsia" w:ascii="宋体" w:hAnsi="宋体" w:eastAsia="宋体" w:cs="宋体"/>
          <w:b/>
          <w:color w:val="auto"/>
          <w:sz w:val="28"/>
          <w:szCs w:val="28"/>
          <w:highlight w:val="none"/>
          <w:shd w:val="clear" w:color="auto" w:fill="auto"/>
        </w:rPr>
        <w:t>中小企业声明函</w:t>
      </w:r>
      <w:r>
        <w:rPr>
          <w:rFonts w:hint="eastAsia" w:ascii="宋体" w:hAnsi="宋体" w:eastAsia="宋体" w:cs="宋体"/>
          <w:b/>
          <w:color w:val="auto"/>
          <w:sz w:val="28"/>
          <w:szCs w:val="28"/>
          <w:highlight w:val="none"/>
          <w:shd w:val="clear" w:color="auto" w:fill="auto"/>
          <w:lang w:eastAsia="zh-CN"/>
        </w:rPr>
        <w:t>（</w:t>
      </w:r>
      <w:r>
        <w:rPr>
          <w:rFonts w:hint="eastAsia" w:ascii="宋体" w:hAnsi="宋体" w:eastAsia="宋体" w:cs="宋体"/>
          <w:b/>
          <w:color w:val="auto"/>
          <w:sz w:val="28"/>
          <w:szCs w:val="28"/>
          <w:highlight w:val="none"/>
          <w:shd w:val="clear" w:color="auto" w:fill="auto"/>
          <w:lang w:val="en-US" w:eastAsia="zh-CN"/>
        </w:rPr>
        <w:t>货物</w:t>
      </w:r>
      <w:r>
        <w:rPr>
          <w:rFonts w:hint="eastAsia" w:ascii="宋体" w:hAnsi="宋体" w:eastAsia="宋体" w:cs="宋体"/>
          <w:b/>
          <w:color w:val="auto"/>
          <w:sz w:val="28"/>
          <w:szCs w:val="28"/>
          <w:highlight w:val="none"/>
          <w:shd w:val="clear" w:color="auto" w:fill="auto"/>
          <w:lang w:eastAsia="zh-CN"/>
        </w:rPr>
        <w:t>）</w:t>
      </w:r>
    </w:p>
    <w:p w14:paraId="721C02BF">
      <w:pPr>
        <w:keepNext w:val="0"/>
        <w:keepLines w:val="0"/>
        <w:pageBreakBefore w:val="0"/>
        <w:widowControl w:val="0"/>
        <w:tabs>
          <w:tab w:val="left" w:pos="426"/>
        </w:tabs>
        <w:kinsoku/>
        <w:wordWrap/>
        <w:overflowPunct/>
        <w:topLinePunct w:val="0"/>
        <w:bidi w:val="0"/>
        <w:spacing w:line="360" w:lineRule="auto"/>
        <w:ind w:left="0" w:leftChars="0" w:right="0" w:rightChars="0" w:firstLine="480" w:firstLineChars="200"/>
        <w:textAlignment w:val="auto"/>
        <w:outlineLvl w:val="9"/>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本公司郑重声明，根据《政府采购促进中小企业发展管理办法》（财库﹝2020﹞46 号）的规定，本公司参加</w:t>
      </w:r>
      <w:r>
        <w:rPr>
          <w:rFonts w:hint="eastAsia" w:ascii="宋体" w:hAnsi="宋体" w:eastAsia="宋体" w:cs="宋体"/>
          <w:bCs/>
          <w:color w:val="auto"/>
          <w:sz w:val="24"/>
          <w:highlight w:val="none"/>
          <w:u w:val="single"/>
          <w:shd w:val="clear" w:color="auto" w:fill="auto"/>
          <w:lang w:val="en-US" w:eastAsia="zh-CN"/>
        </w:rPr>
        <w:t xml:space="preserve">   </w:t>
      </w:r>
      <w:r>
        <w:rPr>
          <w:rFonts w:hint="eastAsia" w:ascii="宋体" w:hAnsi="宋体" w:eastAsia="宋体" w:cs="宋体"/>
          <w:bCs/>
          <w:color w:val="auto"/>
          <w:sz w:val="24"/>
          <w:highlight w:val="none"/>
          <w:u w:val="single"/>
          <w:shd w:val="clear" w:color="auto" w:fill="auto"/>
        </w:rPr>
        <w:t>（采购人名称）</w:t>
      </w:r>
      <w:r>
        <w:rPr>
          <w:rFonts w:hint="eastAsia" w:ascii="宋体" w:hAnsi="宋体" w:eastAsia="宋体" w:cs="宋体"/>
          <w:bCs/>
          <w:color w:val="auto"/>
          <w:sz w:val="24"/>
          <w:highlight w:val="none"/>
          <w:u w:val="single"/>
          <w:shd w:val="clear" w:color="auto" w:fill="auto"/>
          <w:lang w:val="en-US" w:eastAsia="zh-CN"/>
        </w:rPr>
        <w:t xml:space="preserve">  </w:t>
      </w:r>
      <w:r>
        <w:rPr>
          <w:rFonts w:hint="eastAsia" w:ascii="宋体" w:hAnsi="宋体" w:eastAsia="宋体" w:cs="宋体"/>
          <w:bCs/>
          <w:color w:val="auto"/>
          <w:sz w:val="24"/>
          <w:highlight w:val="none"/>
          <w:shd w:val="clear" w:color="auto" w:fill="auto"/>
        </w:rPr>
        <w:t>的</w:t>
      </w:r>
      <w:r>
        <w:rPr>
          <w:rFonts w:hint="eastAsia" w:ascii="宋体" w:hAnsi="宋体" w:eastAsia="宋体" w:cs="宋体"/>
          <w:bCs/>
          <w:color w:val="auto"/>
          <w:sz w:val="24"/>
          <w:highlight w:val="none"/>
          <w:u w:val="single"/>
          <w:shd w:val="clear" w:color="auto" w:fill="auto"/>
          <w:lang w:val="en-US" w:eastAsia="zh-CN"/>
        </w:rPr>
        <w:t xml:space="preserve">   </w:t>
      </w:r>
      <w:r>
        <w:rPr>
          <w:rFonts w:hint="eastAsia" w:ascii="宋体" w:hAnsi="宋体" w:eastAsia="宋体" w:cs="宋体"/>
          <w:bCs/>
          <w:color w:val="auto"/>
          <w:sz w:val="24"/>
          <w:highlight w:val="none"/>
          <w:u w:val="single"/>
          <w:shd w:val="clear" w:color="auto" w:fill="auto"/>
        </w:rPr>
        <w:t>（项目名称）</w:t>
      </w:r>
      <w:r>
        <w:rPr>
          <w:rFonts w:hint="eastAsia" w:ascii="宋体" w:hAnsi="宋体" w:eastAsia="宋体" w:cs="宋体"/>
          <w:bCs/>
          <w:color w:val="auto"/>
          <w:sz w:val="24"/>
          <w:highlight w:val="none"/>
          <w:u w:val="single"/>
          <w:shd w:val="clear" w:color="auto" w:fill="auto"/>
          <w:lang w:val="en-US" w:eastAsia="zh-CN"/>
        </w:rPr>
        <w:t xml:space="preserve">  </w:t>
      </w:r>
      <w:r>
        <w:rPr>
          <w:rFonts w:hint="eastAsia" w:ascii="宋体" w:hAnsi="宋体" w:eastAsia="宋体" w:cs="宋体"/>
          <w:bCs/>
          <w:color w:val="auto"/>
          <w:sz w:val="24"/>
          <w:highlight w:val="none"/>
          <w:shd w:val="clear" w:color="auto" w:fill="auto"/>
        </w:rPr>
        <w:t>采购活动，提供的货物全部由符合政策要求的中小企业制造。相关企业具体情况如下：</w:t>
      </w:r>
    </w:p>
    <w:p w14:paraId="5418F5A3">
      <w:pPr>
        <w:keepNext w:val="0"/>
        <w:keepLines w:val="0"/>
        <w:pageBreakBefore w:val="0"/>
        <w:widowControl w:val="0"/>
        <w:tabs>
          <w:tab w:val="left" w:pos="426"/>
        </w:tabs>
        <w:kinsoku/>
        <w:wordWrap/>
        <w:overflowPunct/>
        <w:topLinePunct w:val="0"/>
        <w:bidi w:val="0"/>
        <w:spacing w:line="360" w:lineRule="auto"/>
        <w:ind w:left="0" w:leftChars="0" w:right="0" w:rightChars="0" w:firstLine="480" w:firstLineChars="200"/>
        <w:textAlignment w:val="auto"/>
        <w:outlineLvl w:val="9"/>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1.</w:t>
      </w:r>
      <w:r>
        <w:rPr>
          <w:rFonts w:hint="eastAsia" w:ascii="宋体" w:hAnsi="宋体" w:eastAsia="宋体" w:cs="宋体"/>
          <w:bCs/>
          <w:color w:val="auto"/>
          <w:sz w:val="24"/>
          <w:highlight w:val="none"/>
          <w:u w:val="single"/>
          <w:shd w:val="clear" w:color="auto" w:fill="auto"/>
        </w:rPr>
        <w:t>（标的名称）</w:t>
      </w:r>
      <w:r>
        <w:rPr>
          <w:rFonts w:hint="eastAsia" w:ascii="宋体" w:hAnsi="宋体" w:eastAsia="宋体" w:cs="宋体"/>
          <w:bCs/>
          <w:color w:val="auto"/>
          <w:sz w:val="24"/>
          <w:highlight w:val="none"/>
          <w:u w:val="single"/>
          <w:shd w:val="clear" w:color="auto" w:fill="auto"/>
          <w:lang w:val="en-US" w:eastAsia="zh-CN"/>
        </w:rPr>
        <w:t xml:space="preserve">  </w:t>
      </w:r>
      <w:r>
        <w:rPr>
          <w:rFonts w:hint="eastAsia" w:ascii="宋体" w:hAnsi="宋体" w:eastAsia="宋体" w:cs="宋体"/>
          <w:bCs/>
          <w:color w:val="auto"/>
          <w:sz w:val="24"/>
          <w:highlight w:val="none"/>
          <w:shd w:val="clear" w:color="auto" w:fill="auto"/>
        </w:rPr>
        <w:t>，属于</w:t>
      </w:r>
      <w:r>
        <w:rPr>
          <w:rFonts w:hint="eastAsia" w:ascii="宋体" w:hAnsi="宋体" w:eastAsia="宋体" w:cs="宋体"/>
          <w:bCs/>
          <w:color w:val="auto"/>
          <w:sz w:val="24"/>
          <w:highlight w:val="none"/>
          <w:u w:val="single"/>
          <w:shd w:val="clear" w:color="auto" w:fill="auto"/>
          <w:lang w:val="en-US" w:eastAsia="zh-CN"/>
        </w:rPr>
        <w:t xml:space="preserve">   </w:t>
      </w:r>
      <w:r>
        <w:rPr>
          <w:rFonts w:hint="eastAsia" w:ascii="宋体" w:hAnsi="宋体" w:eastAsia="宋体" w:cs="宋体"/>
          <w:bCs/>
          <w:color w:val="auto"/>
          <w:sz w:val="24"/>
          <w:highlight w:val="none"/>
          <w:u w:val="single"/>
          <w:shd w:val="clear" w:color="auto" w:fill="auto"/>
        </w:rPr>
        <w:t>（招标文件中明确的所属行业）</w:t>
      </w:r>
      <w:r>
        <w:rPr>
          <w:rFonts w:hint="eastAsia" w:ascii="宋体" w:hAnsi="宋体" w:eastAsia="宋体" w:cs="宋体"/>
          <w:bCs/>
          <w:color w:val="auto"/>
          <w:sz w:val="24"/>
          <w:highlight w:val="none"/>
          <w:u w:val="single"/>
          <w:shd w:val="clear" w:color="auto" w:fill="auto"/>
          <w:lang w:val="en-US" w:eastAsia="zh-CN"/>
        </w:rPr>
        <w:t xml:space="preserve">  </w:t>
      </w:r>
      <w:r>
        <w:rPr>
          <w:rFonts w:hint="eastAsia" w:ascii="宋体" w:hAnsi="宋体" w:eastAsia="宋体" w:cs="宋体"/>
          <w:bCs/>
          <w:color w:val="auto"/>
          <w:sz w:val="24"/>
          <w:highlight w:val="none"/>
          <w:shd w:val="clear" w:color="auto" w:fill="auto"/>
        </w:rPr>
        <w:t>行业；制造商为</w:t>
      </w:r>
      <w:r>
        <w:rPr>
          <w:rFonts w:hint="eastAsia" w:ascii="宋体" w:hAnsi="宋体" w:eastAsia="宋体" w:cs="宋体"/>
          <w:bCs/>
          <w:color w:val="auto"/>
          <w:sz w:val="24"/>
          <w:highlight w:val="none"/>
          <w:u w:val="single"/>
          <w:shd w:val="clear" w:color="auto" w:fill="auto"/>
        </w:rPr>
        <w:t>（企业名称）</w:t>
      </w:r>
      <w:r>
        <w:rPr>
          <w:rFonts w:hint="eastAsia" w:ascii="宋体" w:hAnsi="宋体" w:eastAsia="宋体" w:cs="宋体"/>
          <w:bCs/>
          <w:color w:val="auto"/>
          <w:sz w:val="24"/>
          <w:highlight w:val="none"/>
          <w:shd w:val="clear" w:color="auto" w:fill="auto"/>
        </w:rPr>
        <w:t>，从业人员</w:t>
      </w:r>
      <w:r>
        <w:rPr>
          <w:rFonts w:hint="eastAsia" w:ascii="宋体" w:hAnsi="宋体" w:eastAsia="宋体" w:cs="宋体"/>
          <w:bCs/>
          <w:color w:val="auto"/>
          <w:sz w:val="24"/>
          <w:highlight w:val="none"/>
          <w:u w:val="single"/>
          <w:shd w:val="clear" w:color="auto" w:fill="auto"/>
        </w:rPr>
        <w:t xml:space="preserve">    </w:t>
      </w:r>
      <w:r>
        <w:rPr>
          <w:rFonts w:hint="eastAsia" w:ascii="宋体" w:hAnsi="宋体" w:eastAsia="宋体" w:cs="宋体"/>
          <w:bCs/>
          <w:color w:val="auto"/>
          <w:sz w:val="24"/>
          <w:highlight w:val="none"/>
          <w:shd w:val="clear" w:color="auto" w:fill="auto"/>
        </w:rPr>
        <w:t>人，营业收入为</w:t>
      </w:r>
      <w:r>
        <w:rPr>
          <w:rFonts w:hint="eastAsia" w:ascii="宋体" w:hAnsi="宋体" w:eastAsia="宋体" w:cs="宋体"/>
          <w:bCs/>
          <w:color w:val="auto"/>
          <w:sz w:val="24"/>
          <w:highlight w:val="none"/>
          <w:u w:val="single"/>
          <w:shd w:val="clear" w:color="auto" w:fill="auto"/>
        </w:rPr>
        <w:t xml:space="preserve">     </w:t>
      </w:r>
      <w:r>
        <w:rPr>
          <w:rFonts w:hint="eastAsia" w:ascii="宋体" w:hAnsi="宋体" w:eastAsia="宋体" w:cs="宋体"/>
          <w:bCs/>
          <w:color w:val="auto"/>
          <w:sz w:val="24"/>
          <w:highlight w:val="none"/>
          <w:shd w:val="clear" w:color="auto" w:fill="auto"/>
        </w:rPr>
        <w:t>万元，资产总额为</w:t>
      </w:r>
      <w:r>
        <w:rPr>
          <w:rFonts w:hint="eastAsia" w:ascii="宋体" w:hAnsi="宋体" w:eastAsia="宋体" w:cs="宋体"/>
          <w:bCs/>
          <w:color w:val="auto"/>
          <w:sz w:val="24"/>
          <w:highlight w:val="none"/>
          <w:u w:val="single"/>
          <w:shd w:val="clear" w:color="auto" w:fill="auto"/>
        </w:rPr>
        <w:t xml:space="preserve">      </w:t>
      </w:r>
      <w:r>
        <w:rPr>
          <w:rFonts w:hint="eastAsia" w:ascii="宋体" w:hAnsi="宋体" w:eastAsia="宋体" w:cs="宋体"/>
          <w:bCs/>
          <w:color w:val="auto"/>
          <w:sz w:val="24"/>
          <w:highlight w:val="none"/>
          <w:shd w:val="clear" w:color="auto" w:fill="auto"/>
        </w:rPr>
        <w:t>万元，属于</w:t>
      </w:r>
      <w:r>
        <w:rPr>
          <w:rFonts w:hint="eastAsia" w:ascii="宋体" w:hAnsi="宋体" w:eastAsia="宋体" w:cs="宋体"/>
          <w:bCs/>
          <w:color w:val="auto"/>
          <w:sz w:val="24"/>
          <w:highlight w:val="none"/>
          <w:u w:val="single"/>
          <w:shd w:val="clear" w:color="auto" w:fill="auto"/>
          <w:lang w:val="en-US" w:eastAsia="zh-CN"/>
        </w:rPr>
        <w:t xml:space="preserve">    </w:t>
      </w:r>
      <w:r>
        <w:rPr>
          <w:rFonts w:hint="eastAsia" w:ascii="宋体" w:hAnsi="宋体" w:eastAsia="宋体" w:cs="宋体"/>
          <w:bCs/>
          <w:color w:val="auto"/>
          <w:sz w:val="24"/>
          <w:highlight w:val="none"/>
          <w:u w:val="single"/>
          <w:shd w:val="clear" w:color="auto" w:fill="auto"/>
        </w:rPr>
        <w:t>（中型企业</w:t>
      </w:r>
      <w:r>
        <w:rPr>
          <w:rFonts w:hint="eastAsia" w:ascii="宋体" w:hAnsi="宋体" w:eastAsia="宋体" w:cs="宋体"/>
          <w:bCs/>
          <w:color w:val="auto"/>
          <w:sz w:val="24"/>
          <w:highlight w:val="none"/>
          <w:u w:val="single"/>
          <w:shd w:val="clear" w:color="auto" w:fill="auto"/>
          <w:lang w:val="en-US" w:eastAsia="zh-CN"/>
        </w:rPr>
        <w:t>/</w:t>
      </w:r>
      <w:r>
        <w:rPr>
          <w:rFonts w:hint="eastAsia" w:ascii="宋体" w:hAnsi="宋体" w:eastAsia="宋体" w:cs="宋体"/>
          <w:bCs/>
          <w:color w:val="auto"/>
          <w:sz w:val="24"/>
          <w:highlight w:val="none"/>
          <w:u w:val="single"/>
          <w:shd w:val="clear" w:color="auto" w:fill="auto"/>
        </w:rPr>
        <w:t>小型企业</w:t>
      </w:r>
      <w:r>
        <w:rPr>
          <w:rFonts w:hint="eastAsia" w:ascii="宋体" w:hAnsi="宋体" w:eastAsia="宋体" w:cs="宋体"/>
          <w:bCs/>
          <w:color w:val="auto"/>
          <w:sz w:val="24"/>
          <w:highlight w:val="none"/>
          <w:u w:val="single"/>
          <w:shd w:val="clear" w:color="auto" w:fill="auto"/>
          <w:lang w:val="en-US" w:eastAsia="zh-CN"/>
        </w:rPr>
        <w:t>/</w:t>
      </w:r>
      <w:r>
        <w:rPr>
          <w:rFonts w:hint="eastAsia" w:ascii="宋体" w:hAnsi="宋体" w:eastAsia="宋体" w:cs="宋体"/>
          <w:bCs/>
          <w:color w:val="auto"/>
          <w:sz w:val="24"/>
          <w:highlight w:val="none"/>
          <w:u w:val="single"/>
          <w:shd w:val="clear" w:color="auto" w:fill="auto"/>
        </w:rPr>
        <w:t>微型企业）</w:t>
      </w:r>
      <w:r>
        <w:rPr>
          <w:rFonts w:hint="eastAsia" w:ascii="宋体" w:hAnsi="宋体" w:eastAsia="宋体" w:cs="宋体"/>
          <w:bCs/>
          <w:color w:val="auto"/>
          <w:sz w:val="24"/>
          <w:highlight w:val="none"/>
          <w:u w:val="single"/>
          <w:shd w:val="clear" w:color="auto" w:fill="auto"/>
          <w:lang w:val="en-US" w:eastAsia="zh-CN"/>
        </w:rPr>
        <w:t xml:space="preserve">  </w:t>
      </w:r>
      <w:r>
        <w:rPr>
          <w:rFonts w:hint="eastAsia" w:ascii="宋体" w:hAnsi="宋体" w:eastAsia="宋体" w:cs="宋体"/>
          <w:bCs/>
          <w:color w:val="auto"/>
          <w:sz w:val="24"/>
          <w:highlight w:val="none"/>
          <w:shd w:val="clear" w:color="auto" w:fill="auto"/>
        </w:rPr>
        <w:t>；</w:t>
      </w:r>
    </w:p>
    <w:p w14:paraId="3D997768">
      <w:pPr>
        <w:keepNext w:val="0"/>
        <w:keepLines w:val="0"/>
        <w:pageBreakBefore w:val="0"/>
        <w:widowControl w:val="0"/>
        <w:tabs>
          <w:tab w:val="left" w:pos="426"/>
        </w:tabs>
        <w:kinsoku/>
        <w:wordWrap/>
        <w:overflowPunct/>
        <w:topLinePunct w:val="0"/>
        <w:bidi w:val="0"/>
        <w:spacing w:line="360" w:lineRule="auto"/>
        <w:ind w:left="0" w:leftChars="0" w:right="0" w:rightChars="0" w:firstLine="480" w:firstLineChars="200"/>
        <w:textAlignment w:val="auto"/>
        <w:outlineLvl w:val="9"/>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2.</w:t>
      </w:r>
      <w:r>
        <w:rPr>
          <w:rFonts w:hint="eastAsia" w:ascii="宋体" w:hAnsi="宋体" w:eastAsia="宋体" w:cs="宋体"/>
          <w:bCs/>
          <w:color w:val="auto"/>
          <w:sz w:val="24"/>
          <w:highlight w:val="none"/>
          <w:u w:val="single"/>
          <w:shd w:val="clear" w:color="auto" w:fill="auto"/>
        </w:rPr>
        <w:t>（标的名称）</w:t>
      </w:r>
      <w:r>
        <w:rPr>
          <w:rFonts w:hint="eastAsia" w:ascii="宋体" w:hAnsi="宋体" w:eastAsia="宋体" w:cs="宋体"/>
          <w:bCs/>
          <w:color w:val="auto"/>
          <w:sz w:val="24"/>
          <w:highlight w:val="none"/>
          <w:u w:val="single"/>
          <w:shd w:val="clear" w:color="auto" w:fill="auto"/>
          <w:lang w:val="en-US" w:eastAsia="zh-CN"/>
        </w:rPr>
        <w:t xml:space="preserve">  </w:t>
      </w:r>
      <w:r>
        <w:rPr>
          <w:rFonts w:hint="eastAsia" w:ascii="宋体" w:hAnsi="宋体" w:eastAsia="宋体" w:cs="宋体"/>
          <w:bCs/>
          <w:color w:val="auto"/>
          <w:sz w:val="24"/>
          <w:highlight w:val="none"/>
          <w:shd w:val="clear" w:color="auto" w:fill="auto"/>
        </w:rPr>
        <w:t>，属于</w:t>
      </w:r>
      <w:r>
        <w:rPr>
          <w:rFonts w:hint="eastAsia" w:ascii="宋体" w:hAnsi="宋体" w:eastAsia="宋体" w:cs="宋体"/>
          <w:bCs/>
          <w:color w:val="auto"/>
          <w:sz w:val="24"/>
          <w:highlight w:val="none"/>
          <w:u w:val="single"/>
          <w:shd w:val="clear" w:color="auto" w:fill="auto"/>
          <w:lang w:val="en-US" w:eastAsia="zh-CN"/>
        </w:rPr>
        <w:t xml:space="preserve">   </w:t>
      </w:r>
      <w:r>
        <w:rPr>
          <w:rFonts w:hint="eastAsia" w:ascii="宋体" w:hAnsi="宋体" w:eastAsia="宋体" w:cs="宋体"/>
          <w:bCs/>
          <w:color w:val="auto"/>
          <w:sz w:val="24"/>
          <w:highlight w:val="none"/>
          <w:u w:val="single"/>
          <w:shd w:val="clear" w:color="auto" w:fill="auto"/>
        </w:rPr>
        <w:t>（招标文件中明确的所属行业）</w:t>
      </w:r>
      <w:r>
        <w:rPr>
          <w:rFonts w:hint="eastAsia" w:ascii="宋体" w:hAnsi="宋体" w:eastAsia="宋体" w:cs="宋体"/>
          <w:bCs/>
          <w:color w:val="auto"/>
          <w:sz w:val="24"/>
          <w:highlight w:val="none"/>
          <w:u w:val="single"/>
          <w:shd w:val="clear" w:color="auto" w:fill="auto"/>
          <w:lang w:val="en-US" w:eastAsia="zh-CN"/>
        </w:rPr>
        <w:t xml:space="preserve">  </w:t>
      </w:r>
      <w:r>
        <w:rPr>
          <w:rFonts w:hint="eastAsia" w:ascii="宋体" w:hAnsi="宋体" w:eastAsia="宋体" w:cs="宋体"/>
          <w:bCs/>
          <w:color w:val="auto"/>
          <w:sz w:val="24"/>
          <w:highlight w:val="none"/>
          <w:shd w:val="clear" w:color="auto" w:fill="auto"/>
        </w:rPr>
        <w:t>行业；制造商为</w:t>
      </w:r>
      <w:r>
        <w:rPr>
          <w:rFonts w:hint="eastAsia" w:ascii="宋体" w:hAnsi="宋体" w:eastAsia="宋体" w:cs="宋体"/>
          <w:bCs/>
          <w:color w:val="auto"/>
          <w:sz w:val="24"/>
          <w:highlight w:val="none"/>
          <w:u w:val="single"/>
          <w:shd w:val="clear" w:color="auto" w:fill="auto"/>
        </w:rPr>
        <w:t>（企业名称）</w:t>
      </w:r>
      <w:r>
        <w:rPr>
          <w:rFonts w:hint="eastAsia" w:ascii="宋体" w:hAnsi="宋体" w:eastAsia="宋体" w:cs="宋体"/>
          <w:bCs/>
          <w:color w:val="auto"/>
          <w:sz w:val="24"/>
          <w:highlight w:val="none"/>
          <w:shd w:val="clear" w:color="auto" w:fill="auto"/>
        </w:rPr>
        <w:t>，从业人员</w:t>
      </w:r>
      <w:r>
        <w:rPr>
          <w:rFonts w:hint="eastAsia" w:ascii="宋体" w:hAnsi="宋体" w:eastAsia="宋体" w:cs="宋体"/>
          <w:bCs/>
          <w:color w:val="auto"/>
          <w:sz w:val="24"/>
          <w:highlight w:val="none"/>
          <w:u w:val="single"/>
          <w:shd w:val="clear" w:color="auto" w:fill="auto"/>
        </w:rPr>
        <w:t xml:space="preserve">    </w:t>
      </w:r>
      <w:r>
        <w:rPr>
          <w:rFonts w:hint="eastAsia" w:ascii="宋体" w:hAnsi="宋体" w:eastAsia="宋体" w:cs="宋体"/>
          <w:bCs/>
          <w:color w:val="auto"/>
          <w:sz w:val="24"/>
          <w:highlight w:val="none"/>
          <w:shd w:val="clear" w:color="auto" w:fill="auto"/>
        </w:rPr>
        <w:t xml:space="preserve"> 人，营业收入为</w:t>
      </w:r>
      <w:r>
        <w:rPr>
          <w:rFonts w:hint="eastAsia" w:ascii="宋体" w:hAnsi="宋体" w:eastAsia="宋体" w:cs="宋体"/>
          <w:bCs/>
          <w:color w:val="auto"/>
          <w:sz w:val="24"/>
          <w:highlight w:val="none"/>
          <w:u w:val="single"/>
          <w:shd w:val="clear" w:color="auto" w:fill="auto"/>
        </w:rPr>
        <w:t xml:space="preserve">    </w:t>
      </w:r>
      <w:r>
        <w:rPr>
          <w:rFonts w:hint="eastAsia" w:ascii="宋体" w:hAnsi="宋体" w:eastAsia="宋体" w:cs="宋体"/>
          <w:bCs/>
          <w:color w:val="auto"/>
          <w:sz w:val="24"/>
          <w:highlight w:val="none"/>
          <w:shd w:val="clear" w:color="auto" w:fill="auto"/>
        </w:rPr>
        <w:t>万元，资产总额为</w:t>
      </w:r>
      <w:r>
        <w:rPr>
          <w:rFonts w:hint="eastAsia" w:ascii="宋体" w:hAnsi="宋体" w:eastAsia="宋体" w:cs="宋体"/>
          <w:bCs/>
          <w:color w:val="auto"/>
          <w:sz w:val="24"/>
          <w:highlight w:val="none"/>
          <w:u w:val="single"/>
          <w:shd w:val="clear" w:color="auto" w:fill="auto"/>
        </w:rPr>
        <w:t xml:space="preserve">     </w:t>
      </w:r>
      <w:r>
        <w:rPr>
          <w:rFonts w:hint="eastAsia" w:ascii="宋体" w:hAnsi="宋体" w:eastAsia="宋体" w:cs="宋体"/>
          <w:bCs/>
          <w:color w:val="auto"/>
          <w:sz w:val="24"/>
          <w:highlight w:val="none"/>
          <w:shd w:val="clear" w:color="auto" w:fill="auto"/>
        </w:rPr>
        <w:t>万元，属于</w:t>
      </w:r>
      <w:r>
        <w:rPr>
          <w:rFonts w:hint="eastAsia" w:ascii="宋体" w:hAnsi="宋体" w:eastAsia="宋体" w:cs="宋体"/>
          <w:bCs/>
          <w:color w:val="auto"/>
          <w:sz w:val="24"/>
          <w:highlight w:val="none"/>
          <w:u w:val="single"/>
          <w:shd w:val="clear" w:color="auto" w:fill="auto"/>
          <w:lang w:val="en-US" w:eastAsia="zh-CN"/>
        </w:rPr>
        <w:t xml:space="preserve">    </w:t>
      </w:r>
      <w:r>
        <w:rPr>
          <w:rFonts w:hint="eastAsia" w:ascii="宋体" w:hAnsi="宋体" w:eastAsia="宋体" w:cs="宋体"/>
          <w:bCs/>
          <w:color w:val="auto"/>
          <w:sz w:val="24"/>
          <w:highlight w:val="none"/>
          <w:u w:val="single"/>
          <w:shd w:val="clear" w:color="auto" w:fill="auto"/>
        </w:rPr>
        <w:t>（中型企业</w:t>
      </w:r>
      <w:r>
        <w:rPr>
          <w:rFonts w:hint="eastAsia" w:ascii="宋体" w:hAnsi="宋体" w:eastAsia="宋体" w:cs="宋体"/>
          <w:bCs/>
          <w:color w:val="auto"/>
          <w:sz w:val="24"/>
          <w:highlight w:val="none"/>
          <w:u w:val="single"/>
          <w:shd w:val="clear" w:color="auto" w:fill="auto"/>
          <w:lang w:val="en-US" w:eastAsia="zh-CN"/>
        </w:rPr>
        <w:t>/</w:t>
      </w:r>
      <w:r>
        <w:rPr>
          <w:rFonts w:hint="eastAsia" w:ascii="宋体" w:hAnsi="宋体" w:eastAsia="宋体" w:cs="宋体"/>
          <w:bCs/>
          <w:color w:val="auto"/>
          <w:sz w:val="24"/>
          <w:highlight w:val="none"/>
          <w:u w:val="single"/>
          <w:shd w:val="clear" w:color="auto" w:fill="auto"/>
        </w:rPr>
        <w:t>小型企业</w:t>
      </w:r>
      <w:r>
        <w:rPr>
          <w:rFonts w:hint="eastAsia" w:ascii="宋体" w:hAnsi="宋体" w:eastAsia="宋体" w:cs="宋体"/>
          <w:bCs/>
          <w:color w:val="auto"/>
          <w:sz w:val="24"/>
          <w:highlight w:val="none"/>
          <w:u w:val="single"/>
          <w:shd w:val="clear" w:color="auto" w:fill="auto"/>
          <w:lang w:val="en-US" w:eastAsia="zh-CN"/>
        </w:rPr>
        <w:t>/</w:t>
      </w:r>
      <w:r>
        <w:rPr>
          <w:rFonts w:hint="eastAsia" w:ascii="宋体" w:hAnsi="宋体" w:eastAsia="宋体" w:cs="宋体"/>
          <w:bCs/>
          <w:color w:val="auto"/>
          <w:sz w:val="24"/>
          <w:highlight w:val="none"/>
          <w:u w:val="single"/>
          <w:shd w:val="clear" w:color="auto" w:fill="auto"/>
        </w:rPr>
        <w:t>微型企业）</w:t>
      </w:r>
      <w:r>
        <w:rPr>
          <w:rFonts w:hint="eastAsia" w:ascii="宋体" w:hAnsi="宋体" w:eastAsia="宋体" w:cs="宋体"/>
          <w:bCs/>
          <w:color w:val="auto"/>
          <w:sz w:val="24"/>
          <w:highlight w:val="none"/>
          <w:u w:val="single"/>
          <w:shd w:val="clear" w:color="auto" w:fill="auto"/>
          <w:lang w:val="en-US" w:eastAsia="zh-CN"/>
        </w:rPr>
        <w:t xml:space="preserve">  </w:t>
      </w:r>
      <w:r>
        <w:rPr>
          <w:rFonts w:hint="eastAsia" w:ascii="宋体" w:hAnsi="宋体" w:eastAsia="宋体" w:cs="宋体"/>
          <w:bCs/>
          <w:color w:val="auto"/>
          <w:sz w:val="24"/>
          <w:highlight w:val="none"/>
          <w:shd w:val="clear" w:color="auto" w:fill="auto"/>
        </w:rPr>
        <w:t xml:space="preserve">； </w:t>
      </w:r>
    </w:p>
    <w:p w14:paraId="0FACAD86">
      <w:pPr>
        <w:keepNext w:val="0"/>
        <w:keepLines w:val="0"/>
        <w:pageBreakBefore w:val="0"/>
        <w:widowControl w:val="0"/>
        <w:tabs>
          <w:tab w:val="left" w:pos="426"/>
        </w:tabs>
        <w:kinsoku/>
        <w:wordWrap/>
        <w:overflowPunct/>
        <w:topLinePunct w:val="0"/>
        <w:bidi w:val="0"/>
        <w:spacing w:line="360" w:lineRule="auto"/>
        <w:ind w:left="0" w:leftChars="0" w:right="0" w:rightChars="0" w:firstLine="480" w:firstLineChars="200"/>
        <w:textAlignment w:val="auto"/>
        <w:outlineLvl w:val="9"/>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w:t>
      </w:r>
    </w:p>
    <w:p w14:paraId="0690E94B">
      <w:pPr>
        <w:keepNext w:val="0"/>
        <w:keepLines w:val="0"/>
        <w:pageBreakBefore w:val="0"/>
        <w:widowControl w:val="0"/>
        <w:tabs>
          <w:tab w:val="left" w:pos="426"/>
        </w:tabs>
        <w:kinsoku/>
        <w:wordWrap/>
        <w:overflowPunct/>
        <w:topLinePunct w:val="0"/>
        <w:bidi w:val="0"/>
        <w:spacing w:line="360" w:lineRule="auto"/>
        <w:ind w:left="0" w:leftChars="0" w:right="0" w:rightChars="0" w:firstLine="480" w:firstLineChars="200"/>
        <w:textAlignment w:val="auto"/>
        <w:outlineLvl w:val="9"/>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 xml:space="preserve">以上企业，不属于大企业的分支构，不存在控股股东为大企业的情形，也不存在与大企业的负责人为同一人的情形。 </w:t>
      </w:r>
    </w:p>
    <w:p w14:paraId="785D7F07">
      <w:pPr>
        <w:keepNext w:val="0"/>
        <w:keepLines w:val="0"/>
        <w:pageBreakBefore w:val="0"/>
        <w:widowControl w:val="0"/>
        <w:tabs>
          <w:tab w:val="left" w:pos="426"/>
        </w:tabs>
        <w:kinsoku/>
        <w:wordWrap/>
        <w:overflowPunct/>
        <w:topLinePunct w:val="0"/>
        <w:bidi w:val="0"/>
        <w:spacing w:line="360" w:lineRule="auto"/>
        <w:ind w:left="0" w:leftChars="0" w:right="0" w:rightChars="0" w:firstLine="480" w:firstLineChars="200"/>
        <w:textAlignment w:val="auto"/>
        <w:outlineLvl w:val="9"/>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本企业对上述声明内容的真实性负责。如有虚假，将依法承担相应责任。</w:t>
      </w:r>
    </w:p>
    <w:p w14:paraId="42626460">
      <w:pPr>
        <w:keepNext w:val="0"/>
        <w:keepLines w:val="0"/>
        <w:pageBreakBefore w:val="0"/>
        <w:widowControl w:val="0"/>
        <w:tabs>
          <w:tab w:val="left" w:pos="426"/>
        </w:tabs>
        <w:kinsoku/>
        <w:wordWrap/>
        <w:overflowPunct/>
        <w:topLinePunct w:val="0"/>
        <w:bidi w:val="0"/>
        <w:spacing w:line="360" w:lineRule="auto"/>
        <w:ind w:left="0" w:leftChars="0" w:right="0" w:rightChars="0" w:firstLine="5520" w:firstLineChars="2300"/>
        <w:textAlignment w:val="auto"/>
        <w:outlineLvl w:val="9"/>
        <w:rPr>
          <w:rFonts w:hint="eastAsia" w:ascii="宋体" w:hAnsi="宋体" w:eastAsia="宋体" w:cs="宋体"/>
          <w:bCs/>
          <w:color w:val="auto"/>
          <w:sz w:val="24"/>
          <w:highlight w:val="none"/>
          <w:shd w:val="clear" w:color="auto" w:fill="auto"/>
        </w:rPr>
      </w:pPr>
    </w:p>
    <w:p w14:paraId="3FEC20FB">
      <w:pPr>
        <w:keepNext w:val="0"/>
        <w:keepLines w:val="0"/>
        <w:pageBreakBefore w:val="0"/>
        <w:widowControl w:val="0"/>
        <w:tabs>
          <w:tab w:val="left" w:pos="426"/>
        </w:tabs>
        <w:kinsoku/>
        <w:wordWrap/>
        <w:overflowPunct/>
        <w:topLinePunct w:val="0"/>
        <w:bidi w:val="0"/>
        <w:spacing w:line="360" w:lineRule="auto"/>
        <w:ind w:left="0" w:leftChars="0" w:right="0" w:rightChars="0" w:firstLine="5520" w:firstLineChars="2300"/>
        <w:textAlignment w:val="auto"/>
        <w:outlineLvl w:val="9"/>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 xml:space="preserve">企业名称（盖章）： </w:t>
      </w:r>
    </w:p>
    <w:p w14:paraId="39D1362E">
      <w:pPr>
        <w:keepNext w:val="0"/>
        <w:keepLines w:val="0"/>
        <w:pageBreakBefore w:val="0"/>
        <w:widowControl w:val="0"/>
        <w:tabs>
          <w:tab w:val="left" w:pos="426"/>
        </w:tabs>
        <w:kinsoku/>
        <w:wordWrap/>
        <w:overflowPunct/>
        <w:topLinePunct w:val="0"/>
        <w:bidi w:val="0"/>
        <w:spacing w:line="360" w:lineRule="auto"/>
        <w:ind w:left="0" w:leftChars="0" w:right="0" w:rightChars="0" w:firstLine="5520" w:firstLineChars="2300"/>
        <w:textAlignment w:val="auto"/>
        <w:outlineLvl w:val="9"/>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日 期：</w:t>
      </w:r>
    </w:p>
    <w:p w14:paraId="25EFCF6B">
      <w:pPr>
        <w:pStyle w:val="5"/>
        <w:keepNext w:val="0"/>
        <w:keepLines w:val="0"/>
        <w:pageBreakBefore w:val="0"/>
        <w:widowControl w:val="0"/>
        <w:kinsoku/>
        <w:wordWrap/>
        <w:overflowPunct/>
        <w:topLinePunct w:val="0"/>
        <w:bidi w:val="0"/>
        <w:spacing w:after="0" w:line="360" w:lineRule="auto"/>
        <w:ind w:left="0" w:leftChars="0" w:right="0" w:rightChars="0"/>
        <w:textAlignment w:val="auto"/>
        <w:outlineLvl w:val="9"/>
        <w:rPr>
          <w:rFonts w:hint="eastAsia" w:ascii="宋体" w:hAnsi="宋体" w:eastAsia="宋体" w:cs="宋体"/>
          <w:color w:val="auto"/>
          <w:sz w:val="24"/>
          <w:highlight w:val="none"/>
          <w:shd w:val="clear" w:color="auto" w:fill="auto"/>
          <w:lang w:val="en-US" w:eastAsia="zh-CN"/>
        </w:rPr>
      </w:pPr>
    </w:p>
    <w:p w14:paraId="110841C8">
      <w:pPr>
        <w:pStyle w:val="5"/>
        <w:keepNext w:val="0"/>
        <w:keepLines w:val="0"/>
        <w:pageBreakBefore w:val="0"/>
        <w:widowControl w:val="0"/>
        <w:kinsoku/>
        <w:wordWrap/>
        <w:overflowPunct/>
        <w:topLinePunct w:val="0"/>
        <w:bidi w:val="0"/>
        <w:spacing w:after="0" w:line="360" w:lineRule="auto"/>
        <w:ind w:left="0" w:leftChars="0" w:right="0" w:rightChars="0"/>
        <w:textAlignment w:val="auto"/>
        <w:outlineLvl w:val="9"/>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注：①从业人员、营业收入、资产总额填报上一年度数据，无上一年度数据的新成立企业可不填报。</w:t>
      </w:r>
    </w:p>
    <w:p w14:paraId="48E43665">
      <w:pPr>
        <w:pStyle w:val="5"/>
        <w:keepNext w:val="0"/>
        <w:keepLines w:val="0"/>
        <w:pageBreakBefore w:val="0"/>
        <w:widowControl w:val="0"/>
        <w:kinsoku/>
        <w:wordWrap/>
        <w:overflowPunct/>
        <w:topLinePunct w:val="0"/>
        <w:bidi w:val="0"/>
        <w:spacing w:after="0" w:line="360" w:lineRule="auto"/>
        <w:ind w:left="0" w:leftChars="0" w:right="0" w:rightChars="0"/>
        <w:textAlignment w:val="auto"/>
        <w:outlineLvl w:val="9"/>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②上述“企业名称（盖章）”指投标人。</w:t>
      </w:r>
    </w:p>
    <w:p w14:paraId="7BA099E0">
      <w:pPr>
        <w:pStyle w:val="5"/>
        <w:keepNext w:val="0"/>
        <w:keepLines w:val="0"/>
        <w:pageBreakBefore w:val="0"/>
        <w:widowControl w:val="0"/>
        <w:kinsoku/>
        <w:wordWrap/>
        <w:overflowPunct/>
        <w:topLinePunct w:val="0"/>
        <w:bidi w:val="0"/>
        <w:spacing w:after="0" w:line="360" w:lineRule="auto"/>
        <w:ind w:left="0" w:leftChars="0" w:right="0" w:rightChars="0"/>
        <w:textAlignment w:val="auto"/>
        <w:outlineLvl w:val="9"/>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③如不是中小微企业，则无需提供或填写。</w:t>
      </w:r>
    </w:p>
    <w:p w14:paraId="4C0E753E">
      <w:pPr>
        <w:pStyle w:val="5"/>
        <w:keepNext w:val="0"/>
        <w:keepLines w:val="0"/>
        <w:pageBreakBefore w:val="0"/>
        <w:widowControl w:val="0"/>
        <w:kinsoku/>
        <w:wordWrap/>
        <w:overflowPunct/>
        <w:topLinePunct w:val="0"/>
        <w:bidi w:val="0"/>
        <w:spacing w:after="0" w:line="360" w:lineRule="auto"/>
        <w:ind w:left="0" w:leftChars="0" w:right="0" w:rightChars="0"/>
        <w:textAlignment w:val="auto"/>
        <w:outlineLvl w:val="9"/>
        <w:rPr>
          <w:rFonts w:hint="eastAsia" w:ascii="宋体" w:hAnsi="宋体" w:eastAsia="宋体" w:cs="宋体"/>
          <w:color w:val="auto"/>
          <w:sz w:val="24"/>
          <w:highlight w:val="none"/>
          <w:shd w:val="clear" w:color="auto" w:fill="auto"/>
          <w:lang w:val="en-US" w:eastAsia="zh-CN"/>
        </w:rPr>
      </w:pPr>
    </w:p>
    <w:p w14:paraId="22A9732D">
      <w:pPr>
        <w:pStyle w:val="5"/>
        <w:keepNext w:val="0"/>
        <w:keepLines w:val="0"/>
        <w:pageBreakBefore w:val="0"/>
        <w:widowControl w:val="0"/>
        <w:kinsoku/>
        <w:wordWrap/>
        <w:overflowPunct/>
        <w:topLinePunct w:val="0"/>
        <w:bidi w:val="0"/>
        <w:spacing w:after="0" w:line="360" w:lineRule="auto"/>
        <w:ind w:left="0" w:leftChars="0" w:right="0" w:rightChars="0"/>
        <w:textAlignment w:val="auto"/>
        <w:outlineLvl w:val="9"/>
        <w:rPr>
          <w:rFonts w:hint="eastAsia" w:ascii="宋体" w:hAnsi="宋体" w:eastAsia="宋体" w:cs="宋体"/>
          <w:color w:val="auto"/>
          <w:sz w:val="24"/>
          <w:highlight w:val="none"/>
          <w:shd w:val="clear" w:color="auto" w:fill="auto"/>
          <w:lang w:val="en-US" w:eastAsia="zh-CN"/>
        </w:rPr>
      </w:pPr>
    </w:p>
    <w:p w14:paraId="150127AA">
      <w:pPr>
        <w:keepNext w:val="0"/>
        <w:keepLines w:val="0"/>
        <w:pageBreakBefore w:val="0"/>
        <w:widowControl w:val="0"/>
        <w:tabs>
          <w:tab w:val="left" w:pos="426"/>
        </w:tabs>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b/>
          <w:color w:val="auto"/>
          <w:sz w:val="28"/>
          <w:szCs w:val="28"/>
          <w:highlight w:val="none"/>
          <w:shd w:val="clear" w:color="auto" w:fill="auto"/>
          <w:lang w:eastAsia="zh-CN"/>
        </w:rPr>
      </w:pPr>
      <w:r>
        <w:rPr>
          <w:rFonts w:hint="eastAsia" w:ascii="宋体" w:hAnsi="宋体" w:eastAsia="宋体" w:cs="宋体"/>
          <w:b/>
          <w:color w:val="auto"/>
          <w:sz w:val="28"/>
          <w:szCs w:val="28"/>
          <w:highlight w:val="none"/>
          <w:shd w:val="clear" w:color="auto" w:fill="auto"/>
          <w:lang w:eastAsia="zh-CN"/>
        </w:rPr>
        <w:t>（</w:t>
      </w:r>
      <w:r>
        <w:rPr>
          <w:rFonts w:hint="eastAsia" w:ascii="宋体" w:hAnsi="宋体" w:eastAsia="宋体" w:cs="宋体"/>
          <w:b/>
          <w:color w:val="auto"/>
          <w:sz w:val="28"/>
          <w:szCs w:val="28"/>
          <w:highlight w:val="none"/>
          <w:shd w:val="clear" w:color="auto" w:fill="auto"/>
          <w:lang w:val="en-US" w:eastAsia="zh-CN"/>
        </w:rPr>
        <w:t>2</w:t>
      </w:r>
      <w:r>
        <w:rPr>
          <w:rFonts w:hint="eastAsia" w:ascii="宋体" w:hAnsi="宋体" w:eastAsia="宋体" w:cs="宋体"/>
          <w:b/>
          <w:color w:val="auto"/>
          <w:sz w:val="28"/>
          <w:szCs w:val="28"/>
          <w:highlight w:val="none"/>
          <w:shd w:val="clear" w:color="auto" w:fill="auto"/>
          <w:lang w:eastAsia="zh-CN"/>
        </w:rPr>
        <w:t>）监狱企业证明文件</w:t>
      </w:r>
    </w:p>
    <w:p w14:paraId="72319403">
      <w:pPr>
        <w:keepNext w:val="0"/>
        <w:keepLines w:val="0"/>
        <w:pageBreakBefore w:val="0"/>
        <w:widowControl w:val="0"/>
        <w:kinsoku/>
        <w:wordWrap/>
        <w:overflowPunct/>
        <w:topLinePunct w:val="0"/>
        <w:bidi w:val="0"/>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ED13BCF">
      <w:pPr>
        <w:keepNext w:val="0"/>
        <w:keepLines w:val="0"/>
        <w:pageBreakBefore w:val="0"/>
        <w:widowControl w:val="0"/>
        <w:kinsoku/>
        <w:wordWrap/>
        <w:overflowPunct/>
        <w:topLinePunct w:val="0"/>
        <w:bidi w:val="0"/>
        <w:spacing w:line="360" w:lineRule="auto"/>
        <w:ind w:left="0" w:leftChars="0" w:right="0" w:rightChars="0" w:firstLine="360" w:firstLineChars="150"/>
        <w:jc w:val="left"/>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u w:val="single"/>
          <w:shd w:val="clear" w:color="auto" w:fill="auto"/>
        </w:rPr>
        <w:t>监狱企业参加政府采购活动时，应当提供由省级以上监狱管理局、戒毒管理局（含新疆生产建设兵团）出具的属于监狱企业的证明文件。</w:t>
      </w:r>
    </w:p>
    <w:p w14:paraId="286C847E">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pacing w:val="6"/>
          <w:sz w:val="24"/>
          <w:highlight w:val="none"/>
          <w:shd w:val="clear" w:color="auto" w:fill="auto"/>
        </w:rPr>
        <w:t>（注：不属于的无需提供）</w:t>
      </w:r>
    </w:p>
    <w:p w14:paraId="6A62B303">
      <w:pPr>
        <w:keepNext w:val="0"/>
        <w:keepLines w:val="0"/>
        <w:pageBreakBefore w:val="0"/>
        <w:widowControl w:val="0"/>
        <w:kinsoku/>
        <w:wordWrap/>
        <w:overflowPunct/>
        <w:topLinePunct w:val="0"/>
        <w:bidi w:val="0"/>
        <w:spacing w:line="360" w:lineRule="auto"/>
        <w:ind w:left="0" w:leftChars="0" w:right="0" w:rightChars="0" w:firstLine="472" w:firstLineChars="196"/>
        <w:textAlignment w:val="auto"/>
        <w:outlineLvl w:val="9"/>
        <w:rPr>
          <w:rFonts w:hint="eastAsia" w:ascii="宋体" w:hAnsi="宋体" w:eastAsia="宋体" w:cs="宋体"/>
          <w:b/>
          <w:color w:val="auto"/>
          <w:kern w:val="0"/>
          <w:sz w:val="24"/>
          <w:highlight w:val="none"/>
          <w:shd w:val="clear" w:color="auto" w:fill="auto"/>
          <w:lang w:bidi="en-US"/>
        </w:rPr>
      </w:pPr>
    </w:p>
    <w:p w14:paraId="2A5300AE">
      <w:pPr>
        <w:pStyle w:val="5"/>
        <w:pageBreakBefore w:val="0"/>
        <w:kinsoku/>
        <w:overflowPunct/>
        <w:bidi w:val="0"/>
        <w:spacing w:line="360" w:lineRule="auto"/>
        <w:rPr>
          <w:rFonts w:hint="eastAsia" w:ascii="宋体" w:hAnsi="宋体" w:eastAsia="宋体" w:cs="宋体"/>
          <w:b/>
          <w:color w:val="auto"/>
          <w:kern w:val="0"/>
          <w:sz w:val="24"/>
          <w:highlight w:val="none"/>
          <w:shd w:val="clear" w:color="auto" w:fill="auto"/>
          <w:lang w:bidi="en-US"/>
        </w:rPr>
      </w:pPr>
    </w:p>
    <w:p w14:paraId="23840853">
      <w:pPr>
        <w:pageBreakBefore w:val="0"/>
        <w:kinsoku/>
        <w:overflowPunct/>
        <w:bidi w:val="0"/>
        <w:spacing w:line="360" w:lineRule="auto"/>
        <w:rPr>
          <w:rFonts w:hint="eastAsia" w:ascii="宋体" w:hAnsi="宋体" w:eastAsia="宋体" w:cs="宋体"/>
          <w:b/>
          <w:color w:val="auto"/>
          <w:kern w:val="0"/>
          <w:sz w:val="24"/>
          <w:highlight w:val="none"/>
          <w:shd w:val="clear" w:color="auto" w:fill="auto"/>
          <w:lang w:bidi="en-US"/>
        </w:rPr>
      </w:pPr>
    </w:p>
    <w:p w14:paraId="7AFA6964">
      <w:pPr>
        <w:pStyle w:val="5"/>
        <w:pageBreakBefore w:val="0"/>
        <w:kinsoku/>
        <w:overflowPunct/>
        <w:bidi w:val="0"/>
        <w:spacing w:line="360" w:lineRule="auto"/>
        <w:rPr>
          <w:rFonts w:hint="eastAsia" w:ascii="宋体" w:hAnsi="宋体" w:eastAsia="宋体" w:cs="宋体"/>
          <w:color w:val="auto"/>
        </w:rPr>
      </w:pPr>
    </w:p>
    <w:p w14:paraId="04F37595">
      <w:pPr>
        <w:keepNext w:val="0"/>
        <w:keepLines w:val="0"/>
        <w:pageBreakBefore w:val="0"/>
        <w:widowControl w:val="0"/>
        <w:numPr>
          <w:ilvl w:val="0"/>
          <w:numId w:val="10"/>
        </w:numPr>
        <w:tabs>
          <w:tab w:val="left" w:pos="426"/>
        </w:tabs>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b/>
          <w:color w:val="auto"/>
          <w:sz w:val="28"/>
          <w:szCs w:val="28"/>
          <w:highlight w:val="none"/>
          <w:shd w:val="clear" w:color="auto" w:fill="auto"/>
          <w:lang w:eastAsia="zh-CN"/>
        </w:rPr>
      </w:pPr>
      <w:r>
        <w:rPr>
          <w:rFonts w:hint="eastAsia" w:ascii="宋体" w:hAnsi="宋体" w:eastAsia="宋体" w:cs="宋体"/>
          <w:b/>
          <w:color w:val="auto"/>
          <w:sz w:val="28"/>
          <w:szCs w:val="28"/>
          <w:highlight w:val="none"/>
          <w:shd w:val="clear" w:color="auto" w:fill="auto"/>
          <w:lang w:eastAsia="zh-CN"/>
        </w:rPr>
        <w:t>残疾人福利性单位声明函</w:t>
      </w:r>
    </w:p>
    <w:p w14:paraId="41C663E6">
      <w:pPr>
        <w:keepNext w:val="0"/>
        <w:keepLines w:val="0"/>
        <w:pageBreakBefore w:val="0"/>
        <w:widowControl w:val="0"/>
        <w:kinsoku/>
        <w:wordWrap/>
        <w:overflowPunct/>
        <w:topLinePunct w:val="0"/>
        <w:bidi w:val="0"/>
        <w:spacing w:line="360" w:lineRule="auto"/>
        <w:ind w:left="0" w:leftChars="0" w:right="0" w:rightChars="0" w:firstLine="470" w:firstLineChars="196"/>
        <w:textAlignment w:val="auto"/>
        <w:outlineLvl w:val="9"/>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本单位郑重声明，根据《财政部民政部中国残疾人联合会关于促进残疾人就业政府采购政策的通知》（财库〔2017〕141号）的规定，本单位为符合条件的残疾人福利性单位，且本单位参加</w:t>
      </w:r>
      <w:r>
        <w:rPr>
          <w:rFonts w:hint="eastAsia" w:ascii="宋体" w:hAnsi="宋体" w:eastAsia="宋体" w:cs="宋体"/>
          <w:bCs/>
          <w:color w:val="auto"/>
          <w:sz w:val="24"/>
          <w:highlight w:val="none"/>
          <w:u w:val="single"/>
          <w:shd w:val="clear" w:color="auto" w:fill="auto"/>
        </w:rPr>
        <w:t xml:space="preserve">   （采购人名称）</w:t>
      </w:r>
      <w:r>
        <w:rPr>
          <w:rFonts w:hint="eastAsia" w:ascii="宋体" w:hAnsi="宋体" w:eastAsia="宋体" w:cs="宋体"/>
          <w:bCs/>
          <w:color w:val="auto"/>
          <w:sz w:val="24"/>
          <w:highlight w:val="none"/>
          <w:shd w:val="clear" w:color="auto" w:fill="auto"/>
        </w:rPr>
        <w:t>单位的</w:t>
      </w:r>
      <w:r>
        <w:rPr>
          <w:rFonts w:hint="eastAsia" w:ascii="宋体" w:hAnsi="宋体" w:eastAsia="宋体" w:cs="宋体"/>
          <w:bCs/>
          <w:color w:val="auto"/>
          <w:sz w:val="24"/>
          <w:highlight w:val="none"/>
          <w:u w:val="single"/>
          <w:shd w:val="clear" w:color="auto" w:fill="auto"/>
        </w:rPr>
        <w:t xml:space="preserve">     （项目名称）</w:t>
      </w:r>
      <w:r>
        <w:rPr>
          <w:rFonts w:hint="eastAsia" w:ascii="宋体" w:hAnsi="宋体" w:eastAsia="宋体" w:cs="宋体"/>
          <w:bCs/>
          <w:color w:val="auto"/>
          <w:sz w:val="24"/>
          <w:highlight w:val="none"/>
          <w:shd w:val="clear" w:color="auto" w:fill="auto"/>
        </w:rPr>
        <w:t>项目采购活动提供本单位制造的货物（由本单位承担工程/提供服务），或者提供其他残疾人福利性单位制造的货物（不包括使用非残疾人福利性单位注册商标的货物）。</w:t>
      </w:r>
    </w:p>
    <w:p w14:paraId="3D00AFE7">
      <w:pPr>
        <w:keepNext w:val="0"/>
        <w:keepLines w:val="0"/>
        <w:pageBreakBefore w:val="0"/>
        <w:widowControl w:val="0"/>
        <w:kinsoku/>
        <w:wordWrap/>
        <w:overflowPunct/>
        <w:topLinePunct w:val="0"/>
        <w:bidi w:val="0"/>
        <w:spacing w:line="360" w:lineRule="auto"/>
        <w:ind w:left="0" w:leftChars="0" w:right="0" w:rightChars="0" w:firstLine="470" w:firstLineChars="196"/>
        <w:textAlignment w:val="auto"/>
        <w:outlineLvl w:val="9"/>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本单位对上述声明的真实性负责。如有虚假，将依法承担相应责任。</w:t>
      </w:r>
    </w:p>
    <w:p w14:paraId="29BCA35F">
      <w:pPr>
        <w:keepNext w:val="0"/>
        <w:keepLines w:val="0"/>
        <w:pageBreakBefore w:val="0"/>
        <w:widowControl w:val="0"/>
        <w:kinsoku/>
        <w:wordWrap/>
        <w:overflowPunct/>
        <w:topLinePunct w:val="0"/>
        <w:bidi w:val="0"/>
        <w:spacing w:line="360" w:lineRule="auto"/>
        <w:ind w:left="0" w:leftChars="0" w:right="0" w:rightChars="0" w:firstLine="480" w:firstLineChars="200"/>
        <w:textAlignment w:val="auto"/>
        <w:outlineLvl w:val="9"/>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 xml:space="preserve">单位名称（盖章）： </w:t>
      </w:r>
    </w:p>
    <w:p w14:paraId="13D77F0A">
      <w:pPr>
        <w:keepNext w:val="0"/>
        <w:keepLines w:val="0"/>
        <w:pageBreakBefore w:val="0"/>
        <w:widowControl w:val="0"/>
        <w:kinsoku/>
        <w:wordWrap/>
        <w:overflowPunct/>
        <w:topLinePunct w:val="0"/>
        <w:bidi w:val="0"/>
        <w:spacing w:line="360" w:lineRule="auto"/>
        <w:ind w:left="0" w:leftChars="0" w:right="0" w:rightChars="0" w:firstLine="480" w:firstLineChars="200"/>
        <w:textAlignment w:val="auto"/>
        <w:outlineLvl w:val="9"/>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日  期：</w:t>
      </w:r>
    </w:p>
    <w:p w14:paraId="108BE15D">
      <w:pPr>
        <w:pStyle w:val="5"/>
        <w:pageBreakBefore w:val="0"/>
        <w:kinsoku/>
        <w:overflowPunct/>
        <w:bidi w:val="0"/>
        <w:spacing w:line="360" w:lineRule="auto"/>
        <w:jc w:val="center"/>
        <w:rPr>
          <w:rFonts w:hint="eastAsia" w:ascii="宋体" w:hAnsi="宋体" w:eastAsia="宋体" w:cs="宋体"/>
          <w:color w:val="auto"/>
        </w:rPr>
      </w:pPr>
      <w:r>
        <w:rPr>
          <w:rFonts w:hint="eastAsia" w:ascii="宋体" w:hAnsi="宋体" w:eastAsia="宋体" w:cs="宋体"/>
          <w:color w:val="auto"/>
          <w:spacing w:val="6"/>
          <w:sz w:val="24"/>
          <w:highlight w:val="none"/>
          <w:shd w:val="clear" w:color="auto" w:fill="auto"/>
        </w:rPr>
        <w:t>（注：不属于的无需提供）</w:t>
      </w:r>
    </w:p>
    <w:p w14:paraId="02709570">
      <w:pPr>
        <w:pStyle w:val="5"/>
        <w:pageBreakBefore w:val="0"/>
        <w:numPr>
          <w:ilvl w:val="0"/>
          <w:numId w:val="0"/>
        </w:numPr>
        <w:kinsoku/>
        <w:overflowPunct/>
        <w:bidi w:val="0"/>
        <w:spacing w:line="360" w:lineRule="auto"/>
        <w:rPr>
          <w:rFonts w:hint="eastAsia" w:ascii="宋体" w:hAnsi="宋体" w:eastAsia="宋体" w:cs="宋体"/>
          <w:b/>
          <w:bCs/>
          <w:color w:val="auto"/>
          <w:sz w:val="24"/>
          <w:szCs w:val="24"/>
          <w:highlight w:val="none"/>
          <w:lang w:val="en-US" w:eastAsia="zh-CN"/>
        </w:rPr>
      </w:pPr>
    </w:p>
    <w:p w14:paraId="5BD44DB1">
      <w:pPr>
        <w:pageBreakBefore w:val="0"/>
        <w:kinsoku/>
        <w:overflowPunct/>
        <w:bidi w:val="0"/>
        <w:spacing w:line="360" w:lineRule="auto"/>
        <w:rPr>
          <w:rFonts w:hint="eastAsia" w:ascii="宋体" w:hAnsi="宋体" w:eastAsia="宋体" w:cs="宋体"/>
          <w:b/>
          <w:color w:val="auto"/>
          <w:sz w:val="24"/>
          <w:szCs w:val="24"/>
          <w:highlight w:val="none"/>
          <w:shd w:val="clear" w:color="auto" w:fill="FFFFFF"/>
          <w:lang w:val="en-US" w:eastAsia="zh-CN"/>
        </w:rPr>
      </w:pPr>
    </w:p>
    <w:p w14:paraId="47D28F0D">
      <w:pPr>
        <w:pageBreakBefore w:val="0"/>
        <w:kinsoku/>
        <w:overflowPunct/>
        <w:bidi w:val="0"/>
        <w:spacing w:after="100" w:afterAutospacing="1" w:line="360" w:lineRule="auto"/>
        <w:jc w:val="center"/>
        <w:rPr>
          <w:rFonts w:hint="eastAsia" w:ascii="宋体" w:hAnsi="宋体" w:eastAsia="宋体" w:cs="宋体"/>
          <w:b/>
          <w:color w:val="auto"/>
          <w:sz w:val="28"/>
          <w:szCs w:val="28"/>
          <w:highlight w:val="none"/>
          <w:shd w:val="clear" w:color="auto" w:fill="FFFFFF" w:themeFill="background1"/>
        </w:rPr>
      </w:pPr>
      <w:r>
        <w:rPr>
          <w:rFonts w:hint="eastAsia" w:ascii="宋体" w:hAnsi="宋体" w:eastAsia="宋体" w:cs="宋体"/>
          <w:b/>
          <w:color w:val="auto"/>
          <w:sz w:val="24"/>
          <w:szCs w:val="24"/>
          <w:highlight w:val="none"/>
          <w:shd w:val="clear" w:color="auto" w:fill="FFFFFF"/>
          <w:lang w:val="en-US" w:eastAsia="zh-CN"/>
        </w:rPr>
        <w:br w:type="page"/>
      </w:r>
      <w:r>
        <w:rPr>
          <w:rFonts w:hint="eastAsia" w:ascii="宋体" w:hAnsi="宋体" w:eastAsia="宋体" w:cs="宋体"/>
          <w:b/>
          <w:color w:val="auto"/>
          <w:sz w:val="28"/>
          <w:szCs w:val="28"/>
          <w:highlight w:val="none"/>
          <w:shd w:val="clear" w:color="auto" w:fill="FFFFFF" w:themeFill="background1"/>
          <w:lang w:val="en-US" w:eastAsia="zh-CN"/>
        </w:rPr>
        <w:t>（五）</w:t>
      </w:r>
      <w:r>
        <w:rPr>
          <w:rFonts w:hint="eastAsia" w:ascii="宋体" w:hAnsi="宋体" w:eastAsia="宋体" w:cs="宋体"/>
          <w:b/>
          <w:color w:val="auto"/>
          <w:sz w:val="28"/>
          <w:szCs w:val="28"/>
          <w:highlight w:val="none"/>
          <w:shd w:val="clear" w:color="auto" w:fill="FFFFFF" w:themeFill="background1"/>
        </w:rPr>
        <w:t>关于符合本国产品标准的声明函</w:t>
      </w:r>
    </w:p>
    <w:p w14:paraId="73C6C5B4">
      <w:pPr>
        <w:pageBreakBefore w:val="0"/>
        <w:kinsoku/>
        <w:overflowPunct/>
        <w:bidi w:val="0"/>
        <w:spacing w:line="360" w:lineRule="auto"/>
        <w:ind w:firstLine="480" w:firstLineChars="200"/>
        <w:rPr>
          <w:rFonts w:hint="eastAsia" w:ascii="宋体" w:hAnsi="宋体" w:eastAsia="宋体" w:cs="宋体"/>
          <w:bCs/>
          <w:color w:val="auto"/>
          <w:sz w:val="24"/>
          <w:szCs w:val="24"/>
          <w:highlight w:val="none"/>
          <w:shd w:val="clear" w:color="auto" w:fill="FFFFFF" w:themeFill="background1"/>
        </w:rPr>
      </w:pPr>
      <w:r>
        <w:rPr>
          <w:rFonts w:hint="eastAsia" w:ascii="宋体" w:hAnsi="宋体" w:eastAsia="宋体" w:cs="宋体"/>
          <w:bCs/>
          <w:color w:val="auto"/>
          <w:sz w:val="24"/>
          <w:szCs w:val="24"/>
          <w:highlight w:val="none"/>
          <w:shd w:val="clear" w:color="auto" w:fill="FFFFFF" w:themeFill="background1"/>
        </w:rPr>
        <w:t>本公司（单位）郑重声明，根据</w:t>
      </w:r>
      <w:bookmarkStart w:id="219" w:name="OLE_LINK3"/>
      <w:r>
        <w:rPr>
          <w:rFonts w:hint="eastAsia" w:ascii="宋体" w:hAnsi="宋体" w:eastAsia="宋体" w:cs="宋体"/>
          <w:bCs/>
          <w:color w:val="auto"/>
          <w:sz w:val="24"/>
          <w:szCs w:val="24"/>
          <w:highlight w:val="none"/>
          <w:shd w:val="clear" w:color="auto" w:fill="FFFFFF" w:themeFill="background1"/>
        </w:rPr>
        <w:t>《国务院办公厅关于在政府采购中实施本国产品标准及相关政策的通知》（国办发〔2025〕34号）</w:t>
      </w:r>
      <w:bookmarkEnd w:id="219"/>
      <w:r>
        <w:rPr>
          <w:rFonts w:hint="eastAsia" w:ascii="宋体" w:hAnsi="宋体" w:eastAsia="宋体" w:cs="宋体"/>
          <w:bCs/>
          <w:color w:val="auto"/>
          <w:sz w:val="24"/>
          <w:szCs w:val="24"/>
          <w:highlight w:val="none"/>
          <w:shd w:val="clear" w:color="auto" w:fill="FFFFFF" w:themeFill="background1"/>
        </w:rPr>
        <w:t>的规定，本公司（单位）提供的以下产品属于本国产品。具体情况如下：</w:t>
      </w:r>
    </w:p>
    <w:p w14:paraId="2B9B7E62">
      <w:pPr>
        <w:pageBreakBefore w:val="0"/>
        <w:kinsoku/>
        <w:overflowPunct/>
        <w:bidi w:val="0"/>
        <w:spacing w:line="360" w:lineRule="auto"/>
        <w:ind w:firstLine="480" w:firstLineChars="200"/>
        <w:rPr>
          <w:rFonts w:hint="eastAsia" w:ascii="宋体" w:hAnsi="宋体" w:eastAsia="宋体" w:cs="宋体"/>
          <w:bCs/>
          <w:color w:val="auto"/>
          <w:sz w:val="24"/>
          <w:szCs w:val="24"/>
          <w:highlight w:val="none"/>
          <w:shd w:val="clear" w:color="auto" w:fill="FFFFFF" w:themeFill="background1"/>
        </w:rPr>
      </w:pPr>
      <w:r>
        <w:rPr>
          <w:rFonts w:hint="eastAsia" w:ascii="宋体" w:hAnsi="宋体" w:eastAsia="宋体" w:cs="宋体"/>
          <w:bCs/>
          <w:color w:val="auto"/>
          <w:sz w:val="24"/>
          <w:szCs w:val="24"/>
          <w:highlight w:val="none"/>
          <w:shd w:val="clear" w:color="auto" w:fill="FFFFFF" w:themeFill="background1"/>
        </w:rPr>
        <w:t>1.（产品名称1）</w:t>
      </w:r>
      <w:r>
        <w:rPr>
          <w:rFonts w:hint="eastAsia" w:ascii="宋体" w:hAnsi="宋体" w:eastAsia="宋体" w:cs="宋体"/>
          <w:bCs/>
          <w:color w:val="auto"/>
          <w:sz w:val="24"/>
          <w:szCs w:val="24"/>
          <w:highlight w:val="none"/>
          <w:u w:val="single"/>
          <w:shd w:val="clear" w:color="auto" w:fill="FFFFFF" w:themeFill="background1"/>
        </w:rPr>
        <w:t xml:space="preserve">      </w:t>
      </w:r>
      <w:r>
        <w:rPr>
          <w:rFonts w:hint="eastAsia" w:ascii="宋体" w:hAnsi="宋体" w:eastAsia="宋体" w:cs="宋体"/>
          <w:bCs/>
          <w:color w:val="auto"/>
          <w:sz w:val="24"/>
          <w:szCs w:val="24"/>
          <w:highlight w:val="none"/>
          <w:shd w:val="clear" w:color="auto" w:fill="FFFFFF" w:themeFill="background1"/>
        </w:rPr>
        <w:t>，生产厂为（厂名）</w:t>
      </w:r>
      <w:r>
        <w:rPr>
          <w:rFonts w:hint="eastAsia" w:ascii="宋体" w:hAnsi="宋体" w:eastAsia="宋体" w:cs="宋体"/>
          <w:bCs/>
          <w:color w:val="auto"/>
          <w:sz w:val="24"/>
          <w:szCs w:val="24"/>
          <w:highlight w:val="none"/>
          <w:u w:val="single"/>
          <w:shd w:val="clear" w:color="auto" w:fill="FFFFFF" w:themeFill="background1"/>
        </w:rPr>
        <w:t xml:space="preserve">      </w:t>
      </w:r>
      <w:r>
        <w:rPr>
          <w:rFonts w:hint="eastAsia" w:ascii="宋体" w:hAnsi="宋体" w:eastAsia="宋体" w:cs="宋体"/>
          <w:bCs/>
          <w:color w:val="auto"/>
          <w:sz w:val="24"/>
          <w:szCs w:val="24"/>
          <w:highlight w:val="none"/>
          <w:shd w:val="clear" w:color="auto" w:fill="FFFFFF" w:themeFill="background1"/>
        </w:rPr>
        <w:t>，厂址为（生产厂址）</w:t>
      </w:r>
      <w:r>
        <w:rPr>
          <w:rFonts w:hint="eastAsia" w:ascii="宋体" w:hAnsi="宋体" w:eastAsia="宋体" w:cs="宋体"/>
          <w:bCs/>
          <w:color w:val="auto"/>
          <w:sz w:val="24"/>
          <w:szCs w:val="24"/>
          <w:highlight w:val="none"/>
          <w:u w:val="single"/>
          <w:shd w:val="clear" w:color="auto" w:fill="FFFFFF" w:themeFill="background1"/>
        </w:rPr>
        <w:t xml:space="preserve">      </w:t>
      </w:r>
      <w:r>
        <w:rPr>
          <w:rFonts w:hint="eastAsia" w:ascii="宋体" w:hAnsi="宋体" w:eastAsia="宋体" w:cs="宋体"/>
          <w:bCs/>
          <w:color w:val="auto"/>
          <w:sz w:val="24"/>
          <w:szCs w:val="24"/>
          <w:highlight w:val="none"/>
          <w:shd w:val="clear" w:color="auto" w:fill="FFFFFF" w:themeFill="background1"/>
        </w:rPr>
        <w:t>。</w:t>
      </w:r>
    </w:p>
    <w:p w14:paraId="074C2FF9">
      <w:pPr>
        <w:pageBreakBefore w:val="0"/>
        <w:kinsoku/>
        <w:overflowPunct/>
        <w:bidi w:val="0"/>
        <w:spacing w:line="360" w:lineRule="auto"/>
        <w:ind w:firstLine="480" w:firstLineChars="200"/>
        <w:rPr>
          <w:rFonts w:hint="eastAsia" w:ascii="宋体" w:hAnsi="宋体" w:eastAsia="宋体" w:cs="宋体"/>
          <w:bCs/>
          <w:color w:val="auto"/>
          <w:sz w:val="24"/>
          <w:szCs w:val="24"/>
          <w:highlight w:val="none"/>
          <w:shd w:val="clear" w:color="auto" w:fill="FFFFFF" w:themeFill="background1"/>
        </w:rPr>
      </w:pPr>
      <w:r>
        <w:rPr>
          <w:rFonts w:hint="eastAsia" w:ascii="宋体" w:hAnsi="宋体" w:eastAsia="宋体" w:cs="宋体"/>
          <w:bCs/>
          <w:color w:val="auto"/>
          <w:sz w:val="24"/>
          <w:szCs w:val="24"/>
          <w:highlight w:val="none"/>
          <w:shd w:val="clear" w:color="auto" w:fill="FFFFFF" w:themeFill="background1"/>
        </w:rPr>
        <w:t>（产品名称1）</w:t>
      </w:r>
      <w:r>
        <w:rPr>
          <w:rFonts w:hint="eastAsia" w:ascii="宋体" w:hAnsi="宋体" w:eastAsia="宋体" w:cs="宋体"/>
          <w:bCs/>
          <w:color w:val="auto"/>
          <w:sz w:val="24"/>
          <w:szCs w:val="24"/>
          <w:highlight w:val="none"/>
          <w:u w:val="single"/>
          <w:shd w:val="clear" w:color="auto" w:fill="FFFFFF" w:themeFill="background1"/>
        </w:rPr>
        <w:t xml:space="preserve">      </w:t>
      </w:r>
      <w:r>
        <w:rPr>
          <w:rFonts w:hint="eastAsia" w:ascii="宋体" w:hAnsi="宋体" w:eastAsia="宋体" w:cs="宋体"/>
          <w:bCs/>
          <w:color w:val="auto"/>
          <w:sz w:val="24"/>
          <w:szCs w:val="24"/>
          <w:highlight w:val="none"/>
          <w:shd w:val="clear" w:color="auto" w:fill="FFFFFF" w:themeFill="background1"/>
        </w:rPr>
        <w:t>的中国境内生产的组件成本占比≥</w:t>
      </w:r>
      <w:r>
        <w:rPr>
          <w:rFonts w:hint="eastAsia" w:ascii="宋体" w:hAnsi="宋体" w:eastAsia="宋体" w:cs="宋体"/>
          <w:bCs/>
          <w:color w:val="auto"/>
          <w:sz w:val="24"/>
          <w:szCs w:val="24"/>
          <w:highlight w:val="none"/>
          <w:u w:val="single"/>
          <w:shd w:val="clear" w:color="auto" w:fill="FFFFFF" w:themeFill="background1"/>
        </w:rPr>
        <w:t xml:space="preserve">       </w:t>
      </w:r>
      <w:r>
        <w:rPr>
          <w:rFonts w:hint="eastAsia" w:ascii="宋体" w:hAnsi="宋体" w:eastAsia="宋体" w:cs="宋体"/>
          <w:bCs/>
          <w:color w:val="auto"/>
          <w:sz w:val="24"/>
          <w:szCs w:val="24"/>
          <w:highlight w:val="none"/>
          <w:shd w:val="clear" w:color="auto" w:fill="FFFFFF" w:themeFill="background1"/>
        </w:rPr>
        <w:t>（规定比例）。</w:t>
      </w:r>
    </w:p>
    <w:p w14:paraId="10D92A0B">
      <w:pPr>
        <w:pageBreakBefore w:val="0"/>
        <w:kinsoku/>
        <w:overflowPunct/>
        <w:bidi w:val="0"/>
        <w:spacing w:line="360" w:lineRule="auto"/>
        <w:ind w:firstLine="480" w:firstLineChars="200"/>
        <w:rPr>
          <w:rFonts w:hint="eastAsia" w:ascii="宋体" w:hAnsi="宋体" w:eastAsia="宋体" w:cs="宋体"/>
          <w:bCs/>
          <w:color w:val="auto"/>
          <w:sz w:val="24"/>
          <w:szCs w:val="24"/>
          <w:highlight w:val="none"/>
          <w:shd w:val="clear" w:color="auto" w:fill="FFFFFF" w:themeFill="background1"/>
        </w:rPr>
      </w:pPr>
      <w:r>
        <w:rPr>
          <w:rFonts w:hint="eastAsia" w:ascii="宋体" w:hAnsi="宋体" w:eastAsia="宋体" w:cs="宋体"/>
          <w:bCs/>
          <w:color w:val="auto"/>
          <w:sz w:val="24"/>
          <w:szCs w:val="24"/>
          <w:highlight w:val="none"/>
          <w:shd w:val="clear" w:color="auto" w:fill="FFFFFF" w:themeFill="background1"/>
        </w:rPr>
        <w:t>（产品名称1）</w:t>
      </w:r>
      <w:r>
        <w:rPr>
          <w:rFonts w:hint="eastAsia" w:ascii="宋体" w:hAnsi="宋体" w:eastAsia="宋体" w:cs="宋体"/>
          <w:bCs/>
          <w:color w:val="auto"/>
          <w:sz w:val="24"/>
          <w:szCs w:val="24"/>
          <w:highlight w:val="none"/>
          <w:u w:val="single"/>
          <w:shd w:val="clear" w:color="auto" w:fill="FFFFFF" w:themeFill="background1"/>
        </w:rPr>
        <w:t xml:space="preserve">      </w:t>
      </w:r>
      <w:r>
        <w:rPr>
          <w:rFonts w:hint="eastAsia" w:ascii="宋体" w:hAnsi="宋体" w:eastAsia="宋体" w:cs="宋体"/>
          <w:bCs/>
          <w:color w:val="auto"/>
          <w:sz w:val="24"/>
          <w:szCs w:val="24"/>
          <w:highlight w:val="none"/>
          <w:shd w:val="clear" w:color="auto" w:fill="FFFFFF" w:themeFill="background1"/>
        </w:rPr>
        <w:t>的（关键组件）在中国境内生产。</w:t>
      </w:r>
    </w:p>
    <w:p w14:paraId="762E9F84">
      <w:pPr>
        <w:pageBreakBefore w:val="0"/>
        <w:kinsoku/>
        <w:overflowPunct/>
        <w:bidi w:val="0"/>
        <w:spacing w:line="360" w:lineRule="auto"/>
        <w:ind w:firstLine="480" w:firstLineChars="200"/>
        <w:rPr>
          <w:rFonts w:hint="eastAsia" w:ascii="宋体" w:hAnsi="宋体" w:eastAsia="宋体" w:cs="宋体"/>
          <w:bCs/>
          <w:color w:val="auto"/>
          <w:sz w:val="24"/>
          <w:szCs w:val="24"/>
          <w:highlight w:val="none"/>
          <w:shd w:val="clear" w:color="auto" w:fill="FFFFFF" w:themeFill="background1"/>
        </w:rPr>
      </w:pPr>
      <w:r>
        <w:rPr>
          <w:rFonts w:hint="eastAsia" w:ascii="宋体" w:hAnsi="宋体" w:eastAsia="宋体" w:cs="宋体"/>
          <w:bCs/>
          <w:color w:val="auto"/>
          <w:sz w:val="24"/>
          <w:szCs w:val="24"/>
          <w:highlight w:val="none"/>
          <w:shd w:val="clear" w:color="auto" w:fill="FFFFFF" w:themeFill="background1"/>
        </w:rPr>
        <w:t>（产品名称1）</w:t>
      </w:r>
      <w:bookmarkStart w:id="220" w:name="OLE_LINK67"/>
      <w:r>
        <w:rPr>
          <w:rFonts w:hint="eastAsia" w:ascii="宋体" w:hAnsi="宋体" w:eastAsia="宋体" w:cs="宋体"/>
          <w:bCs/>
          <w:color w:val="auto"/>
          <w:sz w:val="24"/>
          <w:szCs w:val="24"/>
          <w:highlight w:val="none"/>
          <w:u w:val="single"/>
          <w:shd w:val="clear" w:color="auto" w:fill="FFFFFF" w:themeFill="background1"/>
        </w:rPr>
        <w:t xml:space="preserve">      </w:t>
      </w:r>
      <w:bookmarkEnd w:id="220"/>
      <w:r>
        <w:rPr>
          <w:rFonts w:hint="eastAsia" w:ascii="宋体" w:hAnsi="宋体" w:eastAsia="宋体" w:cs="宋体"/>
          <w:bCs/>
          <w:color w:val="auto"/>
          <w:sz w:val="24"/>
          <w:szCs w:val="24"/>
          <w:highlight w:val="none"/>
          <w:shd w:val="clear" w:color="auto" w:fill="FFFFFF" w:themeFill="background1"/>
        </w:rPr>
        <w:t>的（关键工序）在中国境内完成。</w:t>
      </w:r>
    </w:p>
    <w:p w14:paraId="75AA7BA4">
      <w:pPr>
        <w:pageBreakBefore w:val="0"/>
        <w:kinsoku/>
        <w:overflowPunct/>
        <w:bidi w:val="0"/>
        <w:spacing w:line="360" w:lineRule="auto"/>
        <w:ind w:firstLine="480" w:firstLineChars="200"/>
        <w:rPr>
          <w:rFonts w:hint="eastAsia" w:ascii="宋体" w:hAnsi="宋体" w:eastAsia="宋体" w:cs="宋体"/>
          <w:bCs/>
          <w:color w:val="auto"/>
          <w:sz w:val="24"/>
          <w:szCs w:val="24"/>
          <w:highlight w:val="none"/>
          <w:shd w:val="clear" w:color="auto" w:fill="FFFFFF" w:themeFill="background1"/>
        </w:rPr>
      </w:pPr>
      <w:r>
        <w:rPr>
          <w:rFonts w:hint="eastAsia" w:ascii="宋体" w:hAnsi="宋体" w:eastAsia="宋体" w:cs="宋体"/>
          <w:bCs/>
          <w:color w:val="auto"/>
          <w:sz w:val="24"/>
          <w:szCs w:val="24"/>
          <w:highlight w:val="none"/>
          <w:shd w:val="clear" w:color="auto" w:fill="FFFFFF" w:themeFill="background1"/>
        </w:rPr>
        <w:t>2.（产品名称2）</w:t>
      </w:r>
      <w:r>
        <w:rPr>
          <w:rFonts w:hint="eastAsia" w:ascii="宋体" w:hAnsi="宋体" w:eastAsia="宋体" w:cs="宋体"/>
          <w:bCs/>
          <w:color w:val="auto"/>
          <w:sz w:val="24"/>
          <w:szCs w:val="24"/>
          <w:highlight w:val="none"/>
          <w:u w:val="single"/>
          <w:shd w:val="clear" w:color="auto" w:fill="FFFFFF" w:themeFill="background1"/>
        </w:rPr>
        <w:t xml:space="preserve">      </w:t>
      </w:r>
      <w:r>
        <w:rPr>
          <w:rFonts w:hint="eastAsia" w:ascii="宋体" w:hAnsi="宋体" w:eastAsia="宋体" w:cs="宋体"/>
          <w:bCs/>
          <w:color w:val="auto"/>
          <w:sz w:val="24"/>
          <w:szCs w:val="24"/>
          <w:highlight w:val="none"/>
          <w:shd w:val="clear" w:color="auto" w:fill="FFFFFF" w:themeFill="background1"/>
        </w:rPr>
        <w:t>，生产厂为（厂名）</w:t>
      </w:r>
      <w:r>
        <w:rPr>
          <w:rFonts w:hint="eastAsia" w:ascii="宋体" w:hAnsi="宋体" w:eastAsia="宋体" w:cs="宋体"/>
          <w:bCs/>
          <w:color w:val="auto"/>
          <w:sz w:val="24"/>
          <w:szCs w:val="24"/>
          <w:highlight w:val="none"/>
          <w:u w:val="single"/>
          <w:shd w:val="clear" w:color="auto" w:fill="FFFFFF" w:themeFill="background1"/>
        </w:rPr>
        <w:t xml:space="preserve">      </w:t>
      </w:r>
      <w:r>
        <w:rPr>
          <w:rFonts w:hint="eastAsia" w:ascii="宋体" w:hAnsi="宋体" w:eastAsia="宋体" w:cs="宋体"/>
          <w:bCs/>
          <w:color w:val="auto"/>
          <w:sz w:val="24"/>
          <w:szCs w:val="24"/>
          <w:highlight w:val="none"/>
          <w:shd w:val="clear" w:color="auto" w:fill="FFFFFF" w:themeFill="background1"/>
        </w:rPr>
        <w:t>，厂址为（生产厂址）</w:t>
      </w:r>
      <w:r>
        <w:rPr>
          <w:rFonts w:hint="eastAsia" w:ascii="宋体" w:hAnsi="宋体" w:eastAsia="宋体" w:cs="宋体"/>
          <w:bCs/>
          <w:color w:val="auto"/>
          <w:sz w:val="24"/>
          <w:szCs w:val="24"/>
          <w:highlight w:val="none"/>
          <w:u w:val="single"/>
          <w:shd w:val="clear" w:color="auto" w:fill="FFFFFF" w:themeFill="background1"/>
        </w:rPr>
        <w:t xml:space="preserve">      </w:t>
      </w:r>
      <w:r>
        <w:rPr>
          <w:rFonts w:hint="eastAsia" w:ascii="宋体" w:hAnsi="宋体" w:eastAsia="宋体" w:cs="宋体"/>
          <w:bCs/>
          <w:color w:val="auto"/>
          <w:sz w:val="24"/>
          <w:szCs w:val="24"/>
          <w:highlight w:val="none"/>
          <w:shd w:val="clear" w:color="auto" w:fill="FFFFFF" w:themeFill="background1"/>
        </w:rPr>
        <w:t>。</w:t>
      </w:r>
    </w:p>
    <w:p w14:paraId="285649FA">
      <w:pPr>
        <w:pageBreakBefore w:val="0"/>
        <w:kinsoku/>
        <w:overflowPunct/>
        <w:bidi w:val="0"/>
        <w:spacing w:line="360" w:lineRule="auto"/>
        <w:ind w:firstLine="480" w:firstLineChars="200"/>
        <w:rPr>
          <w:rFonts w:hint="eastAsia" w:ascii="宋体" w:hAnsi="宋体" w:eastAsia="宋体" w:cs="宋体"/>
          <w:bCs/>
          <w:color w:val="auto"/>
          <w:sz w:val="24"/>
          <w:szCs w:val="24"/>
          <w:highlight w:val="none"/>
          <w:shd w:val="clear" w:color="auto" w:fill="FFFFFF" w:themeFill="background1"/>
        </w:rPr>
      </w:pPr>
      <w:r>
        <w:rPr>
          <w:rFonts w:hint="eastAsia" w:ascii="宋体" w:hAnsi="宋体" w:eastAsia="宋体" w:cs="宋体"/>
          <w:bCs/>
          <w:color w:val="auto"/>
          <w:sz w:val="24"/>
          <w:szCs w:val="24"/>
          <w:highlight w:val="none"/>
          <w:shd w:val="clear" w:color="auto" w:fill="FFFFFF" w:themeFill="background1"/>
        </w:rPr>
        <w:t>（产品名称2）</w:t>
      </w:r>
      <w:r>
        <w:rPr>
          <w:rFonts w:hint="eastAsia" w:ascii="宋体" w:hAnsi="宋体" w:eastAsia="宋体" w:cs="宋体"/>
          <w:bCs/>
          <w:color w:val="auto"/>
          <w:sz w:val="24"/>
          <w:szCs w:val="24"/>
          <w:highlight w:val="none"/>
          <w:u w:val="single"/>
          <w:shd w:val="clear" w:color="auto" w:fill="FFFFFF" w:themeFill="background1"/>
        </w:rPr>
        <w:t xml:space="preserve">      </w:t>
      </w:r>
      <w:r>
        <w:rPr>
          <w:rFonts w:hint="eastAsia" w:ascii="宋体" w:hAnsi="宋体" w:eastAsia="宋体" w:cs="宋体"/>
          <w:bCs/>
          <w:color w:val="auto"/>
          <w:sz w:val="24"/>
          <w:szCs w:val="24"/>
          <w:highlight w:val="none"/>
          <w:shd w:val="clear" w:color="auto" w:fill="FFFFFF" w:themeFill="background1"/>
        </w:rPr>
        <w:t>的中国境内生产的组件成本占比≥</w:t>
      </w:r>
      <w:r>
        <w:rPr>
          <w:rFonts w:hint="eastAsia" w:ascii="宋体" w:hAnsi="宋体" w:eastAsia="宋体" w:cs="宋体"/>
          <w:bCs/>
          <w:color w:val="auto"/>
          <w:sz w:val="24"/>
          <w:szCs w:val="24"/>
          <w:highlight w:val="none"/>
          <w:u w:val="single"/>
          <w:shd w:val="clear" w:color="auto" w:fill="FFFFFF" w:themeFill="background1"/>
        </w:rPr>
        <w:t xml:space="preserve">       </w:t>
      </w:r>
      <w:r>
        <w:rPr>
          <w:rFonts w:hint="eastAsia" w:ascii="宋体" w:hAnsi="宋体" w:eastAsia="宋体" w:cs="宋体"/>
          <w:bCs/>
          <w:color w:val="auto"/>
          <w:sz w:val="24"/>
          <w:szCs w:val="24"/>
          <w:highlight w:val="none"/>
          <w:shd w:val="clear" w:color="auto" w:fill="FFFFFF" w:themeFill="background1"/>
        </w:rPr>
        <w:t>（规定比例）。</w:t>
      </w:r>
    </w:p>
    <w:p w14:paraId="1160B7FE">
      <w:pPr>
        <w:pageBreakBefore w:val="0"/>
        <w:kinsoku/>
        <w:overflowPunct/>
        <w:bidi w:val="0"/>
        <w:spacing w:line="360" w:lineRule="auto"/>
        <w:ind w:firstLine="480" w:firstLineChars="200"/>
        <w:rPr>
          <w:rFonts w:hint="eastAsia" w:ascii="宋体" w:hAnsi="宋体" w:eastAsia="宋体" w:cs="宋体"/>
          <w:bCs/>
          <w:color w:val="auto"/>
          <w:sz w:val="24"/>
          <w:szCs w:val="24"/>
          <w:highlight w:val="none"/>
          <w:shd w:val="clear" w:color="auto" w:fill="FFFFFF" w:themeFill="background1"/>
        </w:rPr>
      </w:pPr>
      <w:r>
        <w:rPr>
          <w:rFonts w:hint="eastAsia" w:ascii="宋体" w:hAnsi="宋体" w:eastAsia="宋体" w:cs="宋体"/>
          <w:bCs/>
          <w:color w:val="auto"/>
          <w:sz w:val="24"/>
          <w:szCs w:val="24"/>
          <w:highlight w:val="none"/>
          <w:shd w:val="clear" w:color="auto" w:fill="FFFFFF" w:themeFill="background1"/>
        </w:rPr>
        <w:t>（产品名称2）</w:t>
      </w:r>
      <w:r>
        <w:rPr>
          <w:rFonts w:hint="eastAsia" w:ascii="宋体" w:hAnsi="宋体" w:eastAsia="宋体" w:cs="宋体"/>
          <w:bCs/>
          <w:color w:val="auto"/>
          <w:sz w:val="24"/>
          <w:szCs w:val="24"/>
          <w:highlight w:val="none"/>
          <w:u w:val="single"/>
          <w:shd w:val="clear" w:color="auto" w:fill="FFFFFF" w:themeFill="background1"/>
        </w:rPr>
        <w:t xml:space="preserve">      </w:t>
      </w:r>
      <w:r>
        <w:rPr>
          <w:rFonts w:hint="eastAsia" w:ascii="宋体" w:hAnsi="宋体" w:eastAsia="宋体" w:cs="宋体"/>
          <w:bCs/>
          <w:color w:val="auto"/>
          <w:sz w:val="24"/>
          <w:szCs w:val="24"/>
          <w:highlight w:val="none"/>
          <w:shd w:val="clear" w:color="auto" w:fill="FFFFFF" w:themeFill="background1"/>
        </w:rPr>
        <w:t>的（关键组件）在中国境内生产。</w:t>
      </w:r>
    </w:p>
    <w:p w14:paraId="467F3948">
      <w:pPr>
        <w:pageBreakBefore w:val="0"/>
        <w:kinsoku/>
        <w:overflowPunct/>
        <w:bidi w:val="0"/>
        <w:spacing w:line="360" w:lineRule="auto"/>
        <w:ind w:firstLine="480" w:firstLineChars="200"/>
        <w:rPr>
          <w:rFonts w:hint="eastAsia" w:ascii="宋体" w:hAnsi="宋体" w:eastAsia="宋体" w:cs="宋体"/>
          <w:bCs/>
          <w:color w:val="auto"/>
          <w:sz w:val="24"/>
          <w:szCs w:val="24"/>
          <w:highlight w:val="none"/>
          <w:shd w:val="clear" w:color="auto" w:fill="FFFFFF" w:themeFill="background1"/>
        </w:rPr>
      </w:pPr>
      <w:r>
        <w:rPr>
          <w:rFonts w:hint="eastAsia" w:ascii="宋体" w:hAnsi="宋体" w:eastAsia="宋体" w:cs="宋体"/>
          <w:bCs/>
          <w:color w:val="auto"/>
          <w:sz w:val="24"/>
          <w:szCs w:val="24"/>
          <w:highlight w:val="none"/>
          <w:shd w:val="clear" w:color="auto" w:fill="FFFFFF" w:themeFill="background1"/>
        </w:rPr>
        <w:t>（产品名称2）</w:t>
      </w:r>
      <w:r>
        <w:rPr>
          <w:rFonts w:hint="eastAsia" w:ascii="宋体" w:hAnsi="宋体" w:eastAsia="宋体" w:cs="宋体"/>
          <w:bCs/>
          <w:color w:val="auto"/>
          <w:sz w:val="24"/>
          <w:szCs w:val="24"/>
          <w:highlight w:val="none"/>
          <w:u w:val="single"/>
          <w:shd w:val="clear" w:color="auto" w:fill="FFFFFF" w:themeFill="background1"/>
        </w:rPr>
        <w:t xml:space="preserve">      </w:t>
      </w:r>
      <w:r>
        <w:rPr>
          <w:rFonts w:hint="eastAsia" w:ascii="宋体" w:hAnsi="宋体" w:eastAsia="宋体" w:cs="宋体"/>
          <w:bCs/>
          <w:color w:val="auto"/>
          <w:sz w:val="24"/>
          <w:szCs w:val="24"/>
          <w:highlight w:val="none"/>
          <w:shd w:val="clear" w:color="auto" w:fill="FFFFFF" w:themeFill="background1"/>
        </w:rPr>
        <w:t>的（关键工序）在中国境内完成。</w:t>
      </w:r>
    </w:p>
    <w:p w14:paraId="19C546DE">
      <w:pPr>
        <w:pageBreakBefore w:val="0"/>
        <w:kinsoku/>
        <w:overflowPunct/>
        <w:bidi w:val="0"/>
        <w:spacing w:after="100" w:afterAutospacing="1" w:line="360" w:lineRule="auto"/>
        <w:ind w:firstLine="480" w:firstLineChars="200"/>
        <w:jc w:val="left"/>
        <w:rPr>
          <w:rFonts w:hint="eastAsia" w:ascii="宋体" w:hAnsi="宋体" w:eastAsia="宋体" w:cs="宋体"/>
          <w:bCs/>
          <w:color w:val="auto"/>
          <w:sz w:val="24"/>
          <w:szCs w:val="24"/>
          <w:highlight w:val="none"/>
          <w:shd w:val="clear" w:color="auto" w:fill="FFFFFF" w:themeFill="background1"/>
        </w:rPr>
      </w:pPr>
      <w:r>
        <w:rPr>
          <w:rFonts w:hint="eastAsia" w:ascii="宋体" w:hAnsi="宋体" w:eastAsia="宋体" w:cs="宋体"/>
          <w:bCs/>
          <w:color w:val="auto"/>
          <w:sz w:val="24"/>
          <w:szCs w:val="24"/>
          <w:highlight w:val="none"/>
          <w:shd w:val="clear" w:color="auto" w:fill="FFFFFF" w:themeFill="background1"/>
        </w:rPr>
        <w:t>……</w:t>
      </w:r>
    </w:p>
    <w:p w14:paraId="403C5F9B">
      <w:pPr>
        <w:pageBreakBefore w:val="0"/>
        <w:kinsoku/>
        <w:overflowPunct/>
        <w:bidi w:val="0"/>
        <w:spacing w:after="100" w:afterAutospacing="1" w:line="360" w:lineRule="auto"/>
        <w:rPr>
          <w:rFonts w:hint="eastAsia" w:ascii="宋体" w:hAnsi="宋体" w:eastAsia="宋体" w:cs="宋体"/>
          <w:bCs/>
          <w:color w:val="auto"/>
          <w:sz w:val="24"/>
          <w:szCs w:val="24"/>
          <w:highlight w:val="none"/>
          <w:shd w:val="clear" w:color="auto" w:fill="FFFFFF" w:themeFill="background1"/>
        </w:rPr>
      </w:pPr>
      <w:r>
        <w:rPr>
          <w:rFonts w:hint="eastAsia" w:ascii="宋体" w:hAnsi="宋体" w:eastAsia="宋体" w:cs="宋体"/>
          <w:bCs/>
          <w:color w:val="auto"/>
          <w:sz w:val="24"/>
          <w:szCs w:val="24"/>
          <w:highlight w:val="none"/>
          <w:shd w:val="clear" w:color="auto" w:fill="FFFFFF" w:themeFill="background1"/>
        </w:rPr>
        <w:t>本公司（单位）对上述声明内容的真实性负责。如有虚假，愿承担相应法律责任。</w:t>
      </w:r>
    </w:p>
    <w:p w14:paraId="672C968C">
      <w:pPr>
        <w:pageBreakBefore w:val="0"/>
        <w:kinsoku/>
        <w:overflowPunct/>
        <w:bidi w:val="0"/>
        <w:spacing w:after="100" w:afterAutospacing="1" w:line="360" w:lineRule="auto"/>
        <w:rPr>
          <w:rFonts w:hint="eastAsia" w:ascii="宋体" w:hAnsi="宋体" w:eastAsia="宋体" w:cs="宋体"/>
          <w:bCs/>
          <w:color w:val="auto"/>
          <w:sz w:val="24"/>
          <w:szCs w:val="24"/>
          <w:highlight w:val="none"/>
          <w:shd w:val="clear" w:color="auto" w:fill="FFFFFF" w:themeFill="background1"/>
        </w:rPr>
      </w:pPr>
      <w:r>
        <w:rPr>
          <w:rFonts w:hint="eastAsia" w:ascii="宋体" w:hAnsi="宋体" w:eastAsia="宋体" w:cs="宋体"/>
          <w:bCs/>
          <w:color w:val="auto"/>
          <w:sz w:val="24"/>
          <w:szCs w:val="24"/>
          <w:highlight w:val="none"/>
          <w:shd w:val="clear" w:color="auto" w:fill="FFFFFF" w:themeFill="background1"/>
        </w:rPr>
        <w:t>公司（单位）名称（盖章）：</w:t>
      </w:r>
    </w:p>
    <w:p w14:paraId="34985F83">
      <w:pPr>
        <w:pageBreakBefore w:val="0"/>
        <w:tabs>
          <w:tab w:val="left" w:pos="3757"/>
        </w:tabs>
        <w:kinsoku/>
        <w:overflowPunct/>
        <w:bidi w:val="0"/>
        <w:spacing w:after="100" w:afterAutospacing="1" w:line="360" w:lineRule="auto"/>
        <w:rPr>
          <w:rFonts w:hint="eastAsia" w:ascii="宋体" w:hAnsi="宋体" w:eastAsia="宋体" w:cs="宋体"/>
          <w:bCs/>
          <w:color w:val="auto"/>
          <w:sz w:val="24"/>
          <w:szCs w:val="24"/>
          <w:highlight w:val="none"/>
          <w:shd w:val="clear" w:color="auto" w:fill="FFFFFF" w:themeFill="background1"/>
        </w:rPr>
      </w:pPr>
      <w:r>
        <w:rPr>
          <w:rFonts w:hint="eastAsia" w:ascii="宋体" w:hAnsi="宋体" w:eastAsia="宋体" w:cs="宋体"/>
          <w:bCs/>
          <w:color w:val="auto"/>
          <w:sz w:val="24"/>
          <w:szCs w:val="24"/>
          <w:highlight w:val="none"/>
          <w:shd w:val="clear" w:color="auto" w:fill="FFFFFF" w:themeFill="background1"/>
        </w:rPr>
        <w:t>日期：     年    月    日</w:t>
      </w:r>
      <w:r>
        <w:rPr>
          <w:rFonts w:hint="eastAsia" w:ascii="宋体" w:hAnsi="宋体" w:eastAsia="宋体" w:cs="宋体"/>
          <w:bCs/>
          <w:color w:val="auto"/>
          <w:sz w:val="24"/>
          <w:szCs w:val="24"/>
          <w:highlight w:val="none"/>
          <w:shd w:val="clear" w:color="auto" w:fill="FFFFFF" w:themeFill="background1"/>
        </w:rPr>
        <w:tab/>
      </w:r>
    </w:p>
    <w:p w14:paraId="5494F895">
      <w:pPr>
        <w:pageBreakBefore w:val="0"/>
        <w:kinsoku/>
        <w:overflowPunct/>
        <w:bidi w:val="0"/>
        <w:spacing w:line="360" w:lineRule="auto"/>
        <w:rPr>
          <w:rFonts w:hint="eastAsia" w:ascii="宋体" w:hAnsi="宋体" w:eastAsia="宋体" w:cs="宋体"/>
          <w:bCs/>
          <w:color w:val="auto"/>
          <w:sz w:val="24"/>
          <w:szCs w:val="24"/>
          <w:highlight w:val="none"/>
          <w:shd w:val="clear" w:color="auto" w:fill="FFFFFF" w:themeFill="background1"/>
        </w:rPr>
      </w:pPr>
      <w:r>
        <w:rPr>
          <w:rFonts w:hint="eastAsia" w:ascii="宋体" w:hAnsi="宋体" w:eastAsia="宋体" w:cs="宋体"/>
          <w:bCs/>
          <w:color w:val="auto"/>
          <w:sz w:val="24"/>
          <w:szCs w:val="24"/>
          <w:highlight w:val="none"/>
          <w:shd w:val="clear" w:color="auto" w:fill="FFFFFF" w:themeFill="background1"/>
        </w:rPr>
        <w:t>（1）产品如有型号，请在“产品名称”栏一并填写。</w:t>
      </w:r>
    </w:p>
    <w:p w14:paraId="72115DB8">
      <w:pPr>
        <w:pageBreakBefore w:val="0"/>
        <w:kinsoku/>
        <w:overflowPunct/>
        <w:bidi w:val="0"/>
        <w:spacing w:line="360" w:lineRule="auto"/>
        <w:rPr>
          <w:rFonts w:hint="eastAsia" w:ascii="宋体" w:hAnsi="宋体" w:eastAsia="宋体" w:cs="宋体"/>
          <w:bCs/>
          <w:color w:val="auto"/>
          <w:sz w:val="24"/>
          <w:szCs w:val="24"/>
          <w:highlight w:val="none"/>
          <w:shd w:val="clear" w:color="auto" w:fill="FFFFFF" w:themeFill="background1"/>
        </w:rPr>
      </w:pPr>
      <w:r>
        <w:rPr>
          <w:rFonts w:hint="eastAsia" w:ascii="宋体" w:hAnsi="宋体" w:eastAsia="宋体" w:cs="宋体"/>
          <w:bCs/>
          <w:color w:val="auto"/>
          <w:sz w:val="24"/>
          <w:szCs w:val="24"/>
          <w:highlight w:val="none"/>
          <w:shd w:val="clear" w:color="auto" w:fill="FFFFFF" w:themeFill="background1"/>
        </w:rPr>
        <w:t>（2）生产厂名与厂址应与生产厂营业执照载明的相关信息保持一致。</w:t>
      </w:r>
    </w:p>
    <w:p w14:paraId="1F4543C6">
      <w:pPr>
        <w:pageBreakBefore w:val="0"/>
        <w:kinsoku/>
        <w:overflowPunct/>
        <w:bidi w:val="0"/>
        <w:spacing w:line="360" w:lineRule="auto"/>
        <w:rPr>
          <w:rFonts w:hint="eastAsia" w:ascii="宋体" w:hAnsi="宋体" w:eastAsia="宋体" w:cs="宋体"/>
          <w:bCs/>
          <w:color w:val="auto"/>
          <w:sz w:val="24"/>
          <w:szCs w:val="24"/>
          <w:highlight w:val="none"/>
          <w:shd w:val="clear" w:color="auto" w:fill="FFFFFF" w:themeFill="background1"/>
        </w:rPr>
      </w:pPr>
      <w:r>
        <w:rPr>
          <w:rFonts w:hint="eastAsia" w:ascii="宋体" w:hAnsi="宋体" w:eastAsia="宋体" w:cs="宋体"/>
          <w:bCs/>
          <w:color w:val="auto"/>
          <w:sz w:val="24"/>
          <w:szCs w:val="24"/>
          <w:highlight w:val="none"/>
          <w:shd w:val="clear" w:color="auto" w:fill="FFFFFF" w:themeFill="background1"/>
        </w:rPr>
        <w:t>（3）该产品的中国境内生产的组件成本占比相关要求实施前，“规定比例”栏可不填，下同。</w:t>
      </w:r>
    </w:p>
    <w:p w14:paraId="3F45B402">
      <w:pPr>
        <w:pageBreakBefore w:val="0"/>
        <w:kinsoku/>
        <w:overflowPunct/>
        <w:bidi w:val="0"/>
        <w:spacing w:line="360" w:lineRule="auto"/>
        <w:rPr>
          <w:rFonts w:hint="eastAsia" w:ascii="宋体" w:hAnsi="宋体" w:eastAsia="宋体" w:cs="宋体"/>
          <w:bCs/>
          <w:color w:val="auto"/>
          <w:sz w:val="24"/>
          <w:szCs w:val="24"/>
          <w:highlight w:val="none"/>
          <w:shd w:val="clear" w:color="auto" w:fill="FFFFFF" w:themeFill="background1"/>
        </w:rPr>
      </w:pPr>
      <w:r>
        <w:rPr>
          <w:rFonts w:hint="eastAsia" w:ascii="宋体" w:hAnsi="宋体" w:eastAsia="宋体" w:cs="宋体"/>
          <w:bCs/>
          <w:color w:val="auto"/>
          <w:sz w:val="24"/>
          <w:szCs w:val="24"/>
          <w:highlight w:val="none"/>
          <w:shd w:val="clear" w:color="auto" w:fill="FFFFFF" w:themeFill="background1"/>
        </w:rPr>
        <w:t>（4）该产品的关键组件要求实施前，“关键组件”栏可不填，下同。</w:t>
      </w:r>
    </w:p>
    <w:p w14:paraId="70178997">
      <w:pPr>
        <w:pageBreakBefore w:val="0"/>
        <w:kinsoku/>
        <w:overflowPunct/>
        <w:bidi w:val="0"/>
        <w:spacing w:line="360" w:lineRule="auto"/>
        <w:rPr>
          <w:rFonts w:hint="eastAsia" w:ascii="宋体" w:hAnsi="宋体" w:eastAsia="宋体" w:cs="宋体"/>
          <w:bCs/>
          <w:color w:val="auto"/>
          <w:sz w:val="24"/>
          <w:szCs w:val="24"/>
          <w:highlight w:val="none"/>
          <w:shd w:val="clear" w:color="auto" w:fill="FFFFFF" w:themeFill="background1"/>
        </w:rPr>
      </w:pPr>
      <w:r>
        <w:rPr>
          <w:rFonts w:hint="eastAsia" w:ascii="宋体" w:hAnsi="宋体" w:eastAsia="宋体" w:cs="宋体"/>
          <w:bCs/>
          <w:color w:val="auto"/>
          <w:sz w:val="24"/>
          <w:szCs w:val="24"/>
          <w:highlight w:val="none"/>
          <w:shd w:val="clear" w:color="auto" w:fill="FFFFFF" w:themeFill="background1"/>
        </w:rPr>
        <w:t>（5）该产品的关键工序要求实施前，“关键工序”栏可不填，下同。</w:t>
      </w:r>
    </w:p>
    <w:p w14:paraId="57390537">
      <w:pPr>
        <w:pageBreakBefore w:val="0"/>
        <w:kinsoku/>
        <w:overflowPunct/>
        <w:bidi w:val="0"/>
        <w:spacing w:line="360" w:lineRule="auto"/>
        <w:rPr>
          <w:rFonts w:hint="eastAsia" w:ascii="宋体" w:hAnsi="宋体" w:eastAsia="宋体" w:cs="宋体"/>
          <w:color w:val="auto"/>
          <w:highlight w:val="none"/>
        </w:rPr>
      </w:pPr>
    </w:p>
    <w:p w14:paraId="78E128F6">
      <w:pPr>
        <w:pageBreakBefore w:val="0"/>
        <w:kinsoku/>
        <w:overflow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418A05AB">
      <w:pPr>
        <w:pageBreakBefore w:val="0"/>
        <w:kinsoku/>
        <w:overflow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w:t>
      </w:r>
      <w:r>
        <w:rPr>
          <w:rFonts w:hint="eastAsia" w:ascii="宋体" w:hAnsi="宋体" w:eastAsia="宋体" w:cs="宋体"/>
          <w:b/>
          <w:color w:val="auto"/>
          <w:sz w:val="24"/>
          <w:szCs w:val="24"/>
          <w:highlight w:val="none"/>
        </w:rPr>
        <w:t>关于符合本国产品标准的声明函</w:t>
      </w:r>
      <w:r>
        <w:rPr>
          <w:rFonts w:hint="eastAsia" w:ascii="宋体" w:hAnsi="宋体" w:eastAsia="宋体" w:cs="宋体"/>
          <w:color w:val="auto"/>
          <w:sz w:val="24"/>
          <w:szCs w:val="24"/>
          <w:highlight w:val="none"/>
        </w:rPr>
        <w:t>》的说明：</w:t>
      </w:r>
    </w:p>
    <w:p w14:paraId="6708402B">
      <w:pPr>
        <w:pageBreakBefore w:val="0"/>
        <w:kinsoku/>
        <w:overflow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292A3AA">
      <w:pPr>
        <w:pageBreakBefore w:val="0"/>
        <w:kinsoku/>
        <w:overflow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根据《国务院办公厅关于在政府采购中实施本国产品标准及相关政策的通知》规定，在分产品确定在中国境内生产的组件成本占比要求，以及特定产品的关键组件、关键工序相关要求实施前，本国产品应当符合以下条件：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p>
    <w:p w14:paraId="0E9D75C5">
      <w:pPr>
        <w:pageBreakBefore w:val="0"/>
        <w:kinsoku/>
        <w:overflow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1.为确保产品在运输或者储存期间保持某种状态而进行的操作；</w:t>
      </w:r>
    </w:p>
    <w:p w14:paraId="49BBC535">
      <w:pPr>
        <w:pageBreakBefore w:val="0"/>
        <w:kinsoku/>
        <w:overflow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2.为产品运输或者销售进行的包装或者展示；</w:t>
      </w:r>
    </w:p>
    <w:p w14:paraId="43895666">
      <w:pPr>
        <w:pageBreakBefore w:val="0"/>
        <w:kinsoku/>
        <w:overflow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3.在产品或者其包装上粘贴或者印刷品牌、标志、标识以及其他用于区别的标记；</w:t>
      </w:r>
    </w:p>
    <w:p w14:paraId="06C46039">
      <w:pPr>
        <w:pageBreakBefore w:val="0"/>
        <w:kinsoku/>
        <w:overflow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4.简单地上漆、磨光和分装；</w:t>
      </w:r>
    </w:p>
    <w:p w14:paraId="36AC2407">
      <w:pPr>
        <w:pageBreakBefore w:val="0"/>
        <w:kinsoku/>
        <w:overflow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5.其他不属于属性改变的情形。</w:t>
      </w:r>
    </w:p>
    <w:p w14:paraId="04EEF8AA">
      <w:pPr>
        <w:pageBreakBefore w:val="0"/>
        <w:kinsoku/>
        <w:overflow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5EC6363F">
      <w:pPr>
        <w:pageBreakBefore w:val="0"/>
        <w:kinsoku/>
        <w:overflowPunct/>
        <w:bidi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当采购项目或者采购包中含有多种产品的，投标人还应当提供《关于本国产品比例的声明函》，承诺提供的符合本国产品标准的产品成本之和占提供的全部产品成本之和的比例达到80%，如投标人未按照前述要求提供相关内容的，不享受本国产品的支持政策。</w:t>
      </w:r>
    </w:p>
    <w:p w14:paraId="751BFA55">
      <w:pPr>
        <w:pageBreakBefore w:val="0"/>
        <w:kinsoku/>
        <w:overflowPunct/>
        <w:bidi w:val="0"/>
        <w:spacing w:line="360" w:lineRule="auto"/>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（5）中标人提供的本声明函将随中标结果同时公告。</w:t>
      </w:r>
    </w:p>
    <w:p w14:paraId="4D5F7ADA">
      <w:pPr>
        <w:pStyle w:val="5"/>
        <w:pageBreakBefore w:val="0"/>
        <w:kinsoku/>
        <w:overflowPunct/>
        <w:bidi w:val="0"/>
        <w:spacing w:after="0" w:line="360" w:lineRule="auto"/>
        <w:rPr>
          <w:rFonts w:hint="eastAsia" w:ascii="宋体" w:hAnsi="宋体" w:eastAsia="宋体" w:cs="宋体"/>
          <w:color w:val="auto"/>
          <w:highlight w:val="none"/>
        </w:rPr>
      </w:pPr>
    </w:p>
    <w:p w14:paraId="62F8CD4B">
      <w:pPr>
        <w:pageBreakBefore w:val="0"/>
        <w:kinsoku/>
        <w:overflowPunct/>
        <w:bidi w:val="0"/>
        <w:spacing w:line="360" w:lineRule="auto"/>
        <w:rPr>
          <w:rFonts w:hint="eastAsia" w:ascii="宋体" w:hAnsi="宋体" w:eastAsia="宋体" w:cs="宋体"/>
          <w:color w:val="auto"/>
          <w:highlight w:val="none"/>
        </w:rPr>
      </w:pPr>
    </w:p>
    <w:p w14:paraId="7DE896C0">
      <w:pPr>
        <w:pageBreakBefore w:val="0"/>
        <w:kinsoku/>
        <w:overflowPunct/>
        <w:bidi w:val="0"/>
        <w:spacing w:line="360" w:lineRule="auto"/>
        <w:rPr>
          <w:rFonts w:hint="eastAsia" w:ascii="宋体" w:hAnsi="宋体" w:eastAsia="宋体" w:cs="宋体"/>
          <w:color w:val="auto"/>
          <w:highlight w:val="none"/>
        </w:rPr>
      </w:pPr>
    </w:p>
    <w:p w14:paraId="20E37F62">
      <w:pPr>
        <w:pageBreakBefore w:val="0"/>
        <w:kinsoku/>
        <w:overflowPunct/>
        <w:bidi w:val="0"/>
        <w:spacing w:line="360" w:lineRule="auto"/>
        <w:jc w:val="center"/>
        <w:rPr>
          <w:rFonts w:hint="eastAsia" w:ascii="宋体" w:hAnsi="宋体" w:eastAsia="宋体" w:cs="宋体"/>
          <w:b/>
          <w:color w:val="auto"/>
          <w:sz w:val="28"/>
          <w:szCs w:val="28"/>
          <w:highlight w:val="none"/>
          <w:shd w:val="clear" w:color="auto" w:fill="FFFFFF" w:themeFill="background1"/>
        </w:rPr>
      </w:pPr>
      <w:r>
        <w:rPr>
          <w:rFonts w:hint="eastAsia" w:ascii="宋体" w:hAnsi="宋体" w:eastAsia="宋体" w:cs="宋体"/>
          <w:b/>
          <w:color w:val="auto"/>
          <w:sz w:val="24"/>
          <w:szCs w:val="24"/>
          <w:highlight w:val="none"/>
          <w:shd w:val="clear" w:color="auto" w:fill="FFFFFF" w:themeFill="background1"/>
        </w:rPr>
        <w:br w:type="page"/>
      </w:r>
      <w:r>
        <w:rPr>
          <w:rFonts w:hint="eastAsia" w:ascii="宋体" w:hAnsi="宋体" w:eastAsia="宋体" w:cs="宋体"/>
          <w:b/>
          <w:color w:val="auto"/>
          <w:sz w:val="28"/>
          <w:szCs w:val="28"/>
          <w:highlight w:val="none"/>
          <w:shd w:val="clear" w:color="auto" w:fill="FFFFFF" w:themeFill="background1"/>
          <w:lang w:eastAsia="zh-CN"/>
        </w:rPr>
        <w:t>（</w:t>
      </w:r>
      <w:r>
        <w:rPr>
          <w:rFonts w:hint="eastAsia" w:ascii="宋体" w:hAnsi="宋体" w:eastAsia="宋体" w:cs="宋体"/>
          <w:b/>
          <w:color w:val="auto"/>
          <w:sz w:val="28"/>
          <w:szCs w:val="28"/>
          <w:highlight w:val="none"/>
          <w:shd w:val="clear" w:color="auto" w:fill="FFFFFF" w:themeFill="background1"/>
          <w:lang w:val="en-US" w:eastAsia="zh-CN"/>
        </w:rPr>
        <w:t>六）</w:t>
      </w:r>
      <w:r>
        <w:rPr>
          <w:rFonts w:hint="eastAsia" w:ascii="宋体" w:hAnsi="宋体" w:eastAsia="宋体" w:cs="宋体"/>
          <w:b/>
          <w:color w:val="auto"/>
          <w:sz w:val="28"/>
          <w:szCs w:val="28"/>
          <w:highlight w:val="none"/>
          <w:shd w:val="clear" w:color="auto" w:fill="FFFFFF" w:themeFill="background1"/>
        </w:rPr>
        <w:t>关于本国产品比例的声明函</w:t>
      </w:r>
    </w:p>
    <w:p w14:paraId="529A942A">
      <w:pPr>
        <w:pageBreakBefore w:val="0"/>
        <w:kinsoku/>
        <w:overflowPunct/>
        <w:bidi w:val="0"/>
        <w:snapToGrid w:val="0"/>
        <w:spacing w:line="360" w:lineRule="auto"/>
        <w:ind w:firstLine="420" w:firstLineChars="200"/>
        <w:rPr>
          <w:rFonts w:hint="eastAsia" w:ascii="宋体" w:hAnsi="宋体" w:eastAsia="宋体" w:cs="宋体"/>
          <w:color w:val="auto"/>
          <w:szCs w:val="21"/>
          <w:highlight w:val="none"/>
        </w:rPr>
      </w:pPr>
    </w:p>
    <w:p w14:paraId="0F32E6A1">
      <w:pPr>
        <w:pageBreakBefore w:val="0"/>
        <w:widowControl/>
        <w:kinsoku/>
        <w:overflowPunct/>
        <w:bidi w:val="0"/>
        <w:spacing w:line="360" w:lineRule="auto"/>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本公司（单位）郑重声明，根据《国务院办公厅关于在政府采购中实施本国产品标准及相关政策的通知》（国办发〔2025〕34号）的规定，本公司（单位）提供的符合本国产品标准的产品成本之和占提供的全部产品成本之和的比例达到80%。</w:t>
      </w:r>
    </w:p>
    <w:p w14:paraId="2EC65A06">
      <w:pPr>
        <w:pageBreakBefore w:val="0"/>
        <w:kinsoku/>
        <w:overflowPunct/>
        <w:bidi w:val="0"/>
        <w:spacing w:line="360" w:lineRule="auto"/>
        <w:ind w:firstLine="480" w:firstLineChars="200"/>
        <w:rPr>
          <w:rFonts w:hint="eastAsia" w:ascii="宋体" w:hAnsi="宋体" w:eastAsia="宋体" w:cs="宋体"/>
          <w:b/>
          <w:color w:val="auto"/>
          <w:sz w:val="24"/>
          <w:szCs w:val="24"/>
          <w:highlight w:val="none"/>
          <w:shd w:val="clear" w:color="auto" w:fill="FFFFFF" w:themeFill="background1"/>
        </w:rPr>
      </w:pPr>
      <w:r>
        <w:rPr>
          <w:rFonts w:hint="eastAsia" w:ascii="宋体" w:hAnsi="宋体" w:eastAsia="宋体" w:cs="宋体"/>
          <w:color w:val="auto"/>
          <w:sz w:val="24"/>
          <w:szCs w:val="24"/>
          <w:highlight w:val="none"/>
          <w:lang w:bidi="ar"/>
        </w:rPr>
        <w:t>本公司（单位）对上述声明内容的真实性负责。如有虚假，愿承担相应法律责任。</w:t>
      </w:r>
    </w:p>
    <w:p w14:paraId="0A78601D">
      <w:pPr>
        <w:pageBreakBefore w:val="0"/>
        <w:kinsoku/>
        <w:overflowPunct/>
        <w:bidi w:val="0"/>
        <w:spacing w:line="360" w:lineRule="auto"/>
        <w:rPr>
          <w:rFonts w:hint="eastAsia" w:ascii="宋体" w:hAnsi="宋体" w:eastAsia="宋体" w:cs="宋体"/>
          <w:b/>
          <w:color w:val="auto"/>
          <w:sz w:val="24"/>
          <w:szCs w:val="24"/>
          <w:highlight w:val="none"/>
          <w:shd w:val="clear" w:color="auto" w:fill="FFFFFF" w:themeFill="background1"/>
        </w:rPr>
      </w:pPr>
    </w:p>
    <w:p w14:paraId="470BFA66">
      <w:pPr>
        <w:pageBreakBefore w:val="0"/>
        <w:kinsoku/>
        <w:overflowPunct/>
        <w:bidi w:val="0"/>
        <w:spacing w:line="360" w:lineRule="auto"/>
        <w:rPr>
          <w:rFonts w:hint="eastAsia" w:ascii="宋体" w:hAnsi="宋体" w:eastAsia="宋体" w:cs="宋体"/>
          <w:b/>
          <w:color w:val="auto"/>
          <w:sz w:val="24"/>
          <w:szCs w:val="24"/>
          <w:highlight w:val="none"/>
          <w:shd w:val="clear" w:color="auto" w:fill="FFFFFF" w:themeFill="background1"/>
        </w:rPr>
      </w:pPr>
    </w:p>
    <w:p w14:paraId="3191E7EF">
      <w:pPr>
        <w:pageBreakBefore w:val="0"/>
        <w:kinsoku/>
        <w:overflowPunct/>
        <w:bidi w:val="0"/>
        <w:spacing w:line="360" w:lineRule="auto"/>
        <w:rPr>
          <w:rFonts w:hint="eastAsia" w:ascii="宋体" w:hAnsi="宋体" w:eastAsia="宋体" w:cs="宋体"/>
          <w:b/>
          <w:color w:val="auto"/>
          <w:sz w:val="24"/>
          <w:szCs w:val="24"/>
          <w:highlight w:val="none"/>
          <w:shd w:val="clear" w:color="auto" w:fill="FFFFFF" w:themeFill="background1"/>
        </w:rPr>
      </w:pPr>
    </w:p>
    <w:p w14:paraId="457B7D3D">
      <w:pPr>
        <w:pageBreakBefore w:val="0"/>
        <w:kinsoku/>
        <w:overflowPunct/>
        <w:bidi w:val="0"/>
        <w:spacing w:line="360" w:lineRule="auto"/>
        <w:rPr>
          <w:rFonts w:hint="eastAsia" w:ascii="宋体" w:hAnsi="宋体" w:eastAsia="宋体" w:cs="宋体"/>
          <w:b/>
          <w:color w:val="auto"/>
          <w:sz w:val="24"/>
          <w:szCs w:val="24"/>
          <w:highlight w:val="none"/>
          <w:shd w:val="clear" w:color="auto" w:fill="FFFFFF" w:themeFill="background1"/>
        </w:rPr>
      </w:pPr>
    </w:p>
    <w:p w14:paraId="2D805697">
      <w:pPr>
        <w:pageBreakBefore w:val="0"/>
        <w:widowControl/>
        <w:kinsoku/>
        <w:overflowPunct/>
        <w:bidi w:val="0"/>
        <w:spacing w:line="360" w:lineRule="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公司（单位）名称（盖章）：</w:t>
      </w:r>
      <w:r>
        <w:rPr>
          <w:rFonts w:hint="eastAsia" w:ascii="宋体" w:hAnsi="宋体" w:eastAsia="宋体" w:cs="宋体"/>
          <w:color w:val="auto"/>
          <w:sz w:val="24"/>
          <w:szCs w:val="24"/>
          <w:highlight w:val="none"/>
          <w:u w:val="single"/>
          <w:lang w:bidi="ar"/>
        </w:rPr>
        <w:t>　</w:t>
      </w:r>
      <w:r>
        <w:rPr>
          <w:rFonts w:hint="eastAsia" w:ascii="宋体" w:hAnsi="宋体" w:cs="宋体"/>
          <w:color w:val="auto"/>
          <w:sz w:val="24"/>
          <w:szCs w:val="24"/>
          <w:highlight w:val="none"/>
          <w:u w:val="single"/>
          <w:lang w:val="en-US" w:eastAsia="zh-CN" w:bidi="ar"/>
        </w:rPr>
        <w:t xml:space="preserve">    </w:t>
      </w:r>
      <w:r>
        <w:rPr>
          <w:rFonts w:hint="eastAsia" w:ascii="宋体" w:hAnsi="宋体" w:eastAsia="宋体" w:cs="宋体"/>
          <w:color w:val="auto"/>
          <w:sz w:val="24"/>
          <w:szCs w:val="24"/>
          <w:highlight w:val="none"/>
          <w:u w:val="single"/>
          <w:lang w:bidi="ar"/>
        </w:rPr>
        <w:t>       </w:t>
      </w:r>
      <w:r>
        <w:rPr>
          <w:rFonts w:hint="eastAsia" w:ascii="宋体" w:hAnsi="宋体" w:eastAsia="宋体" w:cs="宋体"/>
          <w:color w:val="auto"/>
          <w:sz w:val="24"/>
          <w:szCs w:val="24"/>
          <w:highlight w:val="none"/>
          <w:lang w:bidi="ar"/>
        </w:rPr>
        <w:t> </w:t>
      </w:r>
    </w:p>
    <w:p w14:paraId="18E741FF">
      <w:pPr>
        <w:pageBreakBefore w:val="0"/>
        <w:kinsoku/>
        <w:overflowPunct/>
        <w:bidi w:val="0"/>
        <w:spacing w:line="360" w:lineRule="auto"/>
        <w:rPr>
          <w:rFonts w:hint="default" w:ascii="宋体" w:hAnsi="宋体" w:eastAsia="宋体" w:cs="宋体"/>
          <w:b/>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lang w:bidi="ar"/>
        </w:rPr>
        <w:t>日期：</w:t>
      </w:r>
      <w:r>
        <w:rPr>
          <w:rFonts w:hint="eastAsia" w:ascii="宋体" w:hAnsi="宋体" w:eastAsia="宋体" w:cs="宋体"/>
          <w:color w:val="auto"/>
          <w:sz w:val="24"/>
          <w:szCs w:val="24"/>
          <w:highlight w:val="none"/>
          <w:u w:val="single"/>
          <w:lang w:bidi="ar"/>
        </w:rPr>
        <w:t>　     </w:t>
      </w:r>
      <w:r>
        <w:rPr>
          <w:rFonts w:hint="eastAsia" w:ascii="宋体" w:hAnsi="宋体" w:eastAsia="宋体" w:cs="宋体"/>
          <w:color w:val="auto"/>
          <w:sz w:val="24"/>
          <w:szCs w:val="24"/>
          <w:highlight w:val="none"/>
          <w:lang w:bidi="ar"/>
        </w:rPr>
        <w:t>年</w:t>
      </w:r>
      <w:r>
        <w:rPr>
          <w:rFonts w:hint="eastAsia" w:ascii="宋体" w:hAnsi="宋体" w:eastAsia="宋体" w:cs="宋体"/>
          <w:color w:val="auto"/>
          <w:sz w:val="24"/>
          <w:szCs w:val="24"/>
          <w:highlight w:val="none"/>
          <w:u w:val="single"/>
          <w:lang w:bidi="ar"/>
        </w:rPr>
        <w:t>　  </w:t>
      </w:r>
      <w:r>
        <w:rPr>
          <w:rFonts w:hint="eastAsia" w:ascii="宋体" w:hAnsi="宋体" w:eastAsia="宋体" w:cs="宋体"/>
          <w:color w:val="auto"/>
          <w:sz w:val="24"/>
          <w:szCs w:val="24"/>
          <w:highlight w:val="none"/>
          <w:lang w:bidi="ar"/>
        </w:rPr>
        <w:t>月</w:t>
      </w:r>
      <w:r>
        <w:rPr>
          <w:rFonts w:hint="eastAsia" w:ascii="宋体" w:hAnsi="宋体" w:eastAsia="宋体" w:cs="宋体"/>
          <w:color w:val="auto"/>
          <w:sz w:val="24"/>
          <w:szCs w:val="24"/>
          <w:highlight w:val="none"/>
          <w:u w:val="single"/>
          <w:lang w:bidi="ar"/>
        </w:rPr>
        <w:t>　  </w:t>
      </w:r>
      <w:r>
        <w:rPr>
          <w:rFonts w:hint="eastAsia" w:ascii="宋体" w:hAnsi="宋体" w:eastAsia="宋体" w:cs="宋体"/>
          <w:color w:val="auto"/>
          <w:sz w:val="24"/>
          <w:szCs w:val="24"/>
          <w:highlight w:val="none"/>
          <w:lang w:bidi="ar"/>
        </w:rPr>
        <w:t>日</w:t>
      </w:r>
      <w:r>
        <w:rPr>
          <w:rFonts w:hint="eastAsia" w:ascii="宋体" w:hAnsi="宋体" w:eastAsia="宋体" w:cs="宋体"/>
          <w:b/>
          <w:color w:val="auto"/>
          <w:sz w:val="24"/>
          <w:szCs w:val="24"/>
          <w:highlight w:val="none"/>
          <w:shd w:val="clear" w:color="auto" w:fill="FFFFFF" w:themeFill="background1"/>
        </w:rPr>
        <w:br w:type="page"/>
      </w:r>
    </w:p>
    <w:p w14:paraId="11BE0715">
      <w:pPr>
        <w:pStyle w:val="5"/>
        <w:pageBreakBefore w:val="0"/>
        <w:kinsoku/>
        <w:overflowPunct/>
        <w:bidi w:val="0"/>
        <w:spacing w:line="360" w:lineRule="auto"/>
        <w:jc w:val="center"/>
        <w:rPr>
          <w:rFonts w:hint="eastAsia" w:ascii="宋体" w:hAnsi="宋体" w:eastAsia="宋体" w:cs="宋体"/>
          <w:b/>
          <w:color w:val="auto"/>
          <w:sz w:val="28"/>
          <w:szCs w:val="28"/>
          <w:highlight w:val="none"/>
          <w:shd w:val="clear" w:color="auto" w:fill="FFFFFF"/>
          <w:lang w:eastAsia="zh-CN"/>
        </w:rPr>
      </w:pPr>
      <w:r>
        <w:rPr>
          <w:rFonts w:hint="eastAsia" w:ascii="宋体" w:hAnsi="宋体" w:eastAsia="宋体" w:cs="宋体"/>
          <w:b/>
          <w:color w:val="auto"/>
          <w:sz w:val="28"/>
          <w:szCs w:val="28"/>
          <w:highlight w:val="none"/>
          <w:shd w:val="clear" w:color="auto" w:fill="FFFFFF"/>
          <w:lang w:val="en-US" w:eastAsia="zh-CN"/>
        </w:rPr>
        <w:t>（</w:t>
      </w:r>
      <w:r>
        <w:rPr>
          <w:rFonts w:hint="eastAsia" w:ascii="宋体" w:hAnsi="宋体" w:cs="宋体"/>
          <w:b/>
          <w:color w:val="auto"/>
          <w:sz w:val="28"/>
          <w:szCs w:val="28"/>
          <w:highlight w:val="none"/>
          <w:shd w:val="clear" w:color="auto" w:fill="FFFFFF"/>
          <w:lang w:val="en-US" w:eastAsia="zh-CN"/>
        </w:rPr>
        <w:t>七</w:t>
      </w:r>
      <w:r>
        <w:rPr>
          <w:rFonts w:hint="eastAsia" w:ascii="宋体" w:hAnsi="宋体" w:eastAsia="宋体" w:cs="宋体"/>
          <w:b/>
          <w:color w:val="auto"/>
          <w:sz w:val="28"/>
          <w:szCs w:val="28"/>
          <w:highlight w:val="none"/>
          <w:shd w:val="clear" w:color="auto" w:fill="FFFFFF"/>
          <w:lang w:val="en-US" w:eastAsia="zh-CN"/>
        </w:rPr>
        <w:t>）</w:t>
      </w:r>
      <w:r>
        <w:rPr>
          <w:rFonts w:hint="eastAsia" w:ascii="宋体" w:hAnsi="宋体" w:eastAsia="宋体" w:cs="宋体"/>
          <w:b/>
          <w:color w:val="auto"/>
          <w:sz w:val="28"/>
          <w:szCs w:val="28"/>
          <w:highlight w:val="none"/>
          <w:shd w:val="clear" w:color="auto" w:fill="FFFFFF"/>
        </w:rPr>
        <w:t>投标人认为需要提供的其它资料</w:t>
      </w:r>
      <w:r>
        <w:rPr>
          <w:rFonts w:hint="eastAsia" w:ascii="宋体" w:hAnsi="宋体" w:eastAsia="宋体" w:cs="宋体"/>
          <w:b/>
          <w:color w:val="auto"/>
          <w:sz w:val="28"/>
          <w:szCs w:val="28"/>
          <w:highlight w:val="none"/>
          <w:shd w:val="clear" w:color="auto" w:fill="FFFFFF"/>
          <w:lang w:eastAsia="zh-CN"/>
        </w:rPr>
        <w:t>。</w:t>
      </w:r>
    </w:p>
    <w:p w14:paraId="459A8877">
      <w:pPr>
        <w:pageBreakBefore w:val="0"/>
        <w:shd w:val="solid" w:color="FFFFFF" w:fill="auto"/>
        <w:kinsoku/>
        <w:overflowPunct/>
        <w:autoSpaceDN w:val="0"/>
        <w:bidi w:val="0"/>
        <w:spacing w:line="360" w:lineRule="auto"/>
        <w:jc w:val="center"/>
        <w:outlineLvl w:val="1"/>
        <w:rPr>
          <w:rFonts w:hint="eastAsia" w:ascii="宋体" w:hAnsi="宋体" w:eastAsia="宋体" w:cs="宋体"/>
          <w:b/>
          <w:color w:val="auto"/>
          <w:sz w:val="32"/>
          <w:szCs w:val="32"/>
          <w:highlight w:val="none"/>
          <w:shd w:val="clear" w:color="auto" w:fill="FFFFFF"/>
        </w:rPr>
      </w:pPr>
      <w:r>
        <w:rPr>
          <w:rFonts w:hint="eastAsia" w:ascii="宋体" w:hAnsi="宋体" w:eastAsia="宋体" w:cs="宋体"/>
          <w:lang w:val="en-US" w:eastAsia="zh-CN"/>
        </w:rPr>
        <w:br w:type="page"/>
      </w:r>
      <w:bookmarkStart w:id="221" w:name="_Toc25635"/>
      <w:bookmarkStart w:id="222" w:name="_Toc21652"/>
      <w:bookmarkStart w:id="223" w:name="_Toc1565"/>
      <w:bookmarkStart w:id="224" w:name="_Toc14315"/>
      <w:r>
        <w:rPr>
          <w:rFonts w:hint="eastAsia" w:ascii="宋体" w:hAnsi="宋体" w:eastAsia="宋体" w:cs="宋体"/>
          <w:b/>
          <w:color w:val="auto"/>
          <w:sz w:val="32"/>
          <w:szCs w:val="32"/>
          <w:highlight w:val="none"/>
          <w:shd w:val="clear" w:color="auto" w:fill="FFFFFF"/>
          <w:lang w:val="en-US" w:eastAsia="zh-CN"/>
        </w:rPr>
        <w:t>十</w:t>
      </w:r>
      <w:r>
        <w:rPr>
          <w:rFonts w:hint="eastAsia" w:ascii="宋体" w:hAnsi="宋体" w:eastAsia="宋体" w:cs="宋体"/>
          <w:b/>
          <w:color w:val="auto"/>
          <w:sz w:val="32"/>
          <w:szCs w:val="32"/>
          <w:highlight w:val="none"/>
          <w:shd w:val="clear" w:color="auto" w:fill="FFFFFF"/>
        </w:rPr>
        <w:t>、资格审查资料</w:t>
      </w:r>
      <w:bookmarkEnd w:id="221"/>
      <w:bookmarkEnd w:id="222"/>
      <w:bookmarkEnd w:id="223"/>
      <w:bookmarkEnd w:id="224"/>
    </w:p>
    <w:p w14:paraId="6ECBBBE4">
      <w:pPr>
        <w:pageBreakBefore w:val="0"/>
        <w:shd w:val="solid" w:color="FFFFFF" w:fill="auto"/>
        <w:kinsoku/>
        <w:overflowPunct/>
        <w:autoSpaceDN w:val="0"/>
        <w:bidi w:val="0"/>
        <w:spacing w:line="360" w:lineRule="auto"/>
        <w:jc w:val="center"/>
        <w:outlineLvl w:val="1"/>
        <w:rPr>
          <w:rFonts w:hint="eastAsia" w:ascii="宋体" w:hAnsi="宋体" w:eastAsia="宋体" w:cs="宋体"/>
          <w:color w:val="auto"/>
          <w:sz w:val="32"/>
          <w:szCs w:val="32"/>
          <w:highlight w:val="none"/>
          <w:shd w:val="clear" w:color="auto" w:fill="FFFFFF"/>
        </w:rPr>
      </w:pPr>
      <w:bookmarkStart w:id="225" w:name="_Toc17868"/>
      <w:bookmarkStart w:id="226" w:name="_Toc18533"/>
      <w:bookmarkStart w:id="227" w:name="_Toc16142"/>
      <w:bookmarkStart w:id="228" w:name="_Toc29005"/>
      <w:r>
        <w:rPr>
          <w:rFonts w:hint="eastAsia" w:ascii="宋体" w:hAnsi="宋体" w:eastAsia="宋体" w:cs="宋体"/>
          <w:b/>
          <w:color w:val="auto"/>
          <w:sz w:val="32"/>
          <w:szCs w:val="32"/>
          <w:highlight w:val="none"/>
          <w:shd w:val="clear" w:color="auto" w:fill="FFFFFF"/>
        </w:rPr>
        <w:t>（一）投标人基本情况表</w:t>
      </w:r>
      <w:bookmarkEnd w:id="225"/>
      <w:bookmarkEnd w:id="226"/>
      <w:bookmarkEnd w:id="227"/>
      <w:bookmarkEnd w:id="228"/>
    </w:p>
    <w:tbl>
      <w:tblPr>
        <w:tblStyle w:val="2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701"/>
        <w:gridCol w:w="1026"/>
        <w:gridCol w:w="1304"/>
        <w:gridCol w:w="765"/>
        <w:gridCol w:w="858"/>
        <w:gridCol w:w="481"/>
        <w:gridCol w:w="667"/>
        <w:gridCol w:w="1566"/>
      </w:tblGrid>
      <w:tr w14:paraId="5523F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80" w:hRule="atLeast"/>
          <w:jc w:val="center"/>
        </w:trPr>
        <w:tc>
          <w:tcPr>
            <w:tcW w:w="1701" w:type="dxa"/>
            <w:noWrap w:val="0"/>
            <w:vAlign w:val="center"/>
          </w:tcPr>
          <w:p w14:paraId="0F7B611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p>
        </w:tc>
        <w:tc>
          <w:tcPr>
            <w:tcW w:w="6667" w:type="dxa"/>
            <w:gridSpan w:val="7"/>
            <w:noWrap w:val="0"/>
            <w:vAlign w:val="center"/>
          </w:tcPr>
          <w:p w14:paraId="0F4A491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4"/>
                <w:highlight w:val="none"/>
              </w:rPr>
            </w:pPr>
          </w:p>
        </w:tc>
      </w:tr>
      <w:tr w14:paraId="74E90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80" w:hRule="atLeast"/>
          <w:jc w:val="center"/>
        </w:trPr>
        <w:tc>
          <w:tcPr>
            <w:tcW w:w="1701" w:type="dxa"/>
            <w:noWrap w:val="0"/>
            <w:vAlign w:val="center"/>
          </w:tcPr>
          <w:p w14:paraId="6E9F319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注册</w:t>
            </w:r>
            <w:r>
              <w:rPr>
                <w:rFonts w:hint="eastAsia" w:ascii="宋体" w:hAnsi="宋体" w:eastAsia="宋体" w:cs="宋体"/>
                <w:color w:val="auto"/>
                <w:sz w:val="24"/>
                <w:highlight w:val="none"/>
              </w:rPr>
              <w:t>地址</w:t>
            </w:r>
          </w:p>
        </w:tc>
        <w:tc>
          <w:tcPr>
            <w:tcW w:w="6667" w:type="dxa"/>
            <w:gridSpan w:val="7"/>
            <w:noWrap w:val="0"/>
            <w:vAlign w:val="center"/>
          </w:tcPr>
          <w:p w14:paraId="65B9007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4"/>
                <w:highlight w:val="none"/>
              </w:rPr>
            </w:pPr>
          </w:p>
        </w:tc>
      </w:tr>
      <w:tr w14:paraId="452A4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80" w:hRule="atLeast"/>
          <w:jc w:val="center"/>
        </w:trPr>
        <w:tc>
          <w:tcPr>
            <w:tcW w:w="1701" w:type="dxa"/>
            <w:vMerge w:val="restart"/>
            <w:noWrap w:val="0"/>
            <w:vAlign w:val="center"/>
          </w:tcPr>
          <w:p w14:paraId="45BB6801">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p>
        </w:tc>
        <w:tc>
          <w:tcPr>
            <w:tcW w:w="1026" w:type="dxa"/>
            <w:tcBorders>
              <w:right w:val="single" w:color="auto" w:sz="4" w:space="0"/>
            </w:tcBorders>
            <w:noWrap w:val="0"/>
            <w:vAlign w:val="center"/>
          </w:tcPr>
          <w:p w14:paraId="59EF323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p>
        </w:tc>
        <w:tc>
          <w:tcPr>
            <w:tcW w:w="2069" w:type="dxa"/>
            <w:gridSpan w:val="2"/>
            <w:tcBorders>
              <w:left w:val="single" w:color="auto" w:sz="4" w:space="0"/>
              <w:right w:val="single" w:color="auto" w:sz="4" w:space="0"/>
            </w:tcBorders>
            <w:noWrap w:val="0"/>
            <w:vAlign w:val="center"/>
          </w:tcPr>
          <w:p w14:paraId="43011BE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4"/>
                <w:highlight w:val="none"/>
              </w:rPr>
            </w:pPr>
          </w:p>
        </w:tc>
        <w:tc>
          <w:tcPr>
            <w:tcW w:w="1339" w:type="dxa"/>
            <w:gridSpan w:val="2"/>
            <w:tcBorders>
              <w:left w:val="single" w:color="auto" w:sz="4" w:space="0"/>
              <w:right w:val="single" w:color="auto" w:sz="4" w:space="0"/>
            </w:tcBorders>
            <w:noWrap w:val="0"/>
            <w:vAlign w:val="center"/>
          </w:tcPr>
          <w:p w14:paraId="61DAE18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2233" w:type="dxa"/>
            <w:gridSpan w:val="2"/>
            <w:tcBorders>
              <w:left w:val="single" w:color="auto" w:sz="4" w:space="0"/>
            </w:tcBorders>
            <w:noWrap w:val="0"/>
            <w:vAlign w:val="center"/>
          </w:tcPr>
          <w:p w14:paraId="4125855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4"/>
                <w:highlight w:val="none"/>
              </w:rPr>
            </w:pPr>
          </w:p>
        </w:tc>
      </w:tr>
      <w:tr w14:paraId="6B3F4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80" w:hRule="atLeast"/>
          <w:jc w:val="center"/>
        </w:trPr>
        <w:tc>
          <w:tcPr>
            <w:tcW w:w="1701" w:type="dxa"/>
            <w:vMerge w:val="continue"/>
            <w:noWrap w:val="0"/>
            <w:vAlign w:val="center"/>
          </w:tcPr>
          <w:p w14:paraId="38177AA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4"/>
                <w:highlight w:val="none"/>
              </w:rPr>
            </w:pPr>
          </w:p>
        </w:tc>
        <w:tc>
          <w:tcPr>
            <w:tcW w:w="1026" w:type="dxa"/>
            <w:tcBorders>
              <w:right w:val="single" w:color="auto" w:sz="4" w:space="0"/>
            </w:tcBorders>
            <w:noWrap w:val="0"/>
            <w:vAlign w:val="center"/>
          </w:tcPr>
          <w:p w14:paraId="779A962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电子邮箱</w:t>
            </w:r>
          </w:p>
        </w:tc>
        <w:tc>
          <w:tcPr>
            <w:tcW w:w="2069" w:type="dxa"/>
            <w:gridSpan w:val="2"/>
            <w:tcBorders>
              <w:left w:val="single" w:color="auto" w:sz="4" w:space="0"/>
              <w:right w:val="single" w:color="auto" w:sz="4" w:space="0"/>
            </w:tcBorders>
            <w:noWrap w:val="0"/>
            <w:vAlign w:val="center"/>
          </w:tcPr>
          <w:p w14:paraId="0DFE9FD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4"/>
                <w:highlight w:val="none"/>
              </w:rPr>
            </w:pPr>
          </w:p>
        </w:tc>
        <w:tc>
          <w:tcPr>
            <w:tcW w:w="1339" w:type="dxa"/>
            <w:gridSpan w:val="2"/>
            <w:tcBorders>
              <w:left w:val="single" w:color="auto" w:sz="4" w:space="0"/>
              <w:right w:val="single" w:color="auto" w:sz="4" w:space="0"/>
            </w:tcBorders>
            <w:noWrap w:val="0"/>
            <w:vAlign w:val="center"/>
          </w:tcPr>
          <w:p w14:paraId="0F57617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座机</w:t>
            </w:r>
          </w:p>
        </w:tc>
        <w:tc>
          <w:tcPr>
            <w:tcW w:w="2233" w:type="dxa"/>
            <w:gridSpan w:val="2"/>
            <w:tcBorders>
              <w:left w:val="single" w:color="auto" w:sz="4" w:space="0"/>
            </w:tcBorders>
            <w:noWrap w:val="0"/>
            <w:vAlign w:val="center"/>
          </w:tcPr>
          <w:p w14:paraId="0EDFB5D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4"/>
                <w:highlight w:val="none"/>
              </w:rPr>
            </w:pPr>
          </w:p>
        </w:tc>
      </w:tr>
      <w:tr w14:paraId="40955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85" w:hRule="atLeast"/>
          <w:jc w:val="center"/>
        </w:trPr>
        <w:tc>
          <w:tcPr>
            <w:tcW w:w="1701" w:type="dxa"/>
            <w:noWrap w:val="0"/>
            <w:vAlign w:val="center"/>
          </w:tcPr>
          <w:p w14:paraId="7A06006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p>
        </w:tc>
        <w:tc>
          <w:tcPr>
            <w:tcW w:w="3095" w:type="dxa"/>
            <w:gridSpan w:val="3"/>
            <w:noWrap w:val="0"/>
            <w:vAlign w:val="center"/>
          </w:tcPr>
          <w:p w14:paraId="19C1663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4"/>
                <w:highlight w:val="none"/>
              </w:rPr>
            </w:pPr>
          </w:p>
        </w:tc>
        <w:tc>
          <w:tcPr>
            <w:tcW w:w="1339" w:type="dxa"/>
            <w:gridSpan w:val="2"/>
            <w:noWrap w:val="0"/>
            <w:vAlign w:val="center"/>
          </w:tcPr>
          <w:p w14:paraId="6BEDD17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注册资本金</w:t>
            </w:r>
          </w:p>
        </w:tc>
        <w:tc>
          <w:tcPr>
            <w:tcW w:w="2233" w:type="dxa"/>
            <w:gridSpan w:val="2"/>
            <w:noWrap w:val="0"/>
            <w:vAlign w:val="center"/>
          </w:tcPr>
          <w:p w14:paraId="1F933CF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4"/>
                <w:highlight w:val="none"/>
              </w:rPr>
            </w:pPr>
          </w:p>
        </w:tc>
      </w:tr>
      <w:tr w14:paraId="18FE3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15" w:hRule="atLeast"/>
          <w:jc w:val="center"/>
        </w:trPr>
        <w:tc>
          <w:tcPr>
            <w:tcW w:w="1701" w:type="dxa"/>
            <w:noWrap w:val="0"/>
            <w:vAlign w:val="center"/>
          </w:tcPr>
          <w:p w14:paraId="7EFF065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1026" w:type="dxa"/>
            <w:noWrap w:val="0"/>
            <w:vAlign w:val="center"/>
          </w:tcPr>
          <w:p w14:paraId="0CDAC36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4"/>
                <w:highlight w:val="none"/>
              </w:rPr>
            </w:pPr>
          </w:p>
        </w:tc>
        <w:tc>
          <w:tcPr>
            <w:tcW w:w="1304" w:type="dxa"/>
            <w:noWrap w:val="0"/>
            <w:vAlign w:val="center"/>
          </w:tcPr>
          <w:p w14:paraId="5A606BB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联系电话（手机）</w:t>
            </w:r>
          </w:p>
        </w:tc>
        <w:tc>
          <w:tcPr>
            <w:tcW w:w="1623" w:type="dxa"/>
            <w:gridSpan w:val="2"/>
            <w:noWrap w:val="0"/>
            <w:vAlign w:val="center"/>
          </w:tcPr>
          <w:p w14:paraId="56E7856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4"/>
                <w:highlight w:val="none"/>
              </w:rPr>
            </w:pPr>
          </w:p>
        </w:tc>
        <w:tc>
          <w:tcPr>
            <w:tcW w:w="1148" w:type="dxa"/>
            <w:gridSpan w:val="2"/>
            <w:noWrap w:val="0"/>
            <w:vAlign w:val="center"/>
          </w:tcPr>
          <w:p w14:paraId="0D41037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座机</w:t>
            </w:r>
          </w:p>
        </w:tc>
        <w:tc>
          <w:tcPr>
            <w:tcW w:w="1566" w:type="dxa"/>
            <w:noWrap w:val="0"/>
            <w:vAlign w:val="center"/>
          </w:tcPr>
          <w:p w14:paraId="0340C70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4"/>
                <w:highlight w:val="none"/>
              </w:rPr>
            </w:pPr>
          </w:p>
        </w:tc>
      </w:tr>
      <w:tr w14:paraId="2922D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15" w:hRule="atLeast"/>
          <w:jc w:val="center"/>
        </w:trPr>
        <w:tc>
          <w:tcPr>
            <w:tcW w:w="1701" w:type="dxa"/>
            <w:noWrap w:val="0"/>
            <w:vAlign w:val="center"/>
          </w:tcPr>
          <w:p w14:paraId="37F6B09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授权代理人</w:t>
            </w:r>
          </w:p>
        </w:tc>
        <w:tc>
          <w:tcPr>
            <w:tcW w:w="1026" w:type="dxa"/>
            <w:noWrap w:val="0"/>
            <w:vAlign w:val="center"/>
          </w:tcPr>
          <w:p w14:paraId="54F3AAD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4"/>
                <w:highlight w:val="none"/>
              </w:rPr>
            </w:pPr>
          </w:p>
        </w:tc>
        <w:tc>
          <w:tcPr>
            <w:tcW w:w="1304" w:type="dxa"/>
            <w:noWrap w:val="0"/>
            <w:vAlign w:val="center"/>
          </w:tcPr>
          <w:p w14:paraId="52A68FB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联系电话（手机）</w:t>
            </w:r>
          </w:p>
        </w:tc>
        <w:tc>
          <w:tcPr>
            <w:tcW w:w="1623" w:type="dxa"/>
            <w:gridSpan w:val="2"/>
            <w:noWrap w:val="0"/>
            <w:vAlign w:val="center"/>
          </w:tcPr>
          <w:p w14:paraId="17F469D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4"/>
                <w:highlight w:val="none"/>
              </w:rPr>
            </w:pPr>
          </w:p>
        </w:tc>
        <w:tc>
          <w:tcPr>
            <w:tcW w:w="1148" w:type="dxa"/>
            <w:gridSpan w:val="2"/>
            <w:noWrap w:val="0"/>
            <w:vAlign w:val="center"/>
          </w:tcPr>
          <w:p w14:paraId="38D8FC4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座机</w:t>
            </w:r>
          </w:p>
        </w:tc>
        <w:tc>
          <w:tcPr>
            <w:tcW w:w="1566" w:type="dxa"/>
            <w:noWrap w:val="0"/>
            <w:vAlign w:val="center"/>
          </w:tcPr>
          <w:p w14:paraId="5F97C1B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4"/>
                <w:highlight w:val="none"/>
              </w:rPr>
            </w:pPr>
          </w:p>
        </w:tc>
      </w:tr>
      <w:tr w14:paraId="5C9A7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67" w:hRule="atLeast"/>
          <w:jc w:val="center"/>
        </w:trPr>
        <w:tc>
          <w:tcPr>
            <w:tcW w:w="1701" w:type="dxa"/>
            <w:noWrap w:val="0"/>
            <w:vAlign w:val="center"/>
          </w:tcPr>
          <w:p w14:paraId="70888E4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基本存款账户信息</w:t>
            </w:r>
          </w:p>
        </w:tc>
        <w:tc>
          <w:tcPr>
            <w:tcW w:w="6667" w:type="dxa"/>
            <w:gridSpan w:val="7"/>
            <w:noWrap w:val="0"/>
            <w:vAlign w:val="center"/>
          </w:tcPr>
          <w:p w14:paraId="204F34E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开户银行：</w:t>
            </w:r>
          </w:p>
          <w:p w14:paraId="17B7AAC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银行账号：</w:t>
            </w:r>
          </w:p>
        </w:tc>
      </w:tr>
      <w:tr w14:paraId="7A6E5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656" w:hRule="atLeast"/>
          <w:jc w:val="center"/>
        </w:trPr>
        <w:tc>
          <w:tcPr>
            <w:tcW w:w="1701" w:type="dxa"/>
            <w:tcBorders>
              <w:top w:val="single" w:color="auto" w:sz="4" w:space="0"/>
              <w:bottom w:val="single" w:color="auto" w:sz="4" w:space="0"/>
            </w:tcBorders>
            <w:noWrap w:val="0"/>
            <w:vAlign w:val="center"/>
          </w:tcPr>
          <w:p w14:paraId="70B7C99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经营范围</w:t>
            </w:r>
          </w:p>
        </w:tc>
        <w:tc>
          <w:tcPr>
            <w:tcW w:w="6667" w:type="dxa"/>
            <w:gridSpan w:val="7"/>
            <w:tcBorders>
              <w:top w:val="single" w:color="auto" w:sz="4" w:space="0"/>
              <w:bottom w:val="single" w:color="auto" w:sz="4" w:space="0"/>
            </w:tcBorders>
            <w:noWrap w:val="0"/>
            <w:vAlign w:val="center"/>
          </w:tcPr>
          <w:p w14:paraId="323B87F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4"/>
                <w:highlight w:val="none"/>
              </w:rPr>
            </w:pPr>
          </w:p>
        </w:tc>
      </w:tr>
      <w:tr w14:paraId="7B3E6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2225" w:hRule="atLeast"/>
          <w:jc w:val="center"/>
        </w:trPr>
        <w:tc>
          <w:tcPr>
            <w:tcW w:w="1701" w:type="dxa"/>
            <w:tcBorders>
              <w:top w:val="single" w:color="auto" w:sz="4" w:space="0"/>
            </w:tcBorders>
            <w:noWrap w:val="0"/>
            <w:vAlign w:val="center"/>
          </w:tcPr>
          <w:p w14:paraId="5B3BDF7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0"/>
                <w:szCs w:val="20"/>
              </w:rPr>
              <w:t>投标人关</w:t>
            </w:r>
            <w:r>
              <w:rPr>
                <w:rFonts w:hint="eastAsia" w:ascii="宋体" w:hAnsi="宋体" w:eastAsia="宋体" w:cs="宋体"/>
                <w:color w:val="auto"/>
                <w:spacing w:val="-2"/>
                <w:sz w:val="20"/>
                <w:szCs w:val="20"/>
              </w:rPr>
              <w:t>联</w:t>
            </w:r>
            <w:r>
              <w:rPr>
                <w:rFonts w:hint="eastAsia" w:ascii="宋体" w:hAnsi="宋体" w:eastAsia="宋体" w:cs="宋体"/>
                <w:color w:val="auto"/>
                <w:sz w:val="20"/>
                <w:szCs w:val="20"/>
              </w:rPr>
              <w:t>企</w:t>
            </w:r>
            <w:r>
              <w:rPr>
                <w:rFonts w:hint="eastAsia" w:ascii="宋体" w:hAnsi="宋体" w:eastAsia="宋体" w:cs="宋体"/>
                <w:color w:val="auto"/>
                <w:spacing w:val="-2"/>
                <w:sz w:val="20"/>
                <w:szCs w:val="20"/>
              </w:rPr>
              <w:t>业</w:t>
            </w:r>
            <w:r>
              <w:rPr>
                <w:rFonts w:hint="eastAsia" w:ascii="宋体" w:hAnsi="宋体" w:eastAsia="宋体" w:cs="宋体"/>
                <w:color w:val="auto"/>
                <w:sz w:val="20"/>
                <w:szCs w:val="20"/>
              </w:rPr>
              <w:t>情况（包</w:t>
            </w:r>
            <w:r>
              <w:rPr>
                <w:rFonts w:hint="eastAsia" w:ascii="宋体" w:hAnsi="宋体" w:eastAsia="宋体" w:cs="宋体"/>
                <w:color w:val="auto"/>
                <w:spacing w:val="-2"/>
                <w:sz w:val="20"/>
                <w:szCs w:val="20"/>
              </w:rPr>
              <w:t>括</w:t>
            </w:r>
            <w:r>
              <w:rPr>
                <w:rFonts w:hint="eastAsia" w:ascii="宋体" w:hAnsi="宋体" w:eastAsia="宋体" w:cs="宋体"/>
                <w:color w:val="auto"/>
                <w:sz w:val="20"/>
                <w:szCs w:val="20"/>
              </w:rPr>
              <w:t>但</w:t>
            </w:r>
            <w:r>
              <w:rPr>
                <w:rFonts w:hint="eastAsia" w:ascii="宋体" w:hAnsi="宋体" w:eastAsia="宋体" w:cs="宋体"/>
                <w:color w:val="auto"/>
                <w:spacing w:val="-2"/>
                <w:sz w:val="20"/>
                <w:szCs w:val="20"/>
              </w:rPr>
              <w:t>不</w:t>
            </w:r>
            <w:r>
              <w:rPr>
                <w:rFonts w:hint="eastAsia" w:ascii="宋体" w:hAnsi="宋体" w:eastAsia="宋体" w:cs="宋体"/>
                <w:color w:val="auto"/>
                <w:sz w:val="20"/>
                <w:szCs w:val="20"/>
              </w:rPr>
              <w:t>限</w:t>
            </w:r>
            <w:r>
              <w:rPr>
                <w:rFonts w:hint="eastAsia" w:ascii="宋体" w:hAnsi="宋体" w:eastAsia="宋体" w:cs="宋体"/>
                <w:color w:val="auto"/>
                <w:spacing w:val="-2"/>
                <w:sz w:val="20"/>
                <w:szCs w:val="20"/>
              </w:rPr>
              <w:t>于</w:t>
            </w:r>
            <w:r>
              <w:rPr>
                <w:rFonts w:hint="eastAsia" w:ascii="宋体" w:hAnsi="宋体" w:eastAsia="宋体" w:cs="宋体"/>
                <w:color w:val="auto"/>
                <w:sz w:val="20"/>
                <w:szCs w:val="20"/>
              </w:rPr>
              <w:t>与投标人</w:t>
            </w:r>
            <w:r>
              <w:rPr>
                <w:rFonts w:hint="eastAsia" w:ascii="宋体" w:hAnsi="宋体" w:eastAsia="宋体" w:cs="宋体"/>
                <w:color w:val="auto"/>
                <w:spacing w:val="-2"/>
                <w:sz w:val="20"/>
                <w:szCs w:val="20"/>
              </w:rPr>
              <w:t>法</w:t>
            </w:r>
            <w:r>
              <w:rPr>
                <w:rFonts w:hint="eastAsia" w:ascii="宋体" w:hAnsi="宋体" w:eastAsia="宋体" w:cs="宋体"/>
                <w:color w:val="auto"/>
                <w:sz w:val="20"/>
                <w:szCs w:val="20"/>
              </w:rPr>
              <w:t>定</w:t>
            </w:r>
            <w:r>
              <w:rPr>
                <w:rFonts w:hint="eastAsia" w:ascii="宋体" w:hAnsi="宋体" w:eastAsia="宋体" w:cs="宋体"/>
                <w:color w:val="auto"/>
                <w:spacing w:val="-2"/>
                <w:sz w:val="20"/>
                <w:szCs w:val="20"/>
              </w:rPr>
              <w:t>代</w:t>
            </w:r>
            <w:r>
              <w:rPr>
                <w:rFonts w:hint="eastAsia" w:ascii="宋体" w:hAnsi="宋体" w:eastAsia="宋体" w:cs="宋体"/>
                <w:color w:val="auto"/>
                <w:sz w:val="20"/>
                <w:szCs w:val="20"/>
              </w:rPr>
              <w:t>表</w:t>
            </w:r>
            <w:r>
              <w:rPr>
                <w:rFonts w:hint="eastAsia" w:ascii="宋体" w:hAnsi="宋体" w:eastAsia="宋体" w:cs="宋体"/>
                <w:color w:val="auto"/>
                <w:spacing w:val="-2"/>
                <w:sz w:val="20"/>
                <w:szCs w:val="20"/>
              </w:rPr>
              <w:t>人</w:t>
            </w:r>
            <w:r>
              <w:rPr>
                <w:rFonts w:hint="eastAsia" w:ascii="宋体" w:hAnsi="宋体" w:eastAsia="宋体" w:cs="宋体"/>
                <w:color w:val="auto"/>
                <w:sz w:val="20"/>
                <w:szCs w:val="20"/>
              </w:rPr>
              <w:t>（单位负</w:t>
            </w:r>
            <w:r>
              <w:rPr>
                <w:rFonts w:hint="eastAsia" w:ascii="宋体" w:hAnsi="宋体" w:eastAsia="宋体" w:cs="宋体"/>
                <w:color w:val="auto"/>
                <w:spacing w:val="-2"/>
                <w:sz w:val="20"/>
                <w:szCs w:val="20"/>
              </w:rPr>
              <w:t>责</w:t>
            </w:r>
            <w:r>
              <w:rPr>
                <w:rFonts w:hint="eastAsia" w:ascii="宋体" w:hAnsi="宋体" w:eastAsia="宋体" w:cs="宋体"/>
                <w:color w:val="auto"/>
                <w:sz w:val="20"/>
                <w:szCs w:val="20"/>
              </w:rPr>
              <w:t>人</w:t>
            </w:r>
            <w:r>
              <w:rPr>
                <w:rFonts w:hint="eastAsia" w:ascii="宋体" w:hAnsi="宋体" w:eastAsia="宋体" w:cs="宋体"/>
                <w:color w:val="auto"/>
                <w:spacing w:val="-2"/>
                <w:sz w:val="20"/>
                <w:szCs w:val="20"/>
              </w:rPr>
              <w:t>）</w:t>
            </w:r>
            <w:r>
              <w:rPr>
                <w:rFonts w:hint="eastAsia" w:ascii="宋体" w:hAnsi="宋体" w:eastAsia="宋体" w:cs="宋体"/>
                <w:color w:val="auto"/>
                <w:sz w:val="20"/>
                <w:szCs w:val="20"/>
              </w:rPr>
              <w:t>为</w:t>
            </w:r>
            <w:r>
              <w:rPr>
                <w:rFonts w:hint="eastAsia" w:ascii="宋体" w:hAnsi="宋体" w:eastAsia="宋体" w:cs="宋体"/>
                <w:color w:val="auto"/>
                <w:spacing w:val="-2"/>
                <w:sz w:val="20"/>
                <w:szCs w:val="20"/>
              </w:rPr>
              <w:t>同</w:t>
            </w:r>
            <w:r>
              <w:rPr>
                <w:rFonts w:hint="eastAsia" w:ascii="宋体" w:hAnsi="宋体" w:eastAsia="宋体" w:cs="宋体"/>
                <w:color w:val="auto"/>
                <w:sz w:val="20"/>
                <w:szCs w:val="20"/>
              </w:rPr>
              <w:t>一人或者</w:t>
            </w:r>
            <w:r>
              <w:rPr>
                <w:rFonts w:hint="eastAsia" w:ascii="宋体" w:hAnsi="宋体" w:eastAsia="宋体" w:cs="宋体"/>
                <w:color w:val="auto"/>
                <w:spacing w:val="-2"/>
                <w:sz w:val="20"/>
                <w:szCs w:val="20"/>
              </w:rPr>
              <w:t>存</w:t>
            </w:r>
            <w:r>
              <w:rPr>
                <w:rFonts w:hint="eastAsia" w:ascii="宋体" w:hAnsi="宋体" w:eastAsia="宋体" w:cs="宋体"/>
                <w:color w:val="auto"/>
                <w:sz w:val="20"/>
                <w:szCs w:val="20"/>
              </w:rPr>
              <w:t>在</w:t>
            </w:r>
            <w:r>
              <w:rPr>
                <w:rFonts w:hint="eastAsia" w:ascii="宋体" w:hAnsi="宋体" w:eastAsia="宋体" w:cs="宋体"/>
                <w:color w:val="auto"/>
                <w:spacing w:val="-2"/>
                <w:sz w:val="20"/>
                <w:szCs w:val="20"/>
              </w:rPr>
              <w:t>控</w:t>
            </w:r>
            <w:r>
              <w:rPr>
                <w:rFonts w:hint="eastAsia" w:ascii="宋体" w:hAnsi="宋体" w:eastAsia="宋体" w:cs="宋体"/>
                <w:color w:val="auto"/>
                <w:sz w:val="20"/>
                <w:szCs w:val="20"/>
              </w:rPr>
              <w:t>股</w:t>
            </w:r>
            <w:r>
              <w:rPr>
                <w:rFonts w:hint="eastAsia" w:ascii="宋体" w:hAnsi="宋体" w:eastAsia="宋体" w:cs="宋体"/>
                <w:color w:val="auto"/>
                <w:spacing w:val="-2"/>
                <w:sz w:val="20"/>
                <w:szCs w:val="20"/>
              </w:rPr>
              <w:t>、</w:t>
            </w:r>
            <w:r>
              <w:rPr>
                <w:rFonts w:hint="eastAsia" w:ascii="宋体" w:hAnsi="宋体" w:eastAsia="宋体" w:cs="宋体"/>
                <w:color w:val="auto"/>
                <w:sz w:val="20"/>
                <w:szCs w:val="20"/>
              </w:rPr>
              <w:t>管理关系</w:t>
            </w:r>
            <w:r>
              <w:rPr>
                <w:rFonts w:hint="eastAsia" w:ascii="宋体" w:hAnsi="宋体" w:eastAsia="宋体" w:cs="宋体"/>
                <w:color w:val="auto"/>
                <w:spacing w:val="-2"/>
                <w:sz w:val="20"/>
                <w:szCs w:val="20"/>
              </w:rPr>
              <w:t>的</w:t>
            </w:r>
            <w:r>
              <w:rPr>
                <w:rFonts w:hint="eastAsia" w:ascii="宋体" w:hAnsi="宋体" w:eastAsia="宋体" w:cs="宋体"/>
                <w:color w:val="auto"/>
                <w:sz w:val="20"/>
                <w:szCs w:val="20"/>
              </w:rPr>
              <w:t>不</w:t>
            </w:r>
            <w:r>
              <w:rPr>
                <w:rFonts w:hint="eastAsia" w:ascii="宋体" w:hAnsi="宋体" w:eastAsia="宋体" w:cs="宋体"/>
                <w:color w:val="auto"/>
                <w:spacing w:val="-2"/>
                <w:sz w:val="20"/>
                <w:szCs w:val="20"/>
              </w:rPr>
              <w:t>同</w:t>
            </w:r>
            <w:r>
              <w:rPr>
                <w:rFonts w:hint="eastAsia" w:ascii="宋体" w:hAnsi="宋体" w:eastAsia="宋体" w:cs="宋体"/>
                <w:color w:val="auto"/>
                <w:sz w:val="20"/>
                <w:szCs w:val="20"/>
              </w:rPr>
              <w:t>单</w:t>
            </w:r>
            <w:r>
              <w:rPr>
                <w:rFonts w:hint="eastAsia" w:ascii="宋体" w:hAnsi="宋体" w:eastAsia="宋体" w:cs="宋体"/>
                <w:color w:val="auto"/>
                <w:spacing w:val="-2"/>
                <w:sz w:val="20"/>
                <w:szCs w:val="20"/>
              </w:rPr>
              <w:t>位</w:t>
            </w:r>
            <w:r>
              <w:rPr>
                <w:rFonts w:hint="eastAsia" w:ascii="宋体" w:hAnsi="宋体" w:eastAsia="宋体" w:cs="宋体"/>
                <w:color w:val="auto"/>
                <w:sz w:val="20"/>
                <w:szCs w:val="20"/>
              </w:rPr>
              <w:t>）</w:t>
            </w:r>
          </w:p>
        </w:tc>
        <w:tc>
          <w:tcPr>
            <w:tcW w:w="6667" w:type="dxa"/>
            <w:gridSpan w:val="7"/>
            <w:tcBorders>
              <w:top w:val="single" w:color="auto" w:sz="4" w:space="0"/>
            </w:tcBorders>
            <w:noWrap w:val="0"/>
            <w:vAlign w:val="center"/>
          </w:tcPr>
          <w:p w14:paraId="64CB19A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4"/>
                <w:highlight w:val="none"/>
              </w:rPr>
            </w:pPr>
          </w:p>
        </w:tc>
      </w:tr>
    </w:tbl>
    <w:p w14:paraId="070485D7">
      <w:pPr>
        <w:pageBreakBefore w:val="0"/>
        <w:shd w:val="solid" w:color="FFFFFF" w:fill="auto"/>
        <w:kinsoku/>
        <w:overflowPunct/>
        <w:autoSpaceDN w:val="0"/>
        <w:bidi w:val="0"/>
        <w:spacing w:line="360" w:lineRule="auto"/>
        <w:rPr>
          <w:rFonts w:hint="eastAsia" w:ascii="宋体" w:hAnsi="宋体" w:eastAsia="宋体" w:cs="宋体"/>
          <w:color w:val="auto"/>
          <w:sz w:val="24"/>
          <w:highlight w:val="none"/>
          <w:shd w:val="clear" w:color="auto" w:fill="FFFFFF"/>
        </w:rPr>
      </w:pPr>
    </w:p>
    <w:p w14:paraId="4E2242CF">
      <w:pPr>
        <w:pageBreakBefore w:val="0"/>
        <w:shd w:val="solid" w:color="FFFFFF" w:fill="auto"/>
        <w:kinsoku/>
        <w:overflowPunct/>
        <w:autoSpaceDN w:val="0"/>
        <w:bidi w:val="0"/>
        <w:spacing w:line="360" w:lineRule="auto"/>
        <w:jc w:val="left"/>
        <w:rPr>
          <w:rFonts w:hint="eastAsia" w:ascii="宋体" w:hAnsi="宋体" w:eastAsia="宋体" w:cs="宋体"/>
          <w:color w:val="auto"/>
          <w:sz w:val="24"/>
          <w:highlight w:val="none"/>
          <w:shd w:val="clear" w:color="auto" w:fill="FFFFFF"/>
        </w:rPr>
      </w:pPr>
      <w:bookmarkStart w:id="229" w:name="_Toc9513"/>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shd w:val="clear" w:color="auto" w:fill="FFFFFF"/>
        </w:rPr>
        <w:t>投标人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（投标人全称）      </w:t>
      </w:r>
      <w:r>
        <w:rPr>
          <w:rFonts w:hint="eastAsia" w:ascii="宋体" w:hAnsi="宋体" w:eastAsia="宋体" w:cs="宋体"/>
          <w:color w:val="auto"/>
          <w:sz w:val="24"/>
          <w:highlight w:val="none"/>
        </w:rPr>
        <w:t>（电子签章）</w:t>
      </w:r>
    </w:p>
    <w:p w14:paraId="44DEDAA2">
      <w:pPr>
        <w:pageBreakBefore w:val="0"/>
        <w:shd w:val="solid" w:color="FFFFFF" w:fill="auto"/>
        <w:kinsoku/>
        <w:overflowPunct/>
        <w:autoSpaceDN w:val="0"/>
        <w:bidi w:val="0"/>
        <w:spacing w:line="360" w:lineRule="auto"/>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 xml:space="preserve"> 法定代表人或其委托代理人：</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shd w:val="clear" w:color="auto" w:fill="FFFFFF"/>
        </w:rPr>
        <w:t>（电子签章或电子签名）</w:t>
      </w:r>
    </w:p>
    <w:p w14:paraId="2B487E22">
      <w:pPr>
        <w:pageBreakBefore w:val="0"/>
        <w:tabs>
          <w:tab w:val="right" w:pos="8306"/>
        </w:tabs>
        <w:kinsoku/>
        <w:overflowPunct/>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rPr>
        <w:t>日</w:t>
      </w:r>
    </w:p>
    <w:p w14:paraId="6385C0E8">
      <w:pPr>
        <w:pStyle w:val="5"/>
        <w:pageBreakBefore w:val="0"/>
        <w:kinsoku/>
        <w:overflowPunct/>
        <w:bidi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（二）投标人资格声明/承诺函</w:t>
      </w:r>
    </w:p>
    <w:p w14:paraId="71CFBB36">
      <w:pPr>
        <w:pageBreakBefore w:val="0"/>
        <w:kinsoku/>
        <w:overflowPunct/>
        <w:bidi w:val="0"/>
        <w:spacing w:before="158" w:beforeLines="50" w:after="158" w:afterLines="50" w:line="360" w:lineRule="auto"/>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rPr>
        <w:t>致：</w:t>
      </w:r>
      <w:r>
        <w:rPr>
          <w:rFonts w:hint="eastAsia" w:ascii="宋体" w:hAnsi="宋体" w:eastAsia="宋体" w:cs="宋体"/>
          <w:b/>
          <w:color w:val="auto"/>
          <w:sz w:val="24"/>
          <w:highlight w:val="none"/>
          <w:u w:val="single"/>
        </w:rPr>
        <w:t xml:space="preserve">   （采购人名称、采购代理机构名称）   </w:t>
      </w:r>
    </w:p>
    <w:p w14:paraId="1FC24D6B">
      <w:pPr>
        <w:pageBreakBefore w:val="0"/>
        <w:kinsoku/>
        <w:overflowPunct/>
        <w:bidi w:val="0"/>
        <w:adjustRightInd w:val="0"/>
        <w:snapToGrid w:val="0"/>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我公司（企业）已阅读“</w:t>
      </w:r>
      <w:r>
        <w:rPr>
          <w:rFonts w:hint="eastAsia" w:ascii="宋体" w:hAnsi="宋体" w:cs="宋体"/>
          <w:color w:val="auto"/>
          <w:sz w:val="24"/>
          <w:szCs w:val="20"/>
          <w:highlight w:val="none"/>
          <w:u w:val="single"/>
          <w:shd w:val="clear" w:color="auto" w:fill="FFFFFF"/>
          <w:lang w:eastAsia="zh-CN"/>
        </w:rPr>
        <w:t>珠江流域（玉溪段）生态环境监测能力提升项目（</w:t>
      </w:r>
      <w:r>
        <w:rPr>
          <w:rFonts w:hint="eastAsia" w:ascii="宋体" w:hAnsi="宋体" w:cs="宋体"/>
          <w:color w:val="auto"/>
          <w:sz w:val="24"/>
          <w:szCs w:val="20"/>
          <w:highlight w:val="none"/>
          <w:u w:val="single"/>
          <w:shd w:val="clear" w:color="auto" w:fill="FFFFFF"/>
          <w:lang w:val="en-US" w:eastAsia="zh-CN"/>
        </w:rPr>
        <w:t xml:space="preserve">  包</w:t>
      </w:r>
      <w:r>
        <w:rPr>
          <w:rFonts w:hint="eastAsia" w:ascii="宋体" w:hAnsi="宋体" w:cs="宋体"/>
          <w:color w:val="auto"/>
          <w:sz w:val="24"/>
          <w:szCs w:val="20"/>
          <w:highlight w:val="none"/>
          <w:u w:val="single"/>
          <w:shd w:val="clear" w:color="auto" w:fill="FFFFFF"/>
          <w:lang w:eastAsia="zh-CN"/>
        </w:rPr>
        <w:t>）</w:t>
      </w: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项目</w:t>
      </w:r>
      <w:r>
        <w:rPr>
          <w:rFonts w:hint="eastAsia" w:ascii="宋体" w:hAnsi="宋体" w:eastAsia="宋体" w:cs="宋体"/>
          <w:color w:val="auto"/>
          <w:sz w:val="24"/>
          <w:highlight w:val="none"/>
        </w:rPr>
        <w:t>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）的招标文件，本公司（企业）愿意参加投标，并声明：</w:t>
      </w:r>
    </w:p>
    <w:p w14:paraId="0308B13D">
      <w:pPr>
        <w:pStyle w:val="31"/>
        <w:pageBreakBefore w:val="0"/>
        <w:tabs>
          <w:tab w:val="left" w:pos="851"/>
        </w:tabs>
        <w:kinsoku/>
        <w:overflowPunct/>
        <w:bidi w:val="0"/>
        <w:adjustRightInd w:val="0"/>
        <w:snapToGrid w:val="0"/>
        <w:spacing w:line="360" w:lineRule="auto"/>
        <w:ind w:firstLine="0" w:firstLineChars="0"/>
        <w:rPr>
          <w:rFonts w:hint="eastAsia" w:ascii="宋体" w:hAnsi="宋体" w:eastAsia="宋体" w:cs="宋体"/>
          <w:bCs/>
          <w:color w:val="auto"/>
          <w:sz w:val="24"/>
          <w:highlight w:val="none"/>
        </w:rPr>
      </w:pPr>
      <w:r>
        <w:rPr>
          <w:rFonts w:hint="eastAsia" w:ascii="宋体" w:hAnsi="宋体" w:eastAsia="宋体" w:cs="宋体"/>
          <w:color w:val="auto"/>
          <w:sz w:val="24"/>
          <w:highlight w:val="none"/>
        </w:rPr>
        <w:t xml:space="preserve">   一、本公司（企业）承诺</w:t>
      </w:r>
      <w:r>
        <w:rPr>
          <w:rFonts w:hint="eastAsia" w:ascii="宋体" w:hAnsi="宋体" w:eastAsia="宋体" w:cs="宋体"/>
          <w:bCs/>
          <w:color w:val="auto"/>
          <w:sz w:val="24"/>
          <w:highlight w:val="none"/>
        </w:rPr>
        <w:t>具备《中华人民共和国政府采购法》第二十二条规定的条件：</w:t>
      </w:r>
    </w:p>
    <w:p w14:paraId="0533AA40">
      <w:pPr>
        <w:pageBreakBefore w:val="0"/>
        <w:widowControl/>
        <w:kinsoku/>
        <w:overflowPunct/>
        <w:bidi w:val="0"/>
        <w:adjustRightInd w:val="0"/>
        <w:snapToGrid w:val="0"/>
        <w:spacing w:line="360" w:lineRule="auto"/>
        <w:ind w:firstLine="36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（一）具有独立承担民事责任的能力；</w:t>
      </w:r>
    </w:p>
    <w:p w14:paraId="46E433CC">
      <w:pPr>
        <w:pageBreakBefore w:val="0"/>
        <w:widowControl/>
        <w:kinsoku/>
        <w:overflowPunct/>
        <w:bidi w:val="0"/>
        <w:adjustRightInd w:val="0"/>
        <w:snapToGrid w:val="0"/>
        <w:spacing w:line="360" w:lineRule="auto"/>
        <w:ind w:firstLine="36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（二）具有良好的商业信誉和健全的财务会计制度； </w:t>
      </w:r>
    </w:p>
    <w:p w14:paraId="5DBED2EC">
      <w:pPr>
        <w:pageBreakBefore w:val="0"/>
        <w:widowControl/>
        <w:kinsoku/>
        <w:overflowPunct/>
        <w:bidi w:val="0"/>
        <w:adjustRightInd w:val="0"/>
        <w:snapToGrid w:val="0"/>
        <w:spacing w:line="360" w:lineRule="auto"/>
        <w:ind w:firstLine="36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（三）具有履行合同所必需的设备和专业技术能力；</w:t>
      </w:r>
    </w:p>
    <w:p w14:paraId="5333368B">
      <w:pPr>
        <w:pageBreakBefore w:val="0"/>
        <w:widowControl/>
        <w:kinsoku/>
        <w:overflowPunct/>
        <w:bidi w:val="0"/>
        <w:adjustRightInd w:val="0"/>
        <w:snapToGrid w:val="0"/>
        <w:spacing w:line="360" w:lineRule="auto"/>
        <w:ind w:firstLine="36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（四）有依法缴纳税收和社会保障资金的良好记录；</w:t>
      </w:r>
    </w:p>
    <w:p w14:paraId="346AB74B">
      <w:pPr>
        <w:pageBreakBefore w:val="0"/>
        <w:widowControl/>
        <w:kinsoku/>
        <w:overflowPunct/>
        <w:bidi w:val="0"/>
        <w:adjustRightInd w:val="0"/>
        <w:snapToGrid w:val="0"/>
        <w:spacing w:line="360" w:lineRule="auto"/>
        <w:ind w:firstLine="36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（五）参加政府采购活动前三年内，在经营活动中没有重大违法记录；</w:t>
      </w:r>
    </w:p>
    <w:p w14:paraId="76CF7319">
      <w:pPr>
        <w:pageBreakBefore w:val="0"/>
        <w:widowControl/>
        <w:kinsoku/>
        <w:overflowPunct/>
        <w:bidi w:val="0"/>
        <w:adjustRightInd w:val="0"/>
        <w:snapToGrid w:val="0"/>
        <w:spacing w:line="360" w:lineRule="auto"/>
        <w:ind w:firstLine="36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（六）法律、行政法规规定的其他条件。</w:t>
      </w:r>
    </w:p>
    <w:p w14:paraId="727734C6">
      <w:pPr>
        <w:pageBreakBefore w:val="0"/>
        <w:widowControl/>
        <w:kinsoku/>
        <w:overflowPunct/>
        <w:bidi w:val="0"/>
        <w:adjustRightInd w:val="0"/>
        <w:snapToGrid w:val="0"/>
        <w:spacing w:line="360" w:lineRule="auto"/>
        <w:ind w:firstLine="36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及《中华人民共和国政府采购法实施条例》第十七条的相关要求；</w:t>
      </w:r>
    </w:p>
    <w:p w14:paraId="0874FC4E">
      <w:pPr>
        <w:pageBreakBefore w:val="0"/>
        <w:numPr>
          <w:ilvl w:val="0"/>
          <w:numId w:val="11"/>
        </w:numPr>
        <w:kinsoku/>
        <w:overflowPunct/>
        <w:bidi w:val="0"/>
        <w:adjustRightInd w:val="0"/>
        <w:snapToGrid w:val="0"/>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本公司（企业）承诺在本次招标采购活动中，如有违法、违规、弄虚作假行为，所造成的损失、不良后果及法律责任，一律由我公司（企业）承担。</w:t>
      </w:r>
    </w:p>
    <w:p w14:paraId="6571F99F">
      <w:pPr>
        <w:pageBreakBefore w:val="0"/>
        <w:kinsoku/>
        <w:overflowPunct/>
        <w:bidi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三、本公司（企业）声明/承诺函上述所列内容如有虚假或与事实不符的，一经查实，我方将承担完全法律责任，且采购人有权取消我方的投标或中标资格，已签订合同的，采购人有权单方面终止合同。</w:t>
      </w:r>
    </w:p>
    <w:p w14:paraId="35FB7260">
      <w:pPr>
        <w:pageBreakBefore w:val="0"/>
        <w:kinsoku/>
        <w:overflowPunct/>
        <w:bidi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特此声明！</w:t>
      </w:r>
    </w:p>
    <w:p w14:paraId="4B4AE465">
      <w:pPr>
        <w:pageBreakBefore w:val="0"/>
        <w:kinsoku/>
        <w:overflowPunct/>
        <w:bidi w:val="0"/>
        <w:spacing w:line="360" w:lineRule="auto"/>
        <w:ind w:firstLine="420"/>
        <w:rPr>
          <w:rFonts w:hint="eastAsia" w:ascii="宋体" w:hAnsi="宋体" w:eastAsia="宋体" w:cs="宋体"/>
          <w:color w:val="auto"/>
          <w:sz w:val="24"/>
          <w:highlight w:val="none"/>
        </w:rPr>
      </w:pPr>
    </w:p>
    <w:p w14:paraId="29DBA8F9">
      <w:pPr>
        <w:pageBreakBefore w:val="0"/>
        <w:shd w:val="solid" w:color="FFFFFF" w:fill="auto"/>
        <w:kinsoku/>
        <w:overflowPunct/>
        <w:autoSpaceDN w:val="0"/>
        <w:bidi w:val="0"/>
        <w:spacing w:line="360" w:lineRule="auto"/>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（投标人全称）      </w:t>
      </w:r>
      <w:r>
        <w:rPr>
          <w:rFonts w:hint="eastAsia" w:ascii="宋体" w:hAnsi="宋体" w:eastAsia="宋体" w:cs="宋体"/>
          <w:color w:val="auto"/>
          <w:sz w:val="24"/>
          <w:highlight w:val="none"/>
        </w:rPr>
        <w:t>（电子签章）</w:t>
      </w:r>
    </w:p>
    <w:p w14:paraId="29D69A3B">
      <w:pPr>
        <w:pageBreakBefore w:val="0"/>
        <w:shd w:val="solid" w:color="FFFFFF" w:fill="auto"/>
        <w:kinsoku/>
        <w:overflowPunct/>
        <w:autoSpaceDN w:val="0"/>
        <w:bidi w:val="0"/>
        <w:spacing w:line="360" w:lineRule="auto"/>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法定代表人或其委托代理人：</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shd w:val="clear" w:color="auto" w:fill="FFFFFF"/>
        </w:rPr>
        <w:t>（电子签章或电子签名）</w:t>
      </w:r>
    </w:p>
    <w:p w14:paraId="0464D760">
      <w:pPr>
        <w:pageBreakBefore w:val="0"/>
        <w:tabs>
          <w:tab w:val="right" w:pos="8306"/>
        </w:tabs>
        <w:kinsoku/>
        <w:overflowPunct/>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rPr>
        <w:t>日</w:t>
      </w:r>
    </w:p>
    <w:p w14:paraId="20B48D4C">
      <w:pPr>
        <w:pStyle w:val="28"/>
        <w:pageBreakBefore w:val="0"/>
        <w:kinsoku/>
        <w:overflowPunct/>
        <w:bidi w:val="0"/>
        <w:spacing w:line="360" w:lineRule="auto"/>
        <w:rPr>
          <w:rFonts w:hint="eastAsia" w:ascii="宋体" w:hAnsi="宋体" w:eastAsia="宋体" w:cs="宋体"/>
          <w:color w:val="auto"/>
          <w:highlight w:val="none"/>
        </w:rPr>
      </w:pPr>
    </w:p>
    <w:p w14:paraId="63AE9E8E">
      <w:pPr>
        <w:pageBreakBefore w:val="0"/>
        <w:tabs>
          <w:tab w:val="right" w:pos="8306"/>
        </w:tabs>
        <w:kinsoku/>
        <w:overflowPunct/>
        <w:bidi w:val="0"/>
        <w:spacing w:line="360" w:lineRule="auto"/>
        <w:rPr>
          <w:rFonts w:hint="eastAsia" w:ascii="宋体" w:hAnsi="宋体" w:eastAsia="宋体" w:cs="宋体"/>
          <w:color w:val="auto"/>
          <w:sz w:val="24"/>
          <w:highlight w:val="none"/>
        </w:rPr>
      </w:pPr>
    </w:p>
    <w:p w14:paraId="5899844B">
      <w:pPr>
        <w:pStyle w:val="28"/>
        <w:pageBreakBefore w:val="0"/>
        <w:kinsoku/>
        <w:overflowPunct/>
        <w:bidi w:val="0"/>
        <w:spacing w:line="360" w:lineRule="auto"/>
        <w:rPr>
          <w:rFonts w:hint="eastAsia" w:ascii="宋体" w:hAnsi="宋体" w:eastAsia="宋体" w:cs="宋体"/>
          <w:color w:val="auto"/>
          <w:highlight w:val="none"/>
        </w:rPr>
      </w:pPr>
      <w:bookmarkStart w:id="230" w:name="_Toc24328"/>
      <w:bookmarkStart w:id="231" w:name="_Toc4827"/>
      <w:bookmarkStart w:id="232" w:name="_Toc13388"/>
    </w:p>
    <w:p w14:paraId="7F8D92F9">
      <w:pPr>
        <w:pageBreakBefore w:val="0"/>
        <w:kinsoku/>
        <w:overflowPunct/>
        <w:topLinePunct/>
        <w:bidi w:val="0"/>
        <w:spacing w:line="360" w:lineRule="auto"/>
        <w:jc w:val="center"/>
        <w:outlineLvl w:val="1"/>
        <w:rPr>
          <w:rFonts w:hint="eastAsia" w:ascii="宋体" w:hAnsi="宋体" w:eastAsia="宋体" w:cs="宋体"/>
          <w:b/>
          <w:bCs/>
          <w:color w:val="auto"/>
          <w:sz w:val="22"/>
          <w:szCs w:val="28"/>
          <w:highlight w:val="none"/>
        </w:rPr>
      </w:pPr>
      <w:bookmarkStart w:id="233" w:name="_Toc3237"/>
      <w:bookmarkStart w:id="234" w:name="_Toc22623"/>
      <w:bookmarkStart w:id="235" w:name="_Toc22202"/>
      <w:bookmarkStart w:id="236" w:name="_Toc31812"/>
      <w:r>
        <w:rPr>
          <w:rFonts w:hint="eastAsia" w:ascii="宋体" w:hAnsi="宋体" w:eastAsia="宋体" w:cs="宋体"/>
          <w:b/>
          <w:bCs/>
          <w:color w:val="auto"/>
          <w:sz w:val="32"/>
          <w:szCs w:val="44"/>
          <w:highlight w:val="none"/>
        </w:rPr>
        <w:t>（三）投标人相关资格证件</w:t>
      </w:r>
      <w:bookmarkEnd w:id="229"/>
      <w:bookmarkEnd w:id="230"/>
      <w:r>
        <w:rPr>
          <w:rFonts w:hint="eastAsia" w:ascii="宋体" w:hAnsi="宋体" w:eastAsia="宋体" w:cs="宋体"/>
          <w:b/>
          <w:bCs/>
          <w:color w:val="auto"/>
          <w:sz w:val="32"/>
          <w:szCs w:val="44"/>
          <w:highlight w:val="none"/>
        </w:rPr>
        <w:t>复印件</w:t>
      </w:r>
      <w:bookmarkEnd w:id="231"/>
      <w:bookmarkEnd w:id="232"/>
      <w:r>
        <w:rPr>
          <w:rFonts w:hint="eastAsia" w:ascii="宋体" w:hAnsi="宋体" w:eastAsia="宋体" w:cs="宋体"/>
          <w:b/>
          <w:bCs/>
          <w:color w:val="auto"/>
          <w:sz w:val="32"/>
          <w:szCs w:val="44"/>
          <w:highlight w:val="none"/>
        </w:rPr>
        <w:t>或扫描件</w:t>
      </w:r>
      <w:bookmarkEnd w:id="233"/>
      <w:bookmarkEnd w:id="234"/>
      <w:bookmarkEnd w:id="235"/>
      <w:bookmarkEnd w:id="236"/>
    </w:p>
    <w:p w14:paraId="0B8D11F8">
      <w:pPr>
        <w:pStyle w:val="32"/>
        <w:pageBreakBefore w:val="0"/>
        <w:kinsoku/>
        <w:overflowPunct/>
        <w:bidi w:val="0"/>
        <w:spacing w:line="360" w:lineRule="auto"/>
        <w:rPr>
          <w:rFonts w:hint="eastAsia" w:ascii="宋体" w:hAnsi="宋体" w:eastAsia="宋体" w:cs="宋体"/>
          <w:color w:val="auto"/>
          <w:kern w:val="2"/>
          <w:szCs w:val="22"/>
          <w:highlight w:val="none"/>
          <w:shd w:val="clear" w:color="auto" w:fill="FFFFFF"/>
        </w:rPr>
      </w:pPr>
      <w:r>
        <w:rPr>
          <w:rFonts w:hint="eastAsia" w:ascii="宋体" w:hAnsi="宋体" w:eastAsia="宋体" w:cs="宋体"/>
          <w:color w:val="auto"/>
          <w:kern w:val="2"/>
          <w:szCs w:val="22"/>
          <w:highlight w:val="none"/>
          <w:shd w:val="clear" w:color="auto" w:fill="FFFFFF"/>
        </w:rPr>
        <w:t>1、有效的营业执照或者其他主体资格证明文件，或自然人的身份证明；</w:t>
      </w:r>
    </w:p>
    <w:p w14:paraId="5153B14E">
      <w:pPr>
        <w:pStyle w:val="32"/>
        <w:pageBreakBefore w:val="0"/>
        <w:kinsoku/>
        <w:overflowPunct/>
        <w:bidi w:val="0"/>
        <w:spacing w:line="360" w:lineRule="auto"/>
        <w:ind w:firstLine="480" w:firstLineChars="200"/>
        <w:rPr>
          <w:rFonts w:hint="eastAsia" w:ascii="宋体" w:hAnsi="宋体" w:eastAsia="宋体" w:cs="宋体"/>
          <w:color w:val="auto"/>
          <w:kern w:val="2"/>
          <w:szCs w:val="22"/>
          <w:highlight w:val="none"/>
          <w:shd w:val="clear" w:color="auto" w:fill="FFFFFF"/>
        </w:rPr>
      </w:pPr>
      <w:r>
        <w:rPr>
          <w:rFonts w:hint="eastAsia" w:ascii="宋体" w:hAnsi="宋体" w:eastAsia="宋体" w:cs="宋体"/>
          <w:color w:val="auto"/>
          <w:kern w:val="2"/>
          <w:szCs w:val="22"/>
          <w:highlight w:val="none"/>
          <w:shd w:val="clear" w:color="auto" w:fill="FFFFFF"/>
        </w:rPr>
        <w:t>（附复印件或扫描件）</w:t>
      </w:r>
    </w:p>
    <w:p w14:paraId="27BFD553">
      <w:pPr>
        <w:pStyle w:val="32"/>
        <w:pageBreakBefore w:val="0"/>
        <w:kinsoku/>
        <w:overflowPunct/>
        <w:bidi w:val="0"/>
        <w:spacing w:line="360" w:lineRule="auto"/>
        <w:rPr>
          <w:rFonts w:hint="eastAsia" w:ascii="宋体" w:hAnsi="宋体" w:eastAsia="宋体" w:cs="宋体"/>
          <w:color w:val="auto"/>
          <w:kern w:val="2"/>
          <w:szCs w:val="22"/>
          <w:highlight w:val="none"/>
          <w:shd w:val="clear" w:color="auto" w:fill="FFFFFF"/>
          <w:lang w:val="en-US" w:eastAsia="zh-CN"/>
        </w:rPr>
      </w:pPr>
    </w:p>
    <w:p w14:paraId="47BBE62C">
      <w:pPr>
        <w:pStyle w:val="32"/>
        <w:pageBreakBefore w:val="0"/>
        <w:kinsoku/>
        <w:overflowPunct/>
        <w:bidi w:val="0"/>
        <w:spacing w:line="360" w:lineRule="auto"/>
        <w:rPr>
          <w:rFonts w:hint="eastAsia" w:ascii="宋体" w:hAnsi="宋体" w:eastAsia="宋体" w:cs="宋体"/>
          <w:color w:val="auto"/>
          <w:kern w:val="2"/>
          <w:szCs w:val="22"/>
          <w:highlight w:val="none"/>
          <w:shd w:val="clear" w:color="auto" w:fill="FFFFFF"/>
          <w:lang w:val="en-US" w:eastAsia="zh-CN"/>
        </w:rPr>
      </w:pPr>
    </w:p>
    <w:p w14:paraId="34660BF6">
      <w:pPr>
        <w:pageBreakBefore w:val="0"/>
        <w:numPr>
          <w:ilvl w:val="0"/>
          <w:numId w:val="0"/>
        </w:numPr>
        <w:kinsoku/>
        <w:overflowPunct/>
        <w:bidi w:val="0"/>
        <w:spacing w:line="360" w:lineRule="auto"/>
        <w:rPr>
          <w:rFonts w:hint="eastAsia" w:ascii="宋体" w:hAnsi="宋体" w:eastAsia="宋体" w:cs="宋体"/>
          <w:color w:val="auto"/>
          <w:sz w:val="24"/>
          <w:szCs w:val="22"/>
          <w:highlight w:val="none"/>
          <w:shd w:val="clear" w:color="auto" w:fill="FFFFFF"/>
          <w:lang w:val="en-US" w:eastAsia="zh-CN"/>
        </w:rPr>
      </w:pPr>
    </w:p>
    <w:p w14:paraId="7724451A">
      <w:pPr>
        <w:pageBreakBefore w:val="0"/>
        <w:kinsoku/>
        <w:overflowPunct/>
        <w:bidi w:val="0"/>
        <w:spacing w:line="360" w:lineRule="auto"/>
        <w:rPr>
          <w:rFonts w:hint="eastAsia" w:ascii="宋体" w:hAnsi="宋体" w:eastAsia="宋体" w:cs="宋体"/>
          <w:color w:val="auto"/>
          <w:sz w:val="24"/>
          <w:szCs w:val="22"/>
          <w:highlight w:val="none"/>
          <w:shd w:val="clear" w:color="auto" w:fill="FFFFFF"/>
          <w:lang w:val="en-US" w:eastAsia="zh-CN"/>
        </w:rPr>
      </w:pPr>
    </w:p>
    <w:p w14:paraId="44229A8C">
      <w:pPr>
        <w:pageBreakBefore w:val="0"/>
        <w:kinsoku/>
        <w:overflowPunct/>
        <w:bidi w:val="0"/>
        <w:spacing w:line="360" w:lineRule="auto"/>
        <w:rPr>
          <w:rFonts w:hint="eastAsia" w:ascii="宋体" w:hAnsi="宋体" w:eastAsia="宋体" w:cs="宋体"/>
          <w:lang w:val="en-US" w:eastAsia="zh-CN"/>
        </w:rPr>
      </w:pPr>
      <w:r>
        <w:rPr>
          <w:rFonts w:hint="eastAsia" w:ascii="宋体" w:hAnsi="宋体" w:cs="宋体"/>
          <w:color w:val="auto"/>
          <w:sz w:val="24"/>
          <w:szCs w:val="22"/>
          <w:highlight w:val="none"/>
          <w:shd w:val="clear" w:color="auto" w:fill="FFFFFF"/>
          <w:lang w:val="en-US" w:eastAsia="zh-CN"/>
        </w:rPr>
        <w:t>2</w:t>
      </w:r>
      <w:r>
        <w:rPr>
          <w:rFonts w:hint="eastAsia" w:ascii="宋体" w:hAnsi="宋体" w:eastAsia="宋体" w:cs="宋体"/>
          <w:color w:val="auto"/>
          <w:sz w:val="24"/>
          <w:szCs w:val="22"/>
          <w:highlight w:val="none"/>
          <w:shd w:val="clear" w:color="auto" w:fill="FFFFFF"/>
          <w:lang w:val="en-US" w:eastAsia="zh-CN"/>
        </w:rPr>
        <w:t>、</w:t>
      </w:r>
      <w:r>
        <w:rPr>
          <w:rFonts w:hint="eastAsia" w:ascii="宋体" w:hAnsi="宋体" w:eastAsia="宋体" w:cs="宋体"/>
          <w:color w:val="auto"/>
          <w:sz w:val="24"/>
          <w:szCs w:val="22"/>
          <w:highlight w:val="none"/>
          <w:shd w:val="clear" w:color="auto" w:fill="FFFFFF"/>
        </w:rPr>
        <w:t>其他资格审查材料（如有）</w:t>
      </w:r>
      <w:r>
        <w:rPr>
          <w:rFonts w:hint="eastAsia" w:ascii="宋体" w:hAnsi="宋体" w:eastAsia="宋体" w:cs="宋体"/>
          <w:color w:val="auto"/>
          <w:sz w:val="24"/>
          <w:szCs w:val="22"/>
          <w:highlight w:val="none"/>
          <w:shd w:val="clear" w:color="auto" w:fill="FFFFFF"/>
          <w:lang w:eastAsia="zh-CN"/>
        </w:rPr>
        <w:t>。</w:t>
      </w:r>
    </w:p>
    <w:p w14:paraId="436B0BBD">
      <w:pPr>
        <w:pageBreakBefore w:val="0"/>
        <w:kinsoku/>
        <w:overflowPunct/>
        <w:bidi w:val="0"/>
        <w:spacing w:line="360" w:lineRule="auto"/>
        <w:rPr>
          <w:rFonts w:hint="eastAsia" w:ascii="宋体" w:hAnsi="宋体" w:eastAsia="宋体" w:cs="宋体"/>
        </w:rPr>
      </w:pPr>
    </w:p>
    <w:p w14:paraId="3D85265D">
      <w:pPr>
        <w:pageBreakBefore w:val="0"/>
        <w:kinsoku/>
        <w:overflowPunct/>
        <w:bidi w:val="0"/>
        <w:spacing w:line="360" w:lineRule="auto"/>
        <w:rPr>
          <w:rFonts w:hint="eastAsia" w:ascii="宋体" w:hAnsi="宋体" w:eastAsia="宋体" w:cs="宋体"/>
        </w:rPr>
      </w:pPr>
    </w:p>
    <w:p w14:paraId="11FC3097">
      <w:pPr>
        <w:pStyle w:val="7"/>
        <w:pageBreakBefore w:val="0"/>
        <w:kinsoku/>
        <w:overflowPunct/>
        <w:bidi w:val="0"/>
        <w:spacing w:line="360" w:lineRule="auto"/>
        <w:rPr>
          <w:rFonts w:hint="eastAsia" w:ascii="宋体" w:hAnsi="宋体" w:eastAsia="宋体" w:cs="宋体"/>
        </w:rPr>
      </w:pPr>
    </w:p>
    <w:sectPr>
      <w:pgSz w:w="11906" w:h="16838"/>
      <w:pgMar w:top="1440" w:right="1803" w:bottom="1440" w:left="180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swiss"/>
    <w:pitch w:val="default"/>
    <w:sig w:usb0="E00006FF" w:usb1="420024FF" w:usb2="02000000" w:usb3="00000000" w:csb0="2000019F" w:csb1="00000000"/>
  </w:font>
  <w:font w:name="微软雅黑">
    <w:panose1 w:val="020B0503020204020204"/>
    <w:charset w:val="86"/>
    <w:family w:val="roman"/>
    <w:pitch w:val="default"/>
    <w:sig w:usb0="80000287" w:usb1="2ACF3C50" w:usb2="00000016" w:usb3="00000000" w:csb0="0004001F" w:csb1="00000000"/>
  </w:font>
  <w:font w:name="Verdana">
    <w:panose1 w:val="020B0604030504040204"/>
    <w:charset w:val="00"/>
    <w:family w:val="roman"/>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DB2D9">
    <w:pPr>
      <w:pStyle w:val="15"/>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220EF0">
                          <w:pPr>
                            <w:pStyle w:val="15"/>
                            <w:rPr>
                              <w:rFonts w:hint="eastAsia" w:ascii="宋体" w:hAnsi="宋体" w:eastAsia="宋体" w:cs="宋体"/>
                              <w:sz w:val="24"/>
                              <w:szCs w:val="40"/>
                            </w:rPr>
                          </w:pPr>
                          <w:r>
                            <w:rPr>
                              <w:rFonts w:hint="eastAsia" w:ascii="宋体" w:hAnsi="宋体" w:eastAsia="宋体" w:cs="宋体"/>
                              <w:sz w:val="24"/>
                              <w:szCs w:val="40"/>
                            </w:rPr>
                            <w:t xml:space="preserve">第 </w:t>
                          </w: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PAGE  \* MERGEFORMAT </w:instrText>
                          </w:r>
                          <w:r>
                            <w:rPr>
                              <w:rFonts w:hint="eastAsia" w:ascii="宋体" w:hAnsi="宋体" w:eastAsia="宋体" w:cs="宋体"/>
                              <w:sz w:val="24"/>
                              <w:szCs w:val="40"/>
                            </w:rPr>
                            <w:fldChar w:fldCharType="separate"/>
                          </w:r>
                          <w:r>
                            <w:rPr>
                              <w:rFonts w:hint="eastAsia" w:ascii="宋体" w:hAnsi="宋体" w:eastAsia="宋体" w:cs="宋体"/>
                              <w:sz w:val="24"/>
                              <w:szCs w:val="40"/>
                            </w:rPr>
                            <w:t>1</w:t>
                          </w:r>
                          <w:r>
                            <w:rPr>
                              <w:rFonts w:hint="eastAsia" w:ascii="宋体" w:hAnsi="宋体" w:eastAsia="宋体" w:cs="宋体"/>
                              <w:sz w:val="24"/>
                              <w:szCs w:val="40"/>
                            </w:rPr>
                            <w:fldChar w:fldCharType="end"/>
                          </w:r>
                          <w:r>
                            <w:rPr>
                              <w:rFonts w:hint="eastAsia" w:ascii="宋体" w:hAnsi="宋体" w:eastAsia="宋体" w:cs="宋体"/>
                              <w:sz w:val="24"/>
                              <w:szCs w:val="4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220EF0">
                    <w:pPr>
                      <w:pStyle w:val="15"/>
                      <w:rPr>
                        <w:rFonts w:hint="eastAsia" w:ascii="宋体" w:hAnsi="宋体" w:eastAsia="宋体" w:cs="宋体"/>
                        <w:sz w:val="24"/>
                        <w:szCs w:val="40"/>
                      </w:rPr>
                    </w:pPr>
                    <w:r>
                      <w:rPr>
                        <w:rFonts w:hint="eastAsia" w:ascii="宋体" w:hAnsi="宋体" w:eastAsia="宋体" w:cs="宋体"/>
                        <w:sz w:val="24"/>
                        <w:szCs w:val="40"/>
                      </w:rPr>
                      <w:t xml:space="preserve">第 </w:t>
                    </w: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PAGE  \* MERGEFORMAT </w:instrText>
                    </w:r>
                    <w:r>
                      <w:rPr>
                        <w:rFonts w:hint="eastAsia" w:ascii="宋体" w:hAnsi="宋体" w:eastAsia="宋体" w:cs="宋体"/>
                        <w:sz w:val="24"/>
                        <w:szCs w:val="40"/>
                      </w:rPr>
                      <w:fldChar w:fldCharType="separate"/>
                    </w:r>
                    <w:r>
                      <w:rPr>
                        <w:rFonts w:hint="eastAsia" w:ascii="宋体" w:hAnsi="宋体" w:eastAsia="宋体" w:cs="宋体"/>
                        <w:sz w:val="24"/>
                        <w:szCs w:val="40"/>
                      </w:rPr>
                      <w:t>1</w:t>
                    </w:r>
                    <w:r>
                      <w:rPr>
                        <w:rFonts w:hint="eastAsia" w:ascii="宋体" w:hAnsi="宋体" w:eastAsia="宋体" w:cs="宋体"/>
                        <w:sz w:val="24"/>
                        <w:szCs w:val="40"/>
                      </w:rPr>
                      <w:fldChar w:fldCharType="end"/>
                    </w:r>
                    <w:r>
                      <w:rPr>
                        <w:rFonts w:hint="eastAsia" w:ascii="宋体" w:hAnsi="宋体" w:eastAsia="宋体" w:cs="宋体"/>
                        <w:sz w:val="24"/>
                        <w:szCs w:val="40"/>
                      </w:rPr>
                      <w:t xml:space="preserve"> 页</w:t>
                    </w:r>
                  </w:p>
                </w:txbxContent>
              </v:textbox>
            </v:shape>
          </w:pict>
        </mc:Fallback>
      </mc:AlternateContent>
    </w:r>
    <w:r>
      <w:rPr>
        <w:rFonts w:hint="eastAsia" w:ascii="宋体" w:hAnsi="宋体" w:eastAsia="宋体" w:cs="宋体"/>
        <w:lang w:val="en-US" w:eastAsia="zh-CN"/>
      </w:rPr>
      <w:t>云南上资咨询有限公司                                                   联系方式：15912390037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77EC2">
    <w:pPr>
      <w:pStyle w:val="15"/>
      <w:rPr>
        <w:rFonts w:hint="default"/>
        <w:lang w:val="en-US"/>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1CBD0D">
                          <w:pPr>
                            <w:pStyle w:val="1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41CBD0D">
                    <w:pPr>
                      <w:pStyle w:val="1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w:rPr>
        <w:rFonts w:hint="eastAsia" w:ascii="宋体" w:hAnsi="宋体" w:eastAsia="宋体" w:cs="宋体"/>
        <w:lang w:val="en-US" w:eastAsia="zh-CN"/>
      </w:rPr>
      <w:t xml:space="preserve">云南上资咨询有限公司                   </w:t>
    </w:r>
    <w:r>
      <w:rPr>
        <w:rFonts w:hint="eastAsia" w:ascii="宋体" w:hAnsi="宋体" w:cs="宋体"/>
        <w:lang w:val="en-US" w:eastAsia="zh-CN"/>
      </w:rPr>
      <w:t xml:space="preserve">                       </w:t>
    </w:r>
    <w:r>
      <w:rPr>
        <w:rFonts w:hint="eastAsia" w:ascii="宋体" w:hAnsi="宋体" w:eastAsia="宋体" w:cs="宋体"/>
        <w:lang w:val="en-US" w:eastAsia="zh-CN"/>
      </w:rPr>
      <w:t xml:space="preserve">      </w:t>
    </w:r>
    <w:r>
      <w:rPr>
        <w:rFonts w:hint="eastAsia" w:ascii="宋体" w:hAnsi="宋体" w:cs="宋体"/>
        <w:lang w:val="en-US" w:eastAsia="zh-CN"/>
      </w:rPr>
      <w:t xml:space="preserve">                                </w:t>
    </w:r>
    <w:r>
      <w:rPr>
        <w:rFonts w:hint="eastAsia" w:ascii="宋体" w:hAnsi="宋体" w:eastAsia="宋体" w:cs="宋体"/>
        <w:lang w:val="en-US" w:eastAsia="zh-CN"/>
      </w:rPr>
      <w:t>联系方式：15912390037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1399E">
    <w:pPr>
      <w:spacing w:line="360" w:lineRule="auto"/>
      <w:jc w:val="both"/>
      <w:rPr>
        <w:rFonts w:hint="default" w:ascii="宋体" w:hAnsi="宋体" w:eastAsia="宋体" w:cs="宋体"/>
        <w:b w:val="0"/>
        <w:bCs/>
        <w:color w:val="auto"/>
        <w:sz w:val="18"/>
        <w:szCs w:val="18"/>
        <w:highlight w:val="none"/>
        <w:u w:val="single"/>
        <w:lang w:val="en-US"/>
      </w:rPr>
    </w:pPr>
    <w:r>
      <w:rPr>
        <w:rFonts w:hint="eastAsia" w:ascii="宋体" w:hAnsi="宋体" w:cs="宋体"/>
        <w:b w:val="0"/>
        <w:bCs/>
        <w:color w:val="auto"/>
        <w:sz w:val="18"/>
        <w:szCs w:val="18"/>
        <w:highlight w:val="none"/>
        <w:u w:val="single"/>
        <w:lang w:eastAsia="zh-CN"/>
      </w:rPr>
      <w:t>珠江流域（玉溪段）生态环境监测能力提升项目</w:t>
    </w:r>
    <w:r>
      <w:rPr>
        <w:rFonts w:hint="eastAsia" w:ascii="宋体" w:hAnsi="宋体" w:cs="宋体"/>
        <w:b w:val="0"/>
        <w:bCs/>
        <w:color w:val="auto"/>
        <w:sz w:val="18"/>
        <w:szCs w:val="18"/>
        <w:highlight w:val="none"/>
        <w:u w:val="single"/>
        <w:lang w:val="en-US" w:eastAsia="zh-CN"/>
      </w:rPr>
      <w:t xml:space="preserve">                                       </w:t>
    </w:r>
    <w:r>
      <w:rPr>
        <w:rFonts w:hint="eastAsia" w:ascii="宋体" w:hAnsi="宋体" w:eastAsia="宋体" w:cs="宋体"/>
        <w:b w:val="0"/>
        <w:bCs/>
        <w:color w:val="auto"/>
        <w:sz w:val="18"/>
        <w:szCs w:val="18"/>
        <w:highlight w:val="none"/>
        <w:u w:val="single"/>
        <w:lang w:val="en-US" w:eastAsia="zh-CN"/>
      </w:rPr>
      <w:t xml:space="preserve">    招标文件</w:t>
    </w:r>
  </w:p>
  <w:p w14:paraId="11759BFD">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C80C8"/>
    <w:multiLevelType w:val="singleLevel"/>
    <w:tmpl w:val="80FC80C8"/>
    <w:lvl w:ilvl="0" w:tentative="0">
      <w:start w:val="12"/>
      <w:numFmt w:val="decimal"/>
      <w:suff w:val="nothing"/>
      <w:lvlText w:val="%1、"/>
      <w:lvlJc w:val="left"/>
    </w:lvl>
  </w:abstractNum>
  <w:abstractNum w:abstractNumId="1">
    <w:nsid w:val="A6D07402"/>
    <w:multiLevelType w:val="multilevel"/>
    <w:tmpl w:val="A6D07402"/>
    <w:lvl w:ilvl="0" w:tentative="0">
      <w:start w:val="1"/>
      <w:numFmt w:val="chineseCounting"/>
      <w:suff w:val="nothing"/>
      <w:lvlText w:val="%1、"/>
      <w:lvlJc w:val="left"/>
      <w:pPr>
        <w:tabs>
          <w:tab w:val="left" w:pos="0"/>
        </w:tabs>
        <w:ind w:left="0" w:firstLine="0"/>
      </w:pPr>
      <w:rPr>
        <w:rFonts w:hint="eastAsia" w:ascii="黑体" w:hAnsi="黑体" w:eastAsia="黑体"/>
      </w:rPr>
    </w:lvl>
    <w:lvl w:ilvl="1" w:tentative="0">
      <w:start w:val="1"/>
      <w:numFmt w:val="chineseCounting"/>
      <w:suff w:val="nothing"/>
      <w:lvlText w:val="（%2）"/>
      <w:lvlJc w:val="left"/>
      <w:pPr>
        <w:tabs>
          <w:tab w:val="left" w:pos="0"/>
        </w:tabs>
        <w:ind w:left="0" w:firstLine="0"/>
      </w:pPr>
      <w:rPr>
        <w:rFonts w:hint="eastAsia" w:ascii="黑体" w:hAnsi="黑体" w:eastAsia="黑体"/>
      </w:rPr>
    </w:lvl>
    <w:lvl w:ilvl="2" w:tentative="0">
      <w:start w:val="1"/>
      <w:numFmt w:val="decimal"/>
      <w:suff w:val="nothing"/>
      <w:lvlText w:val="%3．"/>
      <w:lvlJc w:val="left"/>
      <w:pPr>
        <w:tabs>
          <w:tab w:val="left" w:pos="0"/>
        </w:tabs>
        <w:ind w:left="0" w:firstLine="0"/>
      </w:pPr>
      <w:rPr>
        <w:rFonts w:hint="default" w:ascii="黑体" w:hAnsi="黑体" w:eastAsia="黑体"/>
        <w:color w:val="auto"/>
      </w:rPr>
    </w:lvl>
    <w:lvl w:ilvl="3" w:tentative="0">
      <w:start w:val="1"/>
      <w:numFmt w:val="decimal"/>
      <w:pStyle w:val="6"/>
      <w:suff w:val="nothing"/>
      <w:lvlText w:val="（%4）"/>
      <w:lvlJc w:val="left"/>
      <w:pPr>
        <w:tabs>
          <w:tab w:val="left" w:pos="0"/>
        </w:tabs>
        <w:ind w:left="0" w:firstLine="0"/>
      </w:pPr>
      <w:rPr>
        <w:rFonts w:hint="eastAsia" w:ascii="黑体" w:hAnsi="黑体" w:eastAsia="黑体"/>
      </w:rPr>
    </w:lvl>
    <w:lvl w:ilvl="4" w:tentative="0">
      <w:start w:val="1"/>
      <w:numFmt w:val="decimalEnclosedCircleChinese"/>
      <w:suff w:val="space"/>
      <w:lvlText w:val="%5"/>
      <w:lvlJc w:val="left"/>
      <w:pPr>
        <w:ind w:left="0" w:firstLine="0"/>
      </w:pPr>
      <w:rPr>
        <w:rFonts w:hint="eastAsia" w:ascii="黑体" w:hAnsi="黑体" w:eastAsia="黑体"/>
      </w:rPr>
    </w:lvl>
    <w:lvl w:ilvl="5" w:tentative="0">
      <w:start w:val="1"/>
      <w:numFmt w:val="decimal"/>
      <w:suff w:val="nothing"/>
      <w:lvlText w:val="%6）"/>
      <w:lvlJc w:val="left"/>
      <w:pPr>
        <w:ind w:left="0" w:firstLine="0"/>
      </w:pPr>
      <w:rPr>
        <w:rFonts w:hint="eastAsia"/>
      </w:rPr>
    </w:lvl>
    <w:lvl w:ilvl="6" w:tentative="0">
      <w:start w:val="1"/>
      <w:numFmt w:val="lowerLetter"/>
      <w:suff w:val="nothing"/>
      <w:lvlText w:val="%7．"/>
      <w:lvlJc w:val="left"/>
      <w:pPr>
        <w:ind w:left="0" w:firstLine="0"/>
      </w:pPr>
      <w:rPr>
        <w:rFonts w:hint="eastAsia"/>
      </w:rPr>
    </w:lvl>
    <w:lvl w:ilvl="7" w:tentative="0">
      <w:start w:val="1"/>
      <w:numFmt w:val="lowerLetter"/>
      <w:suff w:val="nothing"/>
      <w:lvlText w:val="%8）"/>
      <w:lvlJc w:val="left"/>
      <w:pPr>
        <w:ind w:left="0" w:firstLine="0"/>
      </w:pPr>
      <w:rPr>
        <w:rFonts w:hint="eastAsia"/>
      </w:rPr>
    </w:lvl>
    <w:lvl w:ilvl="8" w:tentative="0">
      <w:start w:val="1"/>
      <w:numFmt w:val="lowerRoman"/>
      <w:suff w:val="nothing"/>
      <w:lvlText w:val="%9 "/>
      <w:lvlJc w:val="left"/>
      <w:pPr>
        <w:ind w:left="0" w:firstLine="0"/>
      </w:pPr>
      <w:rPr>
        <w:rFonts w:hint="eastAsia"/>
      </w:rPr>
    </w:lvl>
  </w:abstractNum>
  <w:abstractNum w:abstractNumId="2">
    <w:nsid w:val="C5A8F21E"/>
    <w:multiLevelType w:val="singleLevel"/>
    <w:tmpl w:val="C5A8F21E"/>
    <w:lvl w:ilvl="0" w:tentative="0">
      <w:start w:val="6"/>
      <w:numFmt w:val="decimal"/>
      <w:suff w:val="nothing"/>
      <w:lvlText w:val="%1、"/>
      <w:lvlJc w:val="left"/>
    </w:lvl>
  </w:abstractNum>
  <w:abstractNum w:abstractNumId="3">
    <w:nsid w:val="CFA766CC"/>
    <w:multiLevelType w:val="multilevel"/>
    <w:tmpl w:val="CFA766CC"/>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
    <w:nsid w:val="D4FBF96A"/>
    <w:multiLevelType w:val="multilevel"/>
    <w:tmpl w:val="D4FBF96A"/>
    <w:lvl w:ilvl="0" w:tentative="0">
      <w:start w:val="1"/>
      <w:numFmt w:val="chineseCounting"/>
      <w:suff w:val="nothing"/>
      <w:lvlText w:val="%1、"/>
      <w:lvlJc w:val="left"/>
      <w:pPr>
        <w:tabs>
          <w:tab w:val="left" w:pos="0"/>
        </w:tabs>
        <w:ind w:left="0" w:firstLine="0"/>
      </w:pPr>
      <w:rPr>
        <w:rFonts w:hint="eastAsia" w:ascii="黑体" w:hAnsi="黑体" w:eastAsia="黑体"/>
      </w:rPr>
    </w:lvl>
    <w:lvl w:ilvl="1" w:tentative="0">
      <w:start w:val="1"/>
      <w:numFmt w:val="chineseCounting"/>
      <w:suff w:val="nothing"/>
      <w:lvlText w:val="（%2）"/>
      <w:lvlJc w:val="left"/>
      <w:pPr>
        <w:tabs>
          <w:tab w:val="left" w:pos="0"/>
        </w:tabs>
        <w:ind w:left="0" w:firstLine="0"/>
      </w:pPr>
      <w:rPr>
        <w:rFonts w:hint="eastAsia" w:ascii="黑体" w:hAnsi="黑体" w:eastAsia="黑体"/>
      </w:rPr>
    </w:lvl>
    <w:lvl w:ilvl="2" w:tentative="0">
      <w:start w:val="1"/>
      <w:numFmt w:val="decimal"/>
      <w:suff w:val="nothing"/>
      <w:lvlText w:val="%3．"/>
      <w:lvlJc w:val="left"/>
      <w:pPr>
        <w:tabs>
          <w:tab w:val="left" w:pos="0"/>
        </w:tabs>
        <w:ind w:left="0" w:firstLine="0"/>
      </w:pPr>
      <w:rPr>
        <w:rFonts w:hint="default" w:ascii="黑体" w:hAnsi="黑体" w:eastAsia="黑体"/>
        <w:color w:val="auto"/>
      </w:rPr>
    </w:lvl>
    <w:lvl w:ilvl="3" w:tentative="0">
      <w:start w:val="1"/>
      <w:numFmt w:val="decimal"/>
      <w:suff w:val="nothing"/>
      <w:lvlText w:val="（%4）"/>
      <w:lvlJc w:val="left"/>
      <w:pPr>
        <w:tabs>
          <w:tab w:val="left" w:pos="0"/>
        </w:tabs>
        <w:ind w:left="0" w:firstLine="0"/>
      </w:pPr>
      <w:rPr>
        <w:rFonts w:hint="eastAsia" w:ascii="黑体" w:hAnsi="黑体" w:eastAsia="黑体"/>
      </w:rPr>
    </w:lvl>
    <w:lvl w:ilvl="4" w:tentative="0">
      <w:start w:val="1"/>
      <w:numFmt w:val="decimalEnclosedCircleChinese"/>
      <w:suff w:val="space"/>
      <w:lvlText w:val="%5"/>
      <w:lvlJc w:val="left"/>
      <w:pPr>
        <w:ind w:left="0" w:firstLine="0"/>
      </w:pPr>
      <w:rPr>
        <w:rFonts w:hint="eastAsia" w:ascii="黑体" w:hAnsi="黑体" w:eastAsia="黑体"/>
      </w:rPr>
    </w:lvl>
    <w:lvl w:ilvl="5" w:tentative="0">
      <w:start w:val="1"/>
      <w:numFmt w:val="decimal"/>
      <w:suff w:val="nothing"/>
      <w:lvlText w:val="%6）"/>
      <w:lvlJc w:val="left"/>
      <w:pPr>
        <w:ind w:left="0" w:firstLine="0"/>
      </w:pPr>
      <w:rPr>
        <w:rFonts w:hint="eastAsia"/>
      </w:rPr>
    </w:lvl>
    <w:lvl w:ilvl="6" w:tentative="0">
      <w:start w:val="1"/>
      <w:numFmt w:val="lowerLetter"/>
      <w:suff w:val="nothing"/>
      <w:lvlText w:val="%7．"/>
      <w:lvlJc w:val="left"/>
      <w:pPr>
        <w:ind w:left="0" w:firstLine="0"/>
      </w:pPr>
      <w:rPr>
        <w:rFonts w:hint="eastAsia"/>
      </w:rPr>
    </w:lvl>
    <w:lvl w:ilvl="7" w:tentative="0">
      <w:start w:val="1"/>
      <w:numFmt w:val="lowerLetter"/>
      <w:suff w:val="nothing"/>
      <w:lvlText w:val="%8）"/>
      <w:lvlJc w:val="left"/>
      <w:pPr>
        <w:ind w:left="0" w:firstLine="0"/>
      </w:pPr>
      <w:rPr>
        <w:rFonts w:hint="eastAsia"/>
      </w:rPr>
    </w:lvl>
    <w:lvl w:ilvl="8" w:tentative="0">
      <w:start w:val="1"/>
      <w:numFmt w:val="lowerRoman"/>
      <w:suff w:val="nothing"/>
      <w:lvlText w:val="%9 "/>
      <w:lvlJc w:val="left"/>
      <w:pPr>
        <w:ind w:left="0" w:firstLine="0"/>
      </w:pPr>
      <w:rPr>
        <w:rFonts w:hint="eastAsia"/>
      </w:rPr>
    </w:lvl>
  </w:abstractNum>
  <w:abstractNum w:abstractNumId="5">
    <w:nsid w:val="DF6177BA"/>
    <w:multiLevelType w:val="singleLevel"/>
    <w:tmpl w:val="DF6177BA"/>
    <w:lvl w:ilvl="0" w:tentative="0">
      <w:start w:val="1"/>
      <w:numFmt w:val="decimal"/>
      <w:suff w:val="nothing"/>
      <w:lvlText w:val="%1、"/>
      <w:lvlJc w:val="left"/>
    </w:lvl>
  </w:abstractNum>
  <w:abstractNum w:abstractNumId="6">
    <w:nsid w:val="6153E03B"/>
    <w:multiLevelType w:val="singleLevel"/>
    <w:tmpl w:val="6153E03B"/>
    <w:lvl w:ilvl="0" w:tentative="0">
      <w:start w:val="2"/>
      <w:numFmt w:val="chineseCounting"/>
      <w:suff w:val="nothing"/>
      <w:lvlText w:val="%1、"/>
      <w:lvlJc w:val="left"/>
    </w:lvl>
  </w:abstractNum>
  <w:abstractNum w:abstractNumId="7">
    <w:nsid w:val="64B7B9B2"/>
    <w:multiLevelType w:val="singleLevel"/>
    <w:tmpl w:val="64B7B9B2"/>
    <w:lvl w:ilvl="0" w:tentative="0">
      <w:start w:val="2"/>
      <w:numFmt w:val="chineseCounting"/>
      <w:suff w:val="nothing"/>
      <w:lvlText w:val="（%1）"/>
      <w:lvlJc w:val="left"/>
    </w:lvl>
  </w:abstractNum>
  <w:abstractNum w:abstractNumId="8">
    <w:nsid w:val="65BF5F77"/>
    <w:multiLevelType w:val="singleLevel"/>
    <w:tmpl w:val="65BF5F77"/>
    <w:lvl w:ilvl="0" w:tentative="0">
      <w:start w:val="3"/>
      <w:numFmt w:val="decimal"/>
      <w:suff w:val="nothing"/>
      <w:lvlText w:val="（%1）"/>
      <w:lvlJc w:val="left"/>
    </w:lvl>
  </w:abstractNum>
  <w:abstractNum w:abstractNumId="9">
    <w:nsid w:val="772541A4"/>
    <w:multiLevelType w:val="singleLevel"/>
    <w:tmpl w:val="772541A4"/>
    <w:lvl w:ilvl="0" w:tentative="0">
      <w:start w:val="1"/>
      <w:numFmt w:val="decimal"/>
      <w:suff w:val="nothing"/>
      <w:lvlText w:val="%1、"/>
      <w:lvlJc w:val="left"/>
    </w:lvl>
  </w:abstractNum>
  <w:abstractNum w:abstractNumId="10">
    <w:nsid w:val="7C135549"/>
    <w:multiLevelType w:val="multilevel"/>
    <w:tmpl w:val="7C135549"/>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 w:numId="3">
    <w:abstractNumId w:val="9"/>
  </w:num>
  <w:num w:numId="4">
    <w:abstractNumId w:val="5"/>
  </w:num>
  <w:num w:numId="5">
    <w:abstractNumId w:val="2"/>
  </w:num>
  <w:num w:numId="6">
    <w:abstractNumId w:val="4"/>
  </w:num>
  <w:num w:numId="7">
    <w:abstractNumId w:val="3"/>
  </w:num>
  <w:num w:numId="8">
    <w:abstractNumId w:val="10"/>
  </w:num>
  <w:num w:numId="9">
    <w:abstractNumId w:val="7"/>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jMTVmYTdjM2IyZTNhYzM3NzgwMDZmODZkNzRiZTMifQ=="/>
  </w:docVars>
  <w:rsids>
    <w:rsidRoot w:val="53157F3E"/>
    <w:rsid w:val="00046CA0"/>
    <w:rsid w:val="00186BF0"/>
    <w:rsid w:val="00411CA3"/>
    <w:rsid w:val="005D4603"/>
    <w:rsid w:val="0089189B"/>
    <w:rsid w:val="00902C2A"/>
    <w:rsid w:val="00951FEE"/>
    <w:rsid w:val="009F2E6D"/>
    <w:rsid w:val="00B71F65"/>
    <w:rsid w:val="00D80251"/>
    <w:rsid w:val="00E15234"/>
    <w:rsid w:val="00F72CA9"/>
    <w:rsid w:val="0112363F"/>
    <w:rsid w:val="01172A03"/>
    <w:rsid w:val="011B0745"/>
    <w:rsid w:val="011D2710"/>
    <w:rsid w:val="012B64AF"/>
    <w:rsid w:val="01313594"/>
    <w:rsid w:val="01390BCC"/>
    <w:rsid w:val="014337F8"/>
    <w:rsid w:val="014852B3"/>
    <w:rsid w:val="01A06E9D"/>
    <w:rsid w:val="01B87994"/>
    <w:rsid w:val="01CF1530"/>
    <w:rsid w:val="01DE2443"/>
    <w:rsid w:val="01DF5C17"/>
    <w:rsid w:val="01EA636A"/>
    <w:rsid w:val="02111B48"/>
    <w:rsid w:val="02145195"/>
    <w:rsid w:val="0273635F"/>
    <w:rsid w:val="027D4610"/>
    <w:rsid w:val="028C11CF"/>
    <w:rsid w:val="029F0F02"/>
    <w:rsid w:val="02A12ECC"/>
    <w:rsid w:val="02C2415D"/>
    <w:rsid w:val="02C24BF1"/>
    <w:rsid w:val="02CE3596"/>
    <w:rsid w:val="02D23086"/>
    <w:rsid w:val="02EE59E6"/>
    <w:rsid w:val="03100052"/>
    <w:rsid w:val="03577A2F"/>
    <w:rsid w:val="0361440A"/>
    <w:rsid w:val="03724869"/>
    <w:rsid w:val="03A92929"/>
    <w:rsid w:val="03AD4821"/>
    <w:rsid w:val="03D270B5"/>
    <w:rsid w:val="03DE5A5A"/>
    <w:rsid w:val="040327F1"/>
    <w:rsid w:val="04074FB1"/>
    <w:rsid w:val="040C0819"/>
    <w:rsid w:val="040F3E66"/>
    <w:rsid w:val="04206073"/>
    <w:rsid w:val="042518DB"/>
    <w:rsid w:val="042E69E2"/>
    <w:rsid w:val="04387860"/>
    <w:rsid w:val="044D0983"/>
    <w:rsid w:val="04722D72"/>
    <w:rsid w:val="049A4077"/>
    <w:rsid w:val="04A70542"/>
    <w:rsid w:val="04A722F0"/>
    <w:rsid w:val="04BD71E4"/>
    <w:rsid w:val="04DF1A8A"/>
    <w:rsid w:val="04FF3EDA"/>
    <w:rsid w:val="05444432"/>
    <w:rsid w:val="056A1C9B"/>
    <w:rsid w:val="05776166"/>
    <w:rsid w:val="05B64EE1"/>
    <w:rsid w:val="05E03D0C"/>
    <w:rsid w:val="05E27A84"/>
    <w:rsid w:val="05F72E03"/>
    <w:rsid w:val="05FD666C"/>
    <w:rsid w:val="06053772"/>
    <w:rsid w:val="06123ECA"/>
    <w:rsid w:val="062C1654"/>
    <w:rsid w:val="062E2CC9"/>
    <w:rsid w:val="06565D7C"/>
    <w:rsid w:val="065F10D4"/>
    <w:rsid w:val="067D59FE"/>
    <w:rsid w:val="069D1BFD"/>
    <w:rsid w:val="069F5F72"/>
    <w:rsid w:val="06A50AB1"/>
    <w:rsid w:val="06A74829"/>
    <w:rsid w:val="06B07B82"/>
    <w:rsid w:val="06BF7DC5"/>
    <w:rsid w:val="06C54CB0"/>
    <w:rsid w:val="06EE4206"/>
    <w:rsid w:val="071874D5"/>
    <w:rsid w:val="074A3B33"/>
    <w:rsid w:val="075F1676"/>
    <w:rsid w:val="076170CE"/>
    <w:rsid w:val="07697D31"/>
    <w:rsid w:val="077B0190"/>
    <w:rsid w:val="07921036"/>
    <w:rsid w:val="07966D78"/>
    <w:rsid w:val="07BF498F"/>
    <w:rsid w:val="07DB29DD"/>
    <w:rsid w:val="07F910B5"/>
    <w:rsid w:val="07FE491D"/>
    <w:rsid w:val="08114650"/>
    <w:rsid w:val="08362309"/>
    <w:rsid w:val="08562050"/>
    <w:rsid w:val="08730E67"/>
    <w:rsid w:val="08732C15"/>
    <w:rsid w:val="08B82D1E"/>
    <w:rsid w:val="08FE250C"/>
    <w:rsid w:val="090A09B2"/>
    <w:rsid w:val="092138C6"/>
    <w:rsid w:val="092E4D8E"/>
    <w:rsid w:val="09475E50"/>
    <w:rsid w:val="095A3DD5"/>
    <w:rsid w:val="095C18FB"/>
    <w:rsid w:val="09642C2F"/>
    <w:rsid w:val="096802A0"/>
    <w:rsid w:val="096E162E"/>
    <w:rsid w:val="09756E61"/>
    <w:rsid w:val="0978425B"/>
    <w:rsid w:val="097D6D15"/>
    <w:rsid w:val="09A256DA"/>
    <w:rsid w:val="09B01C47"/>
    <w:rsid w:val="09D04097"/>
    <w:rsid w:val="09DD04A3"/>
    <w:rsid w:val="09FB3D3B"/>
    <w:rsid w:val="0A03621B"/>
    <w:rsid w:val="0A0E7914"/>
    <w:rsid w:val="0A382368"/>
    <w:rsid w:val="0A3E36F7"/>
    <w:rsid w:val="0A4D7496"/>
    <w:rsid w:val="0A540824"/>
    <w:rsid w:val="0A594448"/>
    <w:rsid w:val="0A6F38B0"/>
    <w:rsid w:val="0A721553"/>
    <w:rsid w:val="0A726EFC"/>
    <w:rsid w:val="0AC27E84"/>
    <w:rsid w:val="0AC44356"/>
    <w:rsid w:val="0AE53B72"/>
    <w:rsid w:val="0AEB1372"/>
    <w:rsid w:val="0AFB5144"/>
    <w:rsid w:val="0B1E5913"/>
    <w:rsid w:val="0B1F5935"/>
    <w:rsid w:val="0B220922"/>
    <w:rsid w:val="0B2428ED"/>
    <w:rsid w:val="0B275F39"/>
    <w:rsid w:val="0B3643CE"/>
    <w:rsid w:val="0B570E7D"/>
    <w:rsid w:val="0B7078E0"/>
    <w:rsid w:val="0B84665A"/>
    <w:rsid w:val="0B896BF3"/>
    <w:rsid w:val="0B907F82"/>
    <w:rsid w:val="0BBD42C7"/>
    <w:rsid w:val="0BCC77F4"/>
    <w:rsid w:val="0BD87233"/>
    <w:rsid w:val="0BE36304"/>
    <w:rsid w:val="0BF24799"/>
    <w:rsid w:val="0BFB189F"/>
    <w:rsid w:val="0C1110C3"/>
    <w:rsid w:val="0C175FAD"/>
    <w:rsid w:val="0C193AD3"/>
    <w:rsid w:val="0C4F33F9"/>
    <w:rsid w:val="0C566AD6"/>
    <w:rsid w:val="0C580AA0"/>
    <w:rsid w:val="0C5C1C12"/>
    <w:rsid w:val="0C5E3BDC"/>
    <w:rsid w:val="0C6236CC"/>
    <w:rsid w:val="0C7358DA"/>
    <w:rsid w:val="0C8A49D1"/>
    <w:rsid w:val="0C957759"/>
    <w:rsid w:val="0CB41A4E"/>
    <w:rsid w:val="0CB437FC"/>
    <w:rsid w:val="0CC26E47"/>
    <w:rsid w:val="0CC46135"/>
    <w:rsid w:val="0CE71E24"/>
    <w:rsid w:val="0D244E26"/>
    <w:rsid w:val="0D444B80"/>
    <w:rsid w:val="0D861483"/>
    <w:rsid w:val="0DB5782C"/>
    <w:rsid w:val="0DC14423"/>
    <w:rsid w:val="0DD759F4"/>
    <w:rsid w:val="0E123CD3"/>
    <w:rsid w:val="0E19600D"/>
    <w:rsid w:val="0E2055ED"/>
    <w:rsid w:val="0E415563"/>
    <w:rsid w:val="0E6A6868"/>
    <w:rsid w:val="0E6E3152"/>
    <w:rsid w:val="0EA4458C"/>
    <w:rsid w:val="0ECE329B"/>
    <w:rsid w:val="0ED4462A"/>
    <w:rsid w:val="0EE628AF"/>
    <w:rsid w:val="0EF12AE6"/>
    <w:rsid w:val="0EFB3EAD"/>
    <w:rsid w:val="0F182768"/>
    <w:rsid w:val="0F3B6457"/>
    <w:rsid w:val="0F3F7CF5"/>
    <w:rsid w:val="0F5056F2"/>
    <w:rsid w:val="0F5D461F"/>
    <w:rsid w:val="0F655282"/>
    <w:rsid w:val="0F7F6343"/>
    <w:rsid w:val="0F8120BC"/>
    <w:rsid w:val="0F973D6E"/>
    <w:rsid w:val="0FC12B33"/>
    <w:rsid w:val="0FDF3286"/>
    <w:rsid w:val="0FDF6DE2"/>
    <w:rsid w:val="0FE4089C"/>
    <w:rsid w:val="0FF00FEF"/>
    <w:rsid w:val="0FFC3E38"/>
    <w:rsid w:val="10433815"/>
    <w:rsid w:val="104E5D16"/>
    <w:rsid w:val="1053332C"/>
    <w:rsid w:val="10633E33"/>
    <w:rsid w:val="108856CC"/>
    <w:rsid w:val="10AF1B6B"/>
    <w:rsid w:val="10F863AD"/>
    <w:rsid w:val="11203046"/>
    <w:rsid w:val="113373E5"/>
    <w:rsid w:val="1136303C"/>
    <w:rsid w:val="11444AA3"/>
    <w:rsid w:val="116B3023"/>
    <w:rsid w:val="116F020E"/>
    <w:rsid w:val="11765BB3"/>
    <w:rsid w:val="11877B8B"/>
    <w:rsid w:val="118934A9"/>
    <w:rsid w:val="11943BFC"/>
    <w:rsid w:val="11C12C43"/>
    <w:rsid w:val="11C6025A"/>
    <w:rsid w:val="11D24E50"/>
    <w:rsid w:val="11D34725"/>
    <w:rsid w:val="11F528ED"/>
    <w:rsid w:val="11F823DD"/>
    <w:rsid w:val="12274A70"/>
    <w:rsid w:val="12473819"/>
    <w:rsid w:val="125B650A"/>
    <w:rsid w:val="125E3C61"/>
    <w:rsid w:val="126857B5"/>
    <w:rsid w:val="127E0B34"/>
    <w:rsid w:val="127F48AC"/>
    <w:rsid w:val="12966FEF"/>
    <w:rsid w:val="12AC38F3"/>
    <w:rsid w:val="12AF0CEE"/>
    <w:rsid w:val="12B1393F"/>
    <w:rsid w:val="12B66520"/>
    <w:rsid w:val="12BC340B"/>
    <w:rsid w:val="12CC5D44"/>
    <w:rsid w:val="12D270D2"/>
    <w:rsid w:val="12E070F9"/>
    <w:rsid w:val="12ED01BC"/>
    <w:rsid w:val="12F83AAE"/>
    <w:rsid w:val="130F79DE"/>
    <w:rsid w:val="132C0590"/>
    <w:rsid w:val="13420CA5"/>
    <w:rsid w:val="13427DB4"/>
    <w:rsid w:val="1345792A"/>
    <w:rsid w:val="13545D39"/>
    <w:rsid w:val="13992BA5"/>
    <w:rsid w:val="139F6FB4"/>
    <w:rsid w:val="13A02FC9"/>
    <w:rsid w:val="13B50586"/>
    <w:rsid w:val="13C50F53"/>
    <w:rsid w:val="13CC58CF"/>
    <w:rsid w:val="13E620B2"/>
    <w:rsid w:val="13F84916"/>
    <w:rsid w:val="14054025"/>
    <w:rsid w:val="140B63F8"/>
    <w:rsid w:val="141C6857"/>
    <w:rsid w:val="14333BA0"/>
    <w:rsid w:val="14524026"/>
    <w:rsid w:val="14551D69"/>
    <w:rsid w:val="14575AE1"/>
    <w:rsid w:val="14605DBB"/>
    <w:rsid w:val="146A5814"/>
    <w:rsid w:val="148A7C64"/>
    <w:rsid w:val="14A2292A"/>
    <w:rsid w:val="14C8078D"/>
    <w:rsid w:val="14C86476"/>
    <w:rsid w:val="15040B10"/>
    <w:rsid w:val="15063063"/>
    <w:rsid w:val="15122BA8"/>
    <w:rsid w:val="15190FE8"/>
    <w:rsid w:val="15213C3F"/>
    <w:rsid w:val="1534197E"/>
    <w:rsid w:val="15761F97"/>
    <w:rsid w:val="15832DE6"/>
    <w:rsid w:val="15877D00"/>
    <w:rsid w:val="15AC7766"/>
    <w:rsid w:val="15C40F54"/>
    <w:rsid w:val="15E50ECA"/>
    <w:rsid w:val="15E6711C"/>
    <w:rsid w:val="15E74C42"/>
    <w:rsid w:val="15E761CA"/>
    <w:rsid w:val="15EA64E1"/>
    <w:rsid w:val="15F5110D"/>
    <w:rsid w:val="16157A01"/>
    <w:rsid w:val="163D2AB4"/>
    <w:rsid w:val="16573B76"/>
    <w:rsid w:val="165A5414"/>
    <w:rsid w:val="165D6CB3"/>
    <w:rsid w:val="16C37275"/>
    <w:rsid w:val="17005FBC"/>
    <w:rsid w:val="170748C7"/>
    <w:rsid w:val="1720040C"/>
    <w:rsid w:val="173026EF"/>
    <w:rsid w:val="176D73C9"/>
    <w:rsid w:val="177B1AE6"/>
    <w:rsid w:val="17B350B9"/>
    <w:rsid w:val="17BF5EF1"/>
    <w:rsid w:val="17C70888"/>
    <w:rsid w:val="18003D99"/>
    <w:rsid w:val="18274CF9"/>
    <w:rsid w:val="183103F7"/>
    <w:rsid w:val="184719C8"/>
    <w:rsid w:val="18560AD3"/>
    <w:rsid w:val="187A5D59"/>
    <w:rsid w:val="187F1162"/>
    <w:rsid w:val="18811059"/>
    <w:rsid w:val="18822A00"/>
    <w:rsid w:val="1888270D"/>
    <w:rsid w:val="188B3FAB"/>
    <w:rsid w:val="188B7B07"/>
    <w:rsid w:val="189912C4"/>
    <w:rsid w:val="18BE612E"/>
    <w:rsid w:val="18D86AC4"/>
    <w:rsid w:val="18DF3279"/>
    <w:rsid w:val="18EF453A"/>
    <w:rsid w:val="18F2402A"/>
    <w:rsid w:val="18F27CF6"/>
    <w:rsid w:val="19291FAC"/>
    <w:rsid w:val="193F08F1"/>
    <w:rsid w:val="19410B0E"/>
    <w:rsid w:val="19502AFF"/>
    <w:rsid w:val="19502CE2"/>
    <w:rsid w:val="1977452F"/>
    <w:rsid w:val="19892BFF"/>
    <w:rsid w:val="19D21766"/>
    <w:rsid w:val="19DF45AE"/>
    <w:rsid w:val="19EF40C6"/>
    <w:rsid w:val="1A004525"/>
    <w:rsid w:val="1A330456"/>
    <w:rsid w:val="1A361CF4"/>
    <w:rsid w:val="1A3B37AF"/>
    <w:rsid w:val="1A491A28"/>
    <w:rsid w:val="1A646862"/>
    <w:rsid w:val="1A693E78"/>
    <w:rsid w:val="1A734CF7"/>
    <w:rsid w:val="1A824F3A"/>
    <w:rsid w:val="1A951111"/>
    <w:rsid w:val="1AAB623F"/>
    <w:rsid w:val="1ACE4623"/>
    <w:rsid w:val="1AE96D67"/>
    <w:rsid w:val="1B076CE7"/>
    <w:rsid w:val="1B5846EF"/>
    <w:rsid w:val="1B617245"/>
    <w:rsid w:val="1B662AAD"/>
    <w:rsid w:val="1B6C00C4"/>
    <w:rsid w:val="1B75356E"/>
    <w:rsid w:val="1B8151F1"/>
    <w:rsid w:val="1B9211AC"/>
    <w:rsid w:val="1BA50EE0"/>
    <w:rsid w:val="1BAA0105"/>
    <w:rsid w:val="1BBB6955"/>
    <w:rsid w:val="1C1B3898"/>
    <w:rsid w:val="1C2C33AF"/>
    <w:rsid w:val="1C4F709D"/>
    <w:rsid w:val="1C5F19D6"/>
    <w:rsid w:val="1C6B037B"/>
    <w:rsid w:val="1C7B7E93"/>
    <w:rsid w:val="1C7F7983"/>
    <w:rsid w:val="1C8256C5"/>
    <w:rsid w:val="1C940F54"/>
    <w:rsid w:val="1C986C96"/>
    <w:rsid w:val="1CAC2742"/>
    <w:rsid w:val="1CAF6F51"/>
    <w:rsid w:val="1CE26164"/>
    <w:rsid w:val="1D120041"/>
    <w:rsid w:val="1D17405F"/>
    <w:rsid w:val="1D175E0D"/>
    <w:rsid w:val="1D2D5631"/>
    <w:rsid w:val="1D5232E9"/>
    <w:rsid w:val="1D5E1C8E"/>
    <w:rsid w:val="1D6F5C49"/>
    <w:rsid w:val="1D81597C"/>
    <w:rsid w:val="1D864D41"/>
    <w:rsid w:val="1DA90D3F"/>
    <w:rsid w:val="1DB573D4"/>
    <w:rsid w:val="1DB6758F"/>
    <w:rsid w:val="1DC00253"/>
    <w:rsid w:val="1DCD471E"/>
    <w:rsid w:val="1DD737EE"/>
    <w:rsid w:val="1DF11020"/>
    <w:rsid w:val="1DF919B7"/>
    <w:rsid w:val="1DF95513"/>
    <w:rsid w:val="1E0A5972"/>
    <w:rsid w:val="1E0F431A"/>
    <w:rsid w:val="1E114F52"/>
    <w:rsid w:val="1E3429EF"/>
    <w:rsid w:val="1E4523D8"/>
    <w:rsid w:val="1E7B23CC"/>
    <w:rsid w:val="1E9B481C"/>
    <w:rsid w:val="1E9E60BA"/>
    <w:rsid w:val="1EA90CE7"/>
    <w:rsid w:val="1EAC6A29"/>
    <w:rsid w:val="1ED16490"/>
    <w:rsid w:val="1F354C71"/>
    <w:rsid w:val="1F372797"/>
    <w:rsid w:val="1F43738D"/>
    <w:rsid w:val="1F4E188E"/>
    <w:rsid w:val="1F537BAB"/>
    <w:rsid w:val="1F576995"/>
    <w:rsid w:val="1F5E41C7"/>
    <w:rsid w:val="1F6E3CDF"/>
    <w:rsid w:val="1F971487"/>
    <w:rsid w:val="1FAD2A59"/>
    <w:rsid w:val="1FC16504"/>
    <w:rsid w:val="1FD76238"/>
    <w:rsid w:val="1FE10954"/>
    <w:rsid w:val="1FED554B"/>
    <w:rsid w:val="200701AF"/>
    <w:rsid w:val="20084133"/>
    <w:rsid w:val="201B5C14"/>
    <w:rsid w:val="20256A93"/>
    <w:rsid w:val="202820DF"/>
    <w:rsid w:val="20360CA0"/>
    <w:rsid w:val="20362A4E"/>
    <w:rsid w:val="203647FC"/>
    <w:rsid w:val="203767C6"/>
    <w:rsid w:val="203B62B7"/>
    <w:rsid w:val="206A26F8"/>
    <w:rsid w:val="208A54D1"/>
    <w:rsid w:val="208E1716"/>
    <w:rsid w:val="20971013"/>
    <w:rsid w:val="20A53730"/>
    <w:rsid w:val="20B56069"/>
    <w:rsid w:val="20D44A5E"/>
    <w:rsid w:val="20F9026B"/>
    <w:rsid w:val="21020B82"/>
    <w:rsid w:val="2126068F"/>
    <w:rsid w:val="212E3725"/>
    <w:rsid w:val="21333432"/>
    <w:rsid w:val="21556F04"/>
    <w:rsid w:val="217355DC"/>
    <w:rsid w:val="21881D3A"/>
    <w:rsid w:val="21C916A0"/>
    <w:rsid w:val="21D50045"/>
    <w:rsid w:val="21D7200F"/>
    <w:rsid w:val="21DD6EFA"/>
    <w:rsid w:val="21E604A4"/>
    <w:rsid w:val="220426D8"/>
    <w:rsid w:val="22280ABD"/>
    <w:rsid w:val="222934DF"/>
    <w:rsid w:val="22317971"/>
    <w:rsid w:val="22715FC0"/>
    <w:rsid w:val="22743D02"/>
    <w:rsid w:val="227B259F"/>
    <w:rsid w:val="227E248B"/>
    <w:rsid w:val="228C2DF9"/>
    <w:rsid w:val="22E542B8"/>
    <w:rsid w:val="22F91898"/>
    <w:rsid w:val="22F97D63"/>
    <w:rsid w:val="22FD6329"/>
    <w:rsid w:val="22FF35CB"/>
    <w:rsid w:val="2305495A"/>
    <w:rsid w:val="232474D6"/>
    <w:rsid w:val="23360FB7"/>
    <w:rsid w:val="235356C5"/>
    <w:rsid w:val="235F050E"/>
    <w:rsid w:val="23BC14BC"/>
    <w:rsid w:val="23BD5235"/>
    <w:rsid w:val="23DA1943"/>
    <w:rsid w:val="23DC56BB"/>
    <w:rsid w:val="23DE2A2C"/>
    <w:rsid w:val="23E66539"/>
    <w:rsid w:val="23E80503"/>
    <w:rsid w:val="23ED1E01"/>
    <w:rsid w:val="23EF1892"/>
    <w:rsid w:val="23FF13A9"/>
    <w:rsid w:val="240030C6"/>
    <w:rsid w:val="24150BCD"/>
    <w:rsid w:val="243F74B6"/>
    <w:rsid w:val="24446E7D"/>
    <w:rsid w:val="246833F2"/>
    <w:rsid w:val="24715184"/>
    <w:rsid w:val="248317DC"/>
    <w:rsid w:val="24D10F97"/>
    <w:rsid w:val="24D9609E"/>
    <w:rsid w:val="24E231A5"/>
    <w:rsid w:val="251F3D1D"/>
    <w:rsid w:val="252A68FA"/>
    <w:rsid w:val="25423C43"/>
    <w:rsid w:val="2547125A"/>
    <w:rsid w:val="256242E5"/>
    <w:rsid w:val="257162D7"/>
    <w:rsid w:val="25B95C0C"/>
    <w:rsid w:val="25E42F4C"/>
    <w:rsid w:val="25F121BB"/>
    <w:rsid w:val="2604714B"/>
    <w:rsid w:val="2629095F"/>
    <w:rsid w:val="26306192"/>
    <w:rsid w:val="26415CA9"/>
    <w:rsid w:val="26467763"/>
    <w:rsid w:val="265359DC"/>
    <w:rsid w:val="265A4FBD"/>
    <w:rsid w:val="2677791D"/>
    <w:rsid w:val="26887D7C"/>
    <w:rsid w:val="26971D6D"/>
    <w:rsid w:val="26977FBF"/>
    <w:rsid w:val="26A34BB6"/>
    <w:rsid w:val="26A76454"/>
    <w:rsid w:val="26AB75C6"/>
    <w:rsid w:val="26AF355A"/>
    <w:rsid w:val="26B446CD"/>
    <w:rsid w:val="26E256DE"/>
    <w:rsid w:val="26FB2FAF"/>
    <w:rsid w:val="27007912"/>
    <w:rsid w:val="27127645"/>
    <w:rsid w:val="27160EE4"/>
    <w:rsid w:val="272C4BAB"/>
    <w:rsid w:val="27321A96"/>
    <w:rsid w:val="2742617D"/>
    <w:rsid w:val="27533EE6"/>
    <w:rsid w:val="276E51C4"/>
    <w:rsid w:val="277038E5"/>
    <w:rsid w:val="277D5407"/>
    <w:rsid w:val="27960276"/>
    <w:rsid w:val="27CB43C4"/>
    <w:rsid w:val="27CE7A10"/>
    <w:rsid w:val="27E01EA7"/>
    <w:rsid w:val="27E2170E"/>
    <w:rsid w:val="27FC27CF"/>
    <w:rsid w:val="28175C01"/>
    <w:rsid w:val="282D0BDB"/>
    <w:rsid w:val="28305FD5"/>
    <w:rsid w:val="283261F1"/>
    <w:rsid w:val="283F26BC"/>
    <w:rsid w:val="286363AA"/>
    <w:rsid w:val="28667C49"/>
    <w:rsid w:val="289724F8"/>
    <w:rsid w:val="289C18BC"/>
    <w:rsid w:val="28AF339E"/>
    <w:rsid w:val="28B135BA"/>
    <w:rsid w:val="28C36E49"/>
    <w:rsid w:val="28EB10B1"/>
    <w:rsid w:val="28F2772E"/>
    <w:rsid w:val="28F278BB"/>
    <w:rsid w:val="29310257"/>
    <w:rsid w:val="29347D47"/>
    <w:rsid w:val="294A30C6"/>
    <w:rsid w:val="295959FF"/>
    <w:rsid w:val="296C128F"/>
    <w:rsid w:val="296D0E96"/>
    <w:rsid w:val="297A02F3"/>
    <w:rsid w:val="29824F56"/>
    <w:rsid w:val="298E79EF"/>
    <w:rsid w:val="29995DFC"/>
    <w:rsid w:val="299B7DC6"/>
    <w:rsid w:val="29CC7F7F"/>
    <w:rsid w:val="29DF31FC"/>
    <w:rsid w:val="2A093A87"/>
    <w:rsid w:val="2A1101D5"/>
    <w:rsid w:val="2A570191"/>
    <w:rsid w:val="2A5B1D1A"/>
    <w:rsid w:val="2A8940C2"/>
    <w:rsid w:val="2A9767DF"/>
    <w:rsid w:val="2AD0584D"/>
    <w:rsid w:val="2AE15BDD"/>
    <w:rsid w:val="2B05199B"/>
    <w:rsid w:val="2B807273"/>
    <w:rsid w:val="2B9D6077"/>
    <w:rsid w:val="2BFD08C4"/>
    <w:rsid w:val="2C0F6084"/>
    <w:rsid w:val="2C216675"/>
    <w:rsid w:val="2C29790B"/>
    <w:rsid w:val="2C2E3173"/>
    <w:rsid w:val="2C3C763E"/>
    <w:rsid w:val="2C42277B"/>
    <w:rsid w:val="2C4D39D2"/>
    <w:rsid w:val="2C7548FE"/>
    <w:rsid w:val="2C7C3EDF"/>
    <w:rsid w:val="2C842D93"/>
    <w:rsid w:val="2C98683F"/>
    <w:rsid w:val="2C9C067B"/>
    <w:rsid w:val="2CA376BD"/>
    <w:rsid w:val="2CB01DDA"/>
    <w:rsid w:val="2CB27900"/>
    <w:rsid w:val="2CD07D87"/>
    <w:rsid w:val="2CD47877"/>
    <w:rsid w:val="2CEA21F5"/>
    <w:rsid w:val="2D144117"/>
    <w:rsid w:val="2D1C7470"/>
    <w:rsid w:val="2D3C0C59"/>
    <w:rsid w:val="2D485B6F"/>
    <w:rsid w:val="2D542766"/>
    <w:rsid w:val="2D60110A"/>
    <w:rsid w:val="2D866DED"/>
    <w:rsid w:val="2E112405"/>
    <w:rsid w:val="2E385BE3"/>
    <w:rsid w:val="2E786928"/>
    <w:rsid w:val="2E954DE4"/>
    <w:rsid w:val="2E9A5A84"/>
    <w:rsid w:val="2EB734D7"/>
    <w:rsid w:val="2EBA6F40"/>
    <w:rsid w:val="2EBE07DF"/>
    <w:rsid w:val="2ED00512"/>
    <w:rsid w:val="2EEB0EA8"/>
    <w:rsid w:val="2EEE2746"/>
    <w:rsid w:val="2F266384"/>
    <w:rsid w:val="2F2A7C22"/>
    <w:rsid w:val="2F2B74F6"/>
    <w:rsid w:val="2F61116A"/>
    <w:rsid w:val="2F9C6646"/>
    <w:rsid w:val="2FAF45CB"/>
    <w:rsid w:val="2FC11C09"/>
    <w:rsid w:val="2FC516F9"/>
    <w:rsid w:val="2FC72C80"/>
    <w:rsid w:val="2FCA31B3"/>
    <w:rsid w:val="2FCD67FF"/>
    <w:rsid w:val="2FD933F6"/>
    <w:rsid w:val="2FEA73B1"/>
    <w:rsid w:val="30004E27"/>
    <w:rsid w:val="301D7787"/>
    <w:rsid w:val="30377258"/>
    <w:rsid w:val="30450A8C"/>
    <w:rsid w:val="30B33459"/>
    <w:rsid w:val="30C47C02"/>
    <w:rsid w:val="30FF50DE"/>
    <w:rsid w:val="3115220C"/>
    <w:rsid w:val="311C17EC"/>
    <w:rsid w:val="31442AF1"/>
    <w:rsid w:val="31B7224A"/>
    <w:rsid w:val="31C12394"/>
    <w:rsid w:val="31D9592F"/>
    <w:rsid w:val="31E247E4"/>
    <w:rsid w:val="31E549ED"/>
    <w:rsid w:val="31FE5396"/>
    <w:rsid w:val="320619C8"/>
    <w:rsid w:val="320F4EAD"/>
    <w:rsid w:val="32186458"/>
    <w:rsid w:val="323B3EF4"/>
    <w:rsid w:val="325D3E6B"/>
    <w:rsid w:val="325D4D96"/>
    <w:rsid w:val="32715B68"/>
    <w:rsid w:val="327A0EC0"/>
    <w:rsid w:val="327E5810"/>
    <w:rsid w:val="329B0E37"/>
    <w:rsid w:val="32AC094E"/>
    <w:rsid w:val="32B12B1E"/>
    <w:rsid w:val="32BF2082"/>
    <w:rsid w:val="32C51A10"/>
    <w:rsid w:val="32C75C1A"/>
    <w:rsid w:val="32CB5092"/>
    <w:rsid w:val="32E73977"/>
    <w:rsid w:val="32F81DE5"/>
    <w:rsid w:val="32FC7B27"/>
    <w:rsid w:val="32FF4F22"/>
    <w:rsid w:val="33092244"/>
    <w:rsid w:val="330B38C7"/>
    <w:rsid w:val="334E5EA9"/>
    <w:rsid w:val="3353526D"/>
    <w:rsid w:val="3355548A"/>
    <w:rsid w:val="335F3C12"/>
    <w:rsid w:val="33770F5C"/>
    <w:rsid w:val="3394003E"/>
    <w:rsid w:val="33A06705"/>
    <w:rsid w:val="33AD2BD0"/>
    <w:rsid w:val="33BA0CEA"/>
    <w:rsid w:val="33C57F19"/>
    <w:rsid w:val="33CF0D98"/>
    <w:rsid w:val="33D068BE"/>
    <w:rsid w:val="33DB773D"/>
    <w:rsid w:val="33F46A50"/>
    <w:rsid w:val="34026A2A"/>
    <w:rsid w:val="3410327F"/>
    <w:rsid w:val="344A2619"/>
    <w:rsid w:val="346D235F"/>
    <w:rsid w:val="349624E3"/>
    <w:rsid w:val="349A13A6"/>
    <w:rsid w:val="34AE6BFF"/>
    <w:rsid w:val="34D0301A"/>
    <w:rsid w:val="34EA0618"/>
    <w:rsid w:val="34F30AB6"/>
    <w:rsid w:val="35092088"/>
    <w:rsid w:val="352B64A2"/>
    <w:rsid w:val="35377A73"/>
    <w:rsid w:val="354632DC"/>
    <w:rsid w:val="354D669C"/>
    <w:rsid w:val="355C48AD"/>
    <w:rsid w:val="35673B29"/>
    <w:rsid w:val="3589141A"/>
    <w:rsid w:val="3599165E"/>
    <w:rsid w:val="359D7E49"/>
    <w:rsid w:val="35B00755"/>
    <w:rsid w:val="35C30488"/>
    <w:rsid w:val="35D46B3A"/>
    <w:rsid w:val="35E52AF5"/>
    <w:rsid w:val="35E57F90"/>
    <w:rsid w:val="36034D29"/>
    <w:rsid w:val="361C45F6"/>
    <w:rsid w:val="364A2958"/>
    <w:rsid w:val="36533F02"/>
    <w:rsid w:val="36624145"/>
    <w:rsid w:val="3667350A"/>
    <w:rsid w:val="367E0853"/>
    <w:rsid w:val="36AF3103"/>
    <w:rsid w:val="36C22E36"/>
    <w:rsid w:val="36C66783"/>
    <w:rsid w:val="37023232"/>
    <w:rsid w:val="374455F9"/>
    <w:rsid w:val="37503F9E"/>
    <w:rsid w:val="376C4B50"/>
    <w:rsid w:val="377F2AD5"/>
    <w:rsid w:val="3799682A"/>
    <w:rsid w:val="37A20571"/>
    <w:rsid w:val="37CE75B8"/>
    <w:rsid w:val="37DC0CC4"/>
    <w:rsid w:val="37DC3A83"/>
    <w:rsid w:val="37F039D3"/>
    <w:rsid w:val="37F214F9"/>
    <w:rsid w:val="37F8583A"/>
    <w:rsid w:val="380B25BB"/>
    <w:rsid w:val="382F0057"/>
    <w:rsid w:val="384B29B7"/>
    <w:rsid w:val="38651CCB"/>
    <w:rsid w:val="386677F1"/>
    <w:rsid w:val="38683569"/>
    <w:rsid w:val="388211B0"/>
    <w:rsid w:val="38855EC9"/>
    <w:rsid w:val="38871C41"/>
    <w:rsid w:val="389B749B"/>
    <w:rsid w:val="38C42E95"/>
    <w:rsid w:val="390B0AC4"/>
    <w:rsid w:val="39276F80"/>
    <w:rsid w:val="39382F3B"/>
    <w:rsid w:val="39A24859"/>
    <w:rsid w:val="39A9208B"/>
    <w:rsid w:val="39AD3929"/>
    <w:rsid w:val="39BF540B"/>
    <w:rsid w:val="39CB0253"/>
    <w:rsid w:val="39D5032C"/>
    <w:rsid w:val="39E92488"/>
    <w:rsid w:val="39EB26A4"/>
    <w:rsid w:val="3A1C460B"/>
    <w:rsid w:val="3A1F234D"/>
    <w:rsid w:val="3A23599A"/>
    <w:rsid w:val="3A322EC1"/>
    <w:rsid w:val="3A5925EE"/>
    <w:rsid w:val="3A8521B0"/>
    <w:rsid w:val="3A8F302F"/>
    <w:rsid w:val="3AC802EF"/>
    <w:rsid w:val="3AE8273F"/>
    <w:rsid w:val="3AFA5EF5"/>
    <w:rsid w:val="3AFB06C4"/>
    <w:rsid w:val="3B005CDB"/>
    <w:rsid w:val="3B041B4F"/>
    <w:rsid w:val="3B844B5E"/>
    <w:rsid w:val="3B893F22"/>
    <w:rsid w:val="3B9F72A2"/>
    <w:rsid w:val="3BAA5C47"/>
    <w:rsid w:val="3BC11EEC"/>
    <w:rsid w:val="3BE54829"/>
    <w:rsid w:val="3C0435A9"/>
    <w:rsid w:val="3C1A7270"/>
    <w:rsid w:val="3C1F4887"/>
    <w:rsid w:val="3C360EA3"/>
    <w:rsid w:val="3C4D6CFE"/>
    <w:rsid w:val="3C543C42"/>
    <w:rsid w:val="3C5E791A"/>
    <w:rsid w:val="3CCA47F2"/>
    <w:rsid w:val="3CCF3BB7"/>
    <w:rsid w:val="3CD218F9"/>
    <w:rsid w:val="3CE5162C"/>
    <w:rsid w:val="3CF950D8"/>
    <w:rsid w:val="3CFE624A"/>
    <w:rsid w:val="3D197528"/>
    <w:rsid w:val="3D204412"/>
    <w:rsid w:val="3D792B22"/>
    <w:rsid w:val="3D8E5820"/>
    <w:rsid w:val="3D8E75CE"/>
    <w:rsid w:val="3D934BE4"/>
    <w:rsid w:val="3D9D3CB5"/>
    <w:rsid w:val="3DA54918"/>
    <w:rsid w:val="3DC94AAA"/>
    <w:rsid w:val="3DCC6348"/>
    <w:rsid w:val="3DD07BE6"/>
    <w:rsid w:val="3DD93CA2"/>
    <w:rsid w:val="3DDA2813"/>
    <w:rsid w:val="3DDA6CB7"/>
    <w:rsid w:val="3DE43692"/>
    <w:rsid w:val="3E2E7003"/>
    <w:rsid w:val="3E411EA7"/>
    <w:rsid w:val="3E5C147A"/>
    <w:rsid w:val="3E8409D1"/>
    <w:rsid w:val="3E9230EE"/>
    <w:rsid w:val="3EC60FE9"/>
    <w:rsid w:val="3EC86B10"/>
    <w:rsid w:val="3EEF6792"/>
    <w:rsid w:val="3EF47905"/>
    <w:rsid w:val="3EFE69D5"/>
    <w:rsid w:val="3F087854"/>
    <w:rsid w:val="3F3142F6"/>
    <w:rsid w:val="3F5E6AF3"/>
    <w:rsid w:val="3F966C0E"/>
    <w:rsid w:val="3FBD419A"/>
    <w:rsid w:val="3FC45529"/>
    <w:rsid w:val="3FD37E62"/>
    <w:rsid w:val="3FF73B50"/>
    <w:rsid w:val="401A15ED"/>
    <w:rsid w:val="402416BC"/>
    <w:rsid w:val="402E0FC4"/>
    <w:rsid w:val="40402E3B"/>
    <w:rsid w:val="40512B35"/>
    <w:rsid w:val="406D5BC1"/>
    <w:rsid w:val="40794422"/>
    <w:rsid w:val="407F76A2"/>
    <w:rsid w:val="40A548E7"/>
    <w:rsid w:val="40BE466E"/>
    <w:rsid w:val="41265D6F"/>
    <w:rsid w:val="41314E40"/>
    <w:rsid w:val="414B0DF4"/>
    <w:rsid w:val="414F52C6"/>
    <w:rsid w:val="41597EF3"/>
    <w:rsid w:val="41764F49"/>
    <w:rsid w:val="41801923"/>
    <w:rsid w:val="41B617E9"/>
    <w:rsid w:val="41B94E35"/>
    <w:rsid w:val="41CF6407"/>
    <w:rsid w:val="41D35EF7"/>
    <w:rsid w:val="41F92E32"/>
    <w:rsid w:val="421B33FA"/>
    <w:rsid w:val="42266472"/>
    <w:rsid w:val="42332E3A"/>
    <w:rsid w:val="426C1EA8"/>
    <w:rsid w:val="42733236"/>
    <w:rsid w:val="4295746D"/>
    <w:rsid w:val="42DC527F"/>
    <w:rsid w:val="42E4753B"/>
    <w:rsid w:val="42F9198D"/>
    <w:rsid w:val="43095949"/>
    <w:rsid w:val="43754D8C"/>
    <w:rsid w:val="43827BD5"/>
    <w:rsid w:val="439E0787"/>
    <w:rsid w:val="43B9111D"/>
    <w:rsid w:val="43B9736F"/>
    <w:rsid w:val="43BA75E6"/>
    <w:rsid w:val="43C0540E"/>
    <w:rsid w:val="43C84F50"/>
    <w:rsid w:val="43CD6976"/>
    <w:rsid w:val="43E837B0"/>
    <w:rsid w:val="43EB41E2"/>
    <w:rsid w:val="44071E88"/>
    <w:rsid w:val="44143923"/>
    <w:rsid w:val="442567B2"/>
    <w:rsid w:val="442742D8"/>
    <w:rsid w:val="442C18EF"/>
    <w:rsid w:val="442E38B9"/>
    <w:rsid w:val="44323D41"/>
    <w:rsid w:val="443864E5"/>
    <w:rsid w:val="44531571"/>
    <w:rsid w:val="4464552C"/>
    <w:rsid w:val="4476700E"/>
    <w:rsid w:val="447B3F61"/>
    <w:rsid w:val="448636F5"/>
    <w:rsid w:val="44E16B7D"/>
    <w:rsid w:val="44FF34A7"/>
    <w:rsid w:val="45034D69"/>
    <w:rsid w:val="4528655A"/>
    <w:rsid w:val="45342E44"/>
    <w:rsid w:val="453C2005"/>
    <w:rsid w:val="45605CF4"/>
    <w:rsid w:val="4565330A"/>
    <w:rsid w:val="458F65D9"/>
    <w:rsid w:val="45986F93"/>
    <w:rsid w:val="45DD7344"/>
    <w:rsid w:val="45DE1D3D"/>
    <w:rsid w:val="45F428E0"/>
    <w:rsid w:val="46001285"/>
    <w:rsid w:val="4605689B"/>
    <w:rsid w:val="460F45DC"/>
    <w:rsid w:val="46256046"/>
    <w:rsid w:val="46324165"/>
    <w:rsid w:val="464C0026"/>
    <w:rsid w:val="464C44CA"/>
    <w:rsid w:val="465515D1"/>
    <w:rsid w:val="4670640B"/>
    <w:rsid w:val="4676111D"/>
    <w:rsid w:val="468679DC"/>
    <w:rsid w:val="46963997"/>
    <w:rsid w:val="46A71700"/>
    <w:rsid w:val="46B14699"/>
    <w:rsid w:val="46B502C1"/>
    <w:rsid w:val="46BE4CF2"/>
    <w:rsid w:val="46CF2F55"/>
    <w:rsid w:val="46F56910"/>
    <w:rsid w:val="47086643"/>
    <w:rsid w:val="474156B1"/>
    <w:rsid w:val="47501D98"/>
    <w:rsid w:val="47613FA5"/>
    <w:rsid w:val="476A2E5A"/>
    <w:rsid w:val="476C76E5"/>
    <w:rsid w:val="476F0470"/>
    <w:rsid w:val="477C493B"/>
    <w:rsid w:val="478832E0"/>
    <w:rsid w:val="47A04ACD"/>
    <w:rsid w:val="47C167F2"/>
    <w:rsid w:val="47CD33E9"/>
    <w:rsid w:val="47E86474"/>
    <w:rsid w:val="48223734"/>
    <w:rsid w:val="4828061F"/>
    <w:rsid w:val="483416BA"/>
    <w:rsid w:val="483B2A48"/>
    <w:rsid w:val="48537D92"/>
    <w:rsid w:val="48645AFB"/>
    <w:rsid w:val="486A5733"/>
    <w:rsid w:val="486F4309"/>
    <w:rsid w:val="488066AD"/>
    <w:rsid w:val="488E2B78"/>
    <w:rsid w:val="489839F7"/>
    <w:rsid w:val="48B84099"/>
    <w:rsid w:val="48E56510"/>
    <w:rsid w:val="48FF75D2"/>
    <w:rsid w:val="493E02D4"/>
    <w:rsid w:val="4989333F"/>
    <w:rsid w:val="499248EA"/>
    <w:rsid w:val="499916FA"/>
    <w:rsid w:val="49A10689"/>
    <w:rsid w:val="49C10D2B"/>
    <w:rsid w:val="49CF3448"/>
    <w:rsid w:val="49DA3B9B"/>
    <w:rsid w:val="49E3107C"/>
    <w:rsid w:val="49EF7646"/>
    <w:rsid w:val="49FE1F7F"/>
    <w:rsid w:val="4A881849"/>
    <w:rsid w:val="4AA246B9"/>
    <w:rsid w:val="4AB97C54"/>
    <w:rsid w:val="4ABD14F2"/>
    <w:rsid w:val="4ACB00B3"/>
    <w:rsid w:val="4AD36DE7"/>
    <w:rsid w:val="4ADF76BB"/>
    <w:rsid w:val="4B096DC6"/>
    <w:rsid w:val="4B2772B4"/>
    <w:rsid w:val="4B490FD8"/>
    <w:rsid w:val="4B5A31E5"/>
    <w:rsid w:val="4B663938"/>
    <w:rsid w:val="4B6B53F2"/>
    <w:rsid w:val="4B700C5B"/>
    <w:rsid w:val="4B906C07"/>
    <w:rsid w:val="4BC52D55"/>
    <w:rsid w:val="4BCF3BD3"/>
    <w:rsid w:val="4BDE5BC4"/>
    <w:rsid w:val="4BEA1DCD"/>
    <w:rsid w:val="4BF47196"/>
    <w:rsid w:val="4BFE0015"/>
    <w:rsid w:val="4C177328"/>
    <w:rsid w:val="4C1B2975"/>
    <w:rsid w:val="4C417F01"/>
    <w:rsid w:val="4C52210E"/>
    <w:rsid w:val="4C675BBA"/>
    <w:rsid w:val="4C9D5A7F"/>
    <w:rsid w:val="4CAE1A3B"/>
    <w:rsid w:val="4CBD3A2C"/>
    <w:rsid w:val="4CBE1552"/>
    <w:rsid w:val="4CCA439B"/>
    <w:rsid w:val="4CD15729"/>
    <w:rsid w:val="4CF80F08"/>
    <w:rsid w:val="4D094EC3"/>
    <w:rsid w:val="4D0F7FFF"/>
    <w:rsid w:val="4D275349"/>
    <w:rsid w:val="4D2B4E39"/>
    <w:rsid w:val="4D302450"/>
    <w:rsid w:val="4D387556"/>
    <w:rsid w:val="4D427751"/>
    <w:rsid w:val="4D4B54DB"/>
    <w:rsid w:val="4D4E6D7A"/>
    <w:rsid w:val="4D6724E2"/>
    <w:rsid w:val="4D7D31BB"/>
    <w:rsid w:val="4D9329DF"/>
    <w:rsid w:val="4D956757"/>
    <w:rsid w:val="4DB34E2F"/>
    <w:rsid w:val="4DDF5C24"/>
    <w:rsid w:val="4DF55447"/>
    <w:rsid w:val="4DFA480C"/>
    <w:rsid w:val="4E165AE9"/>
    <w:rsid w:val="4E2A3474"/>
    <w:rsid w:val="4E3221F7"/>
    <w:rsid w:val="4E3C3076"/>
    <w:rsid w:val="4E555EE6"/>
    <w:rsid w:val="4E5B34FC"/>
    <w:rsid w:val="4E6D3230"/>
    <w:rsid w:val="4E832A53"/>
    <w:rsid w:val="4E881E17"/>
    <w:rsid w:val="4E8F2834"/>
    <w:rsid w:val="4E8F31A6"/>
    <w:rsid w:val="4E9D6FC8"/>
    <w:rsid w:val="4ED11A10"/>
    <w:rsid w:val="4ED60DD5"/>
    <w:rsid w:val="4EDB288F"/>
    <w:rsid w:val="4EF23735"/>
    <w:rsid w:val="4F1418FD"/>
    <w:rsid w:val="4F175C36"/>
    <w:rsid w:val="4F1B712F"/>
    <w:rsid w:val="4F1F09CE"/>
    <w:rsid w:val="4F4F0B87"/>
    <w:rsid w:val="4F642884"/>
    <w:rsid w:val="4F6665FD"/>
    <w:rsid w:val="4F6C798B"/>
    <w:rsid w:val="4F754A92"/>
    <w:rsid w:val="4F7D74A2"/>
    <w:rsid w:val="4F9071D6"/>
    <w:rsid w:val="4FDA5DB2"/>
    <w:rsid w:val="4FE614EB"/>
    <w:rsid w:val="4FFC2ABD"/>
    <w:rsid w:val="502B5150"/>
    <w:rsid w:val="5043693E"/>
    <w:rsid w:val="50546455"/>
    <w:rsid w:val="505E5526"/>
    <w:rsid w:val="50966A6E"/>
    <w:rsid w:val="509E127D"/>
    <w:rsid w:val="50C23D07"/>
    <w:rsid w:val="50D6330E"/>
    <w:rsid w:val="50DE6667"/>
    <w:rsid w:val="50F8349F"/>
    <w:rsid w:val="50F96FFC"/>
    <w:rsid w:val="5100038B"/>
    <w:rsid w:val="512F2A1E"/>
    <w:rsid w:val="51536546"/>
    <w:rsid w:val="5153670D"/>
    <w:rsid w:val="51612F33"/>
    <w:rsid w:val="51711289"/>
    <w:rsid w:val="51A90A23"/>
    <w:rsid w:val="51B97834"/>
    <w:rsid w:val="51C13FBE"/>
    <w:rsid w:val="51C615D4"/>
    <w:rsid w:val="51D07D5D"/>
    <w:rsid w:val="51E43809"/>
    <w:rsid w:val="51F872B4"/>
    <w:rsid w:val="51FF0643"/>
    <w:rsid w:val="520420FD"/>
    <w:rsid w:val="52187956"/>
    <w:rsid w:val="521A547C"/>
    <w:rsid w:val="521F52CC"/>
    <w:rsid w:val="522400A9"/>
    <w:rsid w:val="523C3645"/>
    <w:rsid w:val="523D322A"/>
    <w:rsid w:val="524D5852"/>
    <w:rsid w:val="52554706"/>
    <w:rsid w:val="526613C5"/>
    <w:rsid w:val="526A01B2"/>
    <w:rsid w:val="5272350A"/>
    <w:rsid w:val="5280642C"/>
    <w:rsid w:val="52A116FA"/>
    <w:rsid w:val="52AD4F6C"/>
    <w:rsid w:val="52B04ABD"/>
    <w:rsid w:val="52B256B5"/>
    <w:rsid w:val="52E27C0B"/>
    <w:rsid w:val="52FE6B4C"/>
    <w:rsid w:val="53157F3E"/>
    <w:rsid w:val="53246BF7"/>
    <w:rsid w:val="535639A4"/>
    <w:rsid w:val="535A6478"/>
    <w:rsid w:val="53634C01"/>
    <w:rsid w:val="538210AF"/>
    <w:rsid w:val="53840C34"/>
    <w:rsid w:val="538A6632"/>
    <w:rsid w:val="53AC65A8"/>
    <w:rsid w:val="54065CB8"/>
    <w:rsid w:val="54442C85"/>
    <w:rsid w:val="544764A5"/>
    <w:rsid w:val="54994D7E"/>
    <w:rsid w:val="54C17E31"/>
    <w:rsid w:val="54D73AF9"/>
    <w:rsid w:val="553C395C"/>
    <w:rsid w:val="553E1482"/>
    <w:rsid w:val="554A6079"/>
    <w:rsid w:val="554F368F"/>
    <w:rsid w:val="555D5502"/>
    <w:rsid w:val="55760C1C"/>
    <w:rsid w:val="55911EF9"/>
    <w:rsid w:val="559E0172"/>
    <w:rsid w:val="55A25EB5"/>
    <w:rsid w:val="55CC4337"/>
    <w:rsid w:val="55CF47D0"/>
    <w:rsid w:val="55D83684"/>
    <w:rsid w:val="55F83D27"/>
    <w:rsid w:val="55F935FB"/>
    <w:rsid w:val="56401091"/>
    <w:rsid w:val="564C5E20"/>
    <w:rsid w:val="564E44A8"/>
    <w:rsid w:val="56503B63"/>
    <w:rsid w:val="566B274A"/>
    <w:rsid w:val="56794E67"/>
    <w:rsid w:val="56892BD1"/>
    <w:rsid w:val="56C97471"/>
    <w:rsid w:val="56D54068"/>
    <w:rsid w:val="571A1A7B"/>
    <w:rsid w:val="574153BB"/>
    <w:rsid w:val="57521214"/>
    <w:rsid w:val="575907F5"/>
    <w:rsid w:val="57607DD5"/>
    <w:rsid w:val="57CF6D09"/>
    <w:rsid w:val="57E26A3C"/>
    <w:rsid w:val="58474AF1"/>
    <w:rsid w:val="5870229A"/>
    <w:rsid w:val="58A65CBC"/>
    <w:rsid w:val="58C93758"/>
    <w:rsid w:val="58CD3249"/>
    <w:rsid w:val="58D565A1"/>
    <w:rsid w:val="58DA3BB7"/>
    <w:rsid w:val="59232E69"/>
    <w:rsid w:val="592F7A5F"/>
    <w:rsid w:val="594A4899"/>
    <w:rsid w:val="59570D64"/>
    <w:rsid w:val="5976568E"/>
    <w:rsid w:val="5984440C"/>
    <w:rsid w:val="599975CF"/>
    <w:rsid w:val="59BB6625"/>
    <w:rsid w:val="59CC3500"/>
    <w:rsid w:val="5A19426B"/>
    <w:rsid w:val="5A427C66"/>
    <w:rsid w:val="5A52785C"/>
    <w:rsid w:val="5A551748"/>
    <w:rsid w:val="5A56726E"/>
    <w:rsid w:val="5A6E2809"/>
    <w:rsid w:val="5ABB4095"/>
    <w:rsid w:val="5AC32B55"/>
    <w:rsid w:val="5AC62645"/>
    <w:rsid w:val="5ADE798F"/>
    <w:rsid w:val="5AE20B01"/>
    <w:rsid w:val="5B3D76CA"/>
    <w:rsid w:val="5B547C51"/>
    <w:rsid w:val="5B7420A1"/>
    <w:rsid w:val="5B9F57FE"/>
    <w:rsid w:val="5BA83AF9"/>
    <w:rsid w:val="5BA8671E"/>
    <w:rsid w:val="5BD20B76"/>
    <w:rsid w:val="5BD47038"/>
    <w:rsid w:val="5BF154A0"/>
    <w:rsid w:val="5C133668"/>
    <w:rsid w:val="5C303710"/>
    <w:rsid w:val="5C476399"/>
    <w:rsid w:val="5C91458D"/>
    <w:rsid w:val="5C983B6D"/>
    <w:rsid w:val="5C98591B"/>
    <w:rsid w:val="5CA40764"/>
    <w:rsid w:val="5CAC064F"/>
    <w:rsid w:val="5CE639DC"/>
    <w:rsid w:val="5CE768A3"/>
    <w:rsid w:val="5D3D64C3"/>
    <w:rsid w:val="5D5A4E0F"/>
    <w:rsid w:val="5D7579F0"/>
    <w:rsid w:val="5D8361CA"/>
    <w:rsid w:val="5D975B25"/>
    <w:rsid w:val="5DBC7D30"/>
    <w:rsid w:val="5DC310BE"/>
    <w:rsid w:val="5DCB3ACF"/>
    <w:rsid w:val="5E0771FD"/>
    <w:rsid w:val="5E257683"/>
    <w:rsid w:val="5E2F22B0"/>
    <w:rsid w:val="5E39312E"/>
    <w:rsid w:val="5E512226"/>
    <w:rsid w:val="5E5341F0"/>
    <w:rsid w:val="5E565A8E"/>
    <w:rsid w:val="5E652175"/>
    <w:rsid w:val="5E653F23"/>
    <w:rsid w:val="5E8E5228"/>
    <w:rsid w:val="5EA762EA"/>
    <w:rsid w:val="5ECA3D86"/>
    <w:rsid w:val="5ED74E21"/>
    <w:rsid w:val="5F096FA4"/>
    <w:rsid w:val="5F1F40D2"/>
    <w:rsid w:val="5F217E4A"/>
    <w:rsid w:val="5F61293D"/>
    <w:rsid w:val="5F6366B5"/>
    <w:rsid w:val="5F7578F4"/>
    <w:rsid w:val="5F775C2F"/>
    <w:rsid w:val="5F8D54E0"/>
    <w:rsid w:val="5FC02406"/>
    <w:rsid w:val="5FED41D0"/>
    <w:rsid w:val="5FFF4B17"/>
    <w:rsid w:val="60172FFB"/>
    <w:rsid w:val="6042276E"/>
    <w:rsid w:val="60567FC7"/>
    <w:rsid w:val="605B738C"/>
    <w:rsid w:val="605E50CE"/>
    <w:rsid w:val="606C77EB"/>
    <w:rsid w:val="60CF38D6"/>
    <w:rsid w:val="60D62EB6"/>
    <w:rsid w:val="60F03F78"/>
    <w:rsid w:val="60F4333C"/>
    <w:rsid w:val="60FB291D"/>
    <w:rsid w:val="6103520A"/>
    <w:rsid w:val="611A2DA3"/>
    <w:rsid w:val="611B4D6D"/>
    <w:rsid w:val="61314591"/>
    <w:rsid w:val="613D2F35"/>
    <w:rsid w:val="615606BA"/>
    <w:rsid w:val="61706E67"/>
    <w:rsid w:val="61AE50A6"/>
    <w:rsid w:val="61B2122D"/>
    <w:rsid w:val="61CD6067"/>
    <w:rsid w:val="61DE45D9"/>
    <w:rsid w:val="61E84C4F"/>
    <w:rsid w:val="61ED6709"/>
    <w:rsid w:val="61F01D56"/>
    <w:rsid w:val="61F22181"/>
    <w:rsid w:val="61F5736C"/>
    <w:rsid w:val="62043BE0"/>
    <w:rsid w:val="62114D88"/>
    <w:rsid w:val="622D4D58"/>
    <w:rsid w:val="62361E5F"/>
    <w:rsid w:val="625422E5"/>
    <w:rsid w:val="62797F9D"/>
    <w:rsid w:val="62845DC3"/>
    <w:rsid w:val="62C80BCC"/>
    <w:rsid w:val="62D11B87"/>
    <w:rsid w:val="62D653F0"/>
    <w:rsid w:val="62E01DCA"/>
    <w:rsid w:val="62F87114"/>
    <w:rsid w:val="63063CC9"/>
    <w:rsid w:val="630958C3"/>
    <w:rsid w:val="631101D6"/>
    <w:rsid w:val="6329551F"/>
    <w:rsid w:val="63310878"/>
    <w:rsid w:val="63495BC1"/>
    <w:rsid w:val="63536A40"/>
    <w:rsid w:val="635A1B7D"/>
    <w:rsid w:val="63666773"/>
    <w:rsid w:val="637B1AF3"/>
    <w:rsid w:val="638135AD"/>
    <w:rsid w:val="63AB4186"/>
    <w:rsid w:val="63B96E27"/>
    <w:rsid w:val="63C33BC6"/>
    <w:rsid w:val="63E1404C"/>
    <w:rsid w:val="63FC70D8"/>
    <w:rsid w:val="641C6E32"/>
    <w:rsid w:val="641F6922"/>
    <w:rsid w:val="64264155"/>
    <w:rsid w:val="644545DB"/>
    <w:rsid w:val="644C161A"/>
    <w:rsid w:val="645E38EF"/>
    <w:rsid w:val="64813139"/>
    <w:rsid w:val="64963088"/>
    <w:rsid w:val="64964E36"/>
    <w:rsid w:val="64AF7CA6"/>
    <w:rsid w:val="64B74DAD"/>
    <w:rsid w:val="64E536C8"/>
    <w:rsid w:val="64F733FB"/>
    <w:rsid w:val="650A1380"/>
    <w:rsid w:val="6511270F"/>
    <w:rsid w:val="651B533C"/>
    <w:rsid w:val="65271F32"/>
    <w:rsid w:val="654C7BEB"/>
    <w:rsid w:val="655A5E64"/>
    <w:rsid w:val="65674A25"/>
    <w:rsid w:val="656F482C"/>
    <w:rsid w:val="657311E9"/>
    <w:rsid w:val="657A02B4"/>
    <w:rsid w:val="65896749"/>
    <w:rsid w:val="65B732B6"/>
    <w:rsid w:val="65F91B21"/>
    <w:rsid w:val="65FC33BF"/>
    <w:rsid w:val="6601082D"/>
    <w:rsid w:val="6635067F"/>
    <w:rsid w:val="667016B7"/>
    <w:rsid w:val="667A4733"/>
    <w:rsid w:val="668426FE"/>
    <w:rsid w:val="66D460EA"/>
    <w:rsid w:val="66F422E8"/>
    <w:rsid w:val="66F978FF"/>
    <w:rsid w:val="670E33AA"/>
    <w:rsid w:val="670F3C60"/>
    <w:rsid w:val="6759214B"/>
    <w:rsid w:val="6760797E"/>
    <w:rsid w:val="676E209B"/>
    <w:rsid w:val="67982C74"/>
    <w:rsid w:val="679F4002"/>
    <w:rsid w:val="67A27F96"/>
    <w:rsid w:val="67C24194"/>
    <w:rsid w:val="67C9107F"/>
    <w:rsid w:val="67D0065F"/>
    <w:rsid w:val="67E934CF"/>
    <w:rsid w:val="68005D6A"/>
    <w:rsid w:val="681278C3"/>
    <w:rsid w:val="681A7B2C"/>
    <w:rsid w:val="68324E76"/>
    <w:rsid w:val="683926A8"/>
    <w:rsid w:val="68686AEA"/>
    <w:rsid w:val="686D4100"/>
    <w:rsid w:val="688558EE"/>
    <w:rsid w:val="688C5948"/>
    <w:rsid w:val="688D1A12"/>
    <w:rsid w:val="689C0A49"/>
    <w:rsid w:val="68C06926"/>
    <w:rsid w:val="68C161FA"/>
    <w:rsid w:val="68D128E1"/>
    <w:rsid w:val="68DC1286"/>
    <w:rsid w:val="68FB5CC1"/>
    <w:rsid w:val="690A7F15"/>
    <w:rsid w:val="692A0243"/>
    <w:rsid w:val="692E7D33"/>
    <w:rsid w:val="693B5FAC"/>
    <w:rsid w:val="69894F6A"/>
    <w:rsid w:val="69AC2A06"/>
    <w:rsid w:val="69AE2C22"/>
    <w:rsid w:val="69B0699A"/>
    <w:rsid w:val="69B1626F"/>
    <w:rsid w:val="69B20566"/>
    <w:rsid w:val="69BA3375"/>
    <w:rsid w:val="69C51D1A"/>
    <w:rsid w:val="69FB573C"/>
    <w:rsid w:val="6A1F767C"/>
    <w:rsid w:val="6A4315BC"/>
    <w:rsid w:val="6A440E91"/>
    <w:rsid w:val="6A6E4160"/>
    <w:rsid w:val="6AB37DC4"/>
    <w:rsid w:val="6ADE3093"/>
    <w:rsid w:val="6AE10DD5"/>
    <w:rsid w:val="6B040620"/>
    <w:rsid w:val="6B1B721A"/>
    <w:rsid w:val="6B23319C"/>
    <w:rsid w:val="6B4C26F3"/>
    <w:rsid w:val="6B710FCE"/>
    <w:rsid w:val="6B8579B3"/>
    <w:rsid w:val="6B8A321B"/>
    <w:rsid w:val="6B9B2675"/>
    <w:rsid w:val="6BA77929"/>
    <w:rsid w:val="6BB42046"/>
    <w:rsid w:val="6BC56001"/>
    <w:rsid w:val="6BDB5825"/>
    <w:rsid w:val="6BEC17E0"/>
    <w:rsid w:val="6C0E79A8"/>
    <w:rsid w:val="6C186A79"/>
    <w:rsid w:val="6C2B67AC"/>
    <w:rsid w:val="6C5630FD"/>
    <w:rsid w:val="6C97799E"/>
    <w:rsid w:val="6CAB51F7"/>
    <w:rsid w:val="6CC60283"/>
    <w:rsid w:val="6D2A6A64"/>
    <w:rsid w:val="6D3276C6"/>
    <w:rsid w:val="6D370745"/>
    <w:rsid w:val="6D48513C"/>
    <w:rsid w:val="6D5C2995"/>
    <w:rsid w:val="6D654F90"/>
    <w:rsid w:val="6D6667DE"/>
    <w:rsid w:val="6D8B6DD7"/>
    <w:rsid w:val="6DA0151B"/>
    <w:rsid w:val="6DB1683D"/>
    <w:rsid w:val="6DC5678C"/>
    <w:rsid w:val="6DC742B3"/>
    <w:rsid w:val="6DC971CE"/>
    <w:rsid w:val="6DCE5641"/>
    <w:rsid w:val="6DE210EC"/>
    <w:rsid w:val="6DE54739"/>
    <w:rsid w:val="6DF901E4"/>
    <w:rsid w:val="6E0F17B6"/>
    <w:rsid w:val="6E1B63AC"/>
    <w:rsid w:val="6E5042A8"/>
    <w:rsid w:val="6E55366C"/>
    <w:rsid w:val="6E7F4EAB"/>
    <w:rsid w:val="6EA42846"/>
    <w:rsid w:val="6EB365E5"/>
    <w:rsid w:val="6EB5235D"/>
    <w:rsid w:val="6EE42C42"/>
    <w:rsid w:val="6EF32E85"/>
    <w:rsid w:val="6EF56BFD"/>
    <w:rsid w:val="6F086931"/>
    <w:rsid w:val="6F2F65B3"/>
    <w:rsid w:val="6F593630"/>
    <w:rsid w:val="6F631DB9"/>
    <w:rsid w:val="6FA04DBB"/>
    <w:rsid w:val="6FC95D77"/>
    <w:rsid w:val="6FE6718B"/>
    <w:rsid w:val="6FFD220E"/>
    <w:rsid w:val="700F3CEF"/>
    <w:rsid w:val="70455963"/>
    <w:rsid w:val="707149AA"/>
    <w:rsid w:val="70877D29"/>
    <w:rsid w:val="70AB7EBB"/>
    <w:rsid w:val="70C14F73"/>
    <w:rsid w:val="70E616D1"/>
    <w:rsid w:val="70E94540"/>
    <w:rsid w:val="70FD7FEB"/>
    <w:rsid w:val="714B51FB"/>
    <w:rsid w:val="715F2A54"/>
    <w:rsid w:val="71616CD5"/>
    <w:rsid w:val="717C64BF"/>
    <w:rsid w:val="71A566B9"/>
    <w:rsid w:val="71AA3CCF"/>
    <w:rsid w:val="71C1726B"/>
    <w:rsid w:val="71D207BD"/>
    <w:rsid w:val="72062ED0"/>
    <w:rsid w:val="72121874"/>
    <w:rsid w:val="723604ED"/>
    <w:rsid w:val="724D0AFE"/>
    <w:rsid w:val="72606A84"/>
    <w:rsid w:val="727442DD"/>
    <w:rsid w:val="728C1627"/>
    <w:rsid w:val="72A15258"/>
    <w:rsid w:val="72A9667D"/>
    <w:rsid w:val="72F01BB6"/>
    <w:rsid w:val="72F2473D"/>
    <w:rsid w:val="73351CBE"/>
    <w:rsid w:val="733E234E"/>
    <w:rsid w:val="734420A9"/>
    <w:rsid w:val="735E3C7B"/>
    <w:rsid w:val="73642743"/>
    <w:rsid w:val="73944C37"/>
    <w:rsid w:val="73966C01"/>
    <w:rsid w:val="73AB1F81"/>
    <w:rsid w:val="73B928EF"/>
    <w:rsid w:val="73C372CA"/>
    <w:rsid w:val="73CB5BF9"/>
    <w:rsid w:val="74130252"/>
    <w:rsid w:val="742D6E39"/>
    <w:rsid w:val="745B5755"/>
    <w:rsid w:val="74786307"/>
    <w:rsid w:val="74AC4202"/>
    <w:rsid w:val="74B135C7"/>
    <w:rsid w:val="74C01A5C"/>
    <w:rsid w:val="74DE2CC1"/>
    <w:rsid w:val="74DE6B0D"/>
    <w:rsid w:val="74E90FB2"/>
    <w:rsid w:val="74EB6AD9"/>
    <w:rsid w:val="74EE2751"/>
    <w:rsid w:val="74F72203"/>
    <w:rsid w:val="751122B7"/>
    <w:rsid w:val="75241FEA"/>
    <w:rsid w:val="753A180E"/>
    <w:rsid w:val="754461E9"/>
    <w:rsid w:val="754D1003"/>
    <w:rsid w:val="7564688B"/>
    <w:rsid w:val="75750A98"/>
    <w:rsid w:val="75B3511C"/>
    <w:rsid w:val="75BB14B1"/>
    <w:rsid w:val="75C34BC5"/>
    <w:rsid w:val="75CE624F"/>
    <w:rsid w:val="75E579CC"/>
    <w:rsid w:val="76124539"/>
    <w:rsid w:val="763444AF"/>
    <w:rsid w:val="7634625D"/>
    <w:rsid w:val="764D4CF2"/>
    <w:rsid w:val="765406AD"/>
    <w:rsid w:val="765661D4"/>
    <w:rsid w:val="76780840"/>
    <w:rsid w:val="768C42EB"/>
    <w:rsid w:val="76AA651F"/>
    <w:rsid w:val="76BD44A5"/>
    <w:rsid w:val="76C770D1"/>
    <w:rsid w:val="76F679B7"/>
    <w:rsid w:val="76F971C0"/>
    <w:rsid w:val="76FF686B"/>
    <w:rsid w:val="77084C62"/>
    <w:rsid w:val="770E2F52"/>
    <w:rsid w:val="77204A34"/>
    <w:rsid w:val="772462D2"/>
    <w:rsid w:val="77334767"/>
    <w:rsid w:val="777F5BFE"/>
    <w:rsid w:val="778B00FF"/>
    <w:rsid w:val="779D7E32"/>
    <w:rsid w:val="77B21B30"/>
    <w:rsid w:val="77C27899"/>
    <w:rsid w:val="77CA50CB"/>
    <w:rsid w:val="77DC4DFE"/>
    <w:rsid w:val="77EA751B"/>
    <w:rsid w:val="77F35CA4"/>
    <w:rsid w:val="78300CA6"/>
    <w:rsid w:val="78544995"/>
    <w:rsid w:val="785E1CB7"/>
    <w:rsid w:val="788A2885"/>
    <w:rsid w:val="78972AD3"/>
    <w:rsid w:val="78AE679B"/>
    <w:rsid w:val="78DE1BAF"/>
    <w:rsid w:val="79334EF2"/>
    <w:rsid w:val="795C61F7"/>
    <w:rsid w:val="796450AB"/>
    <w:rsid w:val="79887927"/>
    <w:rsid w:val="79A436FA"/>
    <w:rsid w:val="79B3567F"/>
    <w:rsid w:val="79B871A5"/>
    <w:rsid w:val="79CB6ED9"/>
    <w:rsid w:val="79D833A4"/>
    <w:rsid w:val="79FF4DD4"/>
    <w:rsid w:val="7A044199"/>
    <w:rsid w:val="7A1528E7"/>
    <w:rsid w:val="7A173ECC"/>
    <w:rsid w:val="7A183B59"/>
    <w:rsid w:val="7A363DBC"/>
    <w:rsid w:val="7A5944E4"/>
    <w:rsid w:val="7A5B64AE"/>
    <w:rsid w:val="7A680BCB"/>
    <w:rsid w:val="7A9E45ED"/>
    <w:rsid w:val="7AAE577C"/>
    <w:rsid w:val="7ACD0A2E"/>
    <w:rsid w:val="7AF91823"/>
    <w:rsid w:val="7B050AB3"/>
    <w:rsid w:val="7B0F54EB"/>
    <w:rsid w:val="7B160627"/>
    <w:rsid w:val="7B234AF2"/>
    <w:rsid w:val="7B252618"/>
    <w:rsid w:val="7B3B008E"/>
    <w:rsid w:val="7B7F441F"/>
    <w:rsid w:val="7B845591"/>
    <w:rsid w:val="7BC9569A"/>
    <w:rsid w:val="7BE61DA8"/>
    <w:rsid w:val="7BF32717"/>
    <w:rsid w:val="7C016BE2"/>
    <w:rsid w:val="7C0B3F04"/>
    <w:rsid w:val="7C246D74"/>
    <w:rsid w:val="7C352D2F"/>
    <w:rsid w:val="7C3F3BAE"/>
    <w:rsid w:val="7C4411C4"/>
    <w:rsid w:val="7C444D20"/>
    <w:rsid w:val="7C686C61"/>
    <w:rsid w:val="7C776EA4"/>
    <w:rsid w:val="7CB9570E"/>
    <w:rsid w:val="7CDD764F"/>
    <w:rsid w:val="7CF93D5D"/>
    <w:rsid w:val="7CFB1883"/>
    <w:rsid w:val="7D1E1A15"/>
    <w:rsid w:val="7D341239"/>
    <w:rsid w:val="7D4C20DE"/>
    <w:rsid w:val="7D4E40A8"/>
    <w:rsid w:val="7D676F18"/>
    <w:rsid w:val="7D692C90"/>
    <w:rsid w:val="7D902913"/>
    <w:rsid w:val="7D935F5F"/>
    <w:rsid w:val="7DE72E03"/>
    <w:rsid w:val="7E1352F2"/>
    <w:rsid w:val="7E1E7F1F"/>
    <w:rsid w:val="7E355268"/>
    <w:rsid w:val="7E4F632A"/>
    <w:rsid w:val="7E527BC8"/>
    <w:rsid w:val="7E635932"/>
    <w:rsid w:val="7E8B4E88"/>
    <w:rsid w:val="7E9E05EF"/>
    <w:rsid w:val="7EA877E8"/>
    <w:rsid w:val="7EB536D1"/>
    <w:rsid w:val="7EBB576E"/>
    <w:rsid w:val="7EC32874"/>
    <w:rsid w:val="7EC62364"/>
    <w:rsid w:val="7EF7251E"/>
    <w:rsid w:val="7F0C421B"/>
    <w:rsid w:val="7F0D7F93"/>
    <w:rsid w:val="7F17671C"/>
    <w:rsid w:val="7F5427FB"/>
    <w:rsid w:val="7F816E5B"/>
    <w:rsid w:val="7F9B10FB"/>
    <w:rsid w:val="7FAA7590"/>
    <w:rsid w:val="7FB67325"/>
    <w:rsid w:val="7FE02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3"/>
    <w:qFormat/>
    <w:uiPriority w:val="0"/>
    <w:pPr>
      <w:keepNext/>
      <w:keepLines/>
      <w:tabs>
        <w:tab w:val="left" w:pos="360"/>
      </w:tabs>
      <w:adjustRightInd w:val="0"/>
      <w:spacing w:before="120" w:line="360" w:lineRule="auto"/>
      <w:ind w:left="284" w:hanging="284"/>
      <w:textAlignment w:val="baseline"/>
      <w:outlineLvl w:val="0"/>
    </w:pPr>
    <w:rPr>
      <w:rFonts w:eastAsia="黑体"/>
      <w:b/>
      <w:kern w:val="44"/>
      <w:sz w:val="28"/>
      <w:szCs w:val="20"/>
    </w:rPr>
  </w:style>
  <w:style w:type="paragraph" w:styleId="3">
    <w:name w:val="heading 2"/>
    <w:basedOn w:val="1"/>
    <w:next w:val="1"/>
    <w:unhideWhenUsed/>
    <w:qFormat/>
    <w:uiPriority w:val="0"/>
    <w:pPr>
      <w:keepNext/>
      <w:tabs>
        <w:tab w:val="left" w:pos="1021"/>
      </w:tabs>
      <w:adjustRightInd w:val="0"/>
      <w:spacing w:before="120" w:line="360" w:lineRule="auto"/>
      <w:ind w:left="1021" w:hanging="596"/>
      <w:textAlignment w:val="baseline"/>
      <w:outlineLvl w:val="1"/>
    </w:pPr>
    <w:rPr>
      <w:rFonts w:eastAsia="黑体"/>
      <w:b/>
      <w:kern w:val="0"/>
      <w:sz w:val="28"/>
      <w:szCs w:val="20"/>
    </w:rPr>
  </w:style>
  <w:style w:type="paragraph" w:styleId="4">
    <w:name w:val="heading 3"/>
    <w:basedOn w:val="1"/>
    <w:next w:val="5"/>
    <w:link w:val="39"/>
    <w:unhideWhenUsed/>
    <w:qFormat/>
    <w:uiPriority w:val="0"/>
    <w:pPr>
      <w:tabs>
        <w:tab w:val="left" w:pos="900"/>
      </w:tabs>
      <w:adjustRightInd w:val="0"/>
      <w:spacing w:before="120" w:line="360" w:lineRule="auto"/>
      <w:ind w:left="1588" w:hanging="737"/>
      <w:textAlignment w:val="baseline"/>
      <w:outlineLvl w:val="2"/>
    </w:pPr>
    <w:rPr>
      <w:rFonts w:eastAsia="黑体"/>
      <w:b/>
      <w:kern w:val="0"/>
      <w:sz w:val="28"/>
      <w:szCs w:val="20"/>
    </w:rPr>
  </w:style>
  <w:style w:type="paragraph" w:styleId="6">
    <w:name w:val="heading 4"/>
    <w:next w:val="5"/>
    <w:unhideWhenUsed/>
    <w:qFormat/>
    <w:uiPriority w:val="9"/>
    <w:pPr>
      <w:numPr>
        <w:ilvl w:val="3"/>
        <w:numId w:val="1"/>
      </w:numPr>
      <w:adjustRightInd w:val="0"/>
      <w:snapToGrid w:val="0"/>
      <w:spacing w:beforeLines="100" w:afterLines="50" w:line="288" w:lineRule="auto"/>
      <w:outlineLvl w:val="3"/>
    </w:pPr>
    <w:rPr>
      <w:rFonts w:ascii="黑体" w:hAnsi="黑体" w:eastAsia="黑体" w:cstheme="minorBidi"/>
      <w:b/>
      <w:bCs/>
      <w:sz w:val="28"/>
      <w:szCs w:val="28"/>
      <w:lang w:val="en-US" w:eastAsia="zh-CN" w:bidi="ar-SA"/>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spacing w:after="120"/>
    </w:pPr>
  </w:style>
  <w:style w:type="paragraph" w:styleId="7">
    <w:name w:val="Normal Indent"/>
    <w:basedOn w:val="1"/>
    <w:qFormat/>
    <w:uiPriority w:val="0"/>
    <w:pPr>
      <w:ind w:firstLine="420"/>
    </w:pPr>
  </w:style>
  <w:style w:type="paragraph" w:styleId="8">
    <w:name w:val="Document Map"/>
    <w:basedOn w:val="1"/>
    <w:unhideWhenUsed/>
    <w:qFormat/>
    <w:uiPriority w:val="99"/>
    <w:rPr>
      <w:rFonts w:ascii="宋体" w:hAnsi="Calibri"/>
      <w:kern w:val="0"/>
      <w:sz w:val="18"/>
      <w:szCs w:val="18"/>
    </w:rPr>
  </w:style>
  <w:style w:type="paragraph" w:styleId="9">
    <w:name w:val="annotation text"/>
    <w:basedOn w:val="1"/>
    <w:qFormat/>
    <w:uiPriority w:val="0"/>
    <w:pPr>
      <w:jc w:val="left"/>
    </w:pPr>
  </w:style>
  <w:style w:type="paragraph" w:styleId="10">
    <w:name w:val="Body Text Indent"/>
    <w:basedOn w:val="1"/>
    <w:qFormat/>
    <w:uiPriority w:val="0"/>
    <w:pPr>
      <w:spacing w:line="200" w:lineRule="exact"/>
      <w:ind w:firstLine="301"/>
    </w:pPr>
    <w:rPr>
      <w:rFonts w:ascii="宋体"/>
      <w:spacing w:val="-4"/>
      <w:sz w:val="18"/>
      <w:szCs w:val="20"/>
    </w:rPr>
  </w:style>
  <w:style w:type="paragraph" w:styleId="11">
    <w:name w:val="toc 3"/>
    <w:basedOn w:val="1"/>
    <w:next w:val="1"/>
    <w:qFormat/>
    <w:uiPriority w:val="0"/>
    <w:pPr>
      <w:ind w:left="840" w:leftChars="400"/>
    </w:pPr>
  </w:style>
  <w:style w:type="paragraph" w:styleId="12">
    <w:name w:val="Plain Text"/>
    <w:basedOn w:val="1"/>
    <w:qFormat/>
    <w:uiPriority w:val="0"/>
    <w:rPr>
      <w:rFonts w:ascii="宋体"/>
      <w:szCs w:val="20"/>
    </w:rPr>
  </w:style>
  <w:style w:type="paragraph" w:styleId="13">
    <w:name w:val="Body Text Indent 2"/>
    <w:basedOn w:val="1"/>
    <w:qFormat/>
    <w:uiPriority w:val="0"/>
    <w:pPr>
      <w:spacing w:after="120" w:line="480" w:lineRule="auto"/>
      <w:ind w:left="200" w:leftChars="200"/>
    </w:pPr>
  </w:style>
  <w:style w:type="paragraph" w:styleId="14">
    <w:name w:val="Balloon Text"/>
    <w:basedOn w:val="1"/>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0"/>
  </w:style>
  <w:style w:type="paragraph" w:styleId="18">
    <w:name w:val="Subtitle"/>
    <w:basedOn w:val="1"/>
    <w:next w:val="1"/>
    <w:qFormat/>
    <w:uiPriority w:val="0"/>
    <w:pPr>
      <w:spacing w:before="240" w:after="60" w:line="360" w:lineRule="auto"/>
      <w:jc w:val="left"/>
      <w:outlineLvl w:val="1"/>
    </w:pPr>
    <w:rPr>
      <w:rFonts w:ascii="Cambria" w:hAnsi="Cambria"/>
      <w:b/>
      <w:kern w:val="28"/>
      <w:sz w:val="32"/>
      <w:szCs w:val="32"/>
      <w:lang w:val="zh-CN"/>
    </w:rPr>
  </w:style>
  <w:style w:type="paragraph" w:styleId="19">
    <w:name w:val="footnote text"/>
    <w:basedOn w:val="1"/>
    <w:unhideWhenUsed/>
    <w:qFormat/>
    <w:uiPriority w:val="0"/>
    <w:pPr>
      <w:snapToGrid w:val="0"/>
    </w:pPr>
    <w:rPr>
      <w:sz w:val="18"/>
      <w:szCs w:val="24"/>
    </w:rPr>
  </w:style>
  <w:style w:type="paragraph" w:styleId="20">
    <w:name w:val="toc 2"/>
    <w:basedOn w:val="1"/>
    <w:next w:val="1"/>
    <w:qFormat/>
    <w:uiPriority w:val="0"/>
    <w:pPr>
      <w:ind w:left="420" w:leftChars="200"/>
    </w:pPr>
  </w:style>
  <w:style w:type="paragraph" w:styleId="21">
    <w:name w:val="Normal (Web)"/>
    <w:basedOn w:val="1"/>
    <w:qFormat/>
    <w:uiPriority w:val="0"/>
    <w:pPr>
      <w:spacing w:before="100" w:beforeAutospacing="1" w:after="100" w:afterAutospacing="1"/>
      <w:jc w:val="left"/>
    </w:pPr>
    <w:rPr>
      <w:rFonts w:cs="Times New Roman"/>
      <w:kern w:val="0"/>
      <w:sz w:val="24"/>
    </w:rPr>
  </w:style>
  <w:style w:type="paragraph" w:styleId="22">
    <w:name w:val="Body Text First Indent 2"/>
    <w:basedOn w:val="10"/>
    <w:qFormat/>
    <w:uiPriority w:val="0"/>
    <w:pPr>
      <w:spacing w:after="120"/>
      <w:ind w:left="420" w:leftChars="200" w:firstLine="420"/>
    </w:pPr>
    <w:rPr>
      <w:rFonts w:hAnsi="宋体"/>
      <w:sz w:val="21"/>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qFormat/>
    <w:uiPriority w:val="0"/>
    <w:rPr>
      <w:rFonts w:hint="eastAsia" w:ascii="微软雅黑" w:hAnsi="微软雅黑" w:eastAsia="微软雅黑" w:cs="微软雅黑"/>
      <w:color w:val="428BCA"/>
      <w:sz w:val="24"/>
      <w:szCs w:val="24"/>
      <w:u w:val="none"/>
    </w:rPr>
  </w:style>
  <w:style w:type="character" w:customStyle="1" w:styleId="27">
    <w:name w:val="NormalCharacter"/>
    <w:qFormat/>
    <w:uiPriority w:val="0"/>
    <w:rPr>
      <w:kern w:val="2"/>
      <w:sz w:val="21"/>
      <w:szCs w:val="24"/>
      <w:lang w:val="en-US" w:eastAsia="zh-CN" w:bidi="ar-SA"/>
    </w:rPr>
  </w:style>
  <w:style w:type="paragraph" w:customStyle="1" w:styleId="28">
    <w:name w:val="表格文字"/>
    <w:basedOn w:val="1"/>
    <w:next w:val="5"/>
    <w:qFormat/>
    <w:uiPriority w:val="0"/>
    <w:pPr>
      <w:spacing w:before="25" w:after="25"/>
      <w:jc w:val="left"/>
    </w:pPr>
    <w:rPr>
      <w:bCs/>
      <w:spacing w:val="10"/>
      <w:kern w:val="0"/>
      <w:sz w:val="24"/>
    </w:rPr>
  </w:style>
  <w:style w:type="paragraph" w:customStyle="1" w:styleId="29">
    <w:name w:val="p0"/>
    <w:basedOn w:val="1"/>
    <w:qFormat/>
    <w:uiPriority w:val="0"/>
    <w:pPr>
      <w:widowControl/>
    </w:pPr>
    <w:rPr>
      <w:rFonts w:ascii="Times New Roman" w:hAnsi="Times New Roman"/>
      <w:kern w:val="0"/>
      <w:szCs w:val="21"/>
    </w:rPr>
  </w:style>
  <w:style w:type="paragraph" w:customStyle="1" w:styleId="30">
    <w:name w:val="font7"/>
    <w:basedOn w:val="1"/>
    <w:qFormat/>
    <w:uiPriority w:val="0"/>
    <w:pPr>
      <w:widowControl/>
      <w:spacing w:before="100" w:beforeAutospacing="1" w:after="100" w:afterAutospacing="1"/>
      <w:jc w:val="left"/>
    </w:pPr>
    <w:rPr>
      <w:rFonts w:ascii="Verdana" w:hAnsi="Verdana"/>
      <w:kern w:val="0"/>
      <w:sz w:val="20"/>
      <w:szCs w:val="20"/>
    </w:rPr>
  </w:style>
  <w:style w:type="paragraph" w:customStyle="1" w:styleId="31">
    <w:name w:val="列表段落1"/>
    <w:basedOn w:val="1"/>
    <w:qFormat/>
    <w:uiPriority w:val="34"/>
    <w:pPr>
      <w:ind w:firstLine="420" w:firstLineChars="200"/>
    </w:pPr>
    <w:rPr>
      <w:rFonts w:ascii="Calibri" w:hAnsi="Calibri" w:eastAsia="宋体" w:cs="Times New Roman"/>
    </w:rPr>
  </w:style>
  <w:style w:type="paragraph" w:customStyle="1" w:styleId="3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33">
    <w:name w:val="标题 1 Char"/>
    <w:link w:val="2"/>
    <w:qFormat/>
    <w:uiPriority w:val="0"/>
    <w:rPr>
      <w:rFonts w:eastAsia="黑体"/>
      <w:b/>
      <w:kern w:val="44"/>
      <w:sz w:val="28"/>
      <w:szCs w:val="20"/>
    </w:rPr>
  </w:style>
  <w:style w:type="paragraph" w:styleId="34">
    <w:name w:val="List Paragraph"/>
    <w:basedOn w:val="1"/>
    <w:qFormat/>
    <w:uiPriority w:val="99"/>
    <w:pPr>
      <w:ind w:firstLine="420" w:firstLineChars="200"/>
    </w:pPr>
  </w:style>
  <w:style w:type="character" w:customStyle="1" w:styleId="35">
    <w:name w:val="标题 1 Char1"/>
    <w:qFormat/>
    <w:uiPriority w:val="0"/>
    <w:rPr>
      <w:rFonts w:ascii="Times New Roman" w:hAnsi="Times New Roman" w:eastAsia="宋体" w:cs="Times New Roman"/>
      <w:b/>
      <w:bCs/>
      <w:kern w:val="44"/>
      <w:sz w:val="32"/>
      <w:szCs w:val="44"/>
    </w:rPr>
  </w:style>
  <w:style w:type="paragraph" w:customStyle="1" w:styleId="36">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7">
    <w:name w:val="样式 加粗 段前: 7.8 磅 段后: 7.8 磅 行距: 固定值 20 磅"/>
    <w:basedOn w:val="1"/>
    <w:qFormat/>
    <w:uiPriority w:val="0"/>
    <w:pPr>
      <w:widowControl w:val="0"/>
      <w:spacing w:before="60" w:after="60" w:line="360" w:lineRule="exact"/>
      <w:jc w:val="both"/>
    </w:pPr>
    <w:rPr>
      <w:rFonts w:ascii="Times New Roman" w:hAnsi="Times New Roman" w:eastAsia="宋体" w:cs="宋体"/>
      <w:b/>
      <w:bCs/>
      <w:spacing w:val="-2"/>
      <w:kern w:val="2"/>
      <w:sz w:val="24"/>
      <w:szCs w:val="20"/>
      <w:lang w:bidi="ar-SA"/>
    </w:rPr>
  </w:style>
  <w:style w:type="character" w:customStyle="1" w:styleId="38">
    <w:name w:val="font31"/>
    <w:basedOn w:val="25"/>
    <w:qFormat/>
    <w:uiPriority w:val="0"/>
    <w:rPr>
      <w:rFonts w:hint="default" w:ascii="Times New Roman" w:hAnsi="Times New Roman" w:cs="Times New Roman"/>
      <w:color w:val="000000"/>
      <w:sz w:val="24"/>
      <w:szCs w:val="24"/>
      <w:u w:val="none"/>
    </w:rPr>
  </w:style>
  <w:style w:type="character" w:customStyle="1" w:styleId="39">
    <w:name w:val="标题 3 Char"/>
    <w:link w:val="4"/>
    <w:qFormat/>
    <w:uiPriority w:val="9"/>
    <w:rPr>
      <w:rFonts w:eastAsia="黑体"/>
      <w:b/>
      <w:kern w:val="0"/>
      <w:sz w:val="28"/>
      <w:szCs w:val="20"/>
    </w:rPr>
  </w:style>
  <w:style w:type="character" w:customStyle="1" w:styleId="40">
    <w:name w:val="font11"/>
    <w:basedOn w:val="25"/>
    <w:qFormat/>
    <w:uiPriority w:val="0"/>
    <w:rPr>
      <w:rFonts w:hint="eastAsia" w:ascii="宋体" w:hAnsi="宋体" w:eastAsia="宋体" w:cs="宋体"/>
      <w:color w:val="000000"/>
      <w:sz w:val="21"/>
      <w:szCs w:val="21"/>
      <w:u w:val="none"/>
    </w:rPr>
  </w:style>
  <w:style w:type="character" w:customStyle="1" w:styleId="41">
    <w:name w:val="font21"/>
    <w:basedOn w:val="25"/>
    <w:qFormat/>
    <w:uiPriority w:val="0"/>
    <w:rPr>
      <w:rFonts w:hint="default" w:ascii="Calibri" w:hAnsi="Calibri" w:cs="Calibri"/>
      <w:color w:val="000000"/>
      <w:sz w:val="21"/>
      <w:szCs w:val="21"/>
      <w:u w:val="none"/>
    </w:rPr>
  </w:style>
  <w:style w:type="paragraph" w:customStyle="1" w:styleId="42">
    <w:name w:val="样式1"/>
    <w:basedOn w:val="1"/>
    <w:qFormat/>
    <w:uiPriority w:val="0"/>
    <w:pPr>
      <w:jc w:val="left"/>
    </w:pPr>
    <w:rPr>
      <w:rFonts w:hint="default" w:eastAsia="仿宋_GB2312" w:asciiTheme="minorAscii" w:hAnsiTheme="minorAscii"/>
      <w:sz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165</Pages>
  <Words>9898</Words>
  <Characters>11234</Characters>
  <Lines>0</Lines>
  <Paragraphs>0</Paragraphs>
  <TotalTime>17</TotalTime>
  <ScaleCrop>false</ScaleCrop>
  <LinksUpToDate>false</LinksUpToDate>
  <CharactersWithSpaces>11405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2024-07-05T01:20:00Z</dcterms:created>
  <dc:creator>MY</dc:creator>
  <cp:lastModifiedBy>MY</cp:lastModifiedBy>
  <cp:lastPrinted>2025-11-05T07:21:00Z</cp:lastPrinted>
  <dcterms:modified xsi:type="dcterms:W3CDTF">2026-05-18T08:31:54Z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98ED90DFE80149FFA298A300C5446597_13</vt:lpwstr>
  </property>
  <property fmtid="{D5CDD505-2E9C-101B-9397-08002B2CF9AE}" pid="4" name="KSOTemplateDocerSaveRecord">
    <vt:lpwstr>eyJoZGlkIjoiNGVjMTVmYTdjM2IyZTNhYzM3NzgwMDZmODZkNzRiZTMiLCJ1c2VySWQiOiI1NTUzMDY4MDcifQ==</vt:lpwstr>
  </property>
</Properties>
</file>