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通海县人民政府关于印发通海县秀山县级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自然保护区管理办法的通知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通政规〔2018〕1号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各乡镇人民政府、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，县属各办、局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各人民团体和企事业单位，省、市驻通单位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《通海县秀山县级自然保护区管理办法》已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经县政府研究同意，现印发给你们，请认真贯彻执行。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通海县人民政府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（此件公开发布）</w:t>
      </w:r>
    </w:p>
    <w:p>
      <w:pPr>
        <w:jc w:val="center"/>
        <w:rPr>
          <w:rFonts w:ascii="Times New Roman" w:hAnsi="Times New Roman" w:eastAsia="方正小标宋_GBK"/>
          <w:spacing w:val="-6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方正小标宋_GBK"/>
          <w:spacing w:val="-6"/>
          <w:sz w:val="44"/>
          <w:szCs w:val="44"/>
        </w:rPr>
      </w:pPr>
    </w:p>
    <w:p>
      <w:pPr>
        <w:jc w:val="center"/>
        <w:rPr>
          <w:rFonts w:ascii="Times New Roman" w:hAnsi="Times New Roman" w:eastAsia="方正小标宋_GBK"/>
          <w:spacing w:val="-6"/>
          <w:sz w:val="44"/>
          <w:szCs w:val="44"/>
        </w:rPr>
      </w:pPr>
    </w:p>
    <w:p>
      <w:pPr>
        <w:jc w:val="center"/>
        <w:rPr>
          <w:rFonts w:ascii="Times New Roman" w:hAnsi="Times New Roman" w:eastAsia="方正小标宋_GBK"/>
          <w:spacing w:val="-6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ascii="Times New Roman" w:hAnsi="Times New Roman" w:eastAsia="方正小标宋_GBK"/>
          <w:spacing w:val="-6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ascii="Times New Roman" w:hAnsi="Times New Roman" w:eastAsia="方正小标宋_GBK"/>
          <w:spacing w:val="-6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通海县秀山县级自然保护区管理办法</w:t>
      </w:r>
    </w:p>
    <w:p>
      <w:pPr>
        <w:keepNext w:val="0"/>
        <w:keepLines w:val="0"/>
        <w:pageBreakBefore w:val="0"/>
        <w:widowControl w:val="0"/>
        <w:tabs>
          <w:tab w:val="left" w:pos="2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ab/>
      </w:r>
    </w:p>
    <w:p>
      <w:pPr>
        <w:keepNext w:val="0"/>
        <w:keepLines w:val="0"/>
        <w:pageBreakBefore w:val="0"/>
        <w:tabs>
          <w:tab w:val="left" w:pos="2510"/>
        </w:tabs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黑体_GBK" w:hAnsi="方正黑体_GBK" w:eastAsia="黑体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黑体" w:cs="方正黑体_GBK"/>
          <w:b w:val="0"/>
          <w:bCs w:val="0"/>
          <w:sz w:val="32"/>
          <w:szCs w:val="32"/>
        </w:rPr>
        <w:t>第一章 总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为建设生态文明，坚持人与自然和谐共生，树立和践行绿水青山就是金山银山的理念，共建美丽通海，全面加强通海县秀山县级自然保护区的建设和管理。保护生态环境、自然环境、森林资源和野生动物资源及生物多样性，维护生态功能和生态平衡，推进生态建设。根据《中华人民共和国森林法》《中华人民共和国野生动物保护法》《中华人民共和国自然保护区条例》等有关法律、法规的规定，结合通海县秀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自然保护区的实际，制定本办法。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z w:val="32"/>
          <w:szCs w:val="32"/>
        </w:rPr>
        <w:t xml:space="preserve">第二条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本办法所称的秀山县级自然保护区（以下简称保护区），是指在通海县行政区域内，县人民政府</w:t>
      </w:r>
      <w:r>
        <w:rPr>
          <w:rFonts w:hint="default" w:ascii="Times New Roman" w:hAnsi="Times New Roman" w:eastAsia="仿宋_GB2312" w:cs="Times New Roman"/>
          <w:color w:val="444444"/>
          <w:kern w:val="0"/>
          <w:sz w:val="32"/>
          <w:szCs w:val="32"/>
        </w:rPr>
        <w:t>以自然保护为目的，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具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有代表性的自然生态系统、珍稀濒危野生动植物物种的天然集中分布区、有特殊意义的自然遗迹等保护对象所在的陆地、陆地水体，</w:t>
      </w:r>
      <w:r>
        <w:rPr>
          <w:rFonts w:hint="default" w:ascii="Times New Roman" w:hAnsi="Times New Roman" w:eastAsia="仿宋_GB2312" w:cs="Times New Roman"/>
          <w:color w:val="444444"/>
          <w:kern w:val="0"/>
          <w:sz w:val="32"/>
          <w:szCs w:val="32"/>
        </w:rPr>
        <w:t>依法划出一定面积予以特殊保护和管理的区域。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在保护区范围内活动的单位和个人，应当遵守本办法。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黑体" w:cs="方正楷体_GBK"/>
          <w:sz w:val="32"/>
          <w:szCs w:val="32"/>
        </w:rPr>
        <w:t>第</w:t>
      </w:r>
      <w:r>
        <w:rPr>
          <w:rFonts w:hint="eastAsia" w:ascii="方正楷体_GBK" w:hAnsi="方正楷体_GBK" w:eastAsia="黑体" w:cs="方正楷体_GBK"/>
          <w:sz w:val="32"/>
          <w:szCs w:val="32"/>
          <w:lang w:eastAsia="zh-CN"/>
        </w:rPr>
        <w:t>四</w:t>
      </w:r>
      <w:r>
        <w:rPr>
          <w:rFonts w:hint="eastAsia" w:ascii="方正楷体_GBK" w:hAnsi="方正楷体_GBK" w:eastAsia="黑体" w:cs="方正楷体_GBK"/>
          <w:sz w:val="32"/>
          <w:szCs w:val="32"/>
        </w:rPr>
        <w:t xml:space="preserve">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保护区地理位置介于东经102°30′25"～102°42′20"，北纬24°1′15"～24°9′33"之间，总面积为9319.8公顷。涉及秀山街道办事处、九龙街道办事处、河西镇、里山乡、高大乡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五个乡镇（街道）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22个村（社区），东西长约23km，南北宽约15km。具体范围依据《通海县秀山县级自然保护区总体规划（2017—2025年）》确定。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Cs/>
          <w:color w:val="000000"/>
          <w:sz w:val="32"/>
          <w:szCs w:val="32"/>
        </w:rPr>
      </w:pPr>
      <w:r>
        <w:rPr>
          <w:rFonts w:hint="eastAsia" w:ascii="方正楷体_GBK" w:hAnsi="方正楷体_GBK" w:eastAsia="黑体" w:cs="方正楷体_GBK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保护区的主要保护对象是以暖性针叶林为代表的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森林生态系统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和以喜树、金荞麦、松口蘑、黄喉貂、白鹇、白腹锦鸡等为代表的国家II级保护野生动植物及其生境、栖息地。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z w:val="32"/>
          <w:szCs w:val="32"/>
        </w:rPr>
        <w:t xml:space="preserve">第六条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保护区的保护和管理实行最严格的生态环境保护制度，坚持节约资源和保护环境的基本国策，形成绿色发展方式和生活方式，遵循全面规划、依法保护、科学管理、合理利用、持续发展的原则。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通海县人民政府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保护区保护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领导工作，将保护区的规划、建设、保护、管理以及生态补偿纳入国民经济和社会发展规划，所需经费列入财政预算；并根据情况加强保护区管护机构队伍建设，建立执法协作机制，根据工作需要依法设立综合行政执法机构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z w:val="32"/>
          <w:szCs w:val="32"/>
        </w:rPr>
        <w:t xml:space="preserve">第八条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通海县人民政府林业行政主管部门（以下简称保护区行政主管部门）负责保护区的管理和监督工作，其所属的秀山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自然保护区管护局（以下简称保护区管护机构）具体负责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秀山县级自然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保护区的保护和管理工作。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保护区所在地的乡镇人民政府、街道办事处协助保护区管护机构，做好辖区内保护区的保护和管理工作，落实共管责任。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保护区行政主管部门及其管护机构的主要职责：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（一）贯彻执行国家有关自然保护的法律、法规和方针、政策；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（二）制定自然保护区的各项管理制度，统一管理自然保护区；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（三）调查自然资源并建立档案，组织环境监测，保护自然保护区内的自然环境和自然资源；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（四）组织或者协助有关部门开展自然保护区的科学研究工作；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（五）进行自然保护的宣传教育。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z w:val="32"/>
          <w:szCs w:val="32"/>
        </w:rPr>
        <w:t xml:space="preserve">第十条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鼓励单位和个人以捐赠、志愿服务等形式参与保护区的保护、科学研究、科普教育等活动。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pacing w:val="-10"/>
          <w:sz w:val="32"/>
          <w:szCs w:val="32"/>
        </w:rPr>
        <w:t>第十一条</w:t>
      </w:r>
      <w:r>
        <w:rPr>
          <w:rFonts w:hint="eastAsia" w:ascii="方正楷体_GBK" w:hAnsi="方正楷体_GBK" w:eastAsia="黑体" w:cs="方正楷体_GBK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任何单位和个人都有对保护区自然环境和自然资源保护的义务，有权对破坏、侵占保护区自然环境、自然资源和公共设施等行为进行劝阻、检举。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pacing w:val="-10"/>
          <w:sz w:val="32"/>
          <w:szCs w:val="32"/>
        </w:rPr>
        <w:t>第十二条</w:t>
      </w:r>
      <w:r>
        <w:rPr>
          <w:rFonts w:hint="eastAsia" w:ascii="方正楷体_GBK" w:hAnsi="方正楷体_GBK" w:eastAsia="黑体" w:cs="方正楷体_GBK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保护区内森林、林木、林地等权属保持不变。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420"/>
        <w:jc w:val="center"/>
        <w:textAlignment w:val="auto"/>
        <w:rPr>
          <w:rStyle w:val="12"/>
          <w:rFonts w:hint="eastAsia" w:ascii="方正黑体_GBK" w:hAnsi="方正黑体_GBK" w:eastAsia="黑体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黑体" w:cs="方正黑体_GBK"/>
          <w:b w:val="0"/>
          <w:bCs w:val="0"/>
          <w:sz w:val="32"/>
          <w:szCs w:val="32"/>
        </w:rPr>
        <w:t xml:space="preserve">第二章 </w:t>
      </w:r>
      <w:r>
        <w:rPr>
          <w:rStyle w:val="12"/>
          <w:rFonts w:hint="eastAsia" w:ascii="方正黑体_GBK" w:hAnsi="方正黑体_GBK" w:eastAsia="黑体" w:cs="方正黑体_GBK"/>
          <w:b w:val="0"/>
          <w:bCs w:val="0"/>
          <w:sz w:val="32"/>
          <w:szCs w:val="32"/>
        </w:rPr>
        <w:t> 规划建设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42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pacing w:val="-10"/>
          <w:sz w:val="32"/>
          <w:szCs w:val="32"/>
        </w:rPr>
        <w:t>第十三条</w:t>
      </w:r>
      <w:r>
        <w:rPr>
          <w:rFonts w:hint="eastAsia" w:ascii="方正楷体_GBK" w:hAnsi="方正楷体_GBK" w:eastAsia="黑体" w:cs="方正楷体_GBK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保护区划分为核心区和实验区。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核心区是保护区内暖性针叶林为代表的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森林生态系统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保存完好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以及珍稀、濒危动植物的集中分布地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核心区外围划为实验区，以改善自然生态环境和合理利用自然资源、人文资源为目的的区域。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pacing w:val="-10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核心区内不得建设与保护无关的任何设施。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第十五条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实验区内不得建设污染环境、破坏资源或者景观的生产、生活设施。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在实验区内建设旅游、交通、水利、电力、通信等基础设施，应当符合保护区总体规划。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pacing w:val="-10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通海县人民政府依照保护区总体规划和专项规划，加强保护区管护、防火、监测、远程监控、通信等设施建设。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Style w:val="12"/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Style w:val="12"/>
          <w:rFonts w:hint="eastAsia" w:ascii="方正黑体_GBK" w:hAnsi="方正黑体_GBK" w:eastAsia="黑体" w:cs="方正黑体_GBK"/>
          <w:b w:val="0"/>
          <w:bCs/>
          <w:sz w:val="32"/>
          <w:szCs w:val="32"/>
        </w:rPr>
      </w:pPr>
      <w:r>
        <w:rPr>
          <w:rStyle w:val="12"/>
          <w:rFonts w:hint="eastAsia" w:ascii="方正黑体_GBK" w:hAnsi="方正黑体_GBK" w:eastAsia="黑体" w:cs="方正黑体_GBK"/>
          <w:b w:val="0"/>
          <w:bCs/>
          <w:sz w:val="32"/>
          <w:szCs w:val="32"/>
        </w:rPr>
        <w:t>第三章 保护管理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pacing w:val="-10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核心区除经依法批准可以进入从事科学研究观测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，禁止其他单位和个人进入。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因科学研究需要必须进入核心区从事科学研究观测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，应当向保护区管护机构提交申请和活动计划进行审核，并根据《云南省自然保护区管理条例》的规定，应经同级有关自然保护区行政主管部门批准。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pacing w:val="-10"/>
          <w:sz w:val="32"/>
          <w:szCs w:val="32"/>
        </w:rPr>
        <w:t>第十八条</w:t>
      </w:r>
      <w:r>
        <w:rPr>
          <w:rFonts w:hint="eastAsia" w:ascii="方正楷体_GBK" w:hAnsi="方正楷体_GBK" w:eastAsia="黑体" w:cs="方正楷体_GBK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实验区经同级有关自然保护区行政主管部门批准可以从事参观考察、旅游及驯化、繁育珍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濒危野生动植物等活动。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spacing w:val="-10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经批准在保护区内从事科学研究，在实验区从事教学实习、标本采集等活动的单位和个人，应当将其活动成果的副本提交保护区管护机构留存备案。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方正楷体_GBK" w:hAnsi="方正楷体_GBK" w:eastAsia="黑体" w:cs="方正楷体_GBK"/>
          <w:spacing w:val="-10"/>
          <w:sz w:val="32"/>
          <w:szCs w:val="32"/>
        </w:rPr>
        <w:t>第二十条</w:t>
      </w:r>
      <w:r>
        <w:rPr>
          <w:rFonts w:hint="eastAsia" w:ascii="方正楷体_GBK" w:hAnsi="方正楷体_GBK" w:eastAsia="黑体" w:cs="方正楷体_GBK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保护区内现有的耕地维持现状，不得扩大范围，鼓励耕地承包者逐步开展退耕还林。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2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方正楷体_GBK" w:hAnsi="方正楷体_GBK" w:eastAsia="黑体" w:cs="方正楷体_GBK"/>
          <w:bCs/>
          <w:color w:val="000000"/>
          <w:spacing w:val="-30"/>
          <w:sz w:val="32"/>
          <w:szCs w:val="32"/>
        </w:rPr>
        <w:t>第二十一条</w:t>
      </w:r>
      <w:r>
        <w:rPr>
          <w:rFonts w:hint="eastAsia" w:ascii="方正楷体_GBK" w:hAnsi="方正楷体_GBK" w:eastAsia="黑体" w:cs="方正楷体_GBK"/>
          <w:bCs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保护区行政主管部门应当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有效防范保护区内物种资源丧失，禁止引入外来物种。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2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方正楷体_GBK" w:hAnsi="方正楷体_GBK" w:eastAsia="黑体" w:cs="方正楷体_GBK"/>
          <w:bCs/>
          <w:spacing w:val="-30"/>
          <w:sz w:val="32"/>
          <w:szCs w:val="32"/>
        </w:rPr>
        <w:t>第二十二条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护区内单一野生动植物的种群数量增长过快，超过保护区承载能力，可能造成种群退化、危害其他野生动植物物种生存或者引起生态灾难的，经保护区行政主管部门依法批准，保护区管理机构可以采取人为措施，控制其种群数量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5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方正楷体_GBK" w:hAnsi="方正楷体_GBK" w:eastAsia="黑体" w:cs="方正楷体_GBK"/>
          <w:bCs/>
          <w:color w:val="000000"/>
          <w:spacing w:val="-30"/>
          <w:kern w:val="2"/>
          <w:sz w:val="32"/>
          <w:szCs w:val="32"/>
        </w:rPr>
        <w:t>第二十三条</w:t>
      </w:r>
      <w:r>
        <w:rPr>
          <w:rFonts w:hint="eastAsia" w:ascii="方正楷体_GBK" w:hAnsi="方正楷体_GBK" w:eastAsia="黑体" w:cs="方正楷体_GBK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因科研教学等特殊需要，需捕捉、采集野生动植物的，须报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保护区行政主管部门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批准，在规定的时间、地点，按批准的品种、数量捕捉、采集。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bCs/>
          <w:color w:val="000000"/>
          <w:spacing w:val="-30"/>
          <w:sz w:val="32"/>
          <w:szCs w:val="32"/>
        </w:rPr>
        <w:t>第二十四条</w:t>
      </w:r>
      <w:r>
        <w:rPr>
          <w:rFonts w:hint="eastAsia" w:ascii="方正楷体_GBK" w:hAnsi="方正楷体_GBK" w:eastAsia="黑体" w:cs="方正楷体_GBK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因发生事故或者其他突发性事件，造成或者可能造成保护区环境污染或者破坏的单位和个人，应当立即采取补救措施，及时通报可能受到危害的单位和个人，并向保护区行政主管部门报告，接受调查处理。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bCs/>
          <w:color w:val="000000"/>
          <w:spacing w:val="-30"/>
          <w:sz w:val="32"/>
          <w:szCs w:val="32"/>
        </w:rPr>
        <w:t>第二十五条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保护区内禁止下列行为：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（一）采矿、采石、采沙等破坏林地行为；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（二）倾倒固体废弃物和超标排放污水；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（三）毁林开垦、采种、采脂、采土；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（四）盗伐滥伐森林或者林木；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（五）野外违规用火；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（六）狩猎、猎捕野生动物，破坏野生动物主要生息繁衍场所；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（七）擅自移动、破坏保护区地理界标、警示标志、宣传牌；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（八）擅自进入保护区或者经批准进入保护区而不服从管理；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（九）擅自进入保护区从事科学研究、教学、实习、摄影、采集标本等，或经批准但不提供活动成果副本备案或者不按批准范围进行；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（十）法律、法规、规章禁止的其他行为。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黑体_GBK" w:hAnsi="方正黑体_GBK" w:eastAsia="黑体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黑体" w:cs="方正黑体_GBK"/>
          <w:b w:val="0"/>
          <w:bCs w:val="0"/>
          <w:sz w:val="32"/>
          <w:szCs w:val="32"/>
        </w:rPr>
        <w:t>第四章  法律责任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方正黑体_GBK" w:hAnsi="方正黑体_GBK" w:eastAsia="黑体" w:cs="方正黑体_GBK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4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bCs/>
          <w:color w:val="000000"/>
          <w:spacing w:val="-24"/>
          <w:sz w:val="32"/>
          <w:szCs w:val="32"/>
        </w:rPr>
        <w:t>第二十六条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保护区行政主管部门及有关部门工作人员违反本办法规定，滥用职权、徇私舞弊、玩忽职守的，对直接负责的主管人员和其他直接负责人员依法给予行政处分；构成犯罪的，移送司法机关依法追究刑事责任。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4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bCs/>
          <w:color w:val="000000"/>
          <w:spacing w:val="-24"/>
          <w:sz w:val="32"/>
          <w:szCs w:val="32"/>
        </w:rPr>
        <w:t>第二十七条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违反本办法规定的，依照有关法律、法规、规章的规定予以处罚。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54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楷体_GBK" w:hAnsi="方正楷体_GBK" w:eastAsia="黑体" w:cs="方正楷体_GBK"/>
          <w:bCs/>
          <w:color w:val="000000"/>
          <w:spacing w:val="-24"/>
          <w:sz w:val="32"/>
          <w:szCs w:val="32"/>
        </w:rPr>
        <w:t xml:space="preserve">第二十八条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单位和个人违反本办法规定，妨碍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保护区主管部门依法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执行公务的，由公安机关依照《中华人民共和国治安管理处罚法》予以处罚；构成犯罪的，依法追究刑事责任。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黑体_GBK" w:hAnsi="方正黑体_GBK" w:eastAsia="黑体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黑体" w:cs="方正黑体_GBK"/>
          <w:b w:val="0"/>
          <w:bCs w:val="0"/>
          <w:sz w:val="32"/>
          <w:szCs w:val="32"/>
        </w:rPr>
        <w:t>第五章  附则</w:t>
      </w:r>
    </w:p>
    <w:p>
      <w:pPr>
        <w:keepNext w:val="0"/>
        <w:keepLines w:val="0"/>
        <w:pageBreakBefore w:val="0"/>
        <w:tabs>
          <w:tab w:val="left" w:pos="752"/>
        </w:tabs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方正楷体_GBK" w:hAnsi="方正楷体_GBK" w:eastAsia="黑体" w:cs="方正楷体_GBK"/>
          <w:bCs/>
          <w:color w:val="000000"/>
          <w:spacing w:val="-24"/>
          <w:sz w:val="32"/>
          <w:szCs w:val="32"/>
        </w:rPr>
        <w:t>第二十九条</w:t>
      </w:r>
      <w:r>
        <w:rPr>
          <w:rFonts w:hint="eastAsia" w:ascii="方正楷体_GBK" w:hAnsi="方正楷体_GBK" w:eastAsia="黑体" w:cs="方正楷体_GBK"/>
          <w:bCs/>
          <w:spacing w:val="-2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本办法未尽事宜，按照相关法律、法规、规章及有关规范性文件的规定执行。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eastAsia" w:ascii="方正楷体_GBK" w:hAnsi="方正楷体_GBK" w:eastAsia="黑体" w:cs="方正楷体_GBK"/>
          <w:bCs/>
          <w:sz w:val="32"/>
          <w:szCs w:val="32"/>
        </w:rPr>
        <w:t xml:space="preserve">第三十条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日起施行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通海县人民政府发布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EdA1t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通海县人民政府行政规范性文件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74700AC"/>
    <w:rsid w:val="080F63D8"/>
    <w:rsid w:val="09341458"/>
    <w:rsid w:val="0B0912D7"/>
    <w:rsid w:val="152D2DCA"/>
    <w:rsid w:val="1A822D62"/>
    <w:rsid w:val="1DEC284C"/>
    <w:rsid w:val="1E6523AC"/>
    <w:rsid w:val="22440422"/>
    <w:rsid w:val="25C10A68"/>
    <w:rsid w:val="31A15F24"/>
    <w:rsid w:val="395347B5"/>
    <w:rsid w:val="39A232A0"/>
    <w:rsid w:val="39E745AA"/>
    <w:rsid w:val="3B5A6BBB"/>
    <w:rsid w:val="3BE11909"/>
    <w:rsid w:val="3EDA13A6"/>
    <w:rsid w:val="42F058B7"/>
    <w:rsid w:val="436109F6"/>
    <w:rsid w:val="441A38D4"/>
    <w:rsid w:val="4BC77339"/>
    <w:rsid w:val="4C9236C5"/>
    <w:rsid w:val="4D924D94"/>
    <w:rsid w:val="505C172E"/>
    <w:rsid w:val="52F46F0B"/>
    <w:rsid w:val="53D8014D"/>
    <w:rsid w:val="55E064E0"/>
    <w:rsid w:val="572C6D10"/>
    <w:rsid w:val="58A87823"/>
    <w:rsid w:val="5DC34279"/>
    <w:rsid w:val="608816D1"/>
    <w:rsid w:val="60EF4E7F"/>
    <w:rsid w:val="665233C1"/>
    <w:rsid w:val="6AD9688B"/>
    <w:rsid w:val="6D0E3F22"/>
    <w:rsid w:val="722E5B3B"/>
    <w:rsid w:val="72A9172D"/>
    <w:rsid w:val="74D35787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rPr>
      <w:rFonts w:ascii="楷体_GB2312" w:hAnsi="宋体" w:eastAsia="楷体_GB2312"/>
      <w:color w:val="000000"/>
      <w:kern w:val="0"/>
      <w:sz w:val="28"/>
      <w:szCs w:val="15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Lenovo</cp:lastModifiedBy>
  <cp:lastPrinted>2021-10-26T03:30:00Z</cp:lastPrinted>
  <dcterms:modified xsi:type="dcterms:W3CDTF">2023-08-04T10:42:47Z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48C61CB29D3F4D9384F5922CF0F7FFB4</vt:lpwstr>
  </property>
</Properties>
</file>