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szCs w:val="32"/>
        </w:rPr>
      </w:pPr>
      <w:bookmarkStart w:id="0" w:name="_GoBack"/>
      <w:bookmarkEnd w:id="0"/>
      <w:r>
        <w:rPr>
          <w:rFonts w:hint="eastAsia" w:ascii="仿宋_GB2312"/>
          <w:szCs w:val="32"/>
        </w:rPr>
        <w:pict>
          <v:group id="_x0000_s1032" o:spid="_x0000_s1032" o:spt="203" style="position:absolute;left:0pt;margin-left:-20.3pt;margin-top:-1.75pt;height:684.75pt;width:482.35pt;z-index:251659264;mso-width-relative:page;mso-height-relative:page;" coordorigin="1182,1956" coordsize="9647,13695">
            <o:lock v:ext="edit" aspectratio="f"/>
            <v:line id="_x0000_s1026" o:spid="_x0000_s1026" o:spt="20" style="position:absolute;left:1191;top:4177;height:2;width:9638;" filled="f" stroked="t" coordsize="21600,21600">
              <v:path arrowok="t"/>
              <v:fill on="f" focussize="0,0"/>
              <v:stroke weight="3.75pt" color="#FF0000" linestyle="thickThin"/>
              <v:imagedata o:title=""/>
              <o:lock v:ext="edit" aspectratio="f"/>
            </v:line>
            <v:shape id="_x0000_s1027" o:spid="_x0000_s1027" o:spt="202" type="#_x0000_t202" style="position:absolute;left:1588;top:1956;height:1109;width:8844;" fillcolor="#FFFFFF" filled="t" stroked="f" coordsize="21600,21600">
              <v:path/>
              <v:fill on="t" color2="#FFFFFF" focussize="0,0"/>
              <v:stroke on="f"/>
              <v:imagedata o:title=""/>
              <o:lock v:ext="edit" aspectratio="f"/>
              <v:textbox inset="0mm,0mm,0mm,0mm">
                <w:txbxContent>
                  <w:p>
                    <w:pPr>
                      <w:snapToGrid w:val="0"/>
                      <w:jc w:val="center"/>
                      <w:rPr>
                        <w:rFonts w:hint="eastAsia" w:ascii="方正小标宋_GBK" w:eastAsia="方正小标宋_GBK"/>
                        <w:color w:val="FF0000"/>
                        <w:spacing w:val="-39"/>
                        <w:w w:val="95"/>
                        <w:sz w:val="78"/>
                        <w:szCs w:val="78"/>
                      </w:rPr>
                    </w:pPr>
                    <w:r>
                      <w:rPr>
                        <w:rFonts w:hint="eastAsia" w:ascii="方正小标宋_GBK" w:eastAsia="方正小标宋_GBK"/>
                        <w:color w:val="FF0000"/>
                        <w:spacing w:val="-39"/>
                        <w:w w:val="95"/>
                        <w:sz w:val="78"/>
                        <w:szCs w:val="78"/>
                      </w:rPr>
                      <w:t xml:space="preserve">玉 </w:t>
                    </w:r>
                    <w:r>
                      <w:rPr>
                        <w:rFonts w:hint="eastAsia" w:ascii="方正小标宋_GBK" w:eastAsia="方正小标宋_GBK"/>
                        <w:color w:val="FF0000"/>
                        <w:spacing w:val="-39"/>
                        <w:w w:val="95"/>
                        <w:sz w:val="78"/>
                        <w:szCs w:val="78"/>
                        <w:lang w:val="en-US" w:eastAsia="zh-CN"/>
                      </w:rPr>
                      <w:t xml:space="preserve"> </w:t>
                    </w:r>
                    <w:r>
                      <w:rPr>
                        <w:rFonts w:hint="eastAsia" w:ascii="方正小标宋_GBK" w:eastAsia="方正小标宋_GBK"/>
                        <w:color w:val="FF0000"/>
                        <w:spacing w:val="-39"/>
                        <w:w w:val="95"/>
                        <w:sz w:val="78"/>
                        <w:szCs w:val="78"/>
                      </w:rPr>
                      <w:t>溪</w:t>
                    </w:r>
                    <w:r>
                      <w:rPr>
                        <w:rFonts w:hint="eastAsia" w:ascii="方正小标宋_GBK" w:eastAsia="方正小标宋_GBK"/>
                        <w:color w:val="FF0000"/>
                        <w:spacing w:val="-39"/>
                        <w:w w:val="95"/>
                        <w:sz w:val="78"/>
                        <w:szCs w:val="78"/>
                        <w:lang w:val="en-US" w:eastAsia="zh-CN"/>
                      </w:rPr>
                      <w:t xml:space="preserve"> </w:t>
                    </w:r>
                    <w:r>
                      <w:rPr>
                        <w:rFonts w:hint="eastAsia" w:ascii="方正小标宋_GBK" w:eastAsia="方正小标宋_GBK"/>
                        <w:color w:val="FF0000"/>
                        <w:spacing w:val="-39"/>
                        <w:w w:val="95"/>
                        <w:sz w:val="78"/>
                        <w:szCs w:val="78"/>
                      </w:rPr>
                      <w:t xml:space="preserve"> 市 </w:t>
                    </w:r>
                    <w:r>
                      <w:rPr>
                        <w:rFonts w:hint="eastAsia" w:ascii="方正小标宋_GBK" w:eastAsia="方正小标宋_GBK"/>
                        <w:color w:val="FF0000"/>
                        <w:spacing w:val="-39"/>
                        <w:w w:val="95"/>
                        <w:sz w:val="78"/>
                        <w:szCs w:val="78"/>
                        <w:lang w:val="en-US" w:eastAsia="zh-CN"/>
                      </w:rPr>
                      <w:t xml:space="preserve"> </w:t>
                    </w:r>
                    <w:r>
                      <w:rPr>
                        <w:rFonts w:hint="eastAsia" w:ascii="方正小标宋_GBK" w:eastAsia="方正小标宋_GBK"/>
                        <w:color w:val="FF0000"/>
                        <w:spacing w:val="-39"/>
                        <w:w w:val="95"/>
                        <w:sz w:val="78"/>
                        <w:szCs w:val="78"/>
                      </w:rPr>
                      <w:t xml:space="preserve">司 </w:t>
                    </w:r>
                    <w:r>
                      <w:rPr>
                        <w:rFonts w:hint="eastAsia" w:ascii="方正小标宋_GBK" w:eastAsia="方正小标宋_GBK"/>
                        <w:color w:val="FF0000"/>
                        <w:spacing w:val="-39"/>
                        <w:w w:val="95"/>
                        <w:sz w:val="78"/>
                        <w:szCs w:val="78"/>
                        <w:lang w:val="en-US" w:eastAsia="zh-CN"/>
                      </w:rPr>
                      <w:t xml:space="preserve"> </w:t>
                    </w:r>
                    <w:r>
                      <w:rPr>
                        <w:rFonts w:hint="eastAsia" w:ascii="方正小标宋_GBK" w:eastAsia="方正小标宋_GBK"/>
                        <w:color w:val="FF0000"/>
                        <w:spacing w:val="-39"/>
                        <w:w w:val="95"/>
                        <w:sz w:val="78"/>
                        <w:szCs w:val="78"/>
                      </w:rPr>
                      <w:t xml:space="preserve">法 </w:t>
                    </w:r>
                    <w:r>
                      <w:rPr>
                        <w:rFonts w:hint="eastAsia" w:ascii="方正小标宋_GBK" w:eastAsia="方正小标宋_GBK"/>
                        <w:color w:val="FF0000"/>
                        <w:spacing w:val="-39"/>
                        <w:w w:val="95"/>
                        <w:sz w:val="78"/>
                        <w:szCs w:val="78"/>
                        <w:lang w:val="en-US" w:eastAsia="zh-CN"/>
                      </w:rPr>
                      <w:t xml:space="preserve"> </w:t>
                    </w:r>
                    <w:r>
                      <w:rPr>
                        <w:rFonts w:hint="eastAsia" w:ascii="方正小标宋_GBK" w:eastAsia="方正小标宋_GBK"/>
                        <w:color w:val="FF0000"/>
                        <w:spacing w:val="-39"/>
                        <w:w w:val="95"/>
                        <w:sz w:val="78"/>
                        <w:szCs w:val="78"/>
                      </w:rPr>
                      <w:t>局</w:t>
                    </w:r>
                  </w:p>
                  <w:p>
                    <w:pPr>
                      <w:snapToGrid w:val="0"/>
                      <w:jc w:val="center"/>
                      <w:rPr>
                        <w:rFonts w:hint="eastAsia" w:ascii="方正小标宋_GBK" w:eastAsia="方正小标宋_GBK"/>
                        <w:color w:val="FF0000"/>
                        <w:sz w:val="78"/>
                        <w:szCs w:val="78"/>
                      </w:rPr>
                    </w:pPr>
                  </w:p>
                </w:txbxContent>
              </v:textbox>
            </v:shape>
            <v:line id="_x0000_s1028" o:spid="_x0000_s1028" o:spt="20" style="position:absolute;left:1182;top:15649;height:2;width:9638;" filled="f" stroked="t" coordsize="21600,21600">
              <v:path arrowok="t"/>
              <v:fill on="f" focussize="0,0"/>
              <v:stroke weight="3.75pt" color="#FF0000" linestyle="thinThick"/>
              <v:imagedata o:title=""/>
              <o:lock v:ext="edit" aspectratio="f"/>
            </v:line>
          </v:group>
        </w:pict>
      </w:r>
      <w:r>
        <w:rPr>
          <w:rFonts w:hint="eastAsia" w:ascii="仿宋_GB2312"/>
          <w:szCs w:val="32"/>
        </w:rPr>
        <w:pict>
          <v:shape id="_x0000_s1031" o:spid="_x0000_s1031" o:spt="202" type="#_x0000_t202" style="position:absolute;left:0pt;margin-left:347.6pt;margin-top:-32.05pt;height:31.2pt;width:79pt;z-index:251660288;mso-width-relative:page;mso-height-relative:page;" filled="f" stroked="f" coordsize="21600,21600">
            <v:path/>
            <v:fill on="f" focussize="0,0"/>
            <v:stroke on="f"/>
            <v:imagedata o:title=""/>
            <o:lock v:ext="edit"/>
            <v:textbox>
              <w:txbxContent>
                <w:p>
                  <w:pPr>
                    <w:rPr>
                      <w:rFonts w:hint="eastAsia" w:ascii="方正仿宋_GBK"/>
                      <w:szCs w:val="32"/>
                    </w:rPr>
                  </w:pPr>
                </w:p>
              </w:txbxContent>
            </v:textbox>
          </v:shape>
        </w:pict>
      </w:r>
    </w:p>
    <w:p>
      <w:pPr>
        <w:rPr>
          <w:rFonts w:hint="eastAsia" w:ascii="仿宋_GB2312"/>
          <w:szCs w:val="32"/>
        </w:rPr>
      </w:pPr>
      <w:r>
        <w:rPr>
          <w:sz w:val="32"/>
        </w:rPr>
        <w:pict>
          <v:shape id="_x0000_s1038" o:spid="_x0000_s1038" o:spt="202" type="#_x0000_t202" style="position:absolute;left:0pt;margin-left:15pt;margin-top:14.7pt;height:54.5pt;width:418.55pt;z-index:251661312;mso-width-relative:page;mso-height-relative:page;" filled="f" stroked="f" coordsize="21600,21600">
            <v:path/>
            <v:fill on="f" focussize="0,0"/>
            <v:stroke on="f"/>
            <v:imagedata o:title=""/>
            <o:lock v:ext="edit" aspectratio="f"/>
            <v:textbox>
              <w:txbxContent>
                <w:p>
                  <w:pPr>
                    <w:snapToGrid w:val="0"/>
                    <w:jc w:val="center"/>
                    <w:rPr>
                      <w:rFonts w:hint="eastAsia" w:ascii="仿宋_GB2312" w:eastAsia="仿宋_GB2312"/>
                      <w:sz w:val="78"/>
                      <w:szCs w:val="32"/>
                    </w:rPr>
                  </w:pPr>
                  <w:r>
                    <w:rPr>
                      <w:rFonts w:hint="eastAsia" w:ascii="方正小标宋_GBK" w:eastAsia="方正小标宋_GBK"/>
                      <w:color w:val="FF0000"/>
                      <w:sz w:val="78"/>
                      <w:szCs w:val="70"/>
                    </w:rPr>
                    <w:t>玉溪市司法鉴定协会</w:t>
                  </w:r>
                </w:p>
                <w:p/>
              </w:txbxContent>
            </v:textbox>
          </v:shape>
        </w:pict>
      </w:r>
    </w:p>
    <w:p>
      <w:pPr>
        <w:rPr>
          <w:rFonts w:hint="eastAsia" w:ascii="仿宋_GB2312"/>
          <w:szCs w:val="32"/>
        </w:rPr>
      </w:pPr>
    </w:p>
    <w:p>
      <w:pPr>
        <w:rPr>
          <w:rFonts w:hint="eastAsia" w:ascii="仿宋_GB2312"/>
          <w:szCs w:val="32"/>
        </w:rPr>
      </w:pPr>
    </w:p>
    <w:p>
      <w:pPr>
        <w:wordWrap w:val="0"/>
        <w:spacing w:line="0" w:lineRule="atLeast"/>
        <w:ind w:right="641"/>
        <w:rPr>
          <w:rFonts w:hint="eastAsia" w:ascii="方正小标宋_GBK" w:eastAsia="方正小标宋_GBK"/>
          <w:sz w:val="44"/>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玉溪市司法局 玉溪市司法鉴定协会</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关于开展2019年司法鉴定法律服务案卷</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评查工作的通知</w:t>
      </w:r>
    </w:p>
    <w:p>
      <w:pPr>
        <w:wordWrap w:val="0"/>
        <w:ind w:right="640" w:firstLine="158" w:firstLineChars="50"/>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rPr>
      </w:pPr>
      <w:r>
        <w:rPr>
          <w:rFonts w:hint="default"/>
        </w:rPr>
        <w:t>各司法鉴定机构：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为进一步规范司法鉴定执业行为，增强司法鉴定质量意识，提高司法鉴定公信力。市司法局、市司法鉴定协会决定组织开展2019年司法鉴定法律服务案卷评查工作，现将有关事项通知如下：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一、评查的范围和数量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各司法鉴定机构2018年已办结的司法鉴定法律服务案卷，主要评查法医类、物证类、林业类、司法会计类和资产评估类等方面的司法鉴定案件。按照各机构开展的业务范围分别抽取1--2件司法鉴定案件参加评查，全市共计抽取12件案卷进行评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其中：云南玉溪市铭院司法鉴定中心法医精神病鉴定案件2件；玉溪明镜司法鉴定中心法医毒物鉴定案件1件、文书司法鉴定案件1件；玉溪天平司法鉴定所法医临床鉴定案件2件；云南玉溪通力司法鉴定所司法会计鉴定案件1件、资产评估司法鉴定1件；玉溪市红塔司法鉴定所法律援助鉴定案件2件；玉溪市玉林司法鉴定中心野生动物鉴定案件1件、木材司法鉴定案件1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二、评查的方式和标准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（一）评查方式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案卷评查采取封闭式集中评查的方式进行，对司法鉴定办案的过程、结果、依据、效果进行评查，主要从鉴定程序、文书规范、实体意见等方面进行评查。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方正楷体_GBK" w:hAnsi="方正楷体_GBK" w:eastAsia="方正楷体_GBK" w:cs="方正楷体_GBK"/>
        </w:rPr>
      </w:pPr>
      <w:r>
        <w:rPr>
          <w:rFonts w:hint="default" w:ascii="方正楷体_GBK" w:hAnsi="方正楷体_GBK" w:eastAsia="方正楷体_GBK" w:cs="方正楷体_GBK"/>
        </w:rPr>
        <w:t>（二）评查标准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评查司法鉴定法律服务案卷要严格按照评查内容和标准进行打分，确定为优秀、合格、不合格案卷。优秀案卷：遵循司法鉴定程序，适用技术标准或技术规范准确，文书制作规范，无违规收费行为，评分在90分以上的；合格案卷：遵循司法鉴定程序，适用技术标准或技术规范准确，无违规收费行为，文书制作规范存在瑕疵，但不影响司法鉴定意见的准确性、客观性，评分在80-89分；不合格案卷：存在违反司法鉴定程序，适用技术标准或技术规范不准确，文书制作不规范，属于明显错鉴，违规收费，受到有效投诉等情形的，评分在79分以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方正黑体_GBK" w:hAnsi="方正黑体_GBK" w:eastAsia="方正黑体_GBK" w:cs="方正黑体_GBK"/>
        </w:rPr>
      </w:pPr>
      <w:r>
        <w:rPr>
          <w:rFonts w:hint="default" w:ascii="方正黑体_GBK" w:hAnsi="方正黑体_GBK" w:eastAsia="方正黑体_GBK" w:cs="方正黑体_GBK"/>
        </w:rPr>
        <w:t>三、评查的时间和地点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评查时间：2019年8月1日（星期四），共1天。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评查地点：市司法局516会议室。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方正黑体_GBK" w:hAnsi="方正黑体_GBK" w:eastAsia="方正黑体_GBK" w:cs="方正黑体_GBK"/>
        </w:rPr>
      </w:pPr>
      <w:r>
        <w:rPr>
          <w:rFonts w:hint="default" w:ascii="方正黑体_GBK" w:hAnsi="方正黑体_GBK" w:eastAsia="方正黑体_GBK" w:cs="方正黑体_GBK"/>
        </w:rPr>
        <w:t>四、评查人员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组  长：束  薇  市司法局公法科  科长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副组长：普仕林  市司法鉴定协会  会长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成</w:t>
      </w:r>
      <w:r>
        <w:rPr>
          <w:rFonts w:hint="eastAsia"/>
          <w:lang w:val="en-US" w:eastAsia="zh-CN"/>
        </w:rPr>
        <w:t xml:space="preserve">  </w:t>
      </w:r>
      <w:r>
        <w:rPr>
          <w:rFonts w:hint="default"/>
        </w:rPr>
        <w:t>员：张</w:t>
      </w:r>
      <w:r>
        <w:rPr>
          <w:rFonts w:hint="eastAsia"/>
          <w:lang w:val="en-US" w:eastAsia="zh-CN"/>
        </w:rPr>
        <w:t xml:space="preserve">  </w:t>
      </w:r>
      <w:r>
        <w:rPr>
          <w:rFonts w:hint="default"/>
        </w:rPr>
        <w:t>凤  云南玉溪市铭院司法鉴定中心负责人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韩启富  云南玉溪市铭院司法鉴定中心鉴定人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李寿云  玉溪明镜司法鉴定中心鉴定人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吕树祥  玉溪明镜司法鉴定中心鉴定人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普英俊  玉溪天平司法鉴定所负责人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彭建慧  云南玉溪通力司法鉴定所鉴定人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刘江平  玉溪市红塔司法鉴定所负责人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刘震杰  玉溪市红塔司法鉴定所鉴定人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柴柏羽  玉溪市玉林司法鉴定中心鉴定人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方正黑体_GBK" w:hAnsi="方正黑体_GBK" w:eastAsia="方正黑体_GBK" w:cs="方正黑体_GBK"/>
        </w:rPr>
      </w:pPr>
      <w:r>
        <w:rPr>
          <w:rFonts w:hint="default" w:ascii="方正黑体_GBK" w:hAnsi="方正黑体_GBK" w:eastAsia="方正黑体_GBK" w:cs="方正黑体_GBK"/>
        </w:rPr>
        <w:t>五、有关要求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1、市司法局公服科和市司法鉴定协会全程参与评查，并做好监督和指导工作。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2、案卷评查工作事关我市司法鉴定质量的全面提升，各机构要高度重视，积极支持配合做好案卷评查工作，并于评查当日携参评卷宗至评查地点。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3、评查的案卷由各机构按评查类别和数量要求选定，重点突出选取出庭作证、重新鉴定、法律援助等方面的鉴定案件。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4、评查人员需对每一件评查案卷提出明确的评查意见，并认真填写《2018年度司法鉴定法律服务案卷评查表》（附件）。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5、司法鉴定法律服务案卷根据评查情况评为优秀、合格、不合格三个等次，评查结果将在全市进行通报，对本次评查不合格案卷将责令相关司法鉴定机构和司法鉴定人予以纠正，有违反法律法规行为的依法给予行政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附件：2018年度司法鉴定法律服务案卷评查表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玉溪市司法局             玉溪市司法鉴定协会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rPr>
      </w:pPr>
      <w:r>
        <w:rPr>
          <w:rFonts w:hint="default"/>
        </w:rPr>
        <w:t xml:space="preserve">               2019年7月29日</w:t>
      </w: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jc w:val="center"/>
        <w:rPr>
          <w:rFonts w:hint="eastAsia" w:ascii="方正黑体_GBK" w:eastAsia="方正黑体_GBK"/>
          <w:sz w:val="32"/>
          <w:szCs w:val="32"/>
        </w:rPr>
      </w:pPr>
      <w:r>
        <w:rPr>
          <w:rFonts w:hint="eastAsia" w:ascii="方正黑体_GBK" w:eastAsia="方正黑体_GBK"/>
          <w:sz w:val="32"/>
          <w:szCs w:val="32"/>
        </w:rPr>
        <w:t>2018年度司法鉴定法律服务案卷评查表</w:t>
      </w:r>
    </w:p>
    <w:p>
      <w:pPr>
        <w:jc w:val="left"/>
        <w:rPr>
          <w:rFonts w:hint="eastAsia" w:eastAsia="方正仿宋_GBK"/>
          <w:sz w:val="24"/>
          <w:szCs w:val="18"/>
        </w:rPr>
      </w:pPr>
      <w:r>
        <w:rPr>
          <w:rFonts w:eastAsia="方正仿宋_GBK"/>
          <w:sz w:val="24"/>
          <w:szCs w:val="18"/>
        </w:rPr>
        <w:t xml:space="preserve">司法鉴定机构名称：          </w:t>
      </w:r>
      <w:r>
        <w:rPr>
          <w:rFonts w:hint="eastAsia"/>
          <w:sz w:val="24"/>
          <w:szCs w:val="18"/>
          <w:lang w:val="en-US" w:eastAsia="zh-CN"/>
        </w:rPr>
        <w:t xml:space="preserve">                </w:t>
      </w:r>
      <w:r>
        <w:rPr>
          <w:rFonts w:eastAsia="方正仿宋_GBK"/>
          <w:sz w:val="24"/>
          <w:szCs w:val="18"/>
        </w:rPr>
        <w:t xml:space="preserve">          </w:t>
      </w:r>
      <w:r>
        <w:rPr>
          <w:rFonts w:hint="eastAsia" w:eastAsia="方正仿宋_GBK"/>
          <w:sz w:val="24"/>
          <w:szCs w:val="18"/>
        </w:rPr>
        <w:t xml:space="preserve"> </w:t>
      </w:r>
      <w:r>
        <w:rPr>
          <w:rFonts w:eastAsia="方正仿宋_GBK"/>
          <w:sz w:val="24"/>
          <w:szCs w:val="18"/>
        </w:rPr>
        <w:t>案卷名称：</w:t>
      </w:r>
    </w:p>
    <w:tbl>
      <w:tblPr>
        <w:tblStyle w:val="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35"/>
        <w:gridCol w:w="4231"/>
        <w:gridCol w:w="273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8"/>
                <w:szCs w:val="20"/>
              </w:rPr>
            </w:pPr>
            <w:r>
              <w:rPr>
                <w:rFonts w:eastAsia="方正仿宋_GBK"/>
                <w:sz w:val="28"/>
                <w:szCs w:val="20"/>
              </w:rPr>
              <w:t>序号</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8"/>
                <w:szCs w:val="20"/>
              </w:rPr>
            </w:pPr>
            <w:r>
              <w:rPr>
                <w:rFonts w:eastAsia="方正仿宋_GBK"/>
                <w:sz w:val="28"/>
                <w:szCs w:val="20"/>
              </w:rPr>
              <w:t>项目</w:t>
            </w: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8"/>
                <w:szCs w:val="20"/>
              </w:rPr>
            </w:pPr>
            <w:r>
              <w:rPr>
                <w:rFonts w:eastAsia="方正仿宋_GBK"/>
                <w:sz w:val="28"/>
                <w:szCs w:val="20"/>
              </w:rPr>
              <w:t>评查内容</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8"/>
                <w:szCs w:val="20"/>
              </w:rPr>
            </w:pPr>
            <w:r>
              <w:rPr>
                <w:rFonts w:eastAsia="方正仿宋_GBK"/>
                <w:sz w:val="28"/>
                <w:szCs w:val="20"/>
              </w:rPr>
              <w:t>评分标准</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8"/>
                <w:szCs w:val="20"/>
              </w:rPr>
            </w:pPr>
            <w:r>
              <w:rPr>
                <w:rFonts w:eastAsia="方正仿宋_GBK"/>
                <w:sz w:val="28"/>
                <w:szCs w:val="20"/>
              </w:rPr>
              <w:t>评查分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734"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1</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司法鉴定的委托与受理（25 分）</w:t>
            </w: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与委托人或当事人签订《司法鉴定委托书》或《司法鉴定协议书》（载明委托人或当事人基本信息、委托事项、是否属于重新鉴定、鉴定用途、与鉴定有关基本案情、鉴定材料清单、鉴定费用及收取方式、鉴定意见书送达方式、鉴定时限、其他约定事项、鉴定风险提示，落款签章是否完备）（10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《司法鉴定委托书》或《司法鉴定协议书》内容每缺1项扣1分</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有委托人或当事人签名的《司法鉴定告知书》（3分）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有委托人或当事人的身份证明（2分）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属于本机构司法鉴定业务范围（5分）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鉴定用途合法，不违背社会公德（5分）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734"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2</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司法鉴定的实施（35 分）</w:t>
            </w: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指定2名具有同一鉴定事项执业资格的鉴定人进行鉴定（5分）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建立鉴定材料接收、保管、使用和退还的管理制度，依照技术规范保管和使用鉴定材料（3分）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鉴定人对鉴定过程进行实时记录并签名，记录内容真实、客观、准确、完整、清晰，记录的文本资料、音像资料等存入鉴定档案（2分）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到现场提取鉴定材料，不少于2名鉴定机构的工作人员，其中至少1名为该鉴定事项的鉴定人（5分）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现场提取鉴定材料时，有委托人指派或者委托的人员在场见证并在提取记录上签名（3分）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适用技术标准或技术规范准确（5分）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在程序通则规定的时限或在约定的时限内完成鉴定（5分）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经机构负责人批准延长时限的，应当有批准文件。</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需要延长鉴定时限的，有《延长鉴定时限告知书》（2分）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无此情形的，不扣分</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符合终止鉴定情形的，有《终止鉴定告知书》（2分）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无此情形的，不扣分</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需要对案件进行复核的，有《司法鉴定复核意见书》（3分）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无此情形的，不扣分</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734"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3</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司法鉴定意见书的出具（20分）</w:t>
            </w: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司法鉴定意见书按照统一格式制作，基本要素齐全（4分）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司法鉴定意见书内容表述准确清晰（4分）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司法鉴定意见书整洁、美观，无文字和标点符号错误（4分）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司法鉴定人在司法鉴定意见书上签名或盖章（4分）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对照修订前后的《司法鉴定程序通则》规定</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司法鉴定意见书加盖司法鉴定机构的司法鉴定专用章（4分）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734"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4</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其他（20分）</w:t>
            </w: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无违规收费情形（10分）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无司法鉴定人经人民法院依法通知，无正当理由拒绝出庭作证情形（5分）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无此情形的，不扣分</w:t>
            </w: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42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r>
              <w:rPr>
                <w:rFonts w:eastAsia="方正仿宋_GBK"/>
                <w:sz w:val="24"/>
                <w:szCs w:val="18"/>
              </w:rPr>
              <w:t>无受到有效投诉（5分）</w:t>
            </w:r>
          </w:p>
        </w:tc>
        <w:tc>
          <w:tcPr>
            <w:tcW w:w="27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c>
          <w:tcPr>
            <w:tcW w:w="12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方正仿宋_GBK"/>
                <w:sz w:val="24"/>
                <w:szCs w:val="18"/>
              </w:rPr>
            </w:pPr>
          </w:p>
        </w:tc>
      </w:tr>
    </w:tbl>
    <w:p>
      <w:pPr>
        <w:rPr>
          <w:rFonts w:hint="eastAsia" w:eastAsia="方正仿宋_GBK"/>
          <w:szCs w:val="21"/>
        </w:rPr>
      </w:pPr>
      <w:r>
        <w:rPr>
          <w:rFonts w:eastAsia="方正仿宋_GBK"/>
          <w:szCs w:val="21"/>
        </w:rPr>
        <w:t>评查人员签名：                 评查时间：</w:t>
      </w:r>
      <w:r>
        <w:rPr>
          <w:rFonts w:hint="eastAsia" w:eastAsia="方正仿宋_GBK"/>
          <w:szCs w:val="21"/>
        </w:rPr>
        <w:t>2019</w:t>
      </w:r>
      <w:r>
        <w:rPr>
          <w:rFonts w:eastAsia="方正仿宋_GBK"/>
          <w:szCs w:val="21"/>
        </w:rPr>
        <w:t>年</w:t>
      </w:r>
      <w:r>
        <w:rPr>
          <w:rFonts w:hint="eastAsia" w:eastAsia="方正仿宋_GBK"/>
          <w:szCs w:val="21"/>
        </w:rPr>
        <w:t xml:space="preserve">8 </w:t>
      </w:r>
      <w:r>
        <w:rPr>
          <w:rFonts w:eastAsia="方正仿宋_GBK"/>
          <w:szCs w:val="21"/>
        </w:rPr>
        <w:t xml:space="preserve">月 </w:t>
      </w:r>
      <w:r>
        <w:rPr>
          <w:rFonts w:hint="eastAsia" w:eastAsia="方正仿宋_GBK"/>
          <w:szCs w:val="21"/>
        </w:rPr>
        <w:t xml:space="preserve">  </w:t>
      </w:r>
      <w:r>
        <w:rPr>
          <w:rFonts w:eastAsia="方正仿宋_GBK"/>
          <w:szCs w:val="21"/>
        </w:rPr>
        <w:t xml:space="preserve"> 日   </w:t>
      </w:r>
    </w:p>
    <w:p>
      <w:pPr>
        <w:rPr>
          <w:rFonts w:hint="eastAsia" w:ascii="仿宋_GB2312"/>
          <w:szCs w:val="32"/>
        </w:rPr>
      </w:pPr>
    </w:p>
    <w:sectPr>
      <w:headerReference r:id="rId3" w:type="default"/>
      <w:footerReference r:id="rId5" w:type="default"/>
      <w:headerReference r:id="rId4" w:type="even"/>
      <w:footerReference r:id="rId6" w:type="even"/>
      <w:pgSz w:w="11906" w:h="16838"/>
      <w:pgMar w:top="1531" w:right="1474" w:bottom="1582" w:left="1588" w:header="851" w:footer="907" w:gutter="0"/>
      <w:cols w:space="0" w:num="1"/>
      <w:rtlGutter w:val="0"/>
      <w:docGrid w:type="linesAndChars" w:linePitch="64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7"/>
        <w:rFonts w:hint="eastAsia"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1</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4"/>
      <w:ind w:right="108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7"/>
        <w:rFonts w:hint="eastAsia"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dit="forms" w:enforcement="0"/>
  <w:defaultTabStop w:val="420"/>
  <w:hyphenationZone w:val="360"/>
  <w:evenAndOddHeaders w:val="1"/>
  <w:drawingGridHorizontalSpacing w:val="158"/>
  <w:drawingGridVerticalSpacing w:val="64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7985A7F"/>
    <w:rsid w:val="00075387"/>
    <w:rsid w:val="00084157"/>
    <w:rsid w:val="0009157D"/>
    <w:rsid w:val="000A3B57"/>
    <w:rsid w:val="000A71E5"/>
    <w:rsid w:val="000B192D"/>
    <w:rsid w:val="000D44B3"/>
    <w:rsid w:val="000E0ED5"/>
    <w:rsid w:val="00126AB2"/>
    <w:rsid w:val="00130275"/>
    <w:rsid w:val="00141518"/>
    <w:rsid w:val="00186711"/>
    <w:rsid w:val="00197EE6"/>
    <w:rsid w:val="001A3E17"/>
    <w:rsid w:val="002724EA"/>
    <w:rsid w:val="002F595B"/>
    <w:rsid w:val="003040F7"/>
    <w:rsid w:val="00346137"/>
    <w:rsid w:val="0035137F"/>
    <w:rsid w:val="0044391F"/>
    <w:rsid w:val="00480783"/>
    <w:rsid w:val="004B7E7F"/>
    <w:rsid w:val="004C4B81"/>
    <w:rsid w:val="005116DC"/>
    <w:rsid w:val="00593193"/>
    <w:rsid w:val="005C6DAD"/>
    <w:rsid w:val="005F52A6"/>
    <w:rsid w:val="005F62FE"/>
    <w:rsid w:val="006C2958"/>
    <w:rsid w:val="006E29E6"/>
    <w:rsid w:val="00711EEE"/>
    <w:rsid w:val="00725FD7"/>
    <w:rsid w:val="00755CF1"/>
    <w:rsid w:val="00760B5C"/>
    <w:rsid w:val="007719C1"/>
    <w:rsid w:val="0077566F"/>
    <w:rsid w:val="00784503"/>
    <w:rsid w:val="007E629B"/>
    <w:rsid w:val="00811D2B"/>
    <w:rsid w:val="00870406"/>
    <w:rsid w:val="008A03CF"/>
    <w:rsid w:val="009008AC"/>
    <w:rsid w:val="00952DF8"/>
    <w:rsid w:val="009645FE"/>
    <w:rsid w:val="009C62E1"/>
    <w:rsid w:val="00A448EC"/>
    <w:rsid w:val="00A44FEC"/>
    <w:rsid w:val="00A96629"/>
    <w:rsid w:val="00AA384A"/>
    <w:rsid w:val="00AB1E6D"/>
    <w:rsid w:val="00AB3AC7"/>
    <w:rsid w:val="00AE62CB"/>
    <w:rsid w:val="00B129CA"/>
    <w:rsid w:val="00B33433"/>
    <w:rsid w:val="00B57DE9"/>
    <w:rsid w:val="00B673B6"/>
    <w:rsid w:val="00B81CBB"/>
    <w:rsid w:val="00BF7F05"/>
    <w:rsid w:val="00C00738"/>
    <w:rsid w:val="00C17C65"/>
    <w:rsid w:val="00C2191F"/>
    <w:rsid w:val="00C24239"/>
    <w:rsid w:val="00C30342"/>
    <w:rsid w:val="00C4573E"/>
    <w:rsid w:val="00CA0B59"/>
    <w:rsid w:val="00D14316"/>
    <w:rsid w:val="00D4793A"/>
    <w:rsid w:val="00D541CF"/>
    <w:rsid w:val="00DA3B98"/>
    <w:rsid w:val="00DD7848"/>
    <w:rsid w:val="00DE4429"/>
    <w:rsid w:val="00DF58CF"/>
    <w:rsid w:val="00DF66D5"/>
    <w:rsid w:val="00E22B5D"/>
    <w:rsid w:val="00E55CFC"/>
    <w:rsid w:val="00EB5F9A"/>
    <w:rsid w:val="00EC0C85"/>
    <w:rsid w:val="00F063F7"/>
    <w:rsid w:val="00F13C29"/>
    <w:rsid w:val="00F21B20"/>
    <w:rsid w:val="00F2598F"/>
    <w:rsid w:val="00F303D6"/>
    <w:rsid w:val="00F65F5C"/>
    <w:rsid w:val="00F91979"/>
    <w:rsid w:val="00FA3757"/>
    <w:rsid w:val="00FA54CA"/>
    <w:rsid w:val="00FC6DA3"/>
    <w:rsid w:val="00FD4650"/>
    <w:rsid w:val="07A1571D"/>
    <w:rsid w:val="27985A7F"/>
    <w:rsid w:val="3BBB2913"/>
    <w:rsid w:val="43094ECD"/>
    <w:rsid w:val="6A9B281F"/>
    <w:rsid w:val="6F8225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780"/>
    </w:pPr>
    <w:rPr>
      <w:szCs w:val="32"/>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ppData\Roaming\kingsoft\office6\templates\wps\zh_CN\&#21496;&#27861;&#23616;&#20415;&#316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2"/>
    <customShpInfo spid="_x0000_s1031"/>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司法局便签.dot</Template>
  <Company>玉溪市直属党政机关单位</Company>
  <Pages>2</Pages>
  <Words>29</Words>
  <Characters>32</Characters>
  <Lines>1</Lines>
  <Paragraphs>1</Paragraphs>
  <ScaleCrop>false</ScaleCrop>
  <LinksUpToDate>false</LinksUpToDate>
  <CharactersWithSpaces>45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2019-07-29T02:01:00Z</dcterms:created>
  <dc:creator>市司法局</dc:creator>
  <cp:lastModifiedBy>市司法局</cp:lastModifiedBy>
  <dcterms:modified xsi:type="dcterms:W3CDTF">2019-07-29T02:28:05Z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docranid">
    <vt:lpwstr>FCCFCBC409CA4038B55DFDF3B10C76F2</vt:lpwstr>
  </property>
</Properties>
</file>