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玉溪市商务局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2019年预算补充公开</w:t>
      </w:r>
    </w:p>
    <w:p/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十一、其他公开信息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 w:cs="楷体_GB2312"/>
          <w:kern w:val="0"/>
          <w:sz w:val="32"/>
          <w:szCs w:val="32"/>
        </w:rPr>
        <w:t>（一）机关运行经费安排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2019年2月，我局公开的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2019年机关运行经费预算121.96万元，其中:局行政68.06万元、局事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业3.9万元，工作业务经费50万元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，相比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2018年预算数减少59.1万元，同比减少32.64%。因公开口径理解错误，将上年机关运行经费中的公务用车运行维护费、办公用房租金、工会费、福利费等经费未予公开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现做补充公开。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2019年我局机关运行经费中公务用车运行维护费、办公用房租金、工会费和福利费等经费共计支出106.34万元。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综上所述，我局2019年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机关运行经费预算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共计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228.30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2018年增加47.24万元，同比增加26.09%，主要原因是2019年增加工作业务经费50万元所致。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机关运行经费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主要包括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1、依据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2019年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行政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（事业）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单位预算定额标准，局机关41人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局事业3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人，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办公费、印刷费、水电费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差旅费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等共计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69.65万元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、工作业务经费50万元，其中：40万元用于2019年中国国际进口博览会玉溪分团专项经费支出，10万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用于办公设备购置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3、工会费11.28万元，福利费11.28万元；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4、房屋租赁费38.51万元；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5、公务用车运行维护费及其租车费47.58万元。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</w:p>
    <w:p/>
    <w:p/>
    <w:p/>
    <w:p/>
    <w:p>
      <w:pPr>
        <w:wordWrap w:val="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玉溪市商务局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wordWrap w:val="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2019年12月6日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24672"/>
    <w:rsid w:val="01E15708"/>
    <w:rsid w:val="1E725E1A"/>
    <w:rsid w:val="24694FB8"/>
    <w:rsid w:val="45D81A16"/>
    <w:rsid w:val="461F2694"/>
    <w:rsid w:val="53E04C79"/>
    <w:rsid w:val="6109019A"/>
    <w:rsid w:val="64D82A58"/>
    <w:rsid w:val="6AB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546</Characters>
  <Lines>0</Lines>
  <Paragraphs>0</Paragraphs>
  <TotalTime>13</TotalTime>
  <ScaleCrop>false</ScaleCrop>
  <LinksUpToDate>false</LinksUpToDate>
  <CharactersWithSpaces>555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2019-12-06T01:42:00Z</dcterms:created>
  <dc:creator>木柴子</dc:creator>
  <cp:lastModifiedBy>木柴子</cp:lastModifiedBy>
  <cp:lastPrinted>2019-12-06T09:37:37Z</cp:lastPrinted>
  <dcterms:modified xsi:type="dcterms:W3CDTF">2019-12-06T09:52:40Z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