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玉溪市食品药品监督管理</w:t>
      </w:r>
    </w:p>
    <w:p>
      <w:pPr>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部门2019年度预算公开</w:t>
      </w:r>
    </w:p>
    <w:p>
      <w:pPr>
        <w:spacing w:line="540" w:lineRule="exact"/>
        <w:ind w:firstLine="640" w:firstLineChars="200"/>
        <w:jc w:val="center"/>
        <w:rPr>
          <w:rFonts w:ascii="方正仿宋_GBK" w:hAnsi="方正仿宋_GBK" w:eastAsia="方正仿宋_GBK" w:cs="方正仿宋_GBK"/>
          <w:sz w:val="32"/>
          <w:szCs w:val="32"/>
        </w:rPr>
      </w:pPr>
    </w:p>
    <w:p>
      <w:pPr>
        <w:spacing w:line="540" w:lineRule="exact"/>
        <w:jc w:val="center"/>
        <w:rPr>
          <w:rFonts w:ascii="黑体" w:hAnsi="黑体" w:eastAsia="黑体" w:cs="黑体"/>
          <w:sz w:val="32"/>
          <w:szCs w:val="32"/>
        </w:rPr>
      </w:pPr>
      <w:r>
        <w:rPr>
          <w:rFonts w:hint="eastAsia" w:ascii="黑体" w:hAnsi="黑体" w:eastAsia="黑体" w:cs="黑体"/>
          <w:sz w:val="32"/>
          <w:szCs w:val="32"/>
        </w:rPr>
        <w:t>目录</w:t>
      </w:r>
    </w:p>
    <w:p>
      <w:pPr>
        <w:spacing w:line="540" w:lineRule="exact"/>
        <w:ind w:firstLine="640" w:firstLineChars="200"/>
        <w:rPr>
          <w:rFonts w:ascii="方正仿宋_GBK" w:hAnsi="方正仿宋_GBK" w:eastAsia="方正仿宋_GBK" w:cs="方正仿宋_GBK"/>
          <w:sz w:val="32"/>
          <w:szCs w:val="32"/>
        </w:rPr>
      </w:pP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第一部分 玉溪市食品药品监督管理局部门概况</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第二部分玉溪市食品药品监督管理局部门2019年部门预算编制说明</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第三部分 名词解释</w:t>
      </w:r>
    </w:p>
    <w:p>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第四部分玉溪市食品药品监督管理部门2019年部门预算表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一、部门财政拨款收支预算总表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二、部门一般公共预算支出表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三、部门基本支出预算表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四、政府性基金预算支出表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五、部门财务收支预算总表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六、部门收入总表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七、部门支出总表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八、部门财政拨款支出明细表（按经济科目分类）</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九、部门“三公”经费预算财政拨款情况表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十、项目年度绩效目标批复表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十一、部门政府采购预算表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十二、行政事业单位国有资产占有使用情况表</w:t>
      </w:r>
    </w:p>
    <w:p>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十三、2019-2021年度部门整体支出绩效目标表</w:t>
      </w:r>
    </w:p>
    <w:p>
      <w:pPr>
        <w:widowControl/>
        <w:jc w:val="center"/>
        <w:rPr>
          <w:rFonts w:eastAsia="方正小标宋_GBK" w:cs="方正小标宋_GBK" w:asciiTheme="minorHAnsi" w:hAnsiTheme="minorHAnsi"/>
          <w:kern w:val="0"/>
          <w:sz w:val="44"/>
          <w:szCs w:val="44"/>
        </w:rPr>
      </w:pPr>
      <w:r>
        <w:rPr>
          <w:rFonts w:hint="eastAsia" w:ascii="方正小标宋_GBK" w:hAnsi="方正小标宋_GBK" w:eastAsia="方正小标宋_GBK" w:cs="方正小标宋_GBK"/>
          <w:kern w:val="0"/>
          <w:sz w:val="44"/>
          <w:szCs w:val="44"/>
        </w:rPr>
        <w:t>关于</w:t>
      </w:r>
      <w:r>
        <w:rPr>
          <w:rFonts w:hint="eastAsia" w:ascii="方正小标宋_GBK" w:hAnsi="方正楷体_GBK" w:eastAsia="方正小标宋_GBK" w:cs="方正楷体_GBK"/>
          <w:sz w:val="44"/>
          <w:szCs w:val="44"/>
        </w:rPr>
        <w:t>玉溪市食品药品监督管理</w:t>
      </w:r>
      <w:r>
        <w:rPr>
          <w:rFonts w:hint="eastAsia" w:eastAsia="方正小标宋_GBK" w:cs="方正小标宋_GBK" w:asciiTheme="minorHAnsi" w:hAnsiTheme="minorHAnsi"/>
          <w:kern w:val="0"/>
          <w:sz w:val="44"/>
          <w:szCs w:val="44"/>
        </w:rPr>
        <w:t>局</w:t>
      </w:r>
    </w:p>
    <w:p>
      <w:pPr>
        <w:widowControl/>
        <w:jc w:val="center"/>
        <w:rPr>
          <w:rFonts w:eastAsia="方正小标宋_GBK" w:cs="方正楷体_GBK" w:asciiTheme="minorHAnsi" w:hAnsiTheme="minorHAnsi"/>
          <w:sz w:val="44"/>
          <w:szCs w:val="44"/>
        </w:rPr>
      </w:pPr>
      <w:r>
        <w:rPr>
          <w:rFonts w:hint="eastAsia" w:ascii="方正小标宋_GBK" w:hAnsi="方正小标宋_GBK" w:eastAsia="方正小标宋_GBK" w:cs="方正小标宋_GBK"/>
          <w:kern w:val="0"/>
          <w:sz w:val="44"/>
          <w:szCs w:val="44"/>
        </w:rPr>
        <w:t>2019年部门预算公开</w:t>
      </w:r>
    </w:p>
    <w:p>
      <w:pPr>
        <w:widowControl/>
        <w:spacing w:line="560" w:lineRule="exact"/>
        <w:jc w:val="left"/>
        <w:rPr>
          <w:rFonts w:ascii="黑体" w:hAnsi="黑体" w:eastAsia="黑体"/>
          <w:kern w:val="0"/>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cs="方正楷体_GBK"/>
          <w:sz w:val="32"/>
          <w:szCs w:val="32"/>
        </w:rPr>
        <w:t>玉溪市食品药品监督管理局</w:t>
      </w:r>
      <w:r>
        <w:rPr>
          <w:rFonts w:ascii="黑体" w:hAnsi="黑体" w:eastAsia="黑体"/>
          <w:sz w:val="32"/>
          <w:szCs w:val="32"/>
        </w:rPr>
        <w:t>部门</w:t>
      </w:r>
      <w:r>
        <w:rPr>
          <w:rFonts w:hint="eastAsia" w:ascii="黑体" w:hAnsi="黑体" w:eastAsia="黑体"/>
          <w:sz w:val="32"/>
          <w:szCs w:val="32"/>
        </w:rPr>
        <w:t>概况</w:t>
      </w:r>
    </w:p>
    <w:p>
      <w:pPr>
        <w:widowControl/>
        <w:spacing w:line="560" w:lineRule="exact"/>
        <w:ind w:firstLine="640" w:firstLineChars="200"/>
        <w:jc w:val="left"/>
        <w:rPr>
          <w:rFonts w:ascii="黑体" w:hAnsi="黑体" w:eastAsia="黑体"/>
          <w:kern w:val="0"/>
          <w:sz w:val="32"/>
          <w:szCs w:val="32"/>
        </w:rPr>
      </w:pPr>
    </w:p>
    <w:p>
      <w:pPr>
        <w:widowControl/>
        <w:numPr>
          <w:ilvl w:val="0"/>
          <w:numId w:val="1"/>
        </w:numPr>
        <w:spacing w:line="600" w:lineRule="exact"/>
        <w:ind w:firstLine="640" w:firstLineChars="200"/>
        <w:jc w:val="left"/>
        <w:rPr>
          <w:rFonts w:ascii="黑体" w:hAnsi="黑体" w:eastAsia="黑体"/>
          <w:kern w:val="0"/>
          <w:sz w:val="32"/>
          <w:szCs w:val="32"/>
        </w:rPr>
      </w:pPr>
      <w:r>
        <w:rPr>
          <w:rFonts w:ascii="黑体" w:hAnsi="黑体" w:eastAsia="黑体"/>
          <w:kern w:val="0"/>
          <w:sz w:val="32"/>
          <w:szCs w:val="32"/>
        </w:rPr>
        <w:t>基本职能及主要工作</w:t>
      </w:r>
    </w:p>
    <w:p>
      <w:pPr>
        <w:spacing w:line="600" w:lineRule="exact"/>
        <w:ind w:firstLine="640" w:firstLineChars="200"/>
        <w:rPr>
          <w:rFonts w:eastAsia="仿宋"/>
          <w:color w:val="000000"/>
          <w:sz w:val="30"/>
          <w:szCs w:val="30"/>
        </w:rPr>
      </w:pPr>
      <w:r>
        <w:rPr>
          <w:rFonts w:hint="eastAsia" w:ascii="楷体_GB2312" w:eastAsia="楷体_GB2312"/>
          <w:kern w:val="0"/>
          <w:sz w:val="32"/>
          <w:szCs w:val="32"/>
        </w:rPr>
        <w:t>（一）部门主要职责</w:t>
      </w:r>
      <w:r>
        <w:rPr>
          <w:rFonts w:eastAsia="楷体_GB2312" w:asciiTheme="minorHAnsi" w:hAnsiTheme="minorHAnsi"/>
          <w:kern w:val="0"/>
          <w:sz w:val="32"/>
          <w:szCs w:val="32"/>
        </w:rPr>
        <w:t>:</w:t>
      </w:r>
      <w:r>
        <w:rPr>
          <w:rFonts w:eastAsia="仿宋"/>
          <w:color w:val="000000"/>
          <w:sz w:val="30"/>
          <w:szCs w:val="30"/>
        </w:rPr>
        <w:t xml:space="preserve"> </w:t>
      </w:r>
    </w:p>
    <w:p>
      <w:pPr>
        <w:spacing w:line="600" w:lineRule="exact"/>
        <w:ind w:firstLine="600" w:firstLineChars="200"/>
        <w:rPr>
          <w:rFonts w:eastAsia="仿宋"/>
          <w:color w:val="000000"/>
          <w:sz w:val="30"/>
          <w:szCs w:val="30"/>
        </w:rPr>
      </w:pPr>
      <w:r>
        <w:rPr>
          <w:rFonts w:eastAsia="仿宋"/>
          <w:color w:val="000000"/>
          <w:sz w:val="30"/>
          <w:szCs w:val="30"/>
        </w:rPr>
        <w:t>1、 贯彻实施食品（含食品添加剂、保健食品）安全、药品（含中药、民族药）、医疗器械、化妆品监督管理的法律、法规和规章。</w:t>
      </w:r>
    </w:p>
    <w:p>
      <w:pPr>
        <w:spacing w:line="600" w:lineRule="exact"/>
        <w:ind w:firstLine="600" w:firstLineChars="200"/>
        <w:rPr>
          <w:rFonts w:eastAsia="仿宋"/>
          <w:color w:val="000000"/>
          <w:sz w:val="30"/>
          <w:szCs w:val="30"/>
        </w:rPr>
      </w:pPr>
      <w:r>
        <w:rPr>
          <w:rFonts w:eastAsia="仿宋"/>
          <w:color w:val="000000"/>
          <w:sz w:val="30"/>
          <w:szCs w:val="30"/>
        </w:rPr>
        <w:t>2、负责食品行政许可的监督实施。</w:t>
      </w:r>
    </w:p>
    <w:p>
      <w:pPr>
        <w:spacing w:line="600" w:lineRule="exact"/>
        <w:ind w:firstLine="600" w:firstLineChars="200"/>
        <w:rPr>
          <w:rFonts w:eastAsia="仿宋"/>
          <w:color w:val="000000"/>
          <w:sz w:val="30"/>
          <w:szCs w:val="30"/>
        </w:rPr>
      </w:pPr>
      <w:r>
        <w:rPr>
          <w:rFonts w:eastAsia="仿宋"/>
          <w:color w:val="000000"/>
          <w:sz w:val="30"/>
          <w:szCs w:val="30"/>
        </w:rPr>
        <w:t>3、监督实施药品和医疗器械标准、分类管理制度。</w:t>
      </w:r>
    </w:p>
    <w:p>
      <w:pPr>
        <w:spacing w:line="600" w:lineRule="exact"/>
        <w:ind w:firstLine="600" w:firstLineChars="200"/>
        <w:rPr>
          <w:rFonts w:eastAsia="仿宋"/>
          <w:color w:val="000000"/>
          <w:sz w:val="30"/>
          <w:szCs w:val="30"/>
        </w:rPr>
      </w:pPr>
      <w:r>
        <w:rPr>
          <w:rFonts w:eastAsia="仿宋"/>
          <w:color w:val="000000"/>
          <w:sz w:val="30"/>
          <w:szCs w:val="30"/>
        </w:rPr>
        <w:t>4、组织实施食品、药品、医疗器械、化妆品监督管理的稽查制度，组织查处违法行为。</w:t>
      </w:r>
    </w:p>
    <w:p>
      <w:pPr>
        <w:spacing w:line="600" w:lineRule="exact"/>
        <w:ind w:firstLine="600" w:firstLineChars="200"/>
        <w:rPr>
          <w:rFonts w:eastAsia="仿宋"/>
          <w:color w:val="000000"/>
          <w:sz w:val="30"/>
          <w:szCs w:val="30"/>
        </w:rPr>
      </w:pPr>
      <w:r>
        <w:rPr>
          <w:rFonts w:eastAsia="仿宋"/>
          <w:color w:val="000000"/>
          <w:sz w:val="30"/>
          <w:szCs w:val="30"/>
        </w:rPr>
        <w:t>5、负责食品药品安全事故应急体系建设，组织和指导食品药品安全事故应急处置和调查处理工作，监督事故查处落实情况。</w:t>
      </w:r>
    </w:p>
    <w:p>
      <w:pPr>
        <w:spacing w:line="600" w:lineRule="exact"/>
        <w:ind w:firstLine="600" w:firstLineChars="200"/>
        <w:rPr>
          <w:rFonts w:eastAsia="仿宋"/>
          <w:color w:val="000000"/>
          <w:sz w:val="30"/>
          <w:szCs w:val="30"/>
        </w:rPr>
      </w:pPr>
      <w:r>
        <w:rPr>
          <w:rFonts w:eastAsia="仿宋"/>
          <w:color w:val="000000"/>
          <w:sz w:val="30"/>
          <w:szCs w:val="30"/>
        </w:rPr>
        <w:t>6、负责制定食品药品安全科技发展规划并组织实施，推动食品药品检验检测体系、电子监管追溯体系和信息化建设。</w:t>
      </w:r>
    </w:p>
    <w:p>
      <w:pPr>
        <w:spacing w:line="600" w:lineRule="exact"/>
        <w:ind w:firstLine="600" w:firstLineChars="200"/>
        <w:rPr>
          <w:rFonts w:eastAsia="仿宋"/>
          <w:color w:val="000000"/>
          <w:sz w:val="30"/>
          <w:szCs w:val="30"/>
        </w:rPr>
      </w:pPr>
      <w:r>
        <w:rPr>
          <w:rFonts w:eastAsia="仿宋"/>
          <w:color w:val="000000"/>
          <w:sz w:val="30"/>
          <w:szCs w:val="30"/>
        </w:rPr>
        <w:t>7、负责开展食品药品安全宣传、教育培训以及与食品药品监督管理有关的对外交流与合作。</w:t>
      </w:r>
    </w:p>
    <w:p>
      <w:pPr>
        <w:spacing w:line="600" w:lineRule="exact"/>
        <w:ind w:firstLine="600" w:firstLineChars="200"/>
        <w:rPr>
          <w:rFonts w:eastAsia="仿宋"/>
          <w:color w:val="000000"/>
          <w:sz w:val="30"/>
          <w:szCs w:val="30"/>
        </w:rPr>
      </w:pPr>
      <w:r>
        <w:rPr>
          <w:rFonts w:eastAsia="仿宋"/>
          <w:color w:val="000000"/>
          <w:sz w:val="30"/>
          <w:szCs w:val="30"/>
        </w:rPr>
        <w:t>8、指导县区、开发（度假）园区开展食品、药品、医疗器械、化妆品监督管理工作。</w:t>
      </w:r>
    </w:p>
    <w:p>
      <w:pPr>
        <w:spacing w:line="600" w:lineRule="exact"/>
        <w:ind w:firstLine="600" w:firstLineChars="200"/>
        <w:rPr>
          <w:rFonts w:eastAsia="仿宋"/>
          <w:color w:val="000000"/>
          <w:sz w:val="30"/>
          <w:szCs w:val="30"/>
        </w:rPr>
      </w:pPr>
      <w:r>
        <w:rPr>
          <w:rFonts w:eastAsia="仿宋"/>
          <w:color w:val="000000"/>
          <w:sz w:val="30"/>
          <w:szCs w:val="30"/>
        </w:rPr>
        <w:t>9、承担玉溪市人民政府食品安全委员会日常工作。</w:t>
      </w:r>
    </w:p>
    <w:p>
      <w:pPr>
        <w:spacing w:line="600" w:lineRule="exact"/>
        <w:ind w:firstLine="600" w:firstLineChars="200"/>
        <w:rPr>
          <w:rFonts w:eastAsia="仿宋"/>
          <w:color w:val="000000"/>
          <w:sz w:val="30"/>
          <w:szCs w:val="30"/>
        </w:rPr>
      </w:pPr>
      <w:r>
        <w:rPr>
          <w:rFonts w:eastAsia="仿宋"/>
          <w:color w:val="000000"/>
          <w:sz w:val="30"/>
          <w:szCs w:val="30"/>
        </w:rPr>
        <w:t>10、负责指导县区市场监督管理部门的业务工作。</w:t>
      </w:r>
    </w:p>
    <w:p>
      <w:pPr>
        <w:spacing w:line="600" w:lineRule="exact"/>
        <w:ind w:firstLine="600" w:firstLineChars="200"/>
        <w:rPr>
          <w:rFonts w:eastAsia="仿宋"/>
          <w:color w:val="000000"/>
          <w:sz w:val="30"/>
          <w:szCs w:val="30"/>
        </w:rPr>
      </w:pPr>
      <w:r>
        <w:rPr>
          <w:rFonts w:eastAsia="仿宋"/>
          <w:color w:val="000000"/>
          <w:sz w:val="30"/>
          <w:szCs w:val="30"/>
        </w:rPr>
        <w:t>11、承担玉溪市人民政府及玉溪市人民政府食品安全委员会交办的其他事项。</w:t>
      </w:r>
    </w:p>
    <w:p>
      <w:pPr>
        <w:spacing w:line="600" w:lineRule="exact"/>
        <w:ind w:firstLine="600" w:firstLineChars="200"/>
        <w:rPr>
          <w:rFonts w:eastAsia="仿宋"/>
          <w:color w:val="000000"/>
          <w:sz w:val="30"/>
          <w:szCs w:val="30"/>
        </w:rPr>
      </w:pPr>
      <w:r>
        <w:rPr>
          <w:rFonts w:eastAsia="仿宋"/>
          <w:color w:val="000000"/>
          <w:sz w:val="30"/>
          <w:szCs w:val="30"/>
        </w:rPr>
        <w:t>12、负完成年度年度食品药品抽样、检验计划及日常监督检验，接受辖区内药品生产、经营、使用单位的送样检验。</w:t>
      </w:r>
    </w:p>
    <w:p>
      <w:pPr>
        <w:spacing w:line="600" w:lineRule="exact"/>
        <w:ind w:firstLine="600" w:firstLineChars="200"/>
        <w:rPr>
          <w:rFonts w:eastAsia="仿宋"/>
          <w:color w:val="000000"/>
          <w:sz w:val="30"/>
          <w:szCs w:val="30"/>
        </w:rPr>
      </w:pPr>
      <w:r>
        <w:rPr>
          <w:rFonts w:eastAsia="仿宋"/>
          <w:color w:val="000000"/>
          <w:sz w:val="30"/>
          <w:szCs w:val="30"/>
        </w:rPr>
        <w:t>13、为药品、医疗器械、化妆品提供评价和监测服务。</w:t>
      </w:r>
    </w:p>
    <w:p>
      <w:pPr>
        <w:widowControl/>
        <w:spacing w:line="600" w:lineRule="exact"/>
        <w:ind w:firstLine="640" w:firstLineChars="200"/>
        <w:jc w:val="left"/>
        <w:rPr>
          <w:rFonts w:eastAsia="楷体_GB2312" w:asciiTheme="minorHAnsi" w:hAnsiTheme="minorHAnsi"/>
          <w:kern w:val="0"/>
          <w:sz w:val="32"/>
          <w:szCs w:val="32"/>
        </w:rPr>
      </w:pPr>
      <w:r>
        <w:rPr>
          <w:rFonts w:hint="eastAsia" w:ascii="楷体_GB2312" w:eastAsia="楷体_GB2312"/>
          <w:kern w:val="0"/>
          <w:sz w:val="32"/>
          <w:szCs w:val="32"/>
        </w:rPr>
        <w:t>（二）机构设置情况</w:t>
      </w:r>
    </w:p>
    <w:p>
      <w:pPr>
        <w:spacing w:line="600" w:lineRule="exact"/>
        <w:ind w:firstLine="600" w:firstLineChars="200"/>
        <w:rPr>
          <w:rFonts w:eastAsia="仿宋"/>
          <w:color w:val="000000"/>
          <w:sz w:val="30"/>
          <w:szCs w:val="30"/>
        </w:rPr>
      </w:pPr>
      <w:r>
        <w:rPr>
          <w:rFonts w:eastAsia="仿宋"/>
          <w:color w:val="000000"/>
          <w:sz w:val="30"/>
          <w:szCs w:val="30"/>
        </w:rPr>
        <w:t>根据上述职责，玉溪市食品药品监督管理局机关设14个内设机构（正科级），1个派出机构，</w:t>
      </w:r>
      <w:bookmarkStart w:id="0" w:name="OLE_LINK1"/>
      <w:r>
        <w:rPr>
          <w:rFonts w:eastAsia="仿宋"/>
          <w:color w:val="000000"/>
          <w:sz w:val="30"/>
          <w:szCs w:val="30"/>
        </w:rPr>
        <w:t>2个下属事业单位。</w:t>
      </w:r>
    </w:p>
    <w:bookmarkEnd w:id="0"/>
    <w:p>
      <w:pPr>
        <w:widowControl/>
        <w:spacing w:line="600" w:lineRule="exact"/>
        <w:ind w:firstLine="600" w:firstLineChars="200"/>
        <w:jc w:val="left"/>
        <w:rPr>
          <w:rFonts w:eastAsia="仿宋"/>
          <w:color w:val="000000"/>
          <w:sz w:val="30"/>
          <w:szCs w:val="30"/>
        </w:rPr>
      </w:pPr>
      <w:r>
        <w:rPr>
          <w:rFonts w:eastAsia="仿宋"/>
          <w:color w:val="000000"/>
          <w:sz w:val="30"/>
          <w:szCs w:val="30"/>
        </w:rPr>
        <w:t>14个内设机构分别是：办公室、计划财务科</w:t>
      </w:r>
      <w:r>
        <w:rPr>
          <w:rFonts w:eastAsia="仿宋"/>
          <w:color w:val="000000"/>
          <w:kern w:val="0"/>
          <w:sz w:val="30"/>
          <w:szCs w:val="30"/>
        </w:rPr>
        <w:t>、</w:t>
      </w:r>
      <w:r>
        <w:rPr>
          <w:rFonts w:eastAsia="仿宋"/>
          <w:color w:val="000000"/>
          <w:sz w:val="30"/>
          <w:szCs w:val="30"/>
        </w:rPr>
        <w:t>政策法规科、综合协调与应急科、食品生产监管科、食品流通监管科、餐饮食品监管科、药品生产监管科、药品流通监管科、保健品化妆品监管科、医疗器械监管科、玉溪市食品药品稽查支队（玉溪市食品药品投诉举报中心）、行政审批科、人事科。</w:t>
      </w:r>
    </w:p>
    <w:p>
      <w:pPr>
        <w:widowControl/>
        <w:spacing w:line="600" w:lineRule="exact"/>
        <w:ind w:firstLine="600" w:firstLineChars="200"/>
        <w:jc w:val="left"/>
        <w:rPr>
          <w:rFonts w:eastAsia="仿宋"/>
          <w:color w:val="000000"/>
          <w:sz w:val="30"/>
          <w:szCs w:val="30"/>
        </w:rPr>
      </w:pPr>
      <w:r>
        <w:rPr>
          <w:rFonts w:eastAsia="仿宋"/>
          <w:color w:val="000000"/>
          <w:sz w:val="30"/>
          <w:szCs w:val="30"/>
        </w:rPr>
        <w:t>1个派出机构：玉溪市食品药品监督管理局高新区分局</w:t>
      </w:r>
    </w:p>
    <w:p>
      <w:pPr>
        <w:spacing w:line="600" w:lineRule="exact"/>
        <w:ind w:firstLine="600" w:firstLineChars="200"/>
        <w:rPr>
          <w:rFonts w:eastAsia="仿宋"/>
          <w:color w:val="000000"/>
          <w:sz w:val="30"/>
          <w:szCs w:val="30"/>
        </w:rPr>
      </w:pPr>
      <w:r>
        <w:rPr>
          <w:rFonts w:eastAsia="仿宋"/>
          <w:color w:val="000000"/>
          <w:sz w:val="30"/>
          <w:szCs w:val="30"/>
        </w:rPr>
        <w:t>2个下属事业单位：玉溪市食品药品检验所、玉溪市食品药品监督管理局药品评价中心。</w:t>
      </w:r>
    </w:p>
    <w:p>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（三）重点工作概述</w:t>
      </w:r>
    </w:p>
    <w:p>
      <w:pPr>
        <w:numPr>
          <w:ilvl w:val="0"/>
          <w:numId w:val="2"/>
        </w:numPr>
        <w:spacing w:line="600" w:lineRule="exact"/>
        <w:rPr>
          <w:rFonts w:eastAsia="方正仿宋_GBK"/>
          <w:sz w:val="32"/>
          <w:szCs w:val="32"/>
        </w:rPr>
      </w:pPr>
      <w:r>
        <w:rPr>
          <w:rFonts w:eastAsia="方正仿宋_GBK"/>
          <w:sz w:val="32"/>
          <w:szCs w:val="32"/>
        </w:rPr>
        <w:t>餐饮营业额增速情况</w:t>
      </w:r>
    </w:p>
    <w:p>
      <w:pPr>
        <w:spacing w:line="600" w:lineRule="exact"/>
        <w:ind w:firstLine="640" w:firstLineChars="200"/>
        <w:rPr>
          <w:rFonts w:eastAsia="方正仿宋_GBK"/>
          <w:sz w:val="32"/>
          <w:szCs w:val="32"/>
        </w:rPr>
      </w:pPr>
      <w:r>
        <w:rPr>
          <w:rFonts w:eastAsia="方正仿宋_GBK"/>
          <w:sz w:val="32"/>
          <w:szCs w:val="32"/>
        </w:rPr>
        <w:t>2018年，我局餐饮营业额增速任务目标：一、二、三、四季度分别达到18.8%、18.6%、18.3%、18%。2018年全市纳入统计部门限额以上餐饮企业（年营业额200万元以上）共计33家（其中3家退库），占全市餐饮服务单位总数的0.31%。根据省统计局反馈，全市餐饮业营业额增速完成17.1%，居全省第三位。</w:t>
      </w:r>
    </w:p>
    <w:p>
      <w:pPr>
        <w:numPr>
          <w:ilvl w:val="0"/>
          <w:numId w:val="2"/>
        </w:numPr>
        <w:spacing w:line="600" w:lineRule="exact"/>
        <w:rPr>
          <w:rFonts w:eastAsia="方正仿宋_GBK"/>
          <w:sz w:val="32"/>
          <w:szCs w:val="32"/>
        </w:rPr>
      </w:pPr>
      <w:r>
        <w:rPr>
          <w:rFonts w:eastAsia="方正仿宋_GBK"/>
          <w:sz w:val="32"/>
          <w:szCs w:val="32"/>
        </w:rPr>
        <w:t>2018年，我局向上争取资金任务目标：2018年经常</w:t>
      </w:r>
    </w:p>
    <w:p>
      <w:pPr>
        <w:spacing w:line="600" w:lineRule="exact"/>
        <w:rPr>
          <w:rFonts w:eastAsia="方正仿宋_GBK"/>
          <w:sz w:val="32"/>
          <w:szCs w:val="32"/>
        </w:rPr>
      </w:pPr>
      <w:r>
        <w:rPr>
          <w:rFonts w:eastAsia="方正仿宋_GBK"/>
          <w:sz w:val="32"/>
          <w:szCs w:val="32"/>
        </w:rPr>
        <w:t>性争取任务800万元。全年共完成向上争取资金1004.24万元（其中15万元未通过财政部门争取）。</w:t>
      </w:r>
    </w:p>
    <w:p>
      <w:pPr>
        <w:numPr>
          <w:ilvl w:val="0"/>
          <w:numId w:val="2"/>
        </w:numPr>
        <w:spacing w:line="600" w:lineRule="exact"/>
        <w:rPr>
          <w:rFonts w:eastAsia="方正仿宋_GBK"/>
          <w:sz w:val="32"/>
          <w:szCs w:val="32"/>
        </w:rPr>
      </w:pPr>
      <w:r>
        <w:rPr>
          <w:rFonts w:eastAsia="方正仿宋_GBK"/>
          <w:sz w:val="32"/>
          <w:szCs w:val="32"/>
        </w:rPr>
        <w:t>全力推进“双创”，食品安全监管水平稳步提升。将文</w:t>
      </w:r>
    </w:p>
    <w:p>
      <w:pPr>
        <w:spacing w:line="600" w:lineRule="exact"/>
        <w:rPr>
          <w:rFonts w:eastAsia="方正仿宋_GBK"/>
          <w:sz w:val="32"/>
          <w:szCs w:val="32"/>
        </w:rPr>
      </w:pPr>
      <w:r>
        <w:rPr>
          <w:rFonts w:eastAsia="方正仿宋_GBK"/>
          <w:sz w:val="32"/>
          <w:szCs w:val="32"/>
        </w:rPr>
        <w:t>明城市创建、国家卫生城市复审工作与日常监管工作相结合，不断在精细化、规范化管理上下功夫，完善食药安全“党政同责、政府负责、部门监责、企业主责、社会共责”的责任体系。</w:t>
      </w:r>
      <w:r>
        <w:rPr>
          <w:rFonts w:eastAsia="方正仿宋_GBK"/>
          <w:b/>
          <w:bCs/>
          <w:sz w:val="32"/>
          <w:szCs w:val="32"/>
        </w:rPr>
        <w:t>强化食品生产、流通、餐饮三环节监管</w:t>
      </w:r>
    </w:p>
    <w:p>
      <w:pPr>
        <w:numPr>
          <w:ilvl w:val="0"/>
          <w:numId w:val="2"/>
        </w:numPr>
        <w:spacing w:line="600" w:lineRule="exact"/>
        <w:rPr>
          <w:rFonts w:eastAsia="方正仿宋_GBK"/>
          <w:sz w:val="32"/>
          <w:szCs w:val="32"/>
        </w:rPr>
      </w:pPr>
      <w:r>
        <w:rPr>
          <w:rFonts w:eastAsia="方正仿宋_GBK"/>
          <w:sz w:val="32"/>
          <w:szCs w:val="32"/>
        </w:rPr>
        <w:t>突出监管整治与宣传引导，筑牢药械安全“防火墙”。</w:t>
      </w:r>
    </w:p>
    <w:p>
      <w:pPr>
        <w:spacing w:line="600" w:lineRule="exact"/>
        <w:rPr>
          <w:rFonts w:eastAsia="方正仿宋_GBK"/>
          <w:sz w:val="32"/>
          <w:szCs w:val="32"/>
        </w:rPr>
      </w:pPr>
      <w:r>
        <w:rPr>
          <w:rFonts w:eastAsia="方正仿宋_GBK"/>
          <w:b/>
          <w:bCs/>
          <w:sz w:val="32"/>
          <w:szCs w:val="32"/>
        </w:rPr>
        <w:t>一是进一步改革完善药品生产流通使用政策。</w:t>
      </w:r>
      <w:r>
        <w:rPr>
          <w:rFonts w:eastAsia="方正仿宋_GBK"/>
          <w:sz w:val="32"/>
          <w:szCs w:val="32"/>
        </w:rPr>
        <w:t>牵头起草并经市委全面深化改革会议审议通过出台了《关于进一步改革完善药品生产流通使用政策的实施意见》，进一步改革完善药品生产流通使用政策。</w:t>
      </w:r>
      <w:r>
        <w:rPr>
          <w:rFonts w:eastAsia="方正仿宋_GBK"/>
          <w:b/>
          <w:bCs/>
          <w:sz w:val="32"/>
          <w:szCs w:val="32"/>
        </w:rPr>
        <w:t>二是扎实开展药械日常监管和专项整治工作。</w:t>
      </w:r>
      <w:r>
        <w:rPr>
          <w:rFonts w:eastAsia="方正仿宋_GBK"/>
          <w:sz w:val="32"/>
          <w:szCs w:val="32"/>
        </w:rPr>
        <w:t>药品零售企业飞行检查158家，开展了中药饮片质量集中整治、药品安全源头治理、保健食品欺诈虚假宣传、医疗器械严重违法广告等专项整治20项。</w:t>
      </w:r>
      <w:r>
        <w:rPr>
          <w:rFonts w:eastAsia="方正仿宋_GBK"/>
          <w:b/>
          <w:bCs/>
          <w:sz w:val="32"/>
          <w:szCs w:val="32"/>
        </w:rPr>
        <w:t>三是全面加强疫苗质量安全监管。</w:t>
      </w:r>
      <w:r>
        <w:rPr>
          <w:rFonts w:eastAsia="方正仿宋_GBK"/>
          <w:sz w:val="32"/>
          <w:szCs w:val="32"/>
        </w:rPr>
        <w:t>牵头印发了《关于进一步加强疫苗流通监管工作的通知》，有效规范了疫苗质量管理工作。</w:t>
      </w:r>
      <w:r>
        <w:rPr>
          <w:rFonts w:eastAsia="方正仿宋_GBK"/>
          <w:b/>
          <w:bCs/>
          <w:sz w:val="32"/>
          <w:szCs w:val="32"/>
        </w:rPr>
        <w:t>四是强化化妆品监督抽验。</w:t>
      </w:r>
      <w:r>
        <w:rPr>
          <w:rFonts w:eastAsia="方正仿宋_GBK"/>
          <w:sz w:val="32"/>
          <w:szCs w:val="32"/>
        </w:rPr>
        <w:t>完成国抽、省抽、市抽共抽化妆品69批，检出不合格产品10批，不合格率为14.5%。</w:t>
      </w:r>
      <w:r>
        <w:rPr>
          <w:rFonts w:eastAsia="方正仿宋_GBK"/>
          <w:b/>
          <w:bCs/>
          <w:sz w:val="32"/>
          <w:szCs w:val="32"/>
        </w:rPr>
        <w:t>五是积极开展食品药品监督抽检。</w:t>
      </w:r>
      <w:r>
        <w:rPr>
          <w:rFonts w:eastAsia="方正仿宋_GBK"/>
          <w:sz w:val="32"/>
          <w:szCs w:val="32"/>
        </w:rPr>
        <w:t>完成食品国抽651批次、省抽508批次、食用农产品1306批次。</w:t>
      </w:r>
      <w:r>
        <w:rPr>
          <w:rFonts w:eastAsia="方正仿宋_GBK"/>
          <w:b/>
          <w:bCs/>
          <w:sz w:val="32"/>
          <w:szCs w:val="32"/>
        </w:rPr>
        <w:t>六是全力开展食品药品检验检测，</w:t>
      </w:r>
      <w:r>
        <w:rPr>
          <w:rFonts w:eastAsia="方正仿宋_GBK"/>
          <w:sz w:val="32"/>
          <w:szCs w:val="32"/>
        </w:rPr>
        <w:t>市食品药品检验所共承担食品检验任务1418批次</w:t>
      </w:r>
      <w:r>
        <w:rPr>
          <w:rFonts w:eastAsia="方正仿宋_GBK"/>
          <w:b/>
          <w:bCs/>
          <w:sz w:val="32"/>
          <w:szCs w:val="32"/>
        </w:rPr>
        <w:t>。七是认真做好“四项监测”工作，</w:t>
      </w:r>
      <w:r>
        <w:rPr>
          <w:rFonts w:eastAsia="方正仿宋_GBK"/>
          <w:sz w:val="32"/>
          <w:szCs w:val="32"/>
        </w:rPr>
        <w:t>上报MDR报告数742份。</w:t>
      </w:r>
    </w:p>
    <w:p>
      <w:pPr>
        <w:numPr>
          <w:ilvl w:val="0"/>
          <w:numId w:val="2"/>
        </w:numPr>
        <w:spacing w:line="600" w:lineRule="exact"/>
        <w:rPr>
          <w:rFonts w:eastAsia="方正仿宋_GBK"/>
          <w:sz w:val="32"/>
          <w:szCs w:val="32"/>
        </w:rPr>
      </w:pPr>
      <w:r>
        <w:rPr>
          <w:rFonts w:eastAsia="方正仿宋_GBK"/>
          <w:sz w:val="32"/>
          <w:szCs w:val="32"/>
        </w:rPr>
        <w:t>综合工作稳步推进，实现监管与服务并重。</w:t>
      </w:r>
      <w:r>
        <w:rPr>
          <w:rFonts w:eastAsia="方正仿宋_GBK"/>
          <w:b/>
          <w:bCs/>
          <w:sz w:val="32"/>
          <w:szCs w:val="32"/>
        </w:rPr>
        <w:t>一是深化</w:t>
      </w:r>
    </w:p>
    <w:p>
      <w:pPr>
        <w:spacing w:line="600" w:lineRule="exact"/>
        <w:rPr>
          <w:rFonts w:eastAsia="方正仿宋_GBK"/>
          <w:sz w:val="32"/>
          <w:szCs w:val="32"/>
        </w:rPr>
      </w:pPr>
      <w:r>
        <w:rPr>
          <w:rFonts w:eastAsia="方正仿宋_GBK"/>
          <w:b/>
          <w:bCs/>
          <w:sz w:val="32"/>
          <w:szCs w:val="32"/>
        </w:rPr>
        <w:t>“放管服”改革。</w:t>
      </w:r>
      <w:r>
        <w:rPr>
          <w:rFonts w:eastAsia="方正仿宋_GBK"/>
          <w:sz w:val="32"/>
          <w:szCs w:val="32"/>
        </w:rPr>
        <w:t>接件10469件、受理9584件、办结9500件，正在办理84件</w:t>
      </w:r>
      <w:r>
        <w:rPr>
          <w:rFonts w:eastAsia="方正仿宋_GBK"/>
          <w:color w:val="000000"/>
          <w:sz w:val="32"/>
          <w:szCs w:val="32"/>
          <w:shd w:val="clear" w:color="auto" w:fill="FFFFFF"/>
        </w:rPr>
        <w:t>，按时办结率100%、企业</w:t>
      </w:r>
      <w:r>
        <w:rPr>
          <w:rFonts w:eastAsia="方正仿宋_GBK"/>
          <w:sz w:val="32"/>
          <w:szCs w:val="32"/>
        </w:rPr>
        <w:t>满意率100%。</w:t>
      </w:r>
      <w:r>
        <w:rPr>
          <w:rFonts w:eastAsia="方正仿宋_GBK"/>
          <w:b/>
          <w:bCs/>
          <w:sz w:val="32"/>
          <w:szCs w:val="32"/>
        </w:rPr>
        <w:t>二是积极畅通投诉举报渠道。</w:t>
      </w:r>
      <w:r>
        <w:rPr>
          <w:rFonts w:eastAsia="方正仿宋_GBK"/>
          <w:sz w:val="32"/>
          <w:szCs w:val="32"/>
        </w:rPr>
        <w:t>受理群众投诉举报184件，均按时办结。</w:t>
      </w:r>
      <w:r>
        <w:rPr>
          <w:rFonts w:eastAsia="方正仿宋_GBK"/>
          <w:b/>
          <w:bCs/>
          <w:sz w:val="32"/>
          <w:szCs w:val="32"/>
        </w:rPr>
        <w:t>三是加大案件查处力度。</w:t>
      </w:r>
      <w:r>
        <w:rPr>
          <w:rFonts w:eastAsia="方正仿宋_GBK"/>
          <w:sz w:val="32"/>
          <w:szCs w:val="32"/>
        </w:rPr>
        <w:t>全市共办理各类案件423件，罚没款215.48万元。</w:t>
      </w:r>
      <w:r>
        <w:rPr>
          <w:rFonts w:eastAsia="方正仿宋_GBK"/>
          <w:b/>
          <w:bCs/>
          <w:sz w:val="32"/>
          <w:szCs w:val="32"/>
        </w:rPr>
        <w:t>四是创新食药监管方式，在全省率先推进“智慧食药监”建设。</w:t>
      </w:r>
    </w:p>
    <w:p>
      <w:pPr>
        <w:numPr>
          <w:ilvl w:val="0"/>
          <w:numId w:val="2"/>
        </w:numPr>
        <w:spacing w:line="600" w:lineRule="exact"/>
        <w:rPr>
          <w:rFonts w:eastAsia="方正仿宋_GBK"/>
          <w:sz w:val="32"/>
          <w:szCs w:val="32"/>
        </w:rPr>
      </w:pPr>
      <w:r>
        <w:rPr>
          <w:rFonts w:eastAsia="方正仿宋_GBK"/>
          <w:b/>
          <w:bCs/>
          <w:sz w:val="32"/>
          <w:szCs w:val="32"/>
        </w:rPr>
        <w:t>多形式、多层面开展宣传活动。</w:t>
      </w:r>
      <w:r>
        <w:rPr>
          <w:rFonts w:eastAsia="方正仿宋_GBK"/>
          <w:sz w:val="32"/>
          <w:szCs w:val="32"/>
        </w:rPr>
        <w:t>以3·15消费者权益</w:t>
      </w:r>
    </w:p>
    <w:p>
      <w:pPr>
        <w:spacing w:line="600" w:lineRule="exact"/>
        <w:rPr>
          <w:rFonts w:eastAsia="方正仿宋_GBK"/>
          <w:sz w:val="32"/>
          <w:szCs w:val="32"/>
        </w:rPr>
      </w:pPr>
      <w:r>
        <w:rPr>
          <w:rFonts w:eastAsia="方正仿宋_GBK"/>
          <w:sz w:val="32"/>
          <w:szCs w:val="32"/>
        </w:rPr>
        <w:t>保护日、3·31“12331”宣传日、食品安全宣传周、安全用药月等活动，全年与玉溪日报，多层次、多方位开展宣传活动，积极构建食药安全社会共知共治格局。</w:t>
      </w:r>
    </w:p>
    <w:p>
      <w:pPr>
        <w:spacing w:line="600" w:lineRule="exact"/>
        <w:ind w:firstLine="640" w:firstLineChars="200"/>
        <w:rPr>
          <w:rFonts w:eastAsia="方正仿宋_GBK"/>
          <w:sz w:val="32"/>
          <w:szCs w:val="32"/>
        </w:rPr>
      </w:pPr>
      <w:r>
        <w:rPr>
          <w:rFonts w:eastAsia="方正仿宋_GBK"/>
          <w:sz w:val="32"/>
          <w:szCs w:val="32"/>
        </w:rPr>
        <w:t>7、共完成药品检验677批次。已出具检验报告674批次，其中：基本药物抽验150批次，监督抽检469批次，委托检验50批次，能力验证5批次。合格药品591批次，不合格药品78批次，5批次不出具检验结论，合格率87.7%。</w:t>
      </w:r>
    </w:p>
    <w:p>
      <w:pPr>
        <w:spacing w:line="600" w:lineRule="exact"/>
        <w:ind w:firstLine="640" w:firstLineChars="200"/>
        <w:rPr>
          <w:rFonts w:eastAsia="方正仿宋_GBK"/>
          <w:sz w:val="32"/>
          <w:szCs w:val="32"/>
        </w:rPr>
      </w:pPr>
      <w:r>
        <w:rPr>
          <w:rFonts w:eastAsia="方正仿宋_GBK"/>
          <w:sz w:val="32"/>
          <w:szCs w:val="32"/>
        </w:rPr>
        <w:t>8、食品检验。完成食品抽检任务1418批次。在已出具检验报告的批次中，合格1163批次，不合格29批次，仅出具风险监测数据不判定结果的样品38批次，合格率94.6%。</w:t>
      </w:r>
    </w:p>
    <w:p>
      <w:pPr>
        <w:spacing w:line="600" w:lineRule="exact"/>
        <w:ind w:firstLine="640" w:firstLineChars="200"/>
        <w:rPr>
          <w:rFonts w:eastAsia="方正仿宋_GBK"/>
          <w:sz w:val="32"/>
          <w:szCs w:val="32"/>
        </w:rPr>
      </w:pPr>
      <w:r>
        <w:rPr>
          <w:rFonts w:eastAsia="方正仿宋_GBK"/>
          <w:sz w:val="32"/>
          <w:szCs w:val="32"/>
        </w:rPr>
        <w:t>9、保健食品及化妆品。2018年度共接收保健食品及化妆品42批次，其中保健食品监督抽检20批次，化妆品监督抽检20批次，保健品委托检验2批次。</w:t>
      </w:r>
    </w:p>
    <w:p>
      <w:pPr>
        <w:spacing w:line="600" w:lineRule="exact"/>
        <w:ind w:firstLine="640" w:firstLineChars="200"/>
        <w:rPr>
          <w:rFonts w:eastAsia="方正仿宋_GBK"/>
          <w:sz w:val="32"/>
          <w:szCs w:val="32"/>
        </w:rPr>
      </w:pPr>
      <w:r>
        <w:rPr>
          <w:rFonts w:eastAsia="方正仿宋_GBK"/>
          <w:sz w:val="32"/>
          <w:szCs w:val="32"/>
        </w:rPr>
        <w:t>10、能力验证。2018年度报名参加中检院4个项目能力验证。</w:t>
      </w:r>
    </w:p>
    <w:p>
      <w:pPr>
        <w:spacing w:line="600" w:lineRule="exact"/>
        <w:ind w:firstLine="640" w:firstLineChars="200"/>
        <w:rPr>
          <w:rFonts w:eastAsia="方正仿宋_GBK"/>
          <w:sz w:val="32"/>
          <w:szCs w:val="32"/>
        </w:rPr>
      </w:pPr>
      <w:r>
        <w:rPr>
          <w:rFonts w:eastAsia="方正仿宋_GBK"/>
          <w:sz w:val="32"/>
          <w:szCs w:val="32"/>
        </w:rPr>
        <w:t>11.全市共上报MDR报告数942份，百万人口报告数413.44，严重报告105份，严重报告比例达11.15%。</w:t>
      </w:r>
    </w:p>
    <w:p>
      <w:pPr>
        <w:spacing w:line="600" w:lineRule="exact"/>
        <w:ind w:firstLine="640" w:firstLineChars="200"/>
        <w:jc w:val="center"/>
        <w:rPr>
          <w:rFonts w:eastAsia="黑体"/>
          <w:sz w:val="32"/>
          <w:szCs w:val="32"/>
        </w:rPr>
      </w:pPr>
    </w:p>
    <w:p>
      <w:pPr>
        <w:spacing w:line="600" w:lineRule="exact"/>
        <w:ind w:firstLine="640" w:firstLineChars="200"/>
        <w:jc w:val="center"/>
        <w:rPr>
          <w:rFonts w:ascii="黑体" w:hAnsi="黑体" w:eastAsia="黑体"/>
          <w:sz w:val="32"/>
          <w:szCs w:val="32"/>
        </w:rPr>
      </w:pPr>
      <w:r>
        <w:rPr>
          <w:rFonts w:hint="eastAsia" w:ascii="黑体" w:hAnsi="黑体" w:eastAsia="黑体"/>
          <w:sz w:val="32"/>
          <w:szCs w:val="32"/>
        </w:rPr>
        <w:t>第二部分</w:t>
      </w:r>
      <w:r>
        <w:rPr>
          <w:rFonts w:hint="eastAsia" w:ascii="黑体" w:hAnsi="黑体" w:eastAsia="黑体" w:cs="方正楷体_GBK"/>
          <w:sz w:val="32"/>
          <w:szCs w:val="32"/>
        </w:rPr>
        <w:t>玉溪市食品药品监督管理局</w:t>
      </w:r>
      <w:r>
        <w:rPr>
          <w:rFonts w:ascii="黑体" w:hAnsi="黑体" w:eastAsia="黑体"/>
          <w:sz w:val="32"/>
          <w:szCs w:val="32"/>
        </w:rPr>
        <w:t>部门</w:t>
      </w:r>
    </w:p>
    <w:p>
      <w:pPr>
        <w:spacing w:line="600" w:lineRule="exact"/>
        <w:ind w:firstLine="640" w:firstLineChars="200"/>
        <w:jc w:val="center"/>
        <w:rPr>
          <w:rFonts w:ascii="黑体" w:hAnsi="黑体" w:eastAsia="黑体" w:cs="方正楷体_GBK"/>
          <w:sz w:val="32"/>
          <w:szCs w:val="32"/>
        </w:rPr>
      </w:pPr>
      <w:r>
        <w:rPr>
          <w:rFonts w:ascii="黑体" w:hAnsi="黑体" w:eastAsia="黑体"/>
          <w:sz w:val="32"/>
          <w:szCs w:val="32"/>
        </w:rPr>
        <w:t>2019年部门预算编制说明</w:t>
      </w:r>
    </w:p>
    <w:p>
      <w:pPr>
        <w:spacing w:line="600" w:lineRule="exact"/>
        <w:ind w:firstLine="640" w:firstLineChars="200"/>
        <w:jc w:val="center"/>
        <w:rPr>
          <w:rFonts w:ascii="黑体" w:hAnsi="黑体" w:eastAsia="黑体"/>
          <w:sz w:val="32"/>
          <w:szCs w:val="32"/>
        </w:rPr>
      </w:pPr>
    </w:p>
    <w:p>
      <w:pPr>
        <w:widowControl/>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一、</w:t>
      </w:r>
      <w:r>
        <w:rPr>
          <w:rFonts w:ascii="黑体" w:hAnsi="黑体" w:eastAsia="黑体"/>
          <w:kern w:val="0"/>
          <w:sz w:val="32"/>
          <w:szCs w:val="32"/>
        </w:rPr>
        <w:t>预算单位基本情况</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我部门编制2019年部门预算单位共3个。其中：财政全供给单位3个；部分供给单位0个；特殊供给单位0个；自收自支单位0个。财政全供给单位中行政单位1个；参公管理事业单位0个；非参公管理事业单位2个。截止2018年12月统计，部门基本情况如下：</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在职人员编制98人，其中：行政编制57人，事业编制41人。在职实有94人，其中： 财政全供养94人，财政部分供养0人，非财政供养0人。</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离退休人员29人，其中： 离休 0人，退休 29人。</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车辆编制6辆，实有车辆7辆。</w:t>
      </w:r>
    </w:p>
    <w:p>
      <w:pPr>
        <w:widowControl/>
        <w:spacing w:line="600" w:lineRule="exact"/>
        <w:ind w:firstLine="643" w:firstLineChars="200"/>
        <w:jc w:val="left"/>
        <w:rPr>
          <w:rFonts w:eastAsia="楷体_GB2312" w:asciiTheme="minorHAnsi" w:hAnsiTheme="minorHAnsi"/>
          <w:kern w:val="0"/>
          <w:sz w:val="32"/>
          <w:szCs w:val="32"/>
        </w:rPr>
      </w:pPr>
      <w:r>
        <w:rPr>
          <w:rFonts w:hint="eastAsia" w:ascii="黑体" w:hAnsi="黑体" w:eastAsia="黑体"/>
          <w:b/>
          <w:bCs/>
          <w:kern w:val="0"/>
          <w:sz w:val="32"/>
          <w:szCs w:val="32"/>
        </w:rPr>
        <w:t>二</w:t>
      </w:r>
      <w:r>
        <w:rPr>
          <w:rFonts w:ascii="黑体" w:hAnsi="黑体" w:eastAsia="黑体"/>
          <w:b/>
          <w:bCs/>
          <w:kern w:val="0"/>
          <w:sz w:val="32"/>
          <w:szCs w:val="32"/>
        </w:rPr>
        <w:t>、</w:t>
      </w:r>
      <w:r>
        <w:rPr>
          <w:rFonts w:hint="eastAsia" w:eastAsia="楷体_GB2312" w:asciiTheme="minorHAnsi" w:hAnsiTheme="minorHAnsi"/>
          <w:kern w:val="0"/>
          <w:sz w:val="32"/>
          <w:szCs w:val="32"/>
        </w:rPr>
        <w:t>预算单位</w:t>
      </w:r>
      <w:r>
        <w:rPr>
          <w:rFonts w:hint="eastAsia" w:ascii="楷体_GB2312" w:eastAsia="楷体_GB2312"/>
          <w:kern w:val="0"/>
          <w:sz w:val="32"/>
          <w:szCs w:val="32"/>
        </w:rPr>
        <w:t>收入情况</w:t>
      </w:r>
    </w:p>
    <w:p>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w:t>
      </w:r>
      <w:r>
        <w:rPr>
          <w:rFonts w:hint="eastAsia" w:eastAsia="楷体_GB2312" w:asciiTheme="minorHAnsi" w:hAnsiTheme="minorHAnsi"/>
          <w:kern w:val="0"/>
          <w:sz w:val="32"/>
          <w:szCs w:val="32"/>
        </w:rPr>
        <w:t>预算单位</w:t>
      </w:r>
      <w:r>
        <w:rPr>
          <w:rFonts w:hint="eastAsia" w:ascii="楷体_GB2312" w:eastAsia="楷体_GB2312"/>
          <w:kern w:val="0"/>
          <w:sz w:val="32"/>
          <w:szCs w:val="32"/>
        </w:rPr>
        <w:t>收入情况</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2019年部门财务总收入 2597.35万元，其中：一般公共预算2587.69万元，政府性基金0万元，国有资本经营收益0万元，事业收入0万元，事业单位经营收入0万元，其他收入9.66万元。</w:t>
      </w:r>
    </w:p>
    <w:p>
      <w:pPr>
        <w:widowControl/>
        <w:spacing w:line="60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（二）财政拨款收入情况</w:t>
      </w:r>
    </w:p>
    <w:p>
      <w:pPr>
        <w:widowControl/>
        <w:spacing w:line="600" w:lineRule="exact"/>
        <w:ind w:firstLine="800" w:firstLineChars="250"/>
        <w:jc w:val="left"/>
        <w:rPr>
          <w:rFonts w:eastAsia="方正仿宋_GBK"/>
          <w:kern w:val="0"/>
          <w:sz w:val="32"/>
          <w:szCs w:val="32"/>
        </w:rPr>
      </w:pPr>
      <w:r>
        <w:rPr>
          <w:rFonts w:eastAsia="方正仿宋_GBK"/>
          <w:kern w:val="0"/>
          <w:sz w:val="32"/>
          <w:szCs w:val="32"/>
        </w:rPr>
        <w:t>2019年部门财政拨款收入 2597.35万元，与上年同口径相比减少1588.41 万元，减少率37.95 %，减少的主要原因是：2019年财政未安排我部门项目经费，2018年项目经费预算为 1533.6万元，项目经费收入预算减少较大。另外在2018年下达时，去部门共有在职人员97人，2019年下达预算人数为94人，减少了三人，故人员经费和日常公用经费收入预算减少。</w:t>
      </w:r>
    </w:p>
    <w:p>
      <w:pPr>
        <w:widowControl/>
        <w:spacing w:line="600" w:lineRule="exact"/>
        <w:ind w:firstLine="800" w:firstLineChars="250"/>
        <w:jc w:val="left"/>
        <w:rPr>
          <w:rFonts w:eastAsia="方正仿宋_GBK"/>
          <w:color w:val="FF0000"/>
          <w:kern w:val="0"/>
          <w:sz w:val="32"/>
          <w:szCs w:val="32"/>
        </w:rPr>
      </w:pPr>
      <w:r>
        <w:rPr>
          <w:rFonts w:eastAsia="方正仿宋_GBK"/>
          <w:kern w:val="0"/>
          <w:sz w:val="32"/>
          <w:szCs w:val="32"/>
        </w:rPr>
        <w:t>其中:本年收入2597.35万元，上年结转收入0万元。本年收入中，一般公共预算财政拨款2597.35万元（本级财力2587.69万元，专项收入0万元，执法办案补助0万元，收费成本补偿0万元，财政专户管理的收入0万元，国有资源（资产）有偿使用收入0万元，其他非税收入安排9.66万元），政府性基金财政拨款0万元，国有资本经营收益财政拨款0万元。</w:t>
      </w:r>
    </w:p>
    <w:p>
      <w:pPr>
        <w:widowControl/>
        <w:numPr>
          <w:ilvl w:val="255"/>
          <w:numId w:val="0"/>
        </w:numPr>
        <w:spacing w:line="600" w:lineRule="exact"/>
        <w:ind w:firstLine="640" w:firstLineChars="200"/>
        <w:jc w:val="left"/>
        <w:rPr>
          <w:rFonts w:eastAsia="方正仿宋_GBK"/>
          <w:b/>
          <w:bCs/>
          <w:kern w:val="0"/>
          <w:sz w:val="32"/>
          <w:szCs w:val="32"/>
        </w:rPr>
      </w:pPr>
      <w:r>
        <w:rPr>
          <w:rFonts w:eastAsia="方正仿宋_GBK"/>
          <w:kern w:val="0"/>
          <w:sz w:val="32"/>
          <w:szCs w:val="32"/>
        </w:rPr>
        <w:t>以上财政拨款收支预算，将根据机构改革情况，在执行中依法依规作相应调整。</w:t>
      </w:r>
    </w:p>
    <w:p>
      <w:pPr>
        <w:widowControl/>
        <w:spacing w:line="600" w:lineRule="exact"/>
        <w:ind w:firstLine="803" w:firstLineChars="250"/>
        <w:jc w:val="left"/>
        <w:rPr>
          <w:rFonts w:ascii="黑体" w:hAnsi="黑体" w:eastAsia="黑体"/>
          <w:kern w:val="0"/>
          <w:sz w:val="32"/>
          <w:szCs w:val="32"/>
        </w:rPr>
      </w:pPr>
      <w:r>
        <w:rPr>
          <w:rFonts w:hint="eastAsia" w:ascii="黑体" w:hAnsi="黑体" w:eastAsia="黑体"/>
          <w:b/>
          <w:bCs/>
          <w:color w:val="070707"/>
          <w:kern w:val="0"/>
          <w:sz w:val="32"/>
          <w:szCs w:val="32"/>
        </w:rPr>
        <w:t>三、</w:t>
      </w:r>
      <w:r>
        <w:rPr>
          <w:rFonts w:hint="eastAsia" w:ascii="黑体" w:hAnsi="黑体" w:eastAsia="黑体"/>
          <w:kern w:val="0"/>
          <w:sz w:val="32"/>
          <w:szCs w:val="32"/>
        </w:rPr>
        <w:t>预算单位支出情况</w:t>
      </w:r>
    </w:p>
    <w:p>
      <w:pPr>
        <w:widowControl/>
        <w:spacing w:line="600" w:lineRule="exact"/>
        <w:ind w:firstLine="800" w:firstLineChars="250"/>
        <w:jc w:val="left"/>
        <w:rPr>
          <w:rFonts w:eastAsia="方正仿宋_GBK"/>
          <w:kern w:val="0"/>
          <w:sz w:val="32"/>
          <w:szCs w:val="32"/>
        </w:rPr>
      </w:pPr>
      <w:r>
        <w:rPr>
          <w:rFonts w:eastAsia="方正仿宋_GBK"/>
          <w:kern w:val="0"/>
          <w:sz w:val="32"/>
          <w:szCs w:val="32"/>
        </w:rPr>
        <w:t>2019年一般公共预算支出2597.35万元。其中，基本支出2597.35万元，项目支出0万元。本级财力安排支出2597.35万元，与上年同口径相比减少1588.41万元，减少率37.95 %，减少的主要原因是：2019年财政未安排我部门项目经费，2018年项目经费预算为 1533.6万元，项目经费支出预算减少较大。另外在2018年下达时，我部门共有在职人员97人，2019年下达预算人数为94人，减少了三人，故</w:t>
      </w:r>
      <w:r>
        <w:rPr>
          <w:rFonts w:hint="eastAsia" w:eastAsia="方正仿宋_GBK"/>
          <w:kern w:val="0"/>
          <w:sz w:val="32"/>
          <w:szCs w:val="32"/>
        </w:rPr>
        <w:t>工资福利支出</w:t>
      </w:r>
      <w:r>
        <w:rPr>
          <w:rFonts w:eastAsia="方正仿宋_GBK"/>
          <w:kern w:val="0"/>
          <w:sz w:val="32"/>
          <w:szCs w:val="32"/>
        </w:rPr>
        <w:t xml:space="preserve">和日常公用经费支出预算减少。  </w:t>
      </w:r>
    </w:p>
    <w:p>
      <w:pPr>
        <w:widowControl/>
        <w:spacing w:line="600" w:lineRule="exact"/>
        <w:ind w:firstLine="480" w:firstLineChars="150"/>
        <w:jc w:val="left"/>
        <w:rPr>
          <w:rFonts w:eastAsia="仿宋_GB2312"/>
          <w:kern w:val="0"/>
          <w:sz w:val="32"/>
          <w:szCs w:val="32"/>
        </w:rPr>
      </w:pPr>
      <w:r>
        <w:rPr>
          <w:rFonts w:hint="eastAsia" w:ascii="楷体_GB2312" w:eastAsia="楷体_GB2312"/>
          <w:kern w:val="0"/>
          <w:sz w:val="32"/>
          <w:szCs w:val="32"/>
        </w:rPr>
        <w:t>（一）预算单位支出按功能科目分类情况</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按功能科目分类说明，主要用于：</w:t>
      </w:r>
    </w:p>
    <w:p>
      <w:pPr>
        <w:widowControl/>
        <w:spacing w:line="600" w:lineRule="exact"/>
        <w:ind w:firstLine="600" w:firstLineChars="200"/>
        <w:jc w:val="left"/>
        <w:rPr>
          <w:rFonts w:eastAsia="方正仿宋_GBK"/>
          <w:sz w:val="30"/>
          <w:szCs w:val="30"/>
          <w:shd w:val="clear" w:color="auto" w:fill="FFFFFF"/>
        </w:rPr>
      </w:pPr>
      <w:r>
        <w:rPr>
          <w:rFonts w:eastAsia="方正仿宋_GBK"/>
          <w:sz w:val="30"/>
          <w:szCs w:val="30"/>
          <w:shd w:val="clear" w:color="auto" w:fill="FFFFFF"/>
        </w:rPr>
        <w:t>1、201一般公共服务支出2054.94万元，主要用于</w:t>
      </w:r>
      <w:r>
        <w:rPr>
          <w:rFonts w:eastAsia="方正仿宋_GBK"/>
          <w:sz w:val="30"/>
          <w:szCs w:val="30"/>
        </w:rPr>
        <w:t>保障市局机关、下属事业单位食品药品检验所及药品评价中心机构正常运转的基本支出，包括人员经费和日常公用经费支出，其中：市局机关运行经费1404.32万元，食品药品检验所运行经费581.63万元，药品评价中心运行经费69万元。</w:t>
      </w:r>
    </w:p>
    <w:p>
      <w:pPr>
        <w:widowControl/>
        <w:spacing w:line="600" w:lineRule="exact"/>
        <w:ind w:firstLine="600" w:firstLineChars="200"/>
        <w:jc w:val="left"/>
        <w:rPr>
          <w:rFonts w:eastAsia="方正仿宋_GBK"/>
          <w:sz w:val="30"/>
          <w:szCs w:val="30"/>
        </w:rPr>
      </w:pPr>
      <w:r>
        <w:rPr>
          <w:rFonts w:eastAsia="方正仿宋_GBK"/>
          <w:sz w:val="30"/>
          <w:szCs w:val="30"/>
          <w:shd w:val="clear" w:color="auto" w:fill="FFFFFF"/>
        </w:rPr>
        <w:t>2、208社会保障和就业支出257.22万元，主要用于本局机关和下属两个事业单位离退休支出85.02万元、机关事业单位基本养老保险缴费支出161.85万元、机关事业单位职业年金缴费支出3.23万元财政对其他社会保险基金补助支出7.12万元。</w:t>
      </w:r>
    </w:p>
    <w:p>
      <w:pPr>
        <w:pStyle w:val="13"/>
        <w:spacing w:line="600" w:lineRule="exact"/>
        <w:rPr>
          <w:rFonts w:ascii="Times New Roman" w:eastAsia="方正仿宋_GBK"/>
          <w:sz w:val="30"/>
          <w:szCs w:val="30"/>
        </w:rPr>
      </w:pPr>
      <w:r>
        <w:rPr>
          <w:rFonts w:ascii="Times New Roman" w:eastAsia="方正仿宋_GBK"/>
          <w:sz w:val="30"/>
          <w:szCs w:val="30"/>
        </w:rPr>
        <w:t>窗体底端</w:t>
      </w:r>
    </w:p>
    <w:p>
      <w:pPr>
        <w:pStyle w:val="7"/>
        <w:widowControl/>
        <w:spacing w:beforeAutospacing="0" w:afterAutospacing="0" w:line="600" w:lineRule="exact"/>
        <w:ind w:firstLine="600" w:firstLineChars="200"/>
        <w:jc w:val="both"/>
        <w:rPr>
          <w:rFonts w:eastAsia="方正仿宋_GBK"/>
          <w:sz w:val="30"/>
          <w:szCs w:val="30"/>
          <w:shd w:val="clear" w:color="auto" w:fill="FFFFFF"/>
        </w:rPr>
      </w:pPr>
      <w:r>
        <w:rPr>
          <w:rFonts w:eastAsia="方正仿宋_GBK"/>
          <w:sz w:val="30"/>
          <w:szCs w:val="30"/>
        </w:rPr>
        <w:t>2、210卫生健康支出138.43万元，其中：</w:t>
      </w:r>
      <w:r>
        <w:rPr>
          <w:rFonts w:eastAsia="方正仿宋_GBK"/>
          <w:sz w:val="30"/>
          <w:szCs w:val="30"/>
          <w:shd w:val="clear" w:color="auto" w:fill="FFFFFF"/>
        </w:rPr>
        <w:t>行政单位医疗48.67万元、事业单位医疗31.41万元、公务员医疗补助58.35万元。</w:t>
      </w:r>
    </w:p>
    <w:p>
      <w:pPr>
        <w:pStyle w:val="7"/>
        <w:widowControl/>
        <w:spacing w:beforeAutospacing="0" w:afterAutospacing="0" w:line="600" w:lineRule="exact"/>
        <w:ind w:firstLine="600" w:firstLineChars="200"/>
        <w:jc w:val="both"/>
        <w:rPr>
          <w:rFonts w:eastAsia="方正仿宋_GBK"/>
          <w:sz w:val="30"/>
          <w:szCs w:val="30"/>
          <w:shd w:val="clear" w:color="auto" w:fill="FFFFFF"/>
        </w:rPr>
      </w:pPr>
      <w:r>
        <w:rPr>
          <w:rFonts w:eastAsia="方正仿宋_GBK"/>
          <w:sz w:val="30"/>
          <w:szCs w:val="30"/>
          <w:shd w:val="clear" w:color="auto" w:fill="FFFFFF"/>
        </w:rPr>
        <w:t>3、221住房保障支出146.74万元，主要用于住房公积金137.54万元、购房补贴9.2万元。</w:t>
      </w:r>
    </w:p>
    <w:p>
      <w:pPr>
        <w:widowControl/>
        <w:spacing w:line="60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（二）预算单位支出按经济科目分类情况</w:t>
      </w:r>
    </w:p>
    <w:p>
      <w:pPr>
        <w:widowControl/>
        <w:numPr>
          <w:ilvl w:val="0"/>
          <w:numId w:val="3"/>
        </w:numPr>
        <w:spacing w:line="600" w:lineRule="exact"/>
        <w:ind w:firstLine="600" w:firstLineChars="200"/>
        <w:jc w:val="left"/>
        <w:rPr>
          <w:rFonts w:eastAsia="方正仿宋_GBK"/>
          <w:sz w:val="30"/>
          <w:szCs w:val="30"/>
          <w:shd w:val="clear" w:color="auto" w:fill="FFFFFF"/>
        </w:rPr>
      </w:pPr>
      <w:r>
        <w:rPr>
          <w:rFonts w:eastAsia="方正仿宋_GBK"/>
          <w:sz w:val="30"/>
          <w:szCs w:val="30"/>
          <w:shd w:val="clear" w:color="auto" w:fill="FFFFFF"/>
        </w:rPr>
        <w:t>301工资福利支出1841.87万元，其中：基本支出1152.25万元，项目支出0万元。</w:t>
      </w:r>
    </w:p>
    <w:p>
      <w:pPr>
        <w:widowControl/>
        <w:numPr>
          <w:ilvl w:val="0"/>
          <w:numId w:val="3"/>
        </w:numPr>
        <w:spacing w:line="600" w:lineRule="exact"/>
        <w:ind w:firstLine="600" w:firstLineChars="200"/>
        <w:jc w:val="left"/>
        <w:rPr>
          <w:rFonts w:eastAsia="方正仿宋_GBK"/>
          <w:sz w:val="30"/>
          <w:szCs w:val="30"/>
          <w:shd w:val="clear" w:color="auto" w:fill="FFFFFF"/>
        </w:rPr>
      </w:pPr>
      <w:r>
        <w:rPr>
          <w:rFonts w:eastAsia="方正仿宋_GBK"/>
          <w:sz w:val="30"/>
          <w:szCs w:val="30"/>
          <w:shd w:val="clear" w:color="auto" w:fill="FFFFFF"/>
        </w:rPr>
        <w:t>302商品和服务支出663.76万元，其中：基本支出663.76万元，项目支出0万元。</w:t>
      </w:r>
    </w:p>
    <w:p>
      <w:pPr>
        <w:widowControl/>
        <w:numPr>
          <w:ilvl w:val="0"/>
          <w:numId w:val="3"/>
        </w:numPr>
        <w:spacing w:line="600" w:lineRule="exact"/>
        <w:ind w:firstLine="600" w:firstLineChars="200"/>
        <w:jc w:val="left"/>
        <w:rPr>
          <w:rFonts w:eastAsia="方正仿宋_GBK"/>
          <w:sz w:val="30"/>
          <w:szCs w:val="30"/>
          <w:shd w:val="clear" w:color="auto" w:fill="FFFFFF"/>
        </w:rPr>
      </w:pPr>
      <w:r>
        <w:rPr>
          <w:rFonts w:eastAsia="方正仿宋_GBK"/>
          <w:sz w:val="30"/>
          <w:szCs w:val="30"/>
          <w:shd w:val="clear" w:color="auto" w:fill="FFFFFF"/>
        </w:rPr>
        <w:t>303对个人和家庭补助83.28万元，其中：基本支出83.28万元，项目支出0万元。</w:t>
      </w:r>
    </w:p>
    <w:p>
      <w:pPr>
        <w:widowControl/>
        <w:numPr>
          <w:ilvl w:val="0"/>
          <w:numId w:val="3"/>
        </w:numPr>
        <w:spacing w:line="600" w:lineRule="exact"/>
        <w:ind w:firstLine="600" w:firstLineChars="200"/>
        <w:jc w:val="left"/>
        <w:rPr>
          <w:rFonts w:eastAsia="方正仿宋_GBK"/>
          <w:sz w:val="30"/>
          <w:szCs w:val="30"/>
        </w:rPr>
      </w:pPr>
      <w:r>
        <w:rPr>
          <w:rFonts w:eastAsia="方正仿宋_GBK"/>
          <w:sz w:val="30"/>
          <w:szCs w:val="30"/>
          <w:shd w:val="clear" w:color="auto" w:fill="FFFFFF"/>
        </w:rPr>
        <w:t>310资本性支出8.44万元，其中：基本支出8.44万元，项目支出0万元。</w:t>
      </w:r>
    </w:p>
    <w:p>
      <w:pPr>
        <w:widowControl/>
        <w:spacing w:line="60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（三）预算单位本级财力安排列支本级项目情况</w:t>
      </w:r>
    </w:p>
    <w:p>
      <w:pPr>
        <w:widowControl/>
        <w:spacing w:line="600" w:lineRule="exact"/>
        <w:ind w:firstLine="480" w:firstLineChars="150"/>
        <w:jc w:val="left"/>
        <w:rPr>
          <w:rFonts w:ascii="方正仿宋_GBK" w:eastAsia="方正仿宋_GBK"/>
          <w:kern w:val="0"/>
          <w:sz w:val="32"/>
          <w:szCs w:val="32"/>
        </w:rPr>
      </w:pPr>
      <w:r>
        <w:rPr>
          <w:rFonts w:hint="eastAsia" w:ascii="楷体_GB2312" w:eastAsia="楷体_GB2312"/>
          <w:kern w:val="0"/>
          <w:sz w:val="32"/>
          <w:szCs w:val="32"/>
        </w:rPr>
        <w:t xml:space="preserve">  </w:t>
      </w:r>
      <w:r>
        <w:rPr>
          <w:rFonts w:hint="eastAsia" w:ascii="方正仿宋_GBK" w:eastAsia="方正仿宋_GBK"/>
          <w:kern w:val="0"/>
          <w:sz w:val="32"/>
          <w:szCs w:val="32"/>
        </w:rPr>
        <w:t>无。</w:t>
      </w:r>
    </w:p>
    <w:p>
      <w:pPr>
        <w:widowControl/>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四</w:t>
      </w:r>
      <w:r>
        <w:rPr>
          <w:rFonts w:ascii="黑体" w:hAnsi="黑体" w:eastAsia="黑体"/>
          <w:kern w:val="0"/>
          <w:sz w:val="32"/>
          <w:szCs w:val="32"/>
        </w:rPr>
        <w:t>、</w:t>
      </w:r>
      <w:r>
        <w:rPr>
          <w:rFonts w:hint="eastAsia" w:ascii="黑体" w:hAnsi="黑体" w:eastAsia="黑体"/>
          <w:kern w:val="0"/>
          <w:sz w:val="32"/>
          <w:szCs w:val="32"/>
        </w:rPr>
        <w:t>关于玉溪市食品药品监督管理局</w:t>
      </w:r>
      <w:r>
        <w:rPr>
          <w:rFonts w:ascii="黑体" w:hAnsi="黑体" w:eastAsia="黑体"/>
          <w:kern w:val="0"/>
          <w:sz w:val="32"/>
          <w:szCs w:val="32"/>
        </w:rPr>
        <w:t>2019</w:t>
      </w:r>
      <w:r>
        <w:rPr>
          <w:rFonts w:hint="eastAsia" w:ascii="黑体" w:hAnsi="黑体" w:eastAsia="黑体"/>
          <w:kern w:val="0"/>
          <w:sz w:val="32"/>
          <w:szCs w:val="32"/>
        </w:rPr>
        <w:t>年预算市</w:t>
      </w:r>
      <w:r>
        <w:rPr>
          <w:rFonts w:ascii="黑体" w:hAnsi="黑体" w:eastAsia="黑体"/>
          <w:kern w:val="0"/>
          <w:sz w:val="32"/>
          <w:szCs w:val="32"/>
        </w:rPr>
        <w:t>对下</w:t>
      </w:r>
      <w:r>
        <w:rPr>
          <w:rFonts w:hint="eastAsia" w:ascii="黑体" w:hAnsi="黑体" w:eastAsia="黑体"/>
          <w:kern w:val="0"/>
          <w:sz w:val="32"/>
          <w:szCs w:val="32"/>
        </w:rPr>
        <w:t>专</w:t>
      </w:r>
      <w:r>
        <w:rPr>
          <w:rFonts w:ascii="黑体" w:hAnsi="黑体" w:eastAsia="黑体"/>
          <w:kern w:val="0"/>
          <w:sz w:val="32"/>
          <w:szCs w:val="32"/>
        </w:rPr>
        <w:t>项转移支付情况</w:t>
      </w:r>
      <w:r>
        <w:rPr>
          <w:rFonts w:hint="eastAsia" w:ascii="黑体" w:hAnsi="黑体" w:eastAsia="黑体"/>
          <w:kern w:val="0"/>
          <w:sz w:val="32"/>
          <w:szCs w:val="32"/>
        </w:rPr>
        <w:t>说明</w:t>
      </w:r>
    </w:p>
    <w:p>
      <w:pPr>
        <w:widowControl/>
        <w:spacing w:line="60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（一）列入市对下专项转移支付项目清单情况</w:t>
      </w:r>
    </w:p>
    <w:p>
      <w:pPr>
        <w:widowControl/>
        <w:spacing w:line="60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无。</w:t>
      </w:r>
    </w:p>
    <w:p>
      <w:pPr>
        <w:widowControl/>
        <w:spacing w:line="600" w:lineRule="exact"/>
        <w:ind w:firstLine="480" w:firstLineChars="150"/>
        <w:jc w:val="left"/>
        <w:rPr>
          <w:rFonts w:ascii="楷体_GB2312" w:eastAsia="楷体_GB2312"/>
          <w:kern w:val="0"/>
          <w:sz w:val="32"/>
          <w:szCs w:val="32"/>
        </w:rPr>
      </w:pPr>
      <w:r>
        <w:rPr>
          <w:rFonts w:hint="eastAsia" w:ascii="楷体_GB2312" w:eastAsia="楷体_GB2312"/>
          <w:kern w:val="0"/>
          <w:sz w:val="32"/>
          <w:szCs w:val="32"/>
        </w:rPr>
        <w:t>（二）与中央、省配套事项</w:t>
      </w:r>
    </w:p>
    <w:p>
      <w:pPr>
        <w:widowControl/>
        <w:spacing w:line="60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无。</w:t>
      </w:r>
    </w:p>
    <w:p>
      <w:pPr>
        <w:widowControl/>
        <w:spacing w:line="600" w:lineRule="exact"/>
        <w:ind w:firstLine="640" w:firstLineChars="200"/>
        <w:jc w:val="left"/>
        <w:rPr>
          <w:rFonts w:eastAsia="仿宋_GB2312"/>
          <w:b/>
          <w:kern w:val="0"/>
          <w:sz w:val="32"/>
          <w:szCs w:val="32"/>
        </w:rPr>
      </w:pPr>
      <w:r>
        <w:rPr>
          <w:rFonts w:hint="eastAsia" w:ascii="楷体_GB2312" w:eastAsia="楷体_GB2312"/>
          <w:kern w:val="0"/>
          <w:sz w:val="32"/>
          <w:szCs w:val="32"/>
        </w:rPr>
        <w:t>（三）按既定政策标准测算补助事项</w:t>
      </w:r>
    </w:p>
    <w:p>
      <w:pPr>
        <w:widowControl/>
        <w:spacing w:line="600" w:lineRule="exact"/>
        <w:ind w:firstLine="640" w:firstLineChars="200"/>
        <w:jc w:val="left"/>
        <w:rPr>
          <w:rFonts w:ascii="方正仿宋_GBK" w:eastAsia="方正仿宋_GBK"/>
          <w:kern w:val="0"/>
          <w:sz w:val="32"/>
          <w:szCs w:val="32"/>
        </w:rPr>
      </w:pPr>
      <w:r>
        <w:rPr>
          <w:rFonts w:hint="eastAsia" w:ascii="方正仿宋_GBK" w:eastAsia="方正仿宋_GBK"/>
          <w:kern w:val="0"/>
          <w:sz w:val="32"/>
          <w:szCs w:val="32"/>
        </w:rPr>
        <w:t>无。</w:t>
      </w:r>
    </w:p>
    <w:p>
      <w:pPr>
        <w:widowControl/>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五</w:t>
      </w:r>
      <w:r>
        <w:rPr>
          <w:rFonts w:ascii="黑体" w:hAnsi="黑体" w:eastAsia="黑体"/>
          <w:kern w:val="0"/>
          <w:sz w:val="32"/>
          <w:szCs w:val="32"/>
        </w:rPr>
        <w:t>、</w:t>
      </w:r>
      <w:r>
        <w:rPr>
          <w:rFonts w:hint="eastAsia" w:ascii="黑体" w:hAnsi="黑体" w:eastAsia="黑体"/>
          <w:kern w:val="0"/>
          <w:sz w:val="32"/>
          <w:szCs w:val="32"/>
        </w:rPr>
        <w:t>关于玉溪市食品药品监督管理局</w:t>
      </w:r>
      <w:r>
        <w:rPr>
          <w:rFonts w:ascii="黑体" w:hAnsi="黑体" w:eastAsia="黑体"/>
          <w:kern w:val="0"/>
          <w:sz w:val="32"/>
          <w:szCs w:val="32"/>
        </w:rPr>
        <w:t>2019</w:t>
      </w:r>
      <w:r>
        <w:rPr>
          <w:rFonts w:hint="eastAsia" w:ascii="黑体" w:hAnsi="黑体" w:eastAsia="黑体"/>
          <w:kern w:val="0"/>
          <w:sz w:val="32"/>
          <w:szCs w:val="32"/>
        </w:rPr>
        <w:t>年政府性基金预算情况说明</w:t>
      </w:r>
    </w:p>
    <w:p>
      <w:pPr>
        <w:widowControl/>
        <w:spacing w:line="600" w:lineRule="exact"/>
        <w:ind w:firstLine="640"/>
        <w:jc w:val="left"/>
        <w:rPr>
          <w:rFonts w:ascii="方正仿宋_GBK" w:hAnsi="黑体" w:eastAsia="方正仿宋_GBK"/>
          <w:kern w:val="0"/>
          <w:sz w:val="32"/>
          <w:szCs w:val="32"/>
        </w:rPr>
      </w:pPr>
      <w:r>
        <w:rPr>
          <w:rFonts w:hint="eastAsia" w:ascii="方正仿宋_GBK" w:hAnsi="黑体" w:eastAsia="方正仿宋_GBK"/>
          <w:kern w:val="0"/>
          <w:sz w:val="32"/>
          <w:szCs w:val="32"/>
        </w:rPr>
        <w:t>无。</w:t>
      </w:r>
    </w:p>
    <w:p>
      <w:pPr>
        <w:widowControl/>
        <w:numPr>
          <w:ilvl w:val="255"/>
          <w:numId w:val="0"/>
        </w:numPr>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六、关于玉溪市食品药品监督管理局</w:t>
      </w:r>
      <w:r>
        <w:rPr>
          <w:rFonts w:ascii="黑体" w:hAnsi="黑体" w:eastAsia="黑体"/>
          <w:kern w:val="0"/>
          <w:sz w:val="32"/>
          <w:szCs w:val="32"/>
        </w:rPr>
        <w:t>2019</w:t>
      </w:r>
      <w:r>
        <w:rPr>
          <w:rFonts w:hint="eastAsia" w:ascii="黑体" w:hAnsi="黑体" w:eastAsia="黑体"/>
          <w:kern w:val="0"/>
          <w:sz w:val="32"/>
          <w:szCs w:val="32"/>
        </w:rPr>
        <w:t>年“三公经费”预算情况说明</w:t>
      </w:r>
    </w:p>
    <w:p>
      <w:pPr>
        <w:widowControl/>
        <w:numPr>
          <w:ilvl w:val="255"/>
          <w:numId w:val="0"/>
        </w:numPr>
        <w:spacing w:line="600" w:lineRule="exact"/>
        <w:ind w:firstLine="600" w:firstLineChars="200"/>
        <w:jc w:val="left"/>
        <w:rPr>
          <w:rFonts w:eastAsia="方正仿宋_GBK"/>
          <w:kern w:val="0"/>
          <w:sz w:val="32"/>
          <w:szCs w:val="32"/>
        </w:rPr>
      </w:pPr>
      <w:r>
        <w:rPr>
          <w:rFonts w:eastAsia="方正仿宋_GBK"/>
          <w:sz w:val="30"/>
          <w:szCs w:val="30"/>
          <w:shd w:val="clear" w:color="auto" w:fill="FFFFFF"/>
        </w:rPr>
        <w:t>2019年部门“三公经费”预算42.54万元，与上年保持一致，无增减。其中：公务接待费17.92万元，与上年一致；公务用车运行费24.62万元，与上年一致。</w:t>
      </w:r>
    </w:p>
    <w:p>
      <w:pPr>
        <w:widowControl/>
        <w:spacing w:line="600" w:lineRule="exact"/>
        <w:ind w:firstLine="640" w:firstLineChars="200"/>
        <w:jc w:val="left"/>
        <w:rPr>
          <w:rFonts w:ascii="黑体" w:hAnsi="黑体" w:eastAsia="黑体"/>
          <w:sz w:val="32"/>
          <w:szCs w:val="32"/>
        </w:rPr>
      </w:pPr>
      <w:r>
        <w:rPr>
          <w:rFonts w:hint="eastAsia" w:ascii="黑体" w:hAnsi="黑体" w:eastAsia="黑体"/>
          <w:kern w:val="0"/>
          <w:sz w:val="32"/>
          <w:szCs w:val="32"/>
        </w:rPr>
        <w:t>七</w:t>
      </w:r>
      <w:r>
        <w:rPr>
          <w:rFonts w:ascii="黑体" w:hAnsi="黑体" w:eastAsia="黑体"/>
          <w:kern w:val="0"/>
          <w:sz w:val="32"/>
          <w:szCs w:val="32"/>
        </w:rPr>
        <w:t>、</w:t>
      </w:r>
      <w:r>
        <w:rPr>
          <w:rFonts w:ascii="黑体" w:hAnsi="黑体" w:eastAsia="黑体"/>
          <w:sz w:val="32"/>
          <w:szCs w:val="32"/>
        </w:rPr>
        <w:t>预算收支增减变化情况说明</w:t>
      </w:r>
    </w:p>
    <w:p>
      <w:pPr>
        <w:widowControl/>
        <w:spacing w:line="600" w:lineRule="exact"/>
        <w:ind w:firstLine="800" w:firstLineChars="250"/>
        <w:jc w:val="left"/>
        <w:rPr>
          <w:rFonts w:eastAsia="方正仿宋_GBK"/>
          <w:kern w:val="0"/>
          <w:sz w:val="32"/>
          <w:szCs w:val="32"/>
        </w:rPr>
      </w:pPr>
      <w:r>
        <w:rPr>
          <w:rFonts w:eastAsia="方正仿宋_GBK"/>
          <w:kern w:val="0"/>
          <w:sz w:val="32"/>
          <w:szCs w:val="32"/>
        </w:rPr>
        <w:t>2019年部门</w:t>
      </w:r>
      <w:r>
        <w:rPr>
          <w:rFonts w:hint="eastAsia" w:eastAsia="方正仿宋_GBK"/>
          <w:kern w:val="0"/>
          <w:sz w:val="32"/>
          <w:szCs w:val="32"/>
        </w:rPr>
        <w:t>预算</w:t>
      </w:r>
      <w:r>
        <w:rPr>
          <w:rFonts w:eastAsia="方正仿宋_GBK"/>
          <w:kern w:val="0"/>
          <w:sz w:val="32"/>
          <w:szCs w:val="32"/>
        </w:rPr>
        <w:t>收入 2597.35万元，与上年同口径相比减少1588.41 万元，减少率37.95 %，减少的主要原因是：2019年财政未安排我部门项目经费，2018年项目经费预算为 1533.6万元，项目经费收入预算减少较大。另外在2018年下达时，去部门共有在职人员97人，2019年下达预算人数为94人，减少了三人，故人员经费和日常公用经费收入预算减少。</w:t>
      </w:r>
    </w:p>
    <w:p>
      <w:pPr>
        <w:widowControl/>
        <w:spacing w:line="600" w:lineRule="exact"/>
        <w:ind w:firstLine="640" w:firstLineChars="200"/>
        <w:jc w:val="left"/>
        <w:rPr>
          <w:rFonts w:ascii="黑体" w:hAnsi="黑体" w:eastAsia="黑体"/>
          <w:sz w:val="32"/>
          <w:szCs w:val="32"/>
        </w:rPr>
      </w:pP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2019年我部门预算</w:t>
      </w:r>
      <w:r>
        <w:rPr>
          <w:rFonts w:hint="eastAsia" w:eastAsia="方正仿宋_GBK"/>
          <w:kern w:val="0"/>
          <w:sz w:val="32"/>
          <w:szCs w:val="32"/>
        </w:rPr>
        <w:t>支出</w:t>
      </w:r>
      <w:r>
        <w:rPr>
          <w:rFonts w:eastAsia="方正仿宋_GBK"/>
          <w:kern w:val="0"/>
          <w:sz w:val="32"/>
          <w:szCs w:val="32"/>
        </w:rPr>
        <w:t>比上年减少54.81万元，减2%。减少的原因是：在职人员减少3人，造成工资福利支出和人均公用经费相应减少。2018年下达我部门预算在职人员97人，2019年下达预算人数为94人，净减少了三人。其中：市局机关调市纪委3人、调安监局1人，退休2人；药检所事业人员招录1人，药品评价中心事业人员招录2人。</w:t>
      </w:r>
    </w:p>
    <w:p>
      <w:pPr>
        <w:widowControl/>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八</w:t>
      </w:r>
      <w:r>
        <w:rPr>
          <w:rFonts w:ascii="黑体" w:hAnsi="黑体" w:eastAsia="黑体"/>
          <w:kern w:val="0"/>
          <w:sz w:val="32"/>
          <w:szCs w:val="32"/>
        </w:rPr>
        <w:t>、</w:t>
      </w:r>
      <w:r>
        <w:rPr>
          <w:rFonts w:hint="eastAsia" w:ascii="黑体" w:hAnsi="黑体" w:eastAsia="黑体"/>
          <w:kern w:val="0"/>
          <w:sz w:val="32"/>
          <w:szCs w:val="32"/>
        </w:rPr>
        <w:t>关于玉溪市食品药品监督管理局</w:t>
      </w:r>
      <w:r>
        <w:rPr>
          <w:rFonts w:ascii="黑体" w:hAnsi="黑体" w:eastAsia="黑体"/>
          <w:kern w:val="0"/>
          <w:sz w:val="32"/>
          <w:szCs w:val="32"/>
        </w:rPr>
        <w:t>2019</w:t>
      </w:r>
      <w:r>
        <w:rPr>
          <w:rFonts w:hint="eastAsia" w:ascii="黑体" w:hAnsi="黑体" w:eastAsia="黑体"/>
          <w:kern w:val="0"/>
          <w:sz w:val="32"/>
          <w:szCs w:val="32"/>
        </w:rPr>
        <w:t>年</w:t>
      </w:r>
      <w:r>
        <w:rPr>
          <w:rFonts w:ascii="黑体" w:hAnsi="黑体" w:eastAsia="黑体"/>
          <w:kern w:val="0"/>
          <w:sz w:val="32"/>
          <w:szCs w:val="32"/>
        </w:rPr>
        <w:t>项目支出预算变动原因</w:t>
      </w:r>
      <w:r>
        <w:rPr>
          <w:rFonts w:hint="eastAsia" w:ascii="黑体" w:hAnsi="黑体" w:eastAsia="黑体"/>
          <w:kern w:val="0"/>
          <w:sz w:val="32"/>
          <w:szCs w:val="32"/>
        </w:rPr>
        <w:t>说明</w:t>
      </w:r>
    </w:p>
    <w:p>
      <w:pPr>
        <w:widowControl/>
        <w:spacing w:line="600" w:lineRule="exact"/>
        <w:ind w:firstLine="640" w:firstLineChars="200"/>
        <w:jc w:val="left"/>
        <w:rPr>
          <w:rFonts w:ascii="方正仿宋_GBK" w:eastAsia="方正仿宋_GBK"/>
          <w:b/>
          <w:kern w:val="0"/>
          <w:sz w:val="32"/>
          <w:szCs w:val="32"/>
        </w:rPr>
      </w:pPr>
      <w:r>
        <w:rPr>
          <w:rFonts w:hint="eastAsia" w:ascii="方正仿宋_GBK" w:eastAsia="方正仿宋_GBK"/>
          <w:kern w:val="0"/>
          <w:sz w:val="32"/>
          <w:szCs w:val="32"/>
        </w:rPr>
        <w:t>无。</w:t>
      </w:r>
    </w:p>
    <w:p>
      <w:pPr>
        <w:widowControl/>
        <w:spacing w:line="600" w:lineRule="exact"/>
        <w:ind w:firstLine="640" w:firstLineChars="200"/>
        <w:jc w:val="left"/>
        <w:rPr>
          <w:rFonts w:ascii="黑体" w:hAnsi="黑体" w:eastAsia="黑体"/>
          <w:kern w:val="0"/>
          <w:sz w:val="32"/>
          <w:szCs w:val="32"/>
        </w:rPr>
      </w:pPr>
      <w:r>
        <w:rPr>
          <w:rFonts w:hint="eastAsia" w:ascii="黑体" w:hAnsi="黑体" w:eastAsia="黑体"/>
          <w:kern w:val="0"/>
          <w:sz w:val="32"/>
          <w:szCs w:val="32"/>
        </w:rPr>
        <w:t>九、关于玉溪市食品药品监督管理局</w:t>
      </w:r>
      <w:r>
        <w:rPr>
          <w:rFonts w:ascii="黑体" w:hAnsi="黑体" w:eastAsia="黑体"/>
          <w:kern w:val="0"/>
          <w:sz w:val="32"/>
          <w:szCs w:val="32"/>
        </w:rPr>
        <w:t>2019</w:t>
      </w:r>
      <w:r>
        <w:rPr>
          <w:rFonts w:hint="eastAsia" w:ascii="黑体" w:hAnsi="黑体" w:eastAsia="黑体"/>
          <w:kern w:val="0"/>
          <w:sz w:val="32"/>
          <w:szCs w:val="32"/>
        </w:rPr>
        <w:t>年项目预算绩效情况说明</w:t>
      </w:r>
      <w:r>
        <w:rPr>
          <w:rFonts w:ascii="黑体" w:hAnsi="黑体" w:eastAsia="黑体"/>
          <w:kern w:val="0"/>
          <w:sz w:val="32"/>
          <w:szCs w:val="32"/>
        </w:rPr>
        <w:t xml:space="preserve"> </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为贯彻落实党的十九大关于“全面实施绩效管理”的战略部署，提高财政资源配置效率和使用效益，根据《玉溪市市级财政预算绩效目标管理暂行办法》（玉财债[2016]25号）要求， 玉溪市食品药品监督管理局2018年实行绩效目标管理一级项目7  个，二级项目 4 个，涉及一般公共预算当年拨款 1533.6 万元；纳入绩效评价试点的一级项目  7 个，涉及一般公共预算当年拨款 1337.8 万元；纳入绩效评价试点的二级项目 4 个，涉及一般公共预算当年拨款 195.8万元。2019 年实行绩效目标管理一级项目 0 个，二级项目  0 个，涉及一般公共预算当年拨款0  万元；纳入绩效评价试点的一级项目 0个，涉及一般公共预算当年拨款  0 万元；纳入绩效评价试点的二级项目 0 个，涉及一般公共预算当年拨款 0 万元。2019年与2018年相比减 11 个。减少的原因是：2019年财政未安排我部门项目经费，因此绩效评价项目0个，公共预算当年拨款0万元</w:t>
      </w:r>
      <w:r>
        <w:rPr>
          <w:rFonts w:eastAsia="方正仿宋_GBK"/>
          <w:b/>
          <w:kern w:val="0"/>
          <w:sz w:val="32"/>
          <w:szCs w:val="32"/>
        </w:rPr>
        <w:t>。</w:t>
      </w:r>
    </w:p>
    <w:p>
      <w:pPr>
        <w:widowControl/>
        <w:tabs>
          <w:tab w:val="left" w:pos="5745"/>
        </w:tabs>
        <w:spacing w:line="600" w:lineRule="exact"/>
        <w:ind w:firstLine="640" w:firstLineChars="200"/>
        <w:jc w:val="left"/>
        <w:rPr>
          <w:rFonts w:eastAsia="方正仿宋_GBK"/>
          <w:b/>
          <w:kern w:val="0"/>
          <w:sz w:val="32"/>
          <w:szCs w:val="32"/>
        </w:rPr>
      </w:pPr>
      <w:r>
        <w:rPr>
          <w:rFonts w:eastAsia="方正仿宋_GBK"/>
          <w:kern w:val="0"/>
          <w:sz w:val="32"/>
          <w:szCs w:val="32"/>
        </w:rPr>
        <w:t>项目绩效预期达到的效果：无</w:t>
      </w:r>
      <w:r>
        <w:rPr>
          <w:rFonts w:eastAsia="方正仿宋_GBK"/>
          <w:b/>
          <w:kern w:val="0"/>
          <w:sz w:val="32"/>
          <w:szCs w:val="32"/>
        </w:rPr>
        <w:t>。</w:t>
      </w:r>
      <w:r>
        <w:rPr>
          <w:rFonts w:eastAsia="方正仿宋_GBK"/>
          <w:b/>
          <w:kern w:val="0"/>
          <w:sz w:val="32"/>
          <w:szCs w:val="32"/>
        </w:rPr>
        <w:tab/>
      </w:r>
    </w:p>
    <w:p>
      <w:pPr>
        <w:widowControl/>
        <w:tabs>
          <w:tab w:val="left" w:pos="5745"/>
        </w:tabs>
        <w:spacing w:line="600" w:lineRule="exact"/>
        <w:ind w:firstLine="643" w:firstLineChars="200"/>
        <w:jc w:val="left"/>
        <w:rPr>
          <w:rFonts w:ascii="黑体" w:hAnsi="黑体" w:eastAsia="黑体"/>
          <w:kern w:val="0"/>
          <w:sz w:val="32"/>
          <w:szCs w:val="32"/>
        </w:rPr>
      </w:pPr>
      <w:r>
        <w:rPr>
          <w:rFonts w:hint="eastAsia" w:eastAsia="仿宋_GB2312"/>
          <w:b/>
          <w:kern w:val="0"/>
          <w:sz w:val="32"/>
          <w:szCs w:val="32"/>
        </w:rPr>
        <w:t>十、</w:t>
      </w:r>
      <w:r>
        <w:rPr>
          <w:rFonts w:hint="eastAsia" w:ascii="黑体" w:hAnsi="黑体" w:eastAsia="黑体"/>
          <w:kern w:val="0"/>
          <w:sz w:val="32"/>
          <w:szCs w:val="32"/>
        </w:rPr>
        <w:t>2019-2021年度部门整体支出绩效目标情况说明</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通过2019-2021年三年时间的建设和发展，统一权威的食品药品监管体系全面完善，适应新体制的工作机制基本完善；监管队伍素质全面提高，科学监管水平明显提高；基础设施和技术装备建设得到完善和加强，检验检测能力和信息化水平得到大的提升；安全责任得到全面落实，公众饮食用药安全得到有效保障；基本建立严密高效、社会共治的食品药品安全治理体系，食品药品安全形势持续向好，治理能力、产业发展水平和人民群众满意度明显提升。到2021年，实现以下具体发展目标:</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安全形势持续向好。食用农产品质量安全监测合格率稳定在97%以上，药品安全评价性抽验总体合格率稳定在97%以上；确保不发生重特大食品药品安全事故，食品药品安全水平得到全面提升，公众对食品药品安全的满意度显著提高。</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全程可追溯水平显著提升。推进“互联网+食品药品监管”、“互联网+农业”建设，强化各类基础数据库、追溯系统建设，形成互联互通、信息共享、业务协同、统一高效的食品药品监管信息系统，打造“智慧食品药品安全监管体系”，实现高风险食品、大宗农产品、药品的全程可追溯。</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技术支撑能力显著提升。全面完成玉溪市食品安全检（监）测能力项目建设，推进市级食品药品检验检测机构分设，依托省食品药品检验检测院技术、资源优势，将玉溪市食品药品检验所列为云南省食品药品监督检验研究院分院，综合技术实力和水平全面提升，食品药品检验能力大幅提高，市级食品药品检验能力达到90%以上。</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——食品药品抽检覆盖率显著提升。全市行政区域内的食品检验量不低于4份/千人</w:t>
      </w:r>
      <w:r>
        <w:rPr>
          <w:rFonts w:hint="eastAsia" w:eastAsia="方正仿宋_GBK"/>
          <w:kern w:val="0"/>
          <w:sz w:val="32"/>
          <w:szCs w:val="32"/>
        </w:rPr>
        <w:t>.</w:t>
      </w:r>
      <w:r>
        <w:rPr>
          <w:rFonts w:eastAsia="方正仿宋_GBK"/>
          <w:kern w:val="0"/>
          <w:sz w:val="32"/>
          <w:szCs w:val="32"/>
        </w:rPr>
        <w:t>年，食品抽检信息100%公布；药品监督抽验不低于600批次/年，基本药物、高风险药品监督抽验全覆盖。</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——执法装备水平显著提升。市、县、乡三级食品药品安全监管行政执法机构基本装备标准化配备率达到90%，各级食品药品安全监管机构以及监管执法个人终端实现互联互通。</w:t>
      </w:r>
    </w:p>
    <w:p>
      <w:pPr>
        <w:widowControl/>
        <w:spacing w:line="600" w:lineRule="exact"/>
        <w:ind w:firstLine="640" w:firstLineChars="200"/>
        <w:jc w:val="left"/>
        <w:rPr>
          <w:rFonts w:ascii="Arial Unicode MS" w:hAnsi="Arial Unicode MS" w:eastAsia="Arial Unicode MS" w:cs="Arial Unicode MS"/>
          <w:kern w:val="0"/>
          <w:sz w:val="32"/>
          <w:szCs w:val="32"/>
        </w:rPr>
      </w:pPr>
      <w:r>
        <w:rPr>
          <w:rFonts w:hint="eastAsia" w:ascii="Arial Unicode MS" w:hAnsi="Arial Unicode MS" w:eastAsia="Arial Unicode MS" w:cs="Arial Unicode MS"/>
          <w:kern w:val="0"/>
          <w:sz w:val="32"/>
          <w:szCs w:val="32"/>
        </w:rPr>
        <w:t>十一</w:t>
      </w:r>
      <w:r>
        <w:rPr>
          <w:rFonts w:ascii="Arial Unicode MS" w:hAnsi="Arial Unicode MS" w:eastAsia="Arial Unicode MS" w:cs="Arial Unicode MS"/>
          <w:kern w:val="0"/>
          <w:sz w:val="32"/>
          <w:szCs w:val="32"/>
        </w:rPr>
        <w:t>、其他公开信息</w:t>
      </w:r>
    </w:p>
    <w:p>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（一）机关运行经费安排</w:t>
      </w:r>
    </w:p>
    <w:p>
      <w:pPr>
        <w:widowControl/>
        <w:spacing w:line="600" w:lineRule="exact"/>
        <w:ind w:firstLine="640" w:firstLineChars="200"/>
        <w:jc w:val="left"/>
        <w:rPr>
          <w:rFonts w:eastAsia="方正仿宋_GBK"/>
          <w:kern w:val="0"/>
          <w:sz w:val="32"/>
          <w:szCs w:val="32"/>
        </w:rPr>
      </w:pPr>
      <w:r>
        <w:rPr>
          <w:rFonts w:eastAsia="方正仿宋_GBK"/>
          <w:kern w:val="0"/>
          <w:sz w:val="32"/>
          <w:szCs w:val="32"/>
        </w:rPr>
        <w:t>全年机关运行经费安排530.55万元，其中：公用经费安排466.99万元，业务工作经费安排63.56万元</w:t>
      </w:r>
      <w:r>
        <w:rPr>
          <w:rFonts w:hint="eastAsia" w:eastAsia="方正仿宋_GBK"/>
          <w:kern w:val="0"/>
          <w:sz w:val="32"/>
          <w:szCs w:val="32"/>
          <w:lang w:eastAsia="zh-CN"/>
        </w:rPr>
        <w:t>，</w:t>
      </w:r>
      <w:r>
        <w:rPr>
          <w:rFonts w:hint="eastAsia" w:eastAsia="方正仿宋_GBK"/>
          <w:kern w:val="0"/>
          <w:sz w:val="32"/>
          <w:szCs w:val="32"/>
          <w:lang w:val="en-US" w:eastAsia="zh-CN"/>
        </w:rPr>
        <w:t>2018年全年机关运行经费509.99万元，其中公用经费安排444.43万元，业务工作经费65.56万元，2019年比2018年增加20.56万元，原因是人员经费增加，计提的工会经费、福利费增多</w:t>
      </w:r>
      <w:bookmarkStart w:id="1" w:name="_GoBack"/>
      <w:bookmarkEnd w:id="1"/>
      <w:r>
        <w:rPr>
          <w:rFonts w:eastAsia="方正仿宋_GBK"/>
          <w:kern w:val="0"/>
          <w:sz w:val="32"/>
          <w:szCs w:val="32"/>
        </w:rPr>
        <w:t>。</w:t>
      </w:r>
    </w:p>
    <w:p>
      <w:pPr>
        <w:widowControl/>
        <w:spacing w:line="600" w:lineRule="exact"/>
        <w:ind w:firstLine="640" w:firstLineChars="200"/>
        <w:jc w:val="left"/>
        <w:rPr>
          <w:rFonts w:ascii="方正仿宋_GBK" w:eastAsia="方正仿宋_GBK"/>
          <w:kern w:val="0"/>
          <w:sz w:val="32"/>
          <w:szCs w:val="32"/>
        </w:rPr>
      </w:pPr>
      <w:r>
        <w:rPr>
          <w:rFonts w:eastAsia="方正仿宋_GBK"/>
          <w:kern w:val="0"/>
          <w:sz w:val="32"/>
          <w:szCs w:val="32"/>
        </w:rPr>
        <w:t>公用经费安排预算主要用于维护机关正常运转的办公费、水费电费、邮电费、差旅费</w:t>
      </w:r>
      <w:r>
        <w:rPr>
          <w:rFonts w:hint="eastAsia" w:ascii="方正仿宋_GBK" w:eastAsia="方正仿宋_GBK"/>
          <w:kern w:val="0"/>
          <w:sz w:val="32"/>
          <w:szCs w:val="32"/>
        </w:rPr>
        <w:t>、物业管理费、会议费、培训费、公务 用车运行维护费等支出，还包含工会经费和福利费，经及局机关办公用房租金。</w:t>
      </w:r>
    </w:p>
    <w:p>
      <w:pPr>
        <w:widowControl/>
        <w:spacing w:line="600" w:lineRule="exact"/>
        <w:ind w:firstLine="640" w:firstLineChars="200"/>
        <w:jc w:val="left"/>
        <w:rPr>
          <w:rFonts w:ascii="方正仿宋_GBK" w:eastAsia="方正仿宋_GBK"/>
          <w:b/>
          <w:kern w:val="0"/>
          <w:sz w:val="32"/>
          <w:szCs w:val="32"/>
        </w:rPr>
      </w:pPr>
      <w:r>
        <w:rPr>
          <w:rFonts w:hint="eastAsia" w:ascii="方正仿宋_GBK" w:eastAsia="方正仿宋_GBK"/>
          <w:kern w:val="0"/>
          <w:sz w:val="32"/>
          <w:szCs w:val="32"/>
        </w:rPr>
        <w:t>业务工作经费主要用于弥补差旅费、会议费、接待费、公务用车运行维护费、劳务费等支出。</w:t>
      </w:r>
    </w:p>
    <w:p>
      <w:pPr>
        <w:widowControl/>
        <w:spacing w:line="600" w:lineRule="exact"/>
        <w:ind w:firstLine="640" w:firstLineChars="200"/>
        <w:jc w:val="left"/>
        <w:rPr>
          <w:rFonts w:ascii="楷体_GB2312" w:eastAsia="楷体_GB2312"/>
          <w:kern w:val="0"/>
          <w:sz w:val="32"/>
          <w:szCs w:val="32"/>
        </w:rPr>
      </w:pPr>
      <w:r>
        <w:rPr>
          <w:rFonts w:hint="eastAsia" w:ascii="楷体_GB2312" w:eastAsia="楷体_GB2312"/>
          <w:kern w:val="0"/>
          <w:sz w:val="32"/>
          <w:szCs w:val="32"/>
        </w:rPr>
        <w:t>（二）国有资产占用情况</w:t>
      </w:r>
    </w:p>
    <w:p>
      <w:pPr>
        <w:spacing w:line="620" w:lineRule="exact"/>
        <w:ind w:firstLine="640" w:firstLineChars="200"/>
        <w:rPr>
          <w:rFonts w:eastAsia="方正仿宋_GBK"/>
          <w:kern w:val="0"/>
          <w:sz w:val="32"/>
          <w:szCs w:val="32"/>
        </w:rPr>
      </w:pPr>
      <w:r>
        <w:rPr>
          <w:rFonts w:eastAsia="方正仿宋_GBK"/>
          <w:kern w:val="0"/>
          <w:sz w:val="32"/>
          <w:szCs w:val="32"/>
        </w:rPr>
        <w:t>截止2018年12月31日，</w:t>
      </w:r>
      <w:r>
        <w:rPr>
          <w:rFonts w:hint="eastAsia" w:eastAsia="方正仿宋_GBK"/>
          <w:kern w:val="0"/>
          <w:sz w:val="32"/>
          <w:szCs w:val="32"/>
        </w:rPr>
        <w:t>玉溪市食品药品监督管理局</w:t>
      </w:r>
      <w:r>
        <w:rPr>
          <w:rFonts w:eastAsia="方正仿宋_GBK"/>
          <w:kern w:val="0"/>
          <w:sz w:val="32"/>
          <w:szCs w:val="32"/>
        </w:rPr>
        <w:t>资产总额</w:t>
      </w:r>
      <w:r>
        <w:rPr>
          <w:rFonts w:hint="eastAsia" w:eastAsia="方正仿宋_GBK"/>
          <w:kern w:val="0"/>
          <w:sz w:val="32"/>
          <w:szCs w:val="32"/>
        </w:rPr>
        <w:t>2760.9</w:t>
      </w:r>
      <w:r>
        <w:rPr>
          <w:rFonts w:eastAsia="方正仿宋_GBK"/>
          <w:kern w:val="0"/>
          <w:sz w:val="32"/>
          <w:szCs w:val="32"/>
        </w:rPr>
        <w:t>万元，其中，流动资产</w:t>
      </w:r>
      <w:r>
        <w:rPr>
          <w:rFonts w:hint="eastAsia" w:eastAsia="方正仿宋_GBK"/>
          <w:kern w:val="0"/>
          <w:sz w:val="32"/>
          <w:szCs w:val="32"/>
        </w:rPr>
        <w:t>288.12</w:t>
      </w:r>
      <w:r>
        <w:rPr>
          <w:rFonts w:eastAsia="方正仿宋_GBK"/>
          <w:kern w:val="0"/>
          <w:sz w:val="32"/>
          <w:szCs w:val="32"/>
        </w:rPr>
        <w:t>万元，固定资产</w:t>
      </w:r>
      <w:r>
        <w:rPr>
          <w:rFonts w:hint="eastAsia" w:eastAsia="方正仿宋_GBK"/>
          <w:kern w:val="0"/>
          <w:sz w:val="32"/>
          <w:szCs w:val="32"/>
        </w:rPr>
        <w:t>1130.01</w:t>
      </w:r>
      <w:r>
        <w:rPr>
          <w:rFonts w:eastAsia="方正仿宋_GBK"/>
          <w:kern w:val="0"/>
          <w:sz w:val="32"/>
          <w:szCs w:val="32"/>
        </w:rPr>
        <w:t xml:space="preserve">  万元（具体内容详见附表），</w:t>
      </w:r>
      <w:r>
        <w:rPr>
          <w:rFonts w:hint="eastAsia" w:eastAsia="方正仿宋_GBK"/>
          <w:kern w:val="0"/>
          <w:sz w:val="32"/>
          <w:szCs w:val="32"/>
        </w:rPr>
        <w:t>在建工程1174.05</w:t>
      </w:r>
      <w:r>
        <w:rPr>
          <w:rFonts w:eastAsia="方正仿宋_GBK"/>
          <w:kern w:val="0"/>
          <w:sz w:val="32"/>
          <w:szCs w:val="32"/>
        </w:rPr>
        <w:t>万元</w:t>
      </w:r>
      <w:r>
        <w:rPr>
          <w:rFonts w:hint="eastAsia" w:eastAsia="方正仿宋_GBK"/>
          <w:kern w:val="0"/>
          <w:sz w:val="32"/>
          <w:szCs w:val="32"/>
        </w:rPr>
        <w:t>、无形资产168.72万元</w:t>
      </w:r>
      <w:r>
        <w:rPr>
          <w:rFonts w:eastAsia="方正仿宋_GBK"/>
          <w:kern w:val="0"/>
          <w:sz w:val="32"/>
          <w:szCs w:val="32"/>
        </w:rPr>
        <w:t xml:space="preserve">。2019年部门预算安排政府采购 </w:t>
      </w:r>
      <w:r>
        <w:rPr>
          <w:rFonts w:hint="eastAsia" w:eastAsia="方正仿宋_GBK"/>
          <w:kern w:val="0"/>
          <w:sz w:val="32"/>
          <w:szCs w:val="32"/>
        </w:rPr>
        <w:t>0</w:t>
      </w:r>
      <w:r>
        <w:rPr>
          <w:rFonts w:eastAsia="方正仿宋_GBK"/>
          <w:kern w:val="0"/>
          <w:sz w:val="32"/>
          <w:szCs w:val="32"/>
        </w:rPr>
        <w:t>万元。</w:t>
      </w:r>
    </w:p>
    <w:p>
      <w:pPr>
        <w:spacing w:line="600" w:lineRule="exact"/>
        <w:ind w:left="640"/>
        <w:rPr>
          <w:rFonts w:ascii="黑体" w:hAnsi="黑体" w:eastAsia="黑体"/>
          <w:kern w:val="0"/>
          <w:sz w:val="32"/>
          <w:szCs w:val="32"/>
        </w:rPr>
      </w:pPr>
      <w:r>
        <w:rPr>
          <w:rFonts w:hint="eastAsia" w:ascii="楷体_GB2312" w:eastAsia="楷体_GB2312"/>
          <w:kern w:val="0"/>
          <w:sz w:val="32"/>
          <w:szCs w:val="32"/>
        </w:rPr>
        <w:t>（三）政</w:t>
      </w:r>
      <w:r>
        <w:rPr>
          <w:rFonts w:ascii="楷体_GB2312" w:eastAsia="楷体_GB2312"/>
          <w:kern w:val="0"/>
          <w:sz w:val="32"/>
          <w:szCs w:val="32"/>
        </w:rPr>
        <w:t>府采购预算情况</w:t>
      </w:r>
    </w:p>
    <w:p>
      <w:pPr>
        <w:spacing w:line="62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根据《中华人民共和国政府采购法》的有关规定，编制了政府采购预算，共涉及采购项目2个，采购预算资金14.15万元。与上年同口径相比，减少1310.2 万元，减少的主要原因是2019年财政未安排我部门项目经费预算，我部门在公用经费各业务工作经费中申请了政府采购项目2个，采购预算资金14.15万元。而2018年财政安排我部门项目经费1533.8万元，涉及政府采购</w:t>
      </w:r>
      <w:r>
        <w:rPr>
          <w:rFonts w:hint="eastAsia" w:ascii="方正仿宋_GBK" w:eastAsia="方正仿宋_GBK"/>
          <w:kern w:val="0"/>
          <w:sz w:val="30"/>
          <w:szCs w:val="30"/>
        </w:rPr>
        <w:t>项目7个，采购预算资金1310.2万元，</w:t>
      </w:r>
      <w:r>
        <w:rPr>
          <w:rFonts w:hint="eastAsia" w:ascii="方正仿宋_GBK" w:eastAsia="方正仿宋_GBK"/>
          <w:kern w:val="0"/>
          <w:sz w:val="32"/>
          <w:szCs w:val="32"/>
        </w:rPr>
        <w:t>因此比上年减少较大。</w:t>
      </w:r>
    </w:p>
    <w:p>
      <w:pPr>
        <w:spacing w:line="620" w:lineRule="exact"/>
        <w:ind w:firstLine="640" w:firstLineChars="200"/>
        <w:rPr>
          <w:rFonts w:ascii="方正仿宋_GBK" w:eastAsia="方正仿宋_GBK"/>
          <w:kern w:val="0"/>
          <w:sz w:val="32"/>
          <w:szCs w:val="32"/>
        </w:rPr>
      </w:pPr>
      <w:r>
        <w:rPr>
          <w:rFonts w:hint="eastAsia" w:ascii="方正仿宋_GBK" w:eastAsia="方正仿宋_GBK"/>
          <w:kern w:val="0"/>
          <w:sz w:val="32"/>
          <w:szCs w:val="32"/>
        </w:rPr>
        <w:t>2019年采购预算资金14.15万元分别是：食品药品检验所实验楼安保服务项目5.71万元，药品评价中心购置办公设备项目8.44万元。</w:t>
      </w:r>
    </w:p>
    <w:p>
      <w:pPr>
        <w:spacing w:line="620" w:lineRule="exact"/>
        <w:ind w:firstLine="640" w:firstLineChars="200"/>
        <w:rPr>
          <w:rFonts w:eastAsia="仿宋_GB2312"/>
          <w:kern w:val="0"/>
          <w:sz w:val="32"/>
          <w:szCs w:val="32"/>
        </w:rPr>
      </w:pPr>
      <w:r>
        <w:rPr>
          <w:rFonts w:eastAsia="仿宋_GB2312"/>
          <w:kern w:val="0"/>
          <w:sz w:val="32"/>
          <w:szCs w:val="32"/>
        </w:rPr>
        <w:t xml:space="preserve">  </w:t>
      </w:r>
    </w:p>
    <w:p>
      <w:pPr>
        <w:widowControl/>
        <w:spacing w:line="600" w:lineRule="exact"/>
        <w:jc w:val="center"/>
        <w:rPr>
          <w:rFonts w:ascii="黑体" w:hAnsi="黑体" w:eastAsia="黑体"/>
          <w:kern w:val="0"/>
          <w:sz w:val="32"/>
          <w:szCs w:val="32"/>
        </w:rPr>
      </w:pPr>
      <w:r>
        <w:rPr>
          <w:rFonts w:hint="eastAsia" w:ascii="黑体" w:hAnsi="黑体" w:eastAsia="黑体"/>
          <w:kern w:val="0"/>
          <w:sz w:val="32"/>
          <w:szCs w:val="32"/>
        </w:rPr>
        <w:t>第三部分：名词解释</w:t>
      </w:r>
    </w:p>
    <w:p>
      <w:pPr>
        <w:widowControl/>
        <w:spacing w:line="600" w:lineRule="exact"/>
        <w:jc w:val="center"/>
        <w:rPr>
          <w:rFonts w:ascii="黑体" w:hAnsi="黑体" w:eastAsia="黑体"/>
          <w:kern w:val="0"/>
          <w:sz w:val="32"/>
          <w:szCs w:val="32"/>
        </w:rPr>
      </w:pPr>
    </w:p>
    <w:p>
      <w:pPr>
        <w:pStyle w:val="7"/>
        <w:shd w:val="clear" w:color="auto" w:fill="FAFAFA"/>
        <w:spacing w:beforeAutospacing="0" w:afterAutospacing="0" w:line="600" w:lineRule="exact"/>
        <w:ind w:firstLine="600" w:firstLineChars="200"/>
        <w:rPr>
          <w:rFonts w:eastAsia="仿宋"/>
          <w:sz w:val="30"/>
          <w:szCs w:val="30"/>
        </w:rPr>
      </w:pPr>
      <w:r>
        <w:rPr>
          <w:rFonts w:eastAsia="仿宋"/>
          <w:sz w:val="30"/>
          <w:szCs w:val="30"/>
        </w:rPr>
        <w:t>（一）专业名词解释</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kern w:val="2"/>
          <w:sz w:val="30"/>
          <w:szCs w:val="30"/>
        </w:rPr>
        <w:t>1、</w:t>
      </w:r>
      <w:r>
        <w:rPr>
          <w:rFonts w:eastAsia="仿宋"/>
          <w:color w:val="000000"/>
          <w:sz w:val="30"/>
          <w:szCs w:val="30"/>
        </w:rPr>
        <w:t>工资福利支出：反映单位开支的在职职工的劳动报酬和缴纳的各项社会保障缴费。</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2、商品和服务支出：反映单位购买商品和服务的支出，包括办公经费、印刷费、水电费、汽燃费、办公设备购置等日常公用经费。</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3、对个人和家庭补助支出:反映政府用于对个人和家庭的补助支出，包括用于行政事业单位退休人员费和其他补贴 、住房公积金、购房补贴等的支出。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4、一般行政管理事务：反映用于监管队伍人员培训、设备更新、软件开发、业务宣传、综合考核等方面的支出。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5、药品事务：反映用于药品监管工作方面，含药品不良反应暨药物滥用监测的支出。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6、化妆品事务：反映用于化妆品监督管理方面的支出。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7、医疗器械事务：反映用于医疗器械监督管理方面的支出。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8、食品安全事务：反映用于食品，含食品添加剂、保健食）监管方面的支出。</w:t>
      </w:r>
    </w:p>
    <w:p>
      <w:pPr>
        <w:pStyle w:val="7"/>
        <w:shd w:val="clear" w:color="auto" w:fill="FAFAFA"/>
        <w:spacing w:beforeAutospacing="0" w:afterAutospacing="0" w:line="600" w:lineRule="exact"/>
        <w:ind w:firstLine="600" w:firstLineChars="200"/>
        <w:rPr>
          <w:rFonts w:eastAsia="仿宋"/>
          <w:color w:val="000000"/>
          <w:sz w:val="30"/>
          <w:szCs w:val="30"/>
        </w:rPr>
      </w:pPr>
      <w:r>
        <w:rPr>
          <w:rFonts w:eastAsia="仿宋"/>
          <w:color w:val="000000"/>
          <w:sz w:val="30"/>
          <w:szCs w:val="30"/>
        </w:rPr>
        <w:t>9、其他食品和药品监督管理事务：反映除上述项目以外其他用于食品和药品监督管理事务方面的支出。包括：用于综合协调办案支出即12331举报投诉奖励、突发食品安全事故应急处置、综合协调办案、执法人员培训、聘请法律顾问、执法案卷评查等方面的支出； “四品一械”抽样检验的支出和在查办案件过程中复检和随机检查抽检支出；非税收入成本性开支和执法办案补助支出等。</w:t>
      </w:r>
    </w:p>
    <w:p>
      <w:pPr>
        <w:pStyle w:val="7"/>
        <w:shd w:val="clear" w:color="auto" w:fill="FAFAFA"/>
        <w:spacing w:beforeAutospacing="0" w:afterAutospacing="0" w:line="600" w:lineRule="exact"/>
        <w:ind w:firstLine="600" w:firstLineChars="200"/>
        <w:rPr>
          <w:rFonts w:eastAsia="仿宋"/>
          <w:color w:val="000000"/>
          <w:sz w:val="30"/>
          <w:szCs w:val="30"/>
        </w:rPr>
      </w:pPr>
    </w:p>
    <w:p>
      <w:pPr>
        <w:widowControl/>
        <w:spacing w:line="600" w:lineRule="exact"/>
        <w:ind w:firstLine="640" w:firstLineChars="200"/>
        <w:jc w:val="center"/>
        <w:rPr>
          <w:rFonts w:eastAsia="黑体"/>
          <w:sz w:val="32"/>
          <w:szCs w:val="32"/>
        </w:rPr>
      </w:pPr>
      <w:r>
        <w:rPr>
          <w:rFonts w:hAnsi="黑体" w:eastAsia="黑体"/>
          <w:kern w:val="0"/>
          <w:sz w:val="32"/>
          <w:szCs w:val="32"/>
        </w:rPr>
        <w:t>第四部分：</w:t>
      </w:r>
      <w:r>
        <w:rPr>
          <w:rFonts w:hAnsi="黑体" w:eastAsia="黑体"/>
          <w:sz w:val="32"/>
          <w:szCs w:val="32"/>
        </w:rPr>
        <w:t>玉溪市食品药品监督管理局</w:t>
      </w:r>
      <w:r>
        <w:rPr>
          <w:rFonts w:eastAsia="黑体"/>
          <w:sz w:val="32"/>
          <w:szCs w:val="32"/>
        </w:rPr>
        <w:t>2019</w:t>
      </w:r>
      <w:r>
        <w:rPr>
          <w:rFonts w:hAnsi="黑体" w:eastAsia="黑体"/>
          <w:sz w:val="32"/>
          <w:szCs w:val="32"/>
        </w:rPr>
        <w:t>年部门预算表</w:t>
      </w:r>
    </w:p>
    <w:p>
      <w:pPr>
        <w:widowControl/>
        <w:spacing w:line="600" w:lineRule="exact"/>
        <w:ind w:firstLine="640" w:firstLineChars="200"/>
        <w:jc w:val="center"/>
        <w:rPr>
          <w:rFonts w:eastAsia="黑体"/>
          <w:sz w:val="32"/>
          <w:szCs w:val="32"/>
        </w:rPr>
      </w:pPr>
    </w:p>
    <w:p>
      <w:pPr>
        <w:spacing w:line="600" w:lineRule="exact"/>
        <w:ind w:firstLine="640" w:firstLineChars="200"/>
        <w:jc w:val="left"/>
        <w:rPr>
          <w:rFonts w:eastAsia="方正仿宋_GBK"/>
          <w:sz w:val="32"/>
          <w:szCs w:val="32"/>
        </w:rPr>
      </w:pPr>
      <w:r>
        <w:rPr>
          <w:rFonts w:eastAsia="方正仿宋_GBK"/>
          <w:sz w:val="32"/>
          <w:szCs w:val="32"/>
        </w:rPr>
        <w:t>一、部门财政拨款收支预算总表</w:t>
      </w:r>
    </w:p>
    <w:p>
      <w:pPr>
        <w:spacing w:line="600" w:lineRule="exact"/>
        <w:ind w:firstLine="640" w:firstLineChars="200"/>
        <w:jc w:val="left"/>
        <w:rPr>
          <w:rFonts w:eastAsia="方正仿宋_GBK"/>
          <w:sz w:val="32"/>
          <w:szCs w:val="32"/>
        </w:rPr>
      </w:pPr>
      <w:r>
        <w:rPr>
          <w:rFonts w:eastAsia="方正仿宋_GBK"/>
          <w:sz w:val="32"/>
          <w:szCs w:val="32"/>
        </w:rPr>
        <w:t>二、部门一般公共预算支出表</w:t>
      </w:r>
    </w:p>
    <w:p>
      <w:pPr>
        <w:spacing w:line="600" w:lineRule="exact"/>
        <w:ind w:firstLine="640" w:firstLineChars="200"/>
        <w:jc w:val="left"/>
        <w:rPr>
          <w:rFonts w:eastAsia="方正仿宋_GBK"/>
          <w:sz w:val="32"/>
          <w:szCs w:val="32"/>
        </w:rPr>
      </w:pPr>
      <w:r>
        <w:rPr>
          <w:rFonts w:eastAsia="方正仿宋_GBK"/>
          <w:sz w:val="32"/>
          <w:szCs w:val="32"/>
        </w:rPr>
        <w:t>三、部门基本支出预算表</w:t>
      </w:r>
    </w:p>
    <w:p>
      <w:pPr>
        <w:spacing w:line="600" w:lineRule="exact"/>
        <w:ind w:firstLine="640" w:firstLineChars="200"/>
        <w:jc w:val="left"/>
        <w:rPr>
          <w:rFonts w:eastAsia="方正仿宋_GBK"/>
          <w:sz w:val="32"/>
          <w:szCs w:val="32"/>
        </w:rPr>
      </w:pPr>
      <w:r>
        <w:rPr>
          <w:rFonts w:eastAsia="方正仿宋_GBK"/>
          <w:sz w:val="32"/>
          <w:szCs w:val="32"/>
        </w:rPr>
        <w:t>四、政府性基金预算支出表</w:t>
      </w:r>
    </w:p>
    <w:p>
      <w:pPr>
        <w:spacing w:line="600" w:lineRule="exact"/>
        <w:ind w:firstLine="640" w:firstLineChars="200"/>
        <w:jc w:val="left"/>
        <w:rPr>
          <w:rFonts w:eastAsia="方正仿宋_GBK"/>
          <w:sz w:val="32"/>
          <w:szCs w:val="32"/>
        </w:rPr>
      </w:pPr>
      <w:r>
        <w:rPr>
          <w:rFonts w:eastAsia="方正仿宋_GBK"/>
          <w:sz w:val="32"/>
          <w:szCs w:val="32"/>
        </w:rPr>
        <w:t>五、部门财务收支预算总表</w:t>
      </w:r>
    </w:p>
    <w:p>
      <w:pPr>
        <w:spacing w:line="600" w:lineRule="exact"/>
        <w:ind w:firstLine="640" w:firstLineChars="200"/>
        <w:jc w:val="left"/>
        <w:rPr>
          <w:rFonts w:eastAsia="方正仿宋_GBK"/>
          <w:sz w:val="32"/>
          <w:szCs w:val="32"/>
        </w:rPr>
      </w:pPr>
      <w:r>
        <w:rPr>
          <w:rFonts w:eastAsia="方正仿宋_GBK"/>
          <w:sz w:val="32"/>
          <w:szCs w:val="32"/>
        </w:rPr>
        <w:t>六、部门收入总表</w:t>
      </w:r>
    </w:p>
    <w:p>
      <w:pPr>
        <w:spacing w:line="600" w:lineRule="exact"/>
        <w:ind w:firstLine="640" w:firstLineChars="200"/>
        <w:jc w:val="left"/>
        <w:rPr>
          <w:rFonts w:eastAsia="方正仿宋_GBK"/>
          <w:sz w:val="32"/>
          <w:szCs w:val="32"/>
        </w:rPr>
      </w:pPr>
      <w:r>
        <w:rPr>
          <w:rFonts w:eastAsia="方正仿宋_GBK"/>
          <w:sz w:val="32"/>
          <w:szCs w:val="32"/>
        </w:rPr>
        <w:t>七、部门支出总表</w:t>
      </w:r>
    </w:p>
    <w:p>
      <w:pPr>
        <w:spacing w:line="600" w:lineRule="exact"/>
        <w:ind w:firstLine="640" w:firstLineChars="200"/>
        <w:jc w:val="left"/>
        <w:rPr>
          <w:rFonts w:eastAsia="方正仿宋_GBK"/>
          <w:sz w:val="32"/>
          <w:szCs w:val="32"/>
        </w:rPr>
      </w:pPr>
      <w:r>
        <w:rPr>
          <w:rFonts w:eastAsia="方正仿宋_GBK"/>
          <w:sz w:val="32"/>
          <w:szCs w:val="32"/>
        </w:rPr>
        <w:t>八、部门财政拨款支出明细表（按经济科目分类）</w:t>
      </w:r>
    </w:p>
    <w:p>
      <w:pPr>
        <w:spacing w:line="600" w:lineRule="exact"/>
        <w:ind w:firstLine="640" w:firstLineChars="200"/>
        <w:jc w:val="left"/>
        <w:rPr>
          <w:rFonts w:eastAsia="方正仿宋_GBK"/>
          <w:sz w:val="32"/>
          <w:szCs w:val="32"/>
        </w:rPr>
      </w:pPr>
      <w:r>
        <w:rPr>
          <w:rFonts w:eastAsia="方正仿宋_GBK"/>
          <w:sz w:val="32"/>
          <w:szCs w:val="32"/>
        </w:rPr>
        <w:t>九、部门“三公”经费预算财政拨款情况表</w:t>
      </w:r>
    </w:p>
    <w:p>
      <w:pPr>
        <w:spacing w:line="600" w:lineRule="exact"/>
        <w:ind w:firstLine="640" w:firstLineChars="200"/>
        <w:jc w:val="left"/>
        <w:rPr>
          <w:rFonts w:eastAsia="方正仿宋_GBK"/>
          <w:sz w:val="32"/>
          <w:szCs w:val="32"/>
        </w:rPr>
      </w:pPr>
      <w:r>
        <w:rPr>
          <w:rFonts w:eastAsia="方正仿宋_GBK"/>
          <w:sz w:val="32"/>
          <w:szCs w:val="32"/>
        </w:rPr>
        <w:t>十、项目年度绩效目标批复表</w:t>
      </w:r>
    </w:p>
    <w:p>
      <w:pPr>
        <w:spacing w:line="600" w:lineRule="exact"/>
        <w:ind w:firstLine="640" w:firstLineChars="200"/>
        <w:jc w:val="left"/>
        <w:rPr>
          <w:rFonts w:eastAsia="方正仿宋_GBK"/>
          <w:sz w:val="32"/>
          <w:szCs w:val="32"/>
        </w:rPr>
      </w:pPr>
      <w:r>
        <w:rPr>
          <w:rFonts w:eastAsia="方正仿宋_GBK"/>
          <w:sz w:val="32"/>
          <w:szCs w:val="32"/>
        </w:rPr>
        <w:t>十一、部门政府采购预算表</w:t>
      </w:r>
    </w:p>
    <w:p>
      <w:pPr>
        <w:spacing w:line="600" w:lineRule="exact"/>
        <w:ind w:firstLine="640" w:firstLineChars="200"/>
        <w:jc w:val="left"/>
        <w:rPr>
          <w:rFonts w:eastAsia="方正仿宋_GBK"/>
          <w:sz w:val="32"/>
          <w:szCs w:val="32"/>
        </w:rPr>
      </w:pPr>
      <w:r>
        <w:rPr>
          <w:rFonts w:eastAsia="方正仿宋_GBK"/>
          <w:sz w:val="32"/>
          <w:szCs w:val="32"/>
        </w:rPr>
        <w:t>十二、行政事业单位国有资产占有使用情况表</w:t>
      </w:r>
    </w:p>
    <w:p>
      <w:pPr>
        <w:spacing w:line="600" w:lineRule="exact"/>
        <w:ind w:firstLine="640" w:firstLineChars="200"/>
        <w:jc w:val="left"/>
        <w:rPr>
          <w:rFonts w:eastAsia="方正仿宋_GBK"/>
          <w:sz w:val="32"/>
          <w:szCs w:val="32"/>
        </w:rPr>
      </w:pPr>
      <w:r>
        <w:rPr>
          <w:rFonts w:eastAsia="方正仿宋_GBK"/>
          <w:sz w:val="32"/>
          <w:szCs w:val="32"/>
        </w:rPr>
        <w:t>十三、2019-2021年度部门整体支出绩效目标表</w:t>
      </w:r>
    </w:p>
    <w:p>
      <w:pPr>
        <w:widowControl/>
        <w:numPr>
          <w:ilvl w:val="255"/>
          <w:numId w:val="0"/>
        </w:numPr>
        <w:spacing w:line="600" w:lineRule="exact"/>
        <w:ind w:firstLine="640"/>
        <w:jc w:val="left"/>
        <w:rPr>
          <w:rFonts w:eastAsia="方正仿宋_GBK"/>
          <w:kern w:val="0"/>
          <w:sz w:val="32"/>
          <w:szCs w:val="32"/>
        </w:rPr>
      </w:pPr>
    </w:p>
    <w:p>
      <w:pPr>
        <w:widowControl/>
        <w:spacing w:line="600" w:lineRule="exact"/>
        <w:jc w:val="left"/>
        <w:rPr>
          <w:rFonts w:eastAsia="黑体"/>
          <w:kern w:val="0"/>
          <w:sz w:val="32"/>
          <w:szCs w:val="32"/>
        </w:rPr>
      </w:pPr>
      <w:r>
        <w:rPr>
          <w:rFonts w:eastAsia="黑体"/>
          <w:kern w:val="0"/>
          <w:sz w:val="32"/>
          <w:szCs w:val="32"/>
        </w:rPr>
        <w:t xml:space="preserve">              </w:t>
      </w:r>
    </w:p>
    <w:p>
      <w:pPr>
        <w:widowControl/>
        <w:spacing w:line="600" w:lineRule="exact"/>
        <w:jc w:val="left"/>
        <w:rPr>
          <w:rFonts w:eastAsia="方正仿宋_GBK"/>
          <w:kern w:val="0"/>
          <w:sz w:val="32"/>
          <w:szCs w:val="32"/>
        </w:rPr>
      </w:pPr>
      <w:r>
        <w:rPr>
          <w:rFonts w:eastAsia="黑体"/>
          <w:kern w:val="0"/>
          <w:sz w:val="32"/>
          <w:szCs w:val="32"/>
        </w:rPr>
        <w:t xml:space="preserve">                             </w:t>
      </w:r>
      <w:r>
        <w:rPr>
          <w:rFonts w:eastAsia="方正仿宋_GBK"/>
          <w:kern w:val="0"/>
          <w:sz w:val="32"/>
          <w:szCs w:val="32"/>
        </w:rPr>
        <w:t xml:space="preserve"> 玉溪市食品药品监督管理局 </w:t>
      </w:r>
    </w:p>
    <w:p>
      <w:pPr>
        <w:widowControl/>
        <w:spacing w:line="600" w:lineRule="exact"/>
        <w:jc w:val="left"/>
        <w:rPr>
          <w:rFonts w:eastAsia="方正仿宋_GBK"/>
          <w:kern w:val="0"/>
          <w:sz w:val="32"/>
          <w:szCs w:val="32"/>
        </w:rPr>
      </w:pPr>
      <w:r>
        <w:rPr>
          <w:rFonts w:eastAsia="方正仿宋_GBK"/>
          <w:kern w:val="0"/>
          <w:sz w:val="32"/>
          <w:szCs w:val="32"/>
        </w:rPr>
        <w:t xml:space="preserve">                                    2019年2月3日 </w:t>
      </w:r>
    </w:p>
    <w:sectPr>
      <w:headerReference r:id="rId3" w:type="default"/>
      <w:footerReference r:id="rId5" w:type="default"/>
      <w:headerReference r:id="rId4" w:type="even"/>
      <w:pgSz w:w="11906" w:h="16838"/>
      <w:pgMar w:top="2098" w:right="1474"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8240;mso-width-relative:page;mso-height-relative:page;" fillcolor="#FFFFFF [3201]"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v:path/>
          <v:fill on="f" focussize="0,0"/>
          <v:stroke on="f" weight="0.5pt" joinstyle="miter"/>
          <v:imagedata o:title=""/>
          <o:lock v:ext="edit"/>
          <v:textbox inset="0mm,0mm,0mm,0mm" style="mso-fit-shape-to-text:t;">
            <w:txbxContent>
              <w:p>
                <w:pPr>
                  <w:snapToGrid w:val="0"/>
                  <w:rPr>
                    <w:sz w:val="18"/>
                  </w:rPr>
                </w:pPr>
                <w:r>
                  <w:rPr>
                    <w:rFonts w:hint="eastAsia" w:asciiTheme="majorEastAsia" w:hAnsiTheme="majorEastAsia" w:eastAsiaTheme="majorEastAsia" w:cstheme="majorEastAsia"/>
                    <w:sz w:val="32"/>
                    <w:szCs w:val="32"/>
                  </w:rPr>
                  <w:fldChar w:fldCharType="begin"/>
                </w:r>
                <w:r>
                  <w:rPr>
                    <w:rFonts w:asciiTheme="majorEastAsia" w:hAnsiTheme="majorEastAsia" w:eastAsiaTheme="majorEastAsia" w:cstheme="majorEastAsia"/>
                    <w:sz w:val="32"/>
                    <w:szCs w:val="32"/>
                  </w:rPr>
                  <w:instrText xml:space="preserve"> PAGE  \* MERGEFORMAT </w:instrText>
                </w:r>
                <w:r>
                  <w:rPr>
                    <w:rFonts w:hint="eastAsia" w:asciiTheme="majorEastAsia" w:hAnsiTheme="majorEastAsia" w:eastAsiaTheme="majorEastAsia" w:cstheme="majorEastAsia"/>
                    <w:sz w:val="32"/>
                    <w:szCs w:val="32"/>
                  </w:rPr>
                  <w:fldChar w:fldCharType="separate"/>
                </w:r>
                <w:r>
                  <w:rPr>
                    <w:rFonts w:asciiTheme="majorEastAsia" w:hAnsiTheme="majorEastAsia" w:eastAsiaTheme="majorEastAsia" w:cstheme="majorEastAsia"/>
                    <w:sz w:val="32"/>
                    <w:szCs w:val="32"/>
                  </w:rPr>
                  <w:t>- 11 -</w:t>
                </w:r>
                <w:r>
                  <w:rPr>
                    <w:rFonts w:hint="eastAsia" w:asciiTheme="majorEastAsia" w:hAnsiTheme="majorEastAsia" w:eastAsiaTheme="majorEastAsia" w:cstheme="majorEastAsia"/>
                    <w:sz w:val="32"/>
                    <w:szCs w:val="32"/>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F5B99"/>
    <w:multiLevelType w:val="multilevel"/>
    <w:tmpl w:val="2DAF5B99"/>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5A9128F8"/>
    <w:multiLevelType w:val="singleLevel"/>
    <w:tmpl w:val="5A9128F8"/>
    <w:lvl w:ilvl="0" w:tentative="0">
      <w:start w:val="1"/>
      <w:numFmt w:val="decimal"/>
      <w:suff w:val="nothing"/>
      <w:lvlText w:val="%1、"/>
      <w:lvlJc w:val="left"/>
    </w:lvl>
  </w:abstractNum>
  <w:abstractNum w:abstractNumId="2">
    <w:nsid w:val="5C4FF404"/>
    <w:multiLevelType w:val="singleLevel"/>
    <w:tmpl w:val="5C4FF404"/>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5AD5"/>
    <w:rsid w:val="0000585F"/>
    <w:rsid w:val="0000790E"/>
    <w:rsid w:val="00010713"/>
    <w:rsid w:val="00011F4A"/>
    <w:rsid w:val="00012033"/>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5843"/>
    <w:rsid w:val="000860FB"/>
    <w:rsid w:val="000919EE"/>
    <w:rsid w:val="000952C1"/>
    <w:rsid w:val="00096A53"/>
    <w:rsid w:val="000A07EA"/>
    <w:rsid w:val="000A1122"/>
    <w:rsid w:val="000A74AF"/>
    <w:rsid w:val="000A7B19"/>
    <w:rsid w:val="000B0125"/>
    <w:rsid w:val="000B1FAD"/>
    <w:rsid w:val="000B59B5"/>
    <w:rsid w:val="000B5BAB"/>
    <w:rsid w:val="000B7EA9"/>
    <w:rsid w:val="000C3AE5"/>
    <w:rsid w:val="000C5080"/>
    <w:rsid w:val="000C5123"/>
    <w:rsid w:val="000D4394"/>
    <w:rsid w:val="000E530D"/>
    <w:rsid w:val="000F4C86"/>
    <w:rsid w:val="001046C0"/>
    <w:rsid w:val="00104701"/>
    <w:rsid w:val="001116F3"/>
    <w:rsid w:val="00114FB7"/>
    <w:rsid w:val="00122B32"/>
    <w:rsid w:val="00123DF3"/>
    <w:rsid w:val="00126D02"/>
    <w:rsid w:val="00126F40"/>
    <w:rsid w:val="00127A6B"/>
    <w:rsid w:val="00130B25"/>
    <w:rsid w:val="001341D1"/>
    <w:rsid w:val="0013430D"/>
    <w:rsid w:val="0013484F"/>
    <w:rsid w:val="00134BE4"/>
    <w:rsid w:val="0013549C"/>
    <w:rsid w:val="00140624"/>
    <w:rsid w:val="0014446D"/>
    <w:rsid w:val="001446A5"/>
    <w:rsid w:val="0014486B"/>
    <w:rsid w:val="00144CF1"/>
    <w:rsid w:val="0014558B"/>
    <w:rsid w:val="00146960"/>
    <w:rsid w:val="001528E5"/>
    <w:rsid w:val="00155639"/>
    <w:rsid w:val="00155D5E"/>
    <w:rsid w:val="00157BA7"/>
    <w:rsid w:val="001704E4"/>
    <w:rsid w:val="00175223"/>
    <w:rsid w:val="00175B2E"/>
    <w:rsid w:val="00176F17"/>
    <w:rsid w:val="001804E3"/>
    <w:rsid w:val="0018058B"/>
    <w:rsid w:val="00180C9A"/>
    <w:rsid w:val="00182D13"/>
    <w:rsid w:val="00183B42"/>
    <w:rsid w:val="00186C54"/>
    <w:rsid w:val="00192C05"/>
    <w:rsid w:val="00197CAA"/>
    <w:rsid w:val="00197E5D"/>
    <w:rsid w:val="001A1B3A"/>
    <w:rsid w:val="001A22B9"/>
    <w:rsid w:val="001A3CEE"/>
    <w:rsid w:val="001A784A"/>
    <w:rsid w:val="001B045D"/>
    <w:rsid w:val="001B32BA"/>
    <w:rsid w:val="001C1C89"/>
    <w:rsid w:val="001C55D5"/>
    <w:rsid w:val="001C6CD7"/>
    <w:rsid w:val="001D120C"/>
    <w:rsid w:val="001D551F"/>
    <w:rsid w:val="001E03BD"/>
    <w:rsid w:val="001E684A"/>
    <w:rsid w:val="001F1F6E"/>
    <w:rsid w:val="00200BD6"/>
    <w:rsid w:val="002048BE"/>
    <w:rsid w:val="00216177"/>
    <w:rsid w:val="00221193"/>
    <w:rsid w:val="002247D0"/>
    <w:rsid w:val="00224F80"/>
    <w:rsid w:val="0022507C"/>
    <w:rsid w:val="00226979"/>
    <w:rsid w:val="0023321B"/>
    <w:rsid w:val="00234DAE"/>
    <w:rsid w:val="00242E76"/>
    <w:rsid w:val="00243464"/>
    <w:rsid w:val="00243DB7"/>
    <w:rsid w:val="002462A8"/>
    <w:rsid w:val="00247731"/>
    <w:rsid w:val="00253C74"/>
    <w:rsid w:val="00257C46"/>
    <w:rsid w:val="00260185"/>
    <w:rsid w:val="00262BAD"/>
    <w:rsid w:val="002726B1"/>
    <w:rsid w:val="002727D0"/>
    <w:rsid w:val="00272BC6"/>
    <w:rsid w:val="002749C8"/>
    <w:rsid w:val="00275325"/>
    <w:rsid w:val="00280C2C"/>
    <w:rsid w:val="00280E26"/>
    <w:rsid w:val="00281C06"/>
    <w:rsid w:val="00285DC4"/>
    <w:rsid w:val="00294AE7"/>
    <w:rsid w:val="002A7BAE"/>
    <w:rsid w:val="002B11FA"/>
    <w:rsid w:val="002B2CA6"/>
    <w:rsid w:val="002B37A7"/>
    <w:rsid w:val="002B4342"/>
    <w:rsid w:val="002B56EB"/>
    <w:rsid w:val="002B6D47"/>
    <w:rsid w:val="002C7D21"/>
    <w:rsid w:val="002D27CD"/>
    <w:rsid w:val="002D2D18"/>
    <w:rsid w:val="002D3EC0"/>
    <w:rsid w:val="002D729F"/>
    <w:rsid w:val="002E0E3C"/>
    <w:rsid w:val="002E14A7"/>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0290"/>
    <w:rsid w:val="003244C9"/>
    <w:rsid w:val="0032468B"/>
    <w:rsid w:val="00327119"/>
    <w:rsid w:val="003333E4"/>
    <w:rsid w:val="00336580"/>
    <w:rsid w:val="0034184B"/>
    <w:rsid w:val="003535EB"/>
    <w:rsid w:val="00354D29"/>
    <w:rsid w:val="00356356"/>
    <w:rsid w:val="003576A5"/>
    <w:rsid w:val="00360593"/>
    <w:rsid w:val="00360EF7"/>
    <w:rsid w:val="00361A07"/>
    <w:rsid w:val="003710A2"/>
    <w:rsid w:val="00376707"/>
    <w:rsid w:val="00376E0C"/>
    <w:rsid w:val="0037788A"/>
    <w:rsid w:val="0038029B"/>
    <w:rsid w:val="00382C02"/>
    <w:rsid w:val="00383096"/>
    <w:rsid w:val="00392AA8"/>
    <w:rsid w:val="003931E6"/>
    <w:rsid w:val="003A324A"/>
    <w:rsid w:val="003A73EF"/>
    <w:rsid w:val="003B2514"/>
    <w:rsid w:val="003B54C2"/>
    <w:rsid w:val="003B5BA8"/>
    <w:rsid w:val="003B6753"/>
    <w:rsid w:val="003C1BE1"/>
    <w:rsid w:val="003C6315"/>
    <w:rsid w:val="003D0F3D"/>
    <w:rsid w:val="003D1204"/>
    <w:rsid w:val="003D160D"/>
    <w:rsid w:val="003D34B5"/>
    <w:rsid w:val="003D35F4"/>
    <w:rsid w:val="003D6601"/>
    <w:rsid w:val="003D6C9A"/>
    <w:rsid w:val="003E2D1F"/>
    <w:rsid w:val="003E2DE1"/>
    <w:rsid w:val="003E5754"/>
    <w:rsid w:val="003F171F"/>
    <w:rsid w:val="003F201E"/>
    <w:rsid w:val="003F3C0C"/>
    <w:rsid w:val="0040002C"/>
    <w:rsid w:val="00400C3B"/>
    <w:rsid w:val="00403507"/>
    <w:rsid w:val="00403546"/>
    <w:rsid w:val="004158B8"/>
    <w:rsid w:val="00416B98"/>
    <w:rsid w:val="00417C57"/>
    <w:rsid w:val="00421A99"/>
    <w:rsid w:val="0042780C"/>
    <w:rsid w:val="0043232E"/>
    <w:rsid w:val="00432BAC"/>
    <w:rsid w:val="00445161"/>
    <w:rsid w:val="004457F4"/>
    <w:rsid w:val="004472BF"/>
    <w:rsid w:val="00447C85"/>
    <w:rsid w:val="00455E38"/>
    <w:rsid w:val="00456CDD"/>
    <w:rsid w:val="004605B3"/>
    <w:rsid w:val="00463FAE"/>
    <w:rsid w:val="00467CD2"/>
    <w:rsid w:val="004718A9"/>
    <w:rsid w:val="00476EC1"/>
    <w:rsid w:val="00480582"/>
    <w:rsid w:val="0048694C"/>
    <w:rsid w:val="004911B1"/>
    <w:rsid w:val="00495E43"/>
    <w:rsid w:val="00497927"/>
    <w:rsid w:val="004A0AB6"/>
    <w:rsid w:val="004A362F"/>
    <w:rsid w:val="004A742B"/>
    <w:rsid w:val="004B29ED"/>
    <w:rsid w:val="004C064B"/>
    <w:rsid w:val="004C7E48"/>
    <w:rsid w:val="004D26D3"/>
    <w:rsid w:val="004D3A59"/>
    <w:rsid w:val="004F2C44"/>
    <w:rsid w:val="004F4F9F"/>
    <w:rsid w:val="004F5C1B"/>
    <w:rsid w:val="005054B5"/>
    <w:rsid w:val="00505533"/>
    <w:rsid w:val="00506344"/>
    <w:rsid w:val="005148D7"/>
    <w:rsid w:val="00521069"/>
    <w:rsid w:val="005248EA"/>
    <w:rsid w:val="0052572D"/>
    <w:rsid w:val="005431C8"/>
    <w:rsid w:val="005463F4"/>
    <w:rsid w:val="00550766"/>
    <w:rsid w:val="00552BA8"/>
    <w:rsid w:val="0055409A"/>
    <w:rsid w:val="00554B96"/>
    <w:rsid w:val="00556D34"/>
    <w:rsid w:val="00561EAC"/>
    <w:rsid w:val="00563EEF"/>
    <w:rsid w:val="00572E90"/>
    <w:rsid w:val="00574E72"/>
    <w:rsid w:val="00575EDA"/>
    <w:rsid w:val="00591B91"/>
    <w:rsid w:val="005952DC"/>
    <w:rsid w:val="005A00B7"/>
    <w:rsid w:val="005A1F0D"/>
    <w:rsid w:val="005A51EE"/>
    <w:rsid w:val="005B0445"/>
    <w:rsid w:val="005B0A4A"/>
    <w:rsid w:val="005B679B"/>
    <w:rsid w:val="005B77D3"/>
    <w:rsid w:val="005C470B"/>
    <w:rsid w:val="005C66D3"/>
    <w:rsid w:val="005D045E"/>
    <w:rsid w:val="005D245F"/>
    <w:rsid w:val="005D3061"/>
    <w:rsid w:val="005D6260"/>
    <w:rsid w:val="005D6D58"/>
    <w:rsid w:val="005E6A58"/>
    <w:rsid w:val="005F310F"/>
    <w:rsid w:val="005F39DF"/>
    <w:rsid w:val="00602B8A"/>
    <w:rsid w:val="0060314C"/>
    <w:rsid w:val="006073BA"/>
    <w:rsid w:val="00614B12"/>
    <w:rsid w:val="006150EC"/>
    <w:rsid w:val="006164DB"/>
    <w:rsid w:val="0061679D"/>
    <w:rsid w:val="006253D8"/>
    <w:rsid w:val="00626153"/>
    <w:rsid w:val="00632FEB"/>
    <w:rsid w:val="006374A1"/>
    <w:rsid w:val="00650D24"/>
    <w:rsid w:val="006540CB"/>
    <w:rsid w:val="00660B2A"/>
    <w:rsid w:val="00662269"/>
    <w:rsid w:val="006635F6"/>
    <w:rsid w:val="00681DC1"/>
    <w:rsid w:val="00682553"/>
    <w:rsid w:val="0068515C"/>
    <w:rsid w:val="0068667C"/>
    <w:rsid w:val="006A26A0"/>
    <w:rsid w:val="006A4FDA"/>
    <w:rsid w:val="006B1C07"/>
    <w:rsid w:val="006B35FC"/>
    <w:rsid w:val="006B3DA5"/>
    <w:rsid w:val="006B5B25"/>
    <w:rsid w:val="006B7827"/>
    <w:rsid w:val="006C01A7"/>
    <w:rsid w:val="006C0FB6"/>
    <w:rsid w:val="006D0172"/>
    <w:rsid w:val="006E1A3A"/>
    <w:rsid w:val="006E2230"/>
    <w:rsid w:val="006E2B9C"/>
    <w:rsid w:val="006E7E4C"/>
    <w:rsid w:val="006F1C64"/>
    <w:rsid w:val="006F3C19"/>
    <w:rsid w:val="00700438"/>
    <w:rsid w:val="007013C6"/>
    <w:rsid w:val="00715660"/>
    <w:rsid w:val="00722F5C"/>
    <w:rsid w:val="007328B9"/>
    <w:rsid w:val="007336B0"/>
    <w:rsid w:val="0073563C"/>
    <w:rsid w:val="00735ADA"/>
    <w:rsid w:val="00735D71"/>
    <w:rsid w:val="007361F8"/>
    <w:rsid w:val="00736386"/>
    <w:rsid w:val="00740C69"/>
    <w:rsid w:val="0074138A"/>
    <w:rsid w:val="007455C4"/>
    <w:rsid w:val="00750940"/>
    <w:rsid w:val="00751AB4"/>
    <w:rsid w:val="0076269B"/>
    <w:rsid w:val="00765E00"/>
    <w:rsid w:val="00766131"/>
    <w:rsid w:val="0077005A"/>
    <w:rsid w:val="00772DB4"/>
    <w:rsid w:val="00773AD0"/>
    <w:rsid w:val="00780AAD"/>
    <w:rsid w:val="0078371A"/>
    <w:rsid w:val="00783A4C"/>
    <w:rsid w:val="00794375"/>
    <w:rsid w:val="00794F8F"/>
    <w:rsid w:val="00795D44"/>
    <w:rsid w:val="007A05BD"/>
    <w:rsid w:val="007A725D"/>
    <w:rsid w:val="007B4A0F"/>
    <w:rsid w:val="007C05CB"/>
    <w:rsid w:val="007C3153"/>
    <w:rsid w:val="007C389C"/>
    <w:rsid w:val="007C7656"/>
    <w:rsid w:val="007D066F"/>
    <w:rsid w:val="007D1AE5"/>
    <w:rsid w:val="007D57A1"/>
    <w:rsid w:val="007D5A91"/>
    <w:rsid w:val="007E3441"/>
    <w:rsid w:val="007E460F"/>
    <w:rsid w:val="007E68C9"/>
    <w:rsid w:val="007E76F1"/>
    <w:rsid w:val="007F1DA0"/>
    <w:rsid w:val="00803F6B"/>
    <w:rsid w:val="00805901"/>
    <w:rsid w:val="0081058D"/>
    <w:rsid w:val="00810DEC"/>
    <w:rsid w:val="00811B53"/>
    <w:rsid w:val="00816BAB"/>
    <w:rsid w:val="00817514"/>
    <w:rsid w:val="0082395B"/>
    <w:rsid w:val="00825E03"/>
    <w:rsid w:val="00827ECC"/>
    <w:rsid w:val="0083106D"/>
    <w:rsid w:val="0083313F"/>
    <w:rsid w:val="00834D98"/>
    <w:rsid w:val="00835730"/>
    <w:rsid w:val="0084210A"/>
    <w:rsid w:val="00845657"/>
    <w:rsid w:val="0084624C"/>
    <w:rsid w:val="00851C1D"/>
    <w:rsid w:val="00851E94"/>
    <w:rsid w:val="00864E02"/>
    <w:rsid w:val="00874702"/>
    <w:rsid w:val="008775B4"/>
    <w:rsid w:val="008808A6"/>
    <w:rsid w:val="00885B69"/>
    <w:rsid w:val="00892AC2"/>
    <w:rsid w:val="00897E4A"/>
    <w:rsid w:val="008A159E"/>
    <w:rsid w:val="008A292F"/>
    <w:rsid w:val="008A38E5"/>
    <w:rsid w:val="008A3F94"/>
    <w:rsid w:val="008A4B32"/>
    <w:rsid w:val="008A6037"/>
    <w:rsid w:val="008B2777"/>
    <w:rsid w:val="008B3519"/>
    <w:rsid w:val="008B4667"/>
    <w:rsid w:val="008B7085"/>
    <w:rsid w:val="008C0CBC"/>
    <w:rsid w:val="008C1602"/>
    <w:rsid w:val="008D14DA"/>
    <w:rsid w:val="008D1AD8"/>
    <w:rsid w:val="008D2E7D"/>
    <w:rsid w:val="008D5FED"/>
    <w:rsid w:val="008E0519"/>
    <w:rsid w:val="008E0B11"/>
    <w:rsid w:val="008E0C39"/>
    <w:rsid w:val="008E2734"/>
    <w:rsid w:val="008E71E8"/>
    <w:rsid w:val="008F35F1"/>
    <w:rsid w:val="008F3FB1"/>
    <w:rsid w:val="009008F4"/>
    <w:rsid w:val="00901A1A"/>
    <w:rsid w:val="009020BF"/>
    <w:rsid w:val="00905BB4"/>
    <w:rsid w:val="00907813"/>
    <w:rsid w:val="00911B9D"/>
    <w:rsid w:val="00916E99"/>
    <w:rsid w:val="00921C07"/>
    <w:rsid w:val="00922A98"/>
    <w:rsid w:val="00927C78"/>
    <w:rsid w:val="00930A10"/>
    <w:rsid w:val="0093199F"/>
    <w:rsid w:val="00932958"/>
    <w:rsid w:val="0094610B"/>
    <w:rsid w:val="00947CC7"/>
    <w:rsid w:val="00951519"/>
    <w:rsid w:val="009535AF"/>
    <w:rsid w:val="0095399C"/>
    <w:rsid w:val="00956B4E"/>
    <w:rsid w:val="009613F9"/>
    <w:rsid w:val="0096301A"/>
    <w:rsid w:val="00964D6C"/>
    <w:rsid w:val="00965133"/>
    <w:rsid w:val="00965E0F"/>
    <w:rsid w:val="00971AD3"/>
    <w:rsid w:val="00981123"/>
    <w:rsid w:val="00982629"/>
    <w:rsid w:val="0098468C"/>
    <w:rsid w:val="0098667C"/>
    <w:rsid w:val="009907B9"/>
    <w:rsid w:val="00992351"/>
    <w:rsid w:val="009A08B6"/>
    <w:rsid w:val="009A2377"/>
    <w:rsid w:val="009A4D11"/>
    <w:rsid w:val="009B1A56"/>
    <w:rsid w:val="009B3ED3"/>
    <w:rsid w:val="009B4ADC"/>
    <w:rsid w:val="009B71EB"/>
    <w:rsid w:val="009C1730"/>
    <w:rsid w:val="009D592B"/>
    <w:rsid w:val="009D6232"/>
    <w:rsid w:val="009E15D4"/>
    <w:rsid w:val="009E4E7D"/>
    <w:rsid w:val="009E7B06"/>
    <w:rsid w:val="009F25BD"/>
    <w:rsid w:val="009F3C7E"/>
    <w:rsid w:val="009F5646"/>
    <w:rsid w:val="009F7873"/>
    <w:rsid w:val="009F7979"/>
    <w:rsid w:val="009F7AE7"/>
    <w:rsid w:val="00A02F3E"/>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A135E"/>
    <w:rsid w:val="00AA50D6"/>
    <w:rsid w:val="00AA5A95"/>
    <w:rsid w:val="00AA7480"/>
    <w:rsid w:val="00AB1481"/>
    <w:rsid w:val="00AB2ABB"/>
    <w:rsid w:val="00AB36B6"/>
    <w:rsid w:val="00AB5C67"/>
    <w:rsid w:val="00AB7C98"/>
    <w:rsid w:val="00AC35FB"/>
    <w:rsid w:val="00AC47D9"/>
    <w:rsid w:val="00AD0DA1"/>
    <w:rsid w:val="00AE0209"/>
    <w:rsid w:val="00AE2095"/>
    <w:rsid w:val="00AE5322"/>
    <w:rsid w:val="00AE5D29"/>
    <w:rsid w:val="00AE5FEF"/>
    <w:rsid w:val="00AE73E2"/>
    <w:rsid w:val="00AF1CF9"/>
    <w:rsid w:val="00AF2AE3"/>
    <w:rsid w:val="00AF7C58"/>
    <w:rsid w:val="00B05787"/>
    <w:rsid w:val="00B10220"/>
    <w:rsid w:val="00B15323"/>
    <w:rsid w:val="00B259AC"/>
    <w:rsid w:val="00B268D9"/>
    <w:rsid w:val="00B26EC9"/>
    <w:rsid w:val="00B31B8F"/>
    <w:rsid w:val="00B333B0"/>
    <w:rsid w:val="00B440DB"/>
    <w:rsid w:val="00B4415D"/>
    <w:rsid w:val="00B45103"/>
    <w:rsid w:val="00B45D24"/>
    <w:rsid w:val="00B52992"/>
    <w:rsid w:val="00B538C6"/>
    <w:rsid w:val="00B62018"/>
    <w:rsid w:val="00B63114"/>
    <w:rsid w:val="00B64A22"/>
    <w:rsid w:val="00B67D14"/>
    <w:rsid w:val="00B700C3"/>
    <w:rsid w:val="00B743EE"/>
    <w:rsid w:val="00B8042D"/>
    <w:rsid w:val="00B810FF"/>
    <w:rsid w:val="00B8418B"/>
    <w:rsid w:val="00B84519"/>
    <w:rsid w:val="00B87463"/>
    <w:rsid w:val="00B91E5C"/>
    <w:rsid w:val="00B933FA"/>
    <w:rsid w:val="00BA00E2"/>
    <w:rsid w:val="00BA4255"/>
    <w:rsid w:val="00BA4F5A"/>
    <w:rsid w:val="00BA7BBA"/>
    <w:rsid w:val="00BB3DE5"/>
    <w:rsid w:val="00BB4394"/>
    <w:rsid w:val="00BB5ABD"/>
    <w:rsid w:val="00BC1BA9"/>
    <w:rsid w:val="00BC41E1"/>
    <w:rsid w:val="00BD2FC7"/>
    <w:rsid w:val="00BD3000"/>
    <w:rsid w:val="00BD6EC1"/>
    <w:rsid w:val="00BE25AF"/>
    <w:rsid w:val="00BE3F11"/>
    <w:rsid w:val="00BF0F96"/>
    <w:rsid w:val="00C00420"/>
    <w:rsid w:val="00C01D14"/>
    <w:rsid w:val="00C04DD5"/>
    <w:rsid w:val="00C073D6"/>
    <w:rsid w:val="00C12785"/>
    <w:rsid w:val="00C14D2D"/>
    <w:rsid w:val="00C15327"/>
    <w:rsid w:val="00C205DD"/>
    <w:rsid w:val="00C22B04"/>
    <w:rsid w:val="00C242B2"/>
    <w:rsid w:val="00C25140"/>
    <w:rsid w:val="00C25F74"/>
    <w:rsid w:val="00C35546"/>
    <w:rsid w:val="00C4092D"/>
    <w:rsid w:val="00C4278B"/>
    <w:rsid w:val="00C43BD2"/>
    <w:rsid w:val="00C44F90"/>
    <w:rsid w:val="00C47E9C"/>
    <w:rsid w:val="00C52FD7"/>
    <w:rsid w:val="00C57277"/>
    <w:rsid w:val="00C616E4"/>
    <w:rsid w:val="00C648E2"/>
    <w:rsid w:val="00C6603B"/>
    <w:rsid w:val="00C75A4D"/>
    <w:rsid w:val="00C75CE4"/>
    <w:rsid w:val="00C8367C"/>
    <w:rsid w:val="00C90645"/>
    <w:rsid w:val="00C92A41"/>
    <w:rsid w:val="00C95E0F"/>
    <w:rsid w:val="00CA3BAD"/>
    <w:rsid w:val="00CB1858"/>
    <w:rsid w:val="00CC0087"/>
    <w:rsid w:val="00CC51AE"/>
    <w:rsid w:val="00CD0085"/>
    <w:rsid w:val="00CD213F"/>
    <w:rsid w:val="00CE1BDC"/>
    <w:rsid w:val="00CE708C"/>
    <w:rsid w:val="00CF3E52"/>
    <w:rsid w:val="00D00043"/>
    <w:rsid w:val="00D003BE"/>
    <w:rsid w:val="00D0219A"/>
    <w:rsid w:val="00D03468"/>
    <w:rsid w:val="00D03E18"/>
    <w:rsid w:val="00D049F8"/>
    <w:rsid w:val="00D06094"/>
    <w:rsid w:val="00D110CC"/>
    <w:rsid w:val="00D1310A"/>
    <w:rsid w:val="00D165B0"/>
    <w:rsid w:val="00D16D3B"/>
    <w:rsid w:val="00D21814"/>
    <w:rsid w:val="00D249EC"/>
    <w:rsid w:val="00D30CFE"/>
    <w:rsid w:val="00D314BC"/>
    <w:rsid w:val="00D319FC"/>
    <w:rsid w:val="00D37964"/>
    <w:rsid w:val="00D40468"/>
    <w:rsid w:val="00D41BD8"/>
    <w:rsid w:val="00D45FD5"/>
    <w:rsid w:val="00D501E4"/>
    <w:rsid w:val="00D51F3A"/>
    <w:rsid w:val="00D62340"/>
    <w:rsid w:val="00D623D2"/>
    <w:rsid w:val="00D63F18"/>
    <w:rsid w:val="00D6527D"/>
    <w:rsid w:val="00D656A0"/>
    <w:rsid w:val="00D6795D"/>
    <w:rsid w:val="00D67B70"/>
    <w:rsid w:val="00D710F6"/>
    <w:rsid w:val="00D729EC"/>
    <w:rsid w:val="00D74B92"/>
    <w:rsid w:val="00D77064"/>
    <w:rsid w:val="00D841C1"/>
    <w:rsid w:val="00D93010"/>
    <w:rsid w:val="00D946E9"/>
    <w:rsid w:val="00D9604F"/>
    <w:rsid w:val="00D9737C"/>
    <w:rsid w:val="00DB395C"/>
    <w:rsid w:val="00DB3D0C"/>
    <w:rsid w:val="00DB4D49"/>
    <w:rsid w:val="00DB767D"/>
    <w:rsid w:val="00DC07E5"/>
    <w:rsid w:val="00DC395D"/>
    <w:rsid w:val="00DC3F63"/>
    <w:rsid w:val="00DC634D"/>
    <w:rsid w:val="00DC6FEA"/>
    <w:rsid w:val="00DC7204"/>
    <w:rsid w:val="00DC7AA7"/>
    <w:rsid w:val="00DD0FFA"/>
    <w:rsid w:val="00DD202C"/>
    <w:rsid w:val="00DD3863"/>
    <w:rsid w:val="00DE5376"/>
    <w:rsid w:val="00DE60D1"/>
    <w:rsid w:val="00DF050A"/>
    <w:rsid w:val="00DF59BD"/>
    <w:rsid w:val="00DF6FC3"/>
    <w:rsid w:val="00DF751A"/>
    <w:rsid w:val="00DF7A31"/>
    <w:rsid w:val="00E00C94"/>
    <w:rsid w:val="00E05A1C"/>
    <w:rsid w:val="00E062CC"/>
    <w:rsid w:val="00E07333"/>
    <w:rsid w:val="00E129EE"/>
    <w:rsid w:val="00E12BAD"/>
    <w:rsid w:val="00E13411"/>
    <w:rsid w:val="00E1441B"/>
    <w:rsid w:val="00E14AC6"/>
    <w:rsid w:val="00E30F62"/>
    <w:rsid w:val="00E36ECE"/>
    <w:rsid w:val="00E46B69"/>
    <w:rsid w:val="00E573AC"/>
    <w:rsid w:val="00E57B94"/>
    <w:rsid w:val="00E62839"/>
    <w:rsid w:val="00E62E85"/>
    <w:rsid w:val="00E64EE1"/>
    <w:rsid w:val="00E65C1E"/>
    <w:rsid w:val="00E71DAC"/>
    <w:rsid w:val="00E74CB8"/>
    <w:rsid w:val="00E75F13"/>
    <w:rsid w:val="00E76022"/>
    <w:rsid w:val="00E83456"/>
    <w:rsid w:val="00E8673B"/>
    <w:rsid w:val="00EA25E4"/>
    <w:rsid w:val="00EA3E87"/>
    <w:rsid w:val="00EA7A22"/>
    <w:rsid w:val="00EA7DE2"/>
    <w:rsid w:val="00EB004F"/>
    <w:rsid w:val="00EB6AC3"/>
    <w:rsid w:val="00EC2723"/>
    <w:rsid w:val="00EC6D59"/>
    <w:rsid w:val="00EC703C"/>
    <w:rsid w:val="00ED0777"/>
    <w:rsid w:val="00ED2DE0"/>
    <w:rsid w:val="00ED6645"/>
    <w:rsid w:val="00ED6F4E"/>
    <w:rsid w:val="00EE37EE"/>
    <w:rsid w:val="00EE6EB1"/>
    <w:rsid w:val="00EF39A0"/>
    <w:rsid w:val="00EF43D5"/>
    <w:rsid w:val="00EF4E23"/>
    <w:rsid w:val="00EF670C"/>
    <w:rsid w:val="00EF691D"/>
    <w:rsid w:val="00F0000C"/>
    <w:rsid w:val="00F002E5"/>
    <w:rsid w:val="00F03838"/>
    <w:rsid w:val="00F03945"/>
    <w:rsid w:val="00F04C86"/>
    <w:rsid w:val="00F0598E"/>
    <w:rsid w:val="00F0757B"/>
    <w:rsid w:val="00F10DAC"/>
    <w:rsid w:val="00F11D4E"/>
    <w:rsid w:val="00F12CC8"/>
    <w:rsid w:val="00F1423E"/>
    <w:rsid w:val="00F20765"/>
    <w:rsid w:val="00F20D44"/>
    <w:rsid w:val="00F238CE"/>
    <w:rsid w:val="00F24EE1"/>
    <w:rsid w:val="00F36445"/>
    <w:rsid w:val="00F412D7"/>
    <w:rsid w:val="00F429AB"/>
    <w:rsid w:val="00F43996"/>
    <w:rsid w:val="00F45AD5"/>
    <w:rsid w:val="00F45F72"/>
    <w:rsid w:val="00F47184"/>
    <w:rsid w:val="00F51398"/>
    <w:rsid w:val="00F521B6"/>
    <w:rsid w:val="00F53C1F"/>
    <w:rsid w:val="00F53D7D"/>
    <w:rsid w:val="00F54201"/>
    <w:rsid w:val="00F5464F"/>
    <w:rsid w:val="00F62B0D"/>
    <w:rsid w:val="00F6446E"/>
    <w:rsid w:val="00F657F3"/>
    <w:rsid w:val="00F80BF6"/>
    <w:rsid w:val="00F81802"/>
    <w:rsid w:val="00F82819"/>
    <w:rsid w:val="00F8452D"/>
    <w:rsid w:val="00F95BCB"/>
    <w:rsid w:val="00F96634"/>
    <w:rsid w:val="00F96A5C"/>
    <w:rsid w:val="00FA1FBC"/>
    <w:rsid w:val="00FA2C97"/>
    <w:rsid w:val="00FA2FC5"/>
    <w:rsid w:val="00FA32D0"/>
    <w:rsid w:val="00FA5136"/>
    <w:rsid w:val="00FB35BE"/>
    <w:rsid w:val="00FC43B8"/>
    <w:rsid w:val="00FC4E58"/>
    <w:rsid w:val="00FC7004"/>
    <w:rsid w:val="00FD06A0"/>
    <w:rsid w:val="00FD13FB"/>
    <w:rsid w:val="00FD228E"/>
    <w:rsid w:val="00FD4E9B"/>
    <w:rsid w:val="00FD5389"/>
    <w:rsid w:val="00FE1A2F"/>
    <w:rsid w:val="00FE5F50"/>
    <w:rsid w:val="00FF1B25"/>
    <w:rsid w:val="00FF7A85"/>
    <w:rsid w:val="00FF7DDA"/>
    <w:rsid w:val="1BA53FCA"/>
    <w:rsid w:val="36A7113E"/>
    <w:rsid w:val="38317DA9"/>
    <w:rsid w:val="5C86081A"/>
    <w:rsid w:val="765073A2"/>
    <w:rsid w:val="7A0D464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uiPriority w:val="0"/>
    <w:rPr>
      <w:b/>
      <w:bCs/>
    </w:rPr>
  </w:style>
  <w:style w:type="paragraph" w:styleId="3">
    <w:name w:val="annotation text"/>
    <w:basedOn w:val="1"/>
    <w:semiHidden/>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character" w:styleId="9">
    <w:name w:val="Strong"/>
    <w:basedOn w:val="8"/>
    <w:qFormat/>
    <w:uiPriority w:val="0"/>
    <w:rPr>
      <w:b/>
    </w:rPr>
  </w:style>
  <w:style w:type="character" w:styleId="10">
    <w:name w:val="annotation reference"/>
    <w:semiHidden/>
    <w:qFormat/>
    <w:uiPriority w:val="0"/>
    <w:rPr>
      <w:sz w:val="21"/>
      <w:szCs w:val="21"/>
    </w:rPr>
  </w:style>
  <w:style w:type="paragraph" w:customStyle="1" w:styleId="12">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3">
    <w:name w:val="_Style 13"/>
    <w:basedOn w:val="1"/>
    <w:next w:val="1"/>
    <w:qFormat/>
    <w:uiPriority w:val="0"/>
    <w:pPr>
      <w:pBdr>
        <w:top w:val="single" w:color="auto" w:sz="6" w:space="1"/>
      </w:pBdr>
      <w:jc w:val="center"/>
    </w:pPr>
    <w:rPr>
      <w:rFonts w:ascii="Arial"/>
      <w:vanish/>
      <w:sz w:val="16"/>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zhlx</Company>
  <Pages>17</Pages>
  <Words>1151</Words>
  <Characters>6561</Characters>
  <Lines>54</Lines>
  <Paragraphs>15</Paragraphs>
  <TotalTime>0</TotalTime>
  <ScaleCrop>false</ScaleCrop>
  <LinksUpToDate>false</LinksUpToDate>
  <CharactersWithSpaces>7697</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dell</cp:lastModifiedBy>
  <cp:lastPrinted>2018-01-10T01:08:00Z</cp:lastPrinted>
  <dcterms:modified xsi:type="dcterms:W3CDTF">2019-12-05T08:27:03Z</dcterms:modified>
  <dc:title>年部门预算编制说明</dc:title>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