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6" o:spid="_x0000_s1026" o:spt="136" type="#_x0000_t136" style="position:absolute;left:0pt;margin-left:24.75pt;margin-top:25.1pt;height:39.7pt;width:85.05pt;z-index:251660288;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r>
        <w:rPr>
          <w:sz w:val="44"/>
          <w:szCs w:val="44"/>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74930</wp:posOffset>
                </wp:positionV>
                <wp:extent cx="2120265" cy="396240"/>
                <wp:effectExtent l="0" t="0" r="13335" b="3810"/>
                <wp:wrapNone/>
                <wp:docPr id="1" name="文本框 3"/>
                <wp:cNvGraphicFramePr/>
                <a:graphic xmlns:a="http://schemas.openxmlformats.org/drawingml/2006/main">
                  <a:graphicData uri="http://schemas.microsoft.com/office/word/2010/wordprocessingShape">
                    <wps:wsp>
                      <wps:cNvSpPr txBox="1"/>
                      <wps:spPr>
                        <a:xfrm>
                          <a:off x="0" y="0"/>
                          <a:ext cx="2120265" cy="396240"/>
                        </a:xfrm>
                        <a:prstGeom prst="rect">
                          <a:avLst/>
                        </a:prstGeom>
                        <a:solidFill>
                          <a:srgbClr val="FFFFFF"/>
                        </a:solidFill>
                        <a:ln w="9525">
                          <a:noFill/>
                        </a:ln>
                      </wps:spPr>
                      <wps:txbx>
                        <w:txbxContent>
                          <w:p>
                            <w:pPr>
                              <w:rPr>
                                <w:rFonts w:ascii="黑体" w:eastAsia="黑体"/>
                                <w:spacing w:val="-6"/>
                                <w:sz w:val="24"/>
                              </w:rPr>
                            </w:pPr>
                          </w:p>
                        </w:txbxContent>
                      </wps:txbx>
                      <wps:bodyPr upright="1"/>
                    </wps:wsp>
                  </a:graphicData>
                </a:graphic>
              </wp:anchor>
            </w:drawing>
          </mc:Choice>
          <mc:Fallback>
            <w:pict>
              <v:shape id="文本框 3" o:spid="_x0000_s1026" o:spt="202" type="#_x0000_t202" style="position:absolute;left:0pt;margin-left:288pt;margin-top:5.9pt;height:31.2pt;width:166.95pt;z-index:251661312;mso-width-relative:page;mso-height-relative:page;" fillcolor="#FFFFFF" filled="t" stroked="f" coordsize="21600,21600" o:gfxdata="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Z+t99cA&#10;AAAJAQAADwAAAAAAAAABACAAAAAiAAAAZHJzL2Rvd25yZXYueG1sUEsBAhQAFAAAAAgAh07iQAsX&#10;buiuAQAAMgMAAA4AAAAAAAAAAQAgAAAAJgEAAGRycy9lMm9Eb2MueG1sUEsFBgAAAAAGAAYAWQEA&#10;AEYFAAAAAA==&#10;">
                <v:fill on="t" focussize="0,0"/>
                <v:stroke on="f"/>
                <v:imagedata o:title=""/>
                <o:lock v:ext="edit" aspectratio="f"/>
                <v:textbox>
                  <w:txbxContent>
                    <w:p>
                      <w:pPr>
                        <w:rPr>
                          <w:rFonts w:ascii="黑体" w:eastAsia="黑体"/>
                          <w:spacing w:val="-6"/>
                          <w:sz w:val="24"/>
                        </w:rPr>
                      </w:pPr>
                    </w:p>
                  </w:txbxContent>
                </v:textbox>
              </v:shape>
            </w:pict>
          </mc:Fallback>
        </mc:AlternateConten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default" w:ascii="Times New Roman" w:hAnsi="Times New Roman" w:eastAsia="黑体" w:cs="Times New Roman"/>
          <w:b w:val="0"/>
          <w:bCs/>
          <w:sz w:val="28"/>
          <w:szCs w:val="28"/>
        </w:rPr>
      </w:pPr>
      <w:r>
        <w:rPr>
          <w:rFonts w:hint="eastAsia" w:ascii="Times New Roman" w:hAnsi="Times New Roman" w:eastAsia="黑体" w:cs="Times New Roman"/>
          <w:b w:val="0"/>
          <w:bCs/>
          <w:sz w:val="28"/>
          <w:szCs w:val="28"/>
          <w:lang w:val="zh-CN"/>
        </w:rPr>
        <w:t>医疗机构制剂调剂使用审批</w:t>
      </w:r>
      <w:r>
        <w:rPr>
          <w:rFonts w:hint="eastAsia" w:ascii="Times New Roman" w:hAnsi="Times New Roman" w:eastAsia="黑体" w:cs="Times New Roman"/>
          <w:b w:val="0"/>
          <w:bCs/>
          <w:sz w:val="28"/>
          <w:szCs w:val="28"/>
        </w:rPr>
        <w:t>办事指南</w:t>
      </w:r>
    </w:p>
    <w:p>
      <w:pPr>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（完整版）</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黑体" w:hAnsi="黑体" w:eastAsia="黑体"/>
          <w:sz w:val="24"/>
        </w:rPr>
      </w:pPr>
      <w:r>
        <w:rPr>
          <w:rFonts w:hint="eastAsia" w:ascii="黑体" w:hAnsi="黑体" w:eastAsia="黑体"/>
          <w:sz w:val="24"/>
        </w:rPr>
        <w:t>云南省</w:t>
      </w:r>
      <w:r>
        <w:rPr>
          <w:rFonts w:hint="eastAsia" w:eastAsia="黑体"/>
          <w:sz w:val="24"/>
        </w:rPr>
        <w:t>玉溪市</w:t>
      </w:r>
      <w:r>
        <w:rPr>
          <w:rFonts w:hint="eastAsia" w:eastAsia="黑体"/>
          <w:sz w:val="24"/>
          <w:lang w:eastAsia="zh-CN"/>
        </w:rPr>
        <w:t>市场监督管理局</w:t>
      </w:r>
    </w:p>
    <w:p>
      <w:pPr>
        <w:rPr>
          <w:sz w:val="44"/>
          <w:szCs w:val="44"/>
        </w:rPr>
      </w:pPr>
    </w:p>
    <w:p>
      <w:pPr>
        <w:tabs>
          <w:tab w:val="left" w:pos="2955"/>
        </w:tabs>
        <w:rPr>
          <w:sz w:val="44"/>
          <w:szCs w:val="44"/>
        </w:rPr>
      </w:pPr>
      <w:r>
        <w:rPr>
          <w:sz w:val="44"/>
          <w:szCs w:val="44"/>
        </w:rPr>
        <w:tab/>
      </w:r>
    </w:p>
    <w:p>
      <w:pPr>
        <w:rPr>
          <w:sz w:val="44"/>
          <w:szCs w:val="44"/>
        </w:rPr>
      </w:pPr>
    </w:p>
    <w:p>
      <w:pPr>
        <w:rPr>
          <w:sz w:val="44"/>
          <w:szCs w:val="44"/>
        </w:rPr>
        <w:sectPr>
          <w:footerReference r:id="rId3" w:type="default"/>
          <w:footerReference r:id="rId4" w:type="even"/>
          <w:pgSz w:w="11906" w:h="16838"/>
          <w:pgMar w:top="2098" w:right="1474" w:bottom="1985" w:left="1588" w:header="851" w:footer="992" w:gutter="0"/>
          <w:pgNumType w:fmt="numberInDash" w:start="1"/>
          <w:cols w:space="720" w:num="1"/>
          <w:titlePg/>
          <w:docGrid w:type="lines" w:linePitch="312" w:charSpace="0"/>
        </w:sect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ascii="方正小标宋简体" w:hAnsi="黑体" w:eastAsia="方正小标宋简体"/>
          <w:sz w:val="28"/>
          <w:szCs w:val="28"/>
        </w:rPr>
      </w:pPr>
    </w:p>
    <w:p>
      <w:pPr>
        <w:spacing w:line="400" w:lineRule="exact"/>
        <w:jc w:val="center"/>
        <w:rPr>
          <w:rFonts w:hint="eastAsia" w:ascii="方正小标宋简体" w:eastAsia="方正小标宋简体" w:cs="方正黑体简体"/>
          <w:bCs/>
          <w:sz w:val="28"/>
          <w:szCs w:val="28"/>
          <w:lang w:val="zh-CN"/>
        </w:rPr>
        <w:sectPr>
          <w:footerReference r:id="rId5" w:type="default"/>
          <w:pgSz w:w="11906" w:h="16838"/>
          <w:pgMar w:top="1440" w:right="1800" w:bottom="1440" w:left="1800" w:header="851" w:footer="992" w:gutter="0"/>
          <w:pgNumType w:start="1"/>
          <w:cols w:space="425" w:num="1"/>
          <w:docGrid w:type="lines" w:linePitch="312" w:charSpace="0"/>
        </w:sectPr>
      </w:pPr>
    </w:p>
    <w:p>
      <w:pPr>
        <w:spacing w:line="400" w:lineRule="exact"/>
        <w:jc w:val="center"/>
        <w:rPr>
          <w:rFonts w:ascii="方正小标宋简体" w:hAnsi="黑体" w:eastAsia="方正小标宋简体"/>
          <w:sz w:val="28"/>
          <w:szCs w:val="28"/>
        </w:rPr>
      </w:pPr>
      <w:r>
        <w:rPr>
          <w:rFonts w:hint="eastAsia" w:ascii="方正小标宋简体" w:eastAsia="方正小标宋简体" w:cs="方正黑体简体"/>
          <w:bCs/>
          <w:sz w:val="28"/>
          <w:szCs w:val="28"/>
          <w:lang w:val="zh-CN"/>
        </w:rPr>
        <w:t>医疗机构制剂调剂使用审批</w:t>
      </w:r>
      <w:r>
        <w:rPr>
          <w:rFonts w:hint="eastAsia" w:ascii="方正小标宋简体" w:hAnsi="黑体" w:eastAsia="方正小标宋简体"/>
          <w:sz w:val="28"/>
          <w:szCs w:val="28"/>
        </w:rPr>
        <w:t>办事指南</w:t>
      </w:r>
    </w:p>
    <w:p>
      <w:pPr>
        <w:spacing w:line="400" w:lineRule="exact"/>
        <w:jc w:val="center"/>
        <w:rPr>
          <w:rFonts w:ascii="楷体_GB2312" w:eastAsia="楷体_GB2312"/>
          <w:b/>
          <w:sz w:val="28"/>
          <w:szCs w:val="28"/>
        </w:rPr>
      </w:pPr>
    </w:p>
    <w:p>
      <w:pPr>
        <w:spacing w:line="400" w:lineRule="exact"/>
        <w:jc w:val="center"/>
        <w:rPr>
          <w:rFonts w:ascii="楷体_GB2312" w:eastAsia="楷体_GB2312"/>
          <w:b/>
          <w:sz w:val="28"/>
          <w:szCs w:val="28"/>
        </w:rPr>
      </w:pPr>
    </w:p>
    <w:p>
      <w:pPr>
        <w:spacing w:line="260" w:lineRule="exact"/>
        <w:ind w:firstLine="420" w:firstLineChars="200"/>
        <w:outlineLvl w:val="0"/>
        <w:rPr>
          <w:rFonts w:ascii="黑体" w:hAnsi="黑体" w:eastAsia="黑体"/>
          <w:szCs w:val="21"/>
        </w:rPr>
      </w:pPr>
      <w:r>
        <w:rPr>
          <w:rFonts w:ascii="黑体" w:hAnsi="黑体" w:eastAsia="黑体"/>
          <w:szCs w:val="21"/>
        </w:rPr>
        <w:t>一、受理范围</w:t>
      </w:r>
    </w:p>
    <w:p>
      <w:pPr>
        <w:spacing w:line="260" w:lineRule="exact"/>
        <w:ind w:firstLine="420" w:firstLineChars="200"/>
        <w:outlineLvl w:val="0"/>
        <w:rPr>
          <w:rFonts w:ascii="宋体" w:hAnsi="宋体"/>
          <w:szCs w:val="21"/>
        </w:rPr>
      </w:pPr>
      <w:bookmarkStart w:id="0" w:name="_Toc371002660"/>
      <w:r>
        <w:rPr>
          <w:rFonts w:hint="eastAsia" w:ascii="宋体" w:hAnsi="宋体"/>
          <w:szCs w:val="21"/>
        </w:rPr>
        <w:t>玉溪市行政区域内的医疗机构</w:t>
      </w:r>
      <w:r>
        <w:rPr>
          <w:rFonts w:ascii="宋体" w:hAnsi="宋体"/>
          <w:szCs w:val="21"/>
        </w:rPr>
        <w:t>。</w:t>
      </w:r>
    </w:p>
    <w:p>
      <w:pPr>
        <w:spacing w:line="260" w:lineRule="exact"/>
        <w:ind w:firstLine="420" w:firstLineChars="200"/>
        <w:outlineLvl w:val="0"/>
        <w:rPr>
          <w:rFonts w:ascii="黑体" w:hAnsi="黑体" w:eastAsia="黑体"/>
          <w:szCs w:val="21"/>
        </w:rPr>
      </w:pPr>
      <w:r>
        <w:rPr>
          <w:rFonts w:ascii="黑体" w:hAnsi="黑体" w:eastAsia="黑体"/>
          <w:szCs w:val="21"/>
        </w:rPr>
        <w:t>二、办理依据</w:t>
      </w:r>
      <w:bookmarkEnd w:id="0"/>
    </w:p>
    <w:p>
      <w:pPr>
        <w:adjustRightInd w:val="0"/>
        <w:snapToGrid w:val="0"/>
        <w:spacing w:line="260" w:lineRule="exact"/>
        <w:ind w:firstLine="420" w:firstLineChars="200"/>
        <w:jc w:val="left"/>
        <w:rPr>
          <w:rFonts w:hint="eastAsia" w:ascii="Times New Roman" w:hAnsi="Times New Roman" w:eastAsia="宋体" w:cs="Times New Roman"/>
          <w:szCs w:val="21"/>
          <w:lang w:val="en-US" w:eastAsia="zh-CN"/>
        </w:rPr>
      </w:pPr>
      <w:r>
        <w:rPr>
          <w:rFonts w:hint="default" w:ascii="Times New Roman" w:hAnsi="Times New Roman" w:cs="Times New Roman"/>
          <w:szCs w:val="21"/>
        </w:rPr>
        <w:t>《中华人民共和国药品管理法》、《 医疗机构制剂注册管理办法( 试行) 》 ( 国家食品药品监督管理局令2 0 0 5年第2 0号)、云南省人民政府关于调整一批行政许可事项的决定（云政发[2017]86号）、云南省食品药品监督管理局关于调整外用医疗机构制剂调剂使用审批和食品生产许可管理权限的通知（云食药监法[2018]7号）</w:t>
      </w:r>
      <w:r>
        <w:rPr>
          <w:rFonts w:hint="eastAsia" w:ascii="Times New Roman" w:hAnsi="Times New Roman" w:cs="Times New Roman"/>
          <w:szCs w:val="21"/>
          <w:lang w:eastAsia="zh-CN"/>
        </w:rPr>
        <w:t>。</w:t>
      </w:r>
    </w:p>
    <w:p>
      <w:pPr>
        <w:spacing w:line="260" w:lineRule="exact"/>
        <w:ind w:firstLine="420" w:firstLineChars="200"/>
        <w:outlineLvl w:val="0"/>
        <w:rPr>
          <w:rFonts w:ascii="黑体" w:hAnsi="黑体" w:eastAsia="黑体"/>
          <w:szCs w:val="21"/>
        </w:rPr>
      </w:pPr>
      <w:r>
        <w:rPr>
          <w:rFonts w:ascii="黑体" w:hAnsi="黑体" w:eastAsia="黑体"/>
          <w:szCs w:val="21"/>
        </w:rPr>
        <w:t>三、</w:t>
      </w:r>
      <w:r>
        <w:rPr>
          <w:rFonts w:hint="eastAsia" w:ascii="黑体" w:hAnsi="黑体" w:eastAsia="黑体"/>
          <w:szCs w:val="21"/>
        </w:rPr>
        <w:t>实施</w:t>
      </w:r>
      <w:r>
        <w:rPr>
          <w:rFonts w:ascii="黑体" w:hAnsi="黑体" w:eastAsia="黑体"/>
          <w:szCs w:val="21"/>
        </w:rPr>
        <w:t>机关</w:t>
      </w:r>
    </w:p>
    <w:p>
      <w:pPr>
        <w:adjustRightInd w:val="0"/>
        <w:snapToGrid w:val="0"/>
        <w:spacing w:line="260" w:lineRule="exact"/>
        <w:ind w:firstLine="420" w:firstLineChars="200"/>
        <w:jc w:val="left"/>
        <w:rPr>
          <w:rFonts w:ascii="宋体" w:hAnsi="宋体"/>
          <w:szCs w:val="21"/>
        </w:rPr>
      </w:pPr>
      <w:r>
        <w:rPr>
          <w:rFonts w:ascii="宋体" w:hAnsi="宋体"/>
          <w:szCs w:val="21"/>
        </w:rPr>
        <w:t>本许可</w:t>
      </w:r>
      <w:r>
        <w:rPr>
          <w:rFonts w:hint="eastAsia" w:ascii="宋体" w:hAnsi="宋体"/>
          <w:szCs w:val="21"/>
        </w:rPr>
        <w:t>实施</w:t>
      </w:r>
      <w:r>
        <w:rPr>
          <w:rFonts w:ascii="宋体" w:hAnsi="宋体"/>
          <w:szCs w:val="21"/>
        </w:rPr>
        <w:t>机关为</w:t>
      </w:r>
      <w:r>
        <w:rPr>
          <w:rFonts w:hint="eastAsia" w:ascii="宋体" w:hAnsi="宋体"/>
          <w:szCs w:val="21"/>
        </w:rPr>
        <w:t>玉溪市</w:t>
      </w:r>
      <w:r>
        <w:rPr>
          <w:rFonts w:hint="eastAsia" w:ascii="宋体" w:hAnsi="宋体"/>
          <w:szCs w:val="21"/>
          <w:lang w:eastAsia="zh-CN"/>
        </w:rPr>
        <w:t>市场监督管理局</w:t>
      </w:r>
      <w:r>
        <w:rPr>
          <w:rFonts w:hint="eastAsia" w:ascii="宋体" w:hAnsi="宋体"/>
          <w:szCs w:val="21"/>
        </w:rPr>
        <w:t>。</w:t>
      </w:r>
    </w:p>
    <w:p>
      <w:pPr>
        <w:spacing w:line="260" w:lineRule="exact"/>
        <w:ind w:firstLine="420" w:firstLineChars="200"/>
        <w:outlineLvl w:val="0"/>
        <w:rPr>
          <w:rFonts w:ascii="黑体" w:hAnsi="黑体" w:eastAsia="黑体"/>
          <w:szCs w:val="21"/>
        </w:rPr>
      </w:pPr>
      <w:bookmarkStart w:id="1" w:name="_Toc371002663"/>
      <w:r>
        <w:rPr>
          <w:rFonts w:ascii="黑体" w:hAnsi="黑体" w:eastAsia="黑体"/>
          <w:szCs w:val="21"/>
        </w:rPr>
        <w:t>四、审批条件</w:t>
      </w:r>
      <w:bookmarkEnd w:id="1"/>
    </w:p>
    <w:p>
      <w:pPr>
        <w:adjustRightInd w:val="0"/>
        <w:snapToGrid w:val="0"/>
        <w:spacing w:line="260" w:lineRule="exact"/>
        <w:ind w:firstLine="420" w:firstLineChars="200"/>
        <w:jc w:val="left"/>
        <w:outlineLvl w:val="0"/>
        <w:rPr>
          <w:rFonts w:ascii="宋体" w:hAnsi="宋体"/>
          <w:szCs w:val="21"/>
        </w:rPr>
      </w:pPr>
      <w:r>
        <w:rPr>
          <w:rFonts w:hint="eastAsia" w:ascii="宋体" w:hAnsi="宋体"/>
          <w:szCs w:val="21"/>
        </w:rPr>
        <w:t>1.本行政许可适用于玉溪市行政区域内外用医疗机构制剂的调剂使用审批</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2.符合下列条件的单位可以提出申请：</w:t>
      </w:r>
    </w:p>
    <w:p>
      <w:pPr>
        <w:adjustRightInd w:val="0"/>
        <w:snapToGrid w:val="0"/>
        <w:spacing w:line="260" w:lineRule="exact"/>
        <w:ind w:firstLine="420" w:firstLineChars="200"/>
        <w:jc w:val="left"/>
        <w:outlineLvl w:val="0"/>
        <w:rPr>
          <w:rFonts w:ascii="宋体" w:hAnsi="宋体"/>
          <w:szCs w:val="21"/>
        </w:rPr>
      </w:pPr>
      <w:r>
        <w:rPr>
          <w:rFonts w:hint="eastAsia" w:ascii="宋体" w:hAnsi="宋体"/>
          <w:szCs w:val="21"/>
        </w:rPr>
        <w:t>（1）发生灾情、疫情、突发事件或者临床急需而市场没有供应的；</w:t>
      </w:r>
    </w:p>
    <w:p>
      <w:pPr>
        <w:adjustRightInd w:val="0"/>
        <w:snapToGrid w:val="0"/>
        <w:spacing w:line="260" w:lineRule="exact"/>
        <w:ind w:firstLine="420" w:firstLineChars="200"/>
        <w:jc w:val="left"/>
        <w:outlineLvl w:val="0"/>
        <w:rPr>
          <w:rFonts w:ascii="宋体" w:hAnsi="宋体"/>
          <w:szCs w:val="21"/>
        </w:rPr>
      </w:pPr>
      <w:r>
        <w:rPr>
          <w:rFonts w:hint="eastAsia" w:ascii="宋体" w:hAnsi="宋体"/>
          <w:szCs w:val="21"/>
        </w:rPr>
        <w:t>（2）符合《制剂注册管理办法》中制剂调剂使用有关规定的中药、民族药制剂，需在本省内中医、民族医疗机构或综合性医院中医科、民族医科室之间调剂使用的；</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3）经过5年以上（含5年）临床实践证明疗效确切、安全性有保障，用于专科专病临床治疗的院内中药制剂及以民族医药理论为指导，并以中医术语、病名表述功能主治的中药制剂，需在指定的医疗机构之间调剂使用的；</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（4）经卫生部或国家中医药管理局批准的对口支援单位；</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（5）经省级卫生或中医药管理部门批准的中医医疗集团；</w:t>
      </w:r>
    </w:p>
    <w:p>
      <w:pPr>
        <w:adjustRightInd w:val="0"/>
        <w:snapToGrid w:val="0"/>
        <w:spacing w:line="260" w:lineRule="exact"/>
        <w:ind w:firstLine="420" w:firstLineChars="200"/>
        <w:jc w:val="left"/>
        <w:outlineLvl w:val="0"/>
        <w:rPr>
          <w:rFonts w:hint="eastAsia" w:ascii="宋体" w:hAnsi="宋体"/>
          <w:szCs w:val="21"/>
        </w:rPr>
      </w:pPr>
      <w:r>
        <w:rPr>
          <w:rFonts w:hint="eastAsia" w:ascii="宋体" w:hAnsi="宋体"/>
          <w:szCs w:val="21"/>
        </w:rPr>
        <w:t>（6）省级以上重点专科技术协作项目；</w:t>
      </w:r>
    </w:p>
    <w:p>
      <w:pPr>
        <w:adjustRightInd w:val="0"/>
        <w:snapToGrid w:val="0"/>
        <w:spacing w:line="260" w:lineRule="exact"/>
        <w:ind w:firstLine="420" w:firstLineChars="200"/>
        <w:jc w:val="left"/>
        <w:outlineLvl w:val="0"/>
        <w:rPr>
          <w:rFonts w:ascii="宋体" w:hAnsi="宋体"/>
          <w:szCs w:val="21"/>
        </w:rPr>
      </w:pPr>
      <w:r>
        <w:rPr>
          <w:rFonts w:hint="eastAsia" w:ascii="宋体" w:hAnsi="宋体"/>
          <w:szCs w:val="21"/>
        </w:rPr>
        <w:t>（7）省级以上重点科研课题协作项目。</w:t>
      </w:r>
    </w:p>
    <w:p>
      <w:pPr>
        <w:adjustRightInd w:val="0"/>
        <w:snapToGrid w:val="0"/>
        <w:spacing w:line="260" w:lineRule="exact"/>
        <w:ind w:firstLine="420" w:firstLineChars="200"/>
        <w:jc w:val="left"/>
        <w:outlineLvl w:val="0"/>
        <w:rPr>
          <w:rFonts w:ascii="黑体" w:hAnsi="黑体" w:eastAsia="黑体"/>
          <w:szCs w:val="21"/>
        </w:rPr>
      </w:pPr>
      <w:r>
        <w:rPr>
          <w:rFonts w:ascii="黑体" w:hAnsi="黑体" w:eastAsia="黑体"/>
          <w:szCs w:val="21"/>
        </w:rPr>
        <w:t>五、受理地点</w:t>
      </w:r>
    </w:p>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受理地点：玉溪市</w:t>
      </w:r>
      <w:r>
        <w:rPr>
          <w:rFonts w:hint="eastAsia" w:ascii="Times New Roman" w:hAnsi="Times New Roman" w:cs="Times New Roman"/>
          <w:szCs w:val="21"/>
          <w:lang w:eastAsia="zh-CN"/>
        </w:rPr>
        <w:t>政务服务中心。</w:t>
      </w:r>
    </w:p>
    <w:p>
      <w:pPr>
        <w:adjustRightInd w:val="0"/>
        <w:snapToGrid w:val="0"/>
        <w:spacing w:line="260" w:lineRule="exact"/>
        <w:ind w:firstLine="420" w:firstLineChars="200"/>
        <w:jc w:val="left"/>
        <w:rPr>
          <w:rFonts w:hint="eastAsia" w:ascii="Times New Roman" w:hAnsi="Times New Roman" w:cs="Times New Roman"/>
          <w:szCs w:val="21"/>
          <w:lang w:val="en-US" w:eastAsia="zh-CN"/>
        </w:rPr>
      </w:pPr>
      <w:r>
        <w:rPr>
          <w:rFonts w:hint="default" w:ascii="Times New Roman" w:hAnsi="Times New Roman" w:cs="Times New Roman"/>
          <w:szCs w:val="21"/>
        </w:rPr>
        <w:t>地址：玉溪市红塔区</w:t>
      </w:r>
      <w:r>
        <w:rPr>
          <w:rFonts w:hint="eastAsia" w:ascii="Times New Roman" w:hAnsi="Times New Roman" w:cs="Times New Roman"/>
          <w:szCs w:val="21"/>
          <w:lang w:eastAsia="zh-CN"/>
        </w:rPr>
        <w:t>玉龙路</w:t>
      </w:r>
      <w:r>
        <w:rPr>
          <w:rFonts w:hint="eastAsia" w:ascii="Times New Roman" w:hAnsi="Times New Roman" w:cs="Times New Roman"/>
          <w:szCs w:val="21"/>
          <w:lang w:val="en-US" w:eastAsia="zh-CN"/>
        </w:rPr>
        <w:t>2号（市政府停车场侧面）。</w:t>
      </w:r>
    </w:p>
    <w:p>
      <w:pPr>
        <w:adjustRightInd w:val="0"/>
        <w:snapToGrid w:val="0"/>
        <w:spacing w:line="260" w:lineRule="exact"/>
        <w:ind w:firstLine="420" w:firstLineChars="200"/>
        <w:jc w:val="left"/>
        <w:rPr>
          <w:rFonts w:hint="eastAsia" w:ascii="Times New Roman" w:hAnsi="Times New Roman" w:eastAsia="宋体" w:cs="Times New Roman"/>
          <w:szCs w:val="21"/>
          <w:lang w:val="en-US" w:eastAsia="zh-CN"/>
        </w:rPr>
      </w:pPr>
      <w:r>
        <w:rPr>
          <w:rFonts w:hint="default" w:ascii="Times New Roman" w:hAnsi="Times New Roman" w:cs="Times New Roman"/>
          <w:szCs w:val="21"/>
        </w:rPr>
        <w:t>交通方式：市内可乘</w:t>
      </w:r>
      <w:r>
        <w:rPr>
          <w:rFonts w:hint="eastAsia" w:ascii="Times New Roman" w:hAnsi="Times New Roman" w:cs="Times New Roman"/>
          <w:szCs w:val="21"/>
          <w:lang w:eastAsia="zh-CN"/>
        </w:rPr>
        <w:t>公交</w:t>
      </w:r>
      <w:r>
        <w:rPr>
          <w:rFonts w:hint="default" w:ascii="Times New Roman" w:hAnsi="Times New Roman" w:cs="Times New Roman"/>
          <w:szCs w:val="21"/>
        </w:rPr>
        <w:t>13路、18路</w:t>
      </w:r>
      <w:r>
        <w:rPr>
          <w:rFonts w:hint="eastAsia" w:ascii="Times New Roman" w:hAnsi="Times New Roman" w:cs="Times New Roman"/>
          <w:szCs w:val="21"/>
          <w:lang w:eastAsia="zh-CN"/>
        </w:rPr>
        <w:t>在保安大厦站下车，沿玉龙路行</w:t>
      </w:r>
      <w:r>
        <w:rPr>
          <w:rFonts w:hint="eastAsia" w:ascii="Times New Roman" w:hAnsi="Times New Roman" w:cs="Times New Roman"/>
          <w:szCs w:val="21"/>
          <w:lang w:val="en-US" w:eastAsia="zh-CN"/>
        </w:rPr>
        <w:t>300米即可到达。</w:t>
      </w:r>
    </w:p>
    <w:p>
      <w:pPr>
        <w:spacing w:line="260" w:lineRule="exact"/>
        <w:ind w:firstLine="420" w:firstLineChars="200"/>
        <w:outlineLvl w:val="0"/>
        <w:rPr>
          <w:rFonts w:ascii="黑体" w:hAnsi="黑体" w:eastAsia="黑体"/>
          <w:szCs w:val="21"/>
        </w:rPr>
      </w:pPr>
      <w:r>
        <w:rPr>
          <w:rFonts w:ascii="黑体" w:hAnsi="黑体" w:eastAsia="黑体"/>
          <w:szCs w:val="21"/>
        </w:rPr>
        <w:t>六、申请材料</w:t>
      </w:r>
    </w:p>
    <w:p>
      <w:pPr>
        <w:pStyle w:val="11"/>
        <w:spacing w:line="260" w:lineRule="exact"/>
        <w:ind w:firstLine="0" w:firstLineChars="0"/>
        <w:jc w:val="center"/>
        <w:rPr>
          <w:rFonts w:ascii="黑体" w:hAnsi="黑体" w:eastAsia="黑体"/>
          <w:sz w:val="21"/>
          <w:szCs w:val="21"/>
        </w:rPr>
      </w:pPr>
    </w:p>
    <w:p>
      <w:pPr>
        <w:pStyle w:val="11"/>
        <w:spacing w:line="260" w:lineRule="exact"/>
        <w:ind w:firstLine="0" w:firstLineChars="0"/>
        <w:jc w:val="center"/>
        <w:rPr>
          <w:rFonts w:ascii="黑体" w:hAnsi="黑体" w:eastAsia="黑体"/>
          <w:sz w:val="21"/>
          <w:szCs w:val="21"/>
        </w:rPr>
      </w:pPr>
      <w:r>
        <w:rPr>
          <w:rFonts w:hint="eastAsia" w:ascii="黑体" w:hAnsi="黑体" w:eastAsia="黑体"/>
          <w:sz w:val="21"/>
          <w:szCs w:val="21"/>
        </w:rPr>
        <w:t>医疗机构制剂调剂使用审批材料</w:t>
      </w:r>
      <w:r>
        <w:rPr>
          <w:rFonts w:ascii="黑体" w:hAnsi="黑体" w:eastAsia="黑体"/>
          <w:sz w:val="21"/>
          <w:szCs w:val="21"/>
        </w:rPr>
        <w:t>目录</w:t>
      </w:r>
    </w:p>
    <w:tbl>
      <w:tblPr>
        <w:tblStyle w:val="6"/>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525"/>
        <w:gridCol w:w="814"/>
        <w:gridCol w:w="709"/>
        <w:gridCol w:w="289"/>
        <w:gridCol w:w="309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47" w:type="dxa"/>
            <w:vAlign w:val="center"/>
          </w:tcPr>
          <w:p>
            <w:pPr>
              <w:pStyle w:val="15"/>
              <w:spacing w:line="220" w:lineRule="exact"/>
              <w:ind w:left="0" w:leftChars="0" w:firstLine="0" w:firstLineChars="0"/>
              <w:jc w:val="center"/>
              <w:rPr>
                <w:rFonts w:hAnsi="宋体"/>
                <w:sz w:val="18"/>
                <w:szCs w:val="18"/>
              </w:rPr>
            </w:pPr>
            <w:r>
              <w:rPr>
                <w:rFonts w:hAnsi="宋体"/>
                <w:sz w:val="18"/>
                <w:szCs w:val="18"/>
              </w:rPr>
              <w:t>序号</w:t>
            </w:r>
          </w:p>
        </w:tc>
        <w:tc>
          <w:tcPr>
            <w:tcW w:w="3525" w:type="dxa"/>
            <w:vAlign w:val="center"/>
          </w:tcPr>
          <w:p>
            <w:pPr>
              <w:pStyle w:val="11"/>
              <w:spacing w:line="220" w:lineRule="exact"/>
              <w:ind w:firstLine="0" w:firstLineChars="0"/>
              <w:jc w:val="center"/>
              <w:rPr>
                <w:rFonts w:hAnsi="宋体"/>
              </w:rPr>
            </w:pPr>
            <w:r>
              <w:rPr>
                <w:rFonts w:hAnsi="宋体"/>
              </w:rPr>
              <w:t>提交材料名称</w:t>
            </w:r>
          </w:p>
        </w:tc>
        <w:tc>
          <w:tcPr>
            <w:tcW w:w="814" w:type="dxa"/>
            <w:vAlign w:val="center"/>
          </w:tcPr>
          <w:p>
            <w:pPr>
              <w:pStyle w:val="11"/>
              <w:spacing w:line="220" w:lineRule="exact"/>
              <w:ind w:firstLine="0" w:firstLineChars="0"/>
              <w:jc w:val="center"/>
              <w:rPr>
                <w:rFonts w:hAnsi="宋体"/>
              </w:rPr>
            </w:pPr>
            <w:r>
              <w:rPr>
                <w:rFonts w:hAnsi="宋体"/>
              </w:rPr>
              <w:t>原件/复印件</w:t>
            </w:r>
          </w:p>
        </w:tc>
        <w:tc>
          <w:tcPr>
            <w:tcW w:w="709" w:type="dxa"/>
            <w:vAlign w:val="center"/>
          </w:tcPr>
          <w:p>
            <w:pPr>
              <w:spacing w:line="220" w:lineRule="exact"/>
              <w:jc w:val="center"/>
              <w:rPr>
                <w:rFonts w:ascii="宋体" w:hAnsi="宋体"/>
                <w:sz w:val="18"/>
                <w:szCs w:val="18"/>
              </w:rPr>
            </w:pPr>
            <w:r>
              <w:rPr>
                <w:rFonts w:ascii="宋体" w:hAnsi="宋体"/>
                <w:sz w:val="18"/>
                <w:szCs w:val="18"/>
              </w:rPr>
              <w:t>纸质/电子文件</w:t>
            </w:r>
          </w:p>
        </w:tc>
        <w:tc>
          <w:tcPr>
            <w:tcW w:w="289" w:type="dxa"/>
            <w:vAlign w:val="center"/>
          </w:tcPr>
          <w:p>
            <w:pPr>
              <w:pStyle w:val="11"/>
              <w:spacing w:line="220" w:lineRule="exact"/>
              <w:ind w:firstLine="0" w:firstLineChars="0"/>
              <w:jc w:val="center"/>
              <w:rPr>
                <w:rFonts w:hAnsi="宋体"/>
              </w:rPr>
            </w:pPr>
            <w:r>
              <w:rPr>
                <w:rFonts w:hAnsi="宋体"/>
              </w:rPr>
              <w:t>份数</w:t>
            </w:r>
          </w:p>
        </w:tc>
        <w:tc>
          <w:tcPr>
            <w:tcW w:w="3093" w:type="dxa"/>
            <w:vAlign w:val="center"/>
          </w:tcPr>
          <w:p>
            <w:pPr>
              <w:spacing w:line="220" w:lineRule="exact"/>
              <w:jc w:val="center"/>
              <w:rPr>
                <w:rFonts w:ascii="宋体" w:hAnsi="宋体"/>
                <w:sz w:val="18"/>
                <w:szCs w:val="18"/>
              </w:rPr>
            </w:pPr>
            <w:r>
              <w:rPr>
                <w:rFonts w:hint="eastAsia" w:ascii="宋体" w:hAnsi="宋体"/>
                <w:sz w:val="18"/>
                <w:szCs w:val="18"/>
              </w:rPr>
              <w:t>要求</w:t>
            </w:r>
          </w:p>
        </w:tc>
        <w:tc>
          <w:tcPr>
            <w:tcW w:w="597" w:type="dxa"/>
            <w:vAlign w:val="center"/>
          </w:tcPr>
          <w:p>
            <w:pPr>
              <w:spacing w:line="220" w:lineRule="exact"/>
              <w:jc w:val="center"/>
              <w:rPr>
                <w:rFonts w:ascii="宋体" w:hAnsi="宋体"/>
                <w:sz w:val="18"/>
                <w:szCs w:val="18"/>
              </w:rPr>
            </w:pPr>
            <w:r>
              <w:rPr>
                <w:rFonts w:hint="eastAsia" w:ascii="宋体" w:hAnsi="宋体"/>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11"/>
              <w:spacing w:line="220" w:lineRule="exact"/>
              <w:ind w:left="-109" w:leftChars="-52" w:firstLine="1" w:firstLineChars="0"/>
              <w:jc w:val="center"/>
              <w:rPr>
                <w:rFonts w:hAnsi="宋体"/>
              </w:rPr>
            </w:pPr>
            <w:r>
              <w:rPr>
                <w:rFonts w:hAnsi="宋体"/>
              </w:rPr>
              <w:t>1</w:t>
            </w:r>
          </w:p>
        </w:tc>
        <w:tc>
          <w:tcPr>
            <w:tcW w:w="3525" w:type="dxa"/>
          </w:tcPr>
          <w:p>
            <w:pPr>
              <w:pStyle w:val="5"/>
              <w:spacing w:line="450" w:lineRule="atLeast"/>
              <w:jc w:val="both"/>
              <w:rPr>
                <w:rFonts w:ascii="微软雅黑" w:hAnsi="微软雅黑" w:eastAsia="微软雅黑"/>
                <w:color w:val="777777"/>
              </w:rPr>
            </w:pPr>
            <w:r>
              <w:rPr>
                <w:rFonts w:hint="eastAsia" w:cs="方正仿宋_GBK"/>
                <w:kern w:val="2"/>
                <w:sz w:val="21"/>
                <w:szCs w:val="21"/>
                <w:lang w:val="zh-CN"/>
              </w:rPr>
              <w:t>制剂调出和调入双方的《医疗机构执业许可证》复印件、调出方《医疗机构制剂许可证》复印件。经批准委托配制的医疗机构中药制剂应当提供制剂配制单位的《医疗机构制剂许可证》或《药品生产质量管理规范》认证证书复印件；</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pStyle w:val="10"/>
              <w:spacing w:line="260" w:lineRule="exact"/>
              <w:ind w:firstLine="0" w:firstLineChars="0"/>
              <w:rPr>
                <w:rFonts w:hAnsi="宋体"/>
                <w:sz w:val="18"/>
                <w:szCs w:val="18"/>
              </w:rPr>
            </w:pPr>
            <w:r>
              <w:rPr>
                <w:rFonts w:hint="eastAsia" w:hAnsi="宋体"/>
                <w:sz w:val="18"/>
                <w:szCs w:val="18"/>
              </w:rPr>
              <w:t>■复印件</w:t>
            </w:r>
          </w:p>
        </w:tc>
        <w:tc>
          <w:tcPr>
            <w:tcW w:w="709" w:type="dxa"/>
            <w:vMerge w:val="restart"/>
            <w:vAlign w:val="center"/>
          </w:tcPr>
          <w:p>
            <w:pPr>
              <w:pStyle w:val="11"/>
              <w:spacing w:line="220" w:lineRule="exact"/>
              <w:ind w:firstLine="0" w:firstLineChars="0"/>
              <w:jc w:val="center"/>
              <w:rPr>
                <w:rFonts w:hAnsi="宋体"/>
              </w:rPr>
            </w:pPr>
          </w:p>
          <w:p>
            <w:pPr>
              <w:pStyle w:val="11"/>
              <w:spacing w:line="220" w:lineRule="exact"/>
              <w:ind w:firstLine="0" w:firstLineChars="0"/>
              <w:jc w:val="center"/>
              <w:rPr>
                <w:rFonts w:hAnsi="宋体"/>
              </w:rPr>
            </w:pPr>
            <w:r>
              <w:rPr>
                <w:rFonts w:hint="eastAsia" w:hAnsi="宋体"/>
              </w:rPr>
              <w:t>纸质材料，应采用A4纸，左侧装订。</w:t>
            </w:r>
          </w:p>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restart"/>
            <w:vAlign w:val="center"/>
          </w:tcPr>
          <w:p>
            <w:pPr>
              <w:pStyle w:val="11"/>
              <w:spacing w:line="220" w:lineRule="exact"/>
              <w:ind w:firstLine="360"/>
              <w:rPr>
                <w:rFonts w:hAnsi="宋体"/>
              </w:rPr>
            </w:pPr>
            <w:r>
              <w:rPr>
                <w:rFonts w:hint="eastAsia" w:hAnsi="宋体"/>
              </w:rPr>
              <w:t>1、申请材料应合法、有效。</w:t>
            </w:r>
          </w:p>
          <w:p>
            <w:pPr>
              <w:pStyle w:val="11"/>
              <w:spacing w:line="220" w:lineRule="exact"/>
              <w:ind w:firstLine="360"/>
              <w:rPr>
                <w:rFonts w:hAnsi="宋体"/>
              </w:rPr>
            </w:pPr>
            <w:r>
              <w:rPr>
                <w:rFonts w:hint="eastAsia" w:hAnsi="宋体"/>
              </w:rPr>
              <w:t>2、统一用A4纸打印，并按材料顺序排列，编写页码，复印件统一加盖公章。</w:t>
            </w:r>
          </w:p>
          <w:p>
            <w:pPr>
              <w:pStyle w:val="11"/>
              <w:spacing w:line="220" w:lineRule="exact"/>
              <w:ind w:firstLine="360"/>
              <w:rPr>
                <w:rFonts w:hAnsi="宋体"/>
              </w:rPr>
            </w:pPr>
            <w:r>
              <w:rPr>
                <w:rFonts w:hint="eastAsia" w:hAnsi="宋体"/>
              </w:rPr>
              <w:t>3、申请材料真实性的自我保证声明应有法定代表人签字并加盖申报单位印章。</w:t>
            </w:r>
          </w:p>
          <w:p>
            <w:pPr>
              <w:pStyle w:val="11"/>
              <w:spacing w:line="220" w:lineRule="exact"/>
              <w:ind w:firstLine="360"/>
              <w:rPr>
                <w:rFonts w:hAnsi="宋体"/>
              </w:rPr>
            </w:pPr>
            <w:r>
              <w:rPr>
                <w:rFonts w:hint="eastAsia" w:hAnsi="宋体"/>
              </w:rPr>
              <w:t>4、法定代表人(或企业负责人)委托他人代理的，委托代理人应当提交法人签字的《授权委托书》和身份证复印件</w:t>
            </w:r>
            <w:bookmarkStart w:id="5" w:name="_GoBack"/>
            <w:bookmarkEnd w:id="5"/>
          </w:p>
        </w:tc>
        <w:tc>
          <w:tcPr>
            <w:tcW w:w="597" w:type="dxa"/>
            <w:vAlign w:val="center"/>
          </w:tcPr>
          <w:p>
            <w:pPr>
              <w:pStyle w:val="11"/>
              <w:spacing w:line="220" w:lineRule="exact"/>
              <w:ind w:firstLine="10" w:firstLineChars="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center"/>
          </w:tcPr>
          <w:p>
            <w:pPr>
              <w:pStyle w:val="11"/>
              <w:spacing w:line="220" w:lineRule="exact"/>
              <w:ind w:left="-109" w:leftChars="-52" w:firstLine="1" w:firstLineChars="0"/>
              <w:jc w:val="center"/>
              <w:rPr>
                <w:rFonts w:hAnsi="宋体"/>
              </w:rPr>
            </w:pPr>
            <w:r>
              <w:rPr>
                <w:rFonts w:hAnsi="宋体"/>
              </w:rPr>
              <w:t>2</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拟调出制剂的《医疗机构制剂注册批件》复印件；</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continue"/>
            <w:vAlign w:val="center"/>
          </w:tcPr>
          <w:p>
            <w:pPr>
              <w:pStyle w:val="11"/>
              <w:spacing w:line="220" w:lineRule="exact"/>
              <w:ind w:firstLine="360"/>
              <w:rPr>
                <w:rFonts w:hAnsi="宋体"/>
              </w:rPr>
            </w:pPr>
          </w:p>
        </w:tc>
        <w:tc>
          <w:tcPr>
            <w:tcW w:w="597" w:type="dxa"/>
            <w:vAlign w:val="center"/>
          </w:tcPr>
          <w:p>
            <w:pPr>
              <w:pStyle w:val="11"/>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47" w:type="dxa"/>
            <w:vAlign w:val="center"/>
          </w:tcPr>
          <w:p>
            <w:pPr>
              <w:pStyle w:val="11"/>
              <w:spacing w:line="220" w:lineRule="exact"/>
              <w:ind w:left="-109" w:leftChars="-52" w:firstLine="1" w:firstLineChars="0"/>
              <w:jc w:val="center"/>
              <w:rPr>
                <w:rFonts w:hAnsi="宋体"/>
              </w:rPr>
            </w:pPr>
            <w:r>
              <w:rPr>
                <w:rFonts w:hint="eastAsia" w:hAnsi="宋体"/>
              </w:rPr>
              <w:t>3</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调剂双方签署的合同；</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continue"/>
            <w:vAlign w:val="center"/>
          </w:tcPr>
          <w:p>
            <w:pPr>
              <w:pStyle w:val="11"/>
              <w:spacing w:line="220" w:lineRule="exact"/>
              <w:ind w:firstLine="360"/>
              <w:rPr>
                <w:rFonts w:hAnsi="宋体"/>
              </w:rPr>
            </w:pPr>
          </w:p>
        </w:tc>
        <w:tc>
          <w:tcPr>
            <w:tcW w:w="597" w:type="dxa"/>
            <w:vAlign w:val="center"/>
          </w:tcPr>
          <w:p>
            <w:pPr>
              <w:pStyle w:val="11"/>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447" w:type="dxa"/>
            <w:vAlign w:val="center"/>
          </w:tcPr>
          <w:p>
            <w:pPr>
              <w:pStyle w:val="11"/>
              <w:spacing w:line="220" w:lineRule="exact"/>
              <w:ind w:left="-109" w:leftChars="-52" w:firstLine="1" w:firstLineChars="0"/>
              <w:jc w:val="center"/>
              <w:rPr>
                <w:rFonts w:hAnsi="宋体"/>
              </w:rPr>
            </w:pPr>
            <w:r>
              <w:rPr>
                <w:rFonts w:hint="eastAsia" w:hAnsi="宋体"/>
              </w:rPr>
              <w:t>4</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拟调出制剂的理由、期限、数量和范围；</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continue"/>
            <w:vAlign w:val="center"/>
          </w:tcPr>
          <w:p>
            <w:pPr>
              <w:pStyle w:val="11"/>
              <w:spacing w:line="220" w:lineRule="exact"/>
              <w:ind w:firstLine="360"/>
              <w:rPr>
                <w:rFonts w:hAnsi="宋体"/>
              </w:rPr>
            </w:pPr>
          </w:p>
        </w:tc>
        <w:tc>
          <w:tcPr>
            <w:tcW w:w="597" w:type="dxa"/>
            <w:vAlign w:val="center"/>
          </w:tcPr>
          <w:p>
            <w:pPr>
              <w:pStyle w:val="11"/>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7" w:type="dxa"/>
            <w:vAlign w:val="center"/>
          </w:tcPr>
          <w:p>
            <w:pPr>
              <w:pStyle w:val="11"/>
              <w:spacing w:line="220" w:lineRule="exact"/>
              <w:ind w:left="-109" w:leftChars="-52" w:firstLine="1" w:firstLineChars="0"/>
              <w:jc w:val="center"/>
              <w:rPr>
                <w:rFonts w:hAnsi="宋体"/>
              </w:rPr>
            </w:pPr>
            <w:r>
              <w:rPr>
                <w:rFonts w:hAnsi="宋体"/>
              </w:rPr>
              <w:t>5</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拟调出制剂的质量标准、说明书和标签；</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widowControl/>
              <w:jc w:val="center"/>
              <w:rPr>
                <w:rFonts w:ascii="宋体" w:hAnsi="宋体" w:cs="宋体"/>
                <w:bCs/>
                <w:kern w:val="0"/>
                <w:szCs w:val="21"/>
              </w:rPr>
            </w:pPr>
            <w:r>
              <w:rPr>
                <w:rFonts w:hint="eastAsia" w:hAnsi="宋体"/>
                <w:sz w:val="18"/>
                <w:szCs w:val="18"/>
              </w:rPr>
              <w:t>■复印件</w:t>
            </w:r>
          </w:p>
        </w:tc>
        <w:tc>
          <w:tcPr>
            <w:tcW w:w="709" w:type="dxa"/>
            <w:vMerge w:val="continue"/>
            <w:vAlign w:val="center"/>
          </w:tcPr>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continue"/>
            <w:vAlign w:val="center"/>
          </w:tcPr>
          <w:p>
            <w:pPr>
              <w:pStyle w:val="11"/>
              <w:spacing w:line="220" w:lineRule="exact"/>
              <w:ind w:firstLine="360"/>
              <w:rPr>
                <w:rFonts w:hAnsi="宋体"/>
              </w:rPr>
            </w:pPr>
          </w:p>
        </w:tc>
        <w:tc>
          <w:tcPr>
            <w:tcW w:w="597" w:type="dxa"/>
            <w:vAlign w:val="center"/>
          </w:tcPr>
          <w:p>
            <w:pPr>
              <w:pStyle w:val="11"/>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47" w:type="dxa"/>
            <w:vAlign w:val="center"/>
          </w:tcPr>
          <w:p>
            <w:pPr>
              <w:pStyle w:val="11"/>
              <w:spacing w:line="220" w:lineRule="exact"/>
              <w:ind w:left="-109" w:leftChars="-52" w:firstLine="1" w:firstLineChars="0"/>
              <w:jc w:val="center"/>
              <w:rPr>
                <w:rFonts w:hAnsi="宋体"/>
              </w:rPr>
            </w:pPr>
            <w:r>
              <w:rPr>
                <w:rFonts w:hAnsi="宋体"/>
              </w:rPr>
              <w:t>6</w:t>
            </w:r>
          </w:p>
        </w:tc>
        <w:tc>
          <w:tcPr>
            <w:tcW w:w="3525" w:type="dxa"/>
          </w:tcPr>
          <w:p>
            <w:pPr>
              <w:autoSpaceDE w:val="0"/>
              <w:autoSpaceDN w:val="0"/>
              <w:adjustRightInd w:val="0"/>
              <w:rPr>
                <w:rFonts w:ascii="宋体" w:hAnsi="宋体"/>
                <w:szCs w:val="21"/>
              </w:rPr>
            </w:pPr>
            <w:r>
              <w:rPr>
                <w:rFonts w:hint="eastAsia" w:ascii="宋体" w:hAnsi="宋体" w:cs="方正仿宋_GBK"/>
                <w:szCs w:val="21"/>
                <w:lang w:val="zh-CN"/>
              </w:rPr>
              <w:t>调出方出具的拟调出制剂品种1个批次自检报告。</w:t>
            </w:r>
          </w:p>
        </w:tc>
        <w:tc>
          <w:tcPr>
            <w:tcW w:w="814" w:type="dxa"/>
            <w:vAlign w:val="center"/>
          </w:tcPr>
          <w:p>
            <w:pPr>
              <w:pStyle w:val="10"/>
              <w:spacing w:line="260" w:lineRule="exact"/>
              <w:ind w:firstLine="0" w:firstLineChars="0"/>
              <w:rPr>
                <w:rFonts w:hAnsi="宋体"/>
                <w:sz w:val="18"/>
                <w:szCs w:val="18"/>
              </w:rPr>
            </w:pPr>
            <w:r>
              <w:rPr>
                <w:rFonts w:hint="eastAsia" w:hAnsi="宋体"/>
                <w:sz w:val="18"/>
                <w:szCs w:val="18"/>
              </w:rPr>
              <w:t>□原件</w:t>
            </w:r>
          </w:p>
          <w:p>
            <w:pPr>
              <w:pStyle w:val="10"/>
              <w:spacing w:line="260" w:lineRule="exact"/>
              <w:ind w:firstLine="0" w:firstLineChars="0"/>
              <w:rPr>
                <w:rFonts w:hAnsi="宋体"/>
                <w:sz w:val="18"/>
                <w:szCs w:val="18"/>
              </w:rPr>
            </w:pPr>
            <w:r>
              <w:rPr>
                <w:rFonts w:hint="eastAsia" w:hAnsi="宋体"/>
                <w:sz w:val="18"/>
                <w:szCs w:val="18"/>
              </w:rPr>
              <w:t>■复印件</w:t>
            </w:r>
          </w:p>
        </w:tc>
        <w:tc>
          <w:tcPr>
            <w:tcW w:w="709" w:type="dxa"/>
            <w:vMerge w:val="continue"/>
            <w:vAlign w:val="center"/>
          </w:tcPr>
          <w:p>
            <w:pPr>
              <w:pStyle w:val="11"/>
              <w:spacing w:line="220" w:lineRule="exact"/>
              <w:ind w:firstLine="360"/>
              <w:jc w:val="center"/>
              <w:rPr>
                <w:rFonts w:hAnsi="宋体"/>
              </w:rPr>
            </w:pPr>
          </w:p>
        </w:tc>
        <w:tc>
          <w:tcPr>
            <w:tcW w:w="289" w:type="dxa"/>
            <w:vAlign w:val="center"/>
          </w:tcPr>
          <w:p>
            <w:pPr>
              <w:pStyle w:val="11"/>
              <w:spacing w:line="220" w:lineRule="exact"/>
              <w:ind w:firstLine="0" w:firstLineChars="0"/>
              <w:jc w:val="center"/>
              <w:rPr>
                <w:rFonts w:hAnsi="宋体"/>
              </w:rPr>
            </w:pPr>
            <w:r>
              <w:rPr>
                <w:rFonts w:hAnsi="宋体"/>
              </w:rPr>
              <w:t>1</w:t>
            </w:r>
          </w:p>
        </w:tc>
        <w:tc>
          <w:tcPr>
            <w:tcW w:w="3093" w:type="dxa"/>
            <w:vMerge w:val="continue"/>
            <w:vAlign w:val="center"/>
          </w:tcPr>
          <w:p>
            <w:pPr>
              <w:pStyle w:val="11"/>
              <w:spacing w:line="220" w:lineRule="exact"/>
              <w:ind w:firstLine="0" w:firstLineChars="0"/>
              <w:rPr>
                <w:rFonts w:hAnsi="宋体"/>
              </w:rPr>
            </w:pPr>
          </w:p>
        </w:tc>
        <w:tc>
          <w:tcPr>
            <w:tcW w:w="597" w:type="dxa"/>
            <w:vAlign w:val="center"/>
          </w:tcPr>
          <w:p>
            <w:pPr>
              <w:pStyle w:val="11"/>
              <w:spacing w:line="220" w:lineRule="exact"/>
              <w:ind w:firstLine="0" w:firstLineChars="0"/>
              <w:jc w:val="center"/>
              <w:rPr>
                <w:rFonts w:hAnsi="宋体"/>
              </w:rPr>
            </w:pPr>
          </w:p>
        </w:tc>
      </w:tr>
    </w:tbl>
    <w:p>
      <w:pPr>
        <w:pStyle w:val="11"/>
        <w:spacing w:line="260" w:lineRule="exact"/>
        <w:ind w:firstLine="0" w:firstLineChars="0"/>
        <w:jc w:val="center"/>
        <w:rPr>
          <w:rFonts w:ascii="黑体" w:hAnsi="黑体" w:eastAsia="黑体"/>
          <w:sz w:val="21"/>
          <w:szCs w:val="21"/>
        </w:rPr>
      </w:pPr>
    </w:p>
    <w:p>
      <w:pPr>
        <w:spacing w:line="260" w:lineRule="exact"/>
        <w:ind w:firstLine="420" w:firstLineChars="200"/>
        <w:rPr>
          <w:szCs w:val="21"/>
        </w:rPr>
      </w:pPr>
      <w:r>
        <w:rPr>
          <w:rFonts w:hAnsi="宋体"/>
          <w:szCs w:val="21"/>
        </w:rPr>
        <w:t>注：复印件应选用</w:t>
      </w:r>
      <w:r>
        <w:rPr>
          <w:szCs w:val="21"/>
        </w:rPr>
        <w:t>A4纸张，同时加盖公章。</w:t>
      </w:r>
    </w:p>
    <w:p>
      <w:pPr>
        <w:spacing w:line="260" w:lineRule="exact"/>
        <w:ind w:firstLine="420" w:firstLineChars="200"/>
        <w:outlineLvl w:val="0"/>
        <w:rPr>
          <w:rFonts w:eastAsia="黑体"/>
          <w:szCs w:val="21"/>
        </w:rPr>
      </w:pPr>
      <w:r>
        <w:rPr>
          <w:rFonts w:eastAsia="黑体"/>
          <w:szCs w:val="21"/>
        </w:rPr>
        <w:t>七、</w:t>
      </w:r>
      <w:r>
        <w:rPr>
          <w:rFonts w:hint="eastAsia" w:eastAsia="黑体"/>
          <w:szCs w:val="21"/>
        </w:rPr>
        <w:t>审批</w:t>
      </w:r>
      <w:r>
        <w:rPr>
          <w:rFonts w:eastAsia="黑体"/>
          <w:szCs w:val="21"/>
        </w:rPr>
        <w:t>时限</w:t>
      </w:r>
    </w:p>
    <w:p>
      <w:pPr>
        <w:adjustRightInd w:val="0"/>
        <w:snapToGrid w:val="0"/>
        <w:spacing w:line="260" w:lineRule="exact"/>
        <w:ind w:firstLine="420" w:firstLineChars="200"/>
        <w:jc w:val="left"/>
        <w:rPr>
          <w:szCs w:val="21"/>
        </w:rPr>
      </w:pPr>
      <w:r>
        <w:rPr>
          <w:rFonts w:hint="eastAsia" w:hAnsi="宋体"/>
          <w:szCs w:val="21"/>
          <w:lang w:eastAsia="zh-CN"/>
        </w:rPr>
        <w:t>法定</w:t>
      </w:r>
      <w:r>
        <w:rPr>
          <w:rFonts w:hAnsi="宋体"/>
          <w:szCs w:val="21"/>
        </w:rPr>
        <w:t>时限：</w:t>
      </w:r>
      <w:r>
        <w:rPr>
          <w:rFonts w:hint="eastAsia"/>
          <w:szCs w:val="21"/>
          <w:lang w:val="en-US" w:eastAsia="zh-CN"/>
        </w:rPr>
        <w:t>20</w:t>
      </w:r>
      <w:r>
        <w:rPr>
          <w:rFonts w:hAnsi="宋体"/>
          <w:szCs w:val="21"/>
        </w:rPr>
        <w:t>个工作日</w:t>
      </w:r>
    </w:p>
    <w:p>
      <w:pPr>
        <w:adjustRightInd w:val="0"/>
        <w:snapToGrid w:val="0"/>
        <w:spacing w:line="260" w:lineRule="exact"/>
        <w:ind w:firstLine="420" w:firstLineChars="200"/>
        <w:jc w:val="left"/>
        <w:rPr>
          <w:szCs w:val="21"/>
        </w:rPr>
      </w:pPr>
      <w:r>
        <w:rPr>
          <w:rFonts w:hint="eastAsia" w:hAnsi="宋体"/>
          <w:szCs w:val="21"/>
          <w:lang w:eastAsia="zh-CN"/>
        </w:rPr>
        <w:t>承诺</w:t>
      </w:r>
      <w:r>
        <w:rPr>
          <w:rFonts w:hAnsi="宋体"/>
          <w:szCs w:val="21"/>
        </w:rPr>
        <w:t>时限：</w:t>
      </w:r>
      <w:r>
        <w:rPr>
          <w:rFonts w:hint="eastAsia"/>
          <w:szCs w:val="21"/>
          <w:lang w:val="en-US" w:eastAsia="zh-CN"/>
        </w:rPr>
        <w:t>10</w:t>
      </w:r>
      <w:r>
        <w:rPr>
          <w:rFonts w:hAnsi="宋体"/>
          <w:szCs w:val="21"/>
        </w:rPr>
        <w:t>个工作日</w:t>
      </w:r>
    </w:p>
    <w:p>
      <w:pPr>
        <w:spacing w:line="260" w:lineRule="exact"/>
        <w:ind w:firstLine="420" w:firstLineChars="200"/>
        <w:outlineLvl w:val="0"/>
        <w:rPr>
          <w:rFonts w:eastAsia="黑体"/>
          <w:szCs w:val="21"/>
        </w:rPr>
      </w:pPr>
      <w:bookmarkStart w:id="2" w:name="_Toc371002668"/>
      <w:r>
        <w:rPr>
          <w:rFonts w:eastAsia="黑体"/>
          <w:szCs w:val="21"/>
        </w:rPr>
        <w:t>八、</w:t>
      </w:r>
      <w:r>
        <w:rPr>
          <w:rFonts w:hint="eastAsia" w:eastAsia="黑体"/>
          <w:szCs w:val="21"/>
        </w:rPr>
        <w:t>审批</w:t>
      </w:r>
      <w:r>
        <w:rPr>
          <w:rFonts w:eastAsia="黑体"/>
          <w:szCs w:val="21"/>
        </w:rPr>
        <w:t>收费</w:t>
      </w:r>
    </w:p>
    <w:bookmarkEnd w:id="2"/>
    <w:p>
      <w:pPr>
        <w:spacing w:line="260" w:lineRule="exact"/>
        <w:ind w:firstLine="420" w:firstLineChars="200"/>
        <w:outlineLvl w:val="0"/>
        <w:rPr>
          <w:rFonts w:ascii="宋体" w:hAnsi="宋体"/>
          <w:szCs w:val="21"/>
        </w:rPr>
      </w:pPr>
      <w:r>
        <w:rPr>
          <w:rFonts w:hint="eastAsia" w:ascii="宋体" w:hAnsi="宋体"/>
          <w:szCs w:val="21"/>
        </w:rPr>
        <w:t>本审批事项不收费</w:t>
      </w:r>
    </w:p>
    <w:p>
      <w:pPr>
        <w:adjustRightInd w:val="0"/>
        <w:snapToGrid w:val="0"/>
        <w:spacing w:line="260" w:lineRule="exact"/>
        <w:ind w:firstLine="420" w:firstLineChars="200"/>
        <w:jc w:val="left"/>
        <w:rPr>
          <w:rFonts w:eastAsia="黑体"/>
          <w:szCs w:val="21"/>
        </w:rPr>
      </w:pPr>
      <w:r>
        <w:rPr>
          <w:rFonts w:hAnsi="黑体" w:eastAsia="黑体"/>
          <w:szCs w:val="21"/>
        </w:rPr>
        <w:t>九、共同审批</w:t>
      </w:r>
      <w:r>
        <w:rPr>
          <w:rFonts w:hint="eastAsia" w:hAnsi="黑体" w:eastAsia="黑体"/>
          <w:szCs w:val="21"/>
        </w:rPr>
        <w:t>与</w:t>
      </w:r>
      <w:r>
        <w:rPr>
          <w:rFonts w:hAnsi="黑体" w:eastAsia="黑体"/>
          <w:szCs w:val="21"/>
        </w:rPr>
        <w:t>前置审批</w:t>
      </w:r>
      <w:r>
        <w:rPr>
          <w:rFonts w:hint="eastAsia" w:hAnsi="黑体" w:eastAsia="黑体"/>
          <w:szCs w:val="21"/>
        </w:rPr>
        <w:t>（无）</w:t>
      </w:r>
    </w:p>
    <w:p>
      <w:pPr>
        <w:spacing w:line="260" w:lineRule="exact"/>
        <w:ind w:firstLine="420" w:firstLineChars="200"/>
        <w:rPr>
          <w:rFonts w:hAnsi="宋体"/>
          <w:szCs w:val="21"/>
        </w:rPr>
      </w:pPr>
      <w:r>
        <w:rPr>
          <w:rFonts w:hint="eastAsia" w:hAnsi="宋体"/>
          <w:szCs w:val="21"/>
        </w:rPr>
        <w:t>无</w:t>
      </w:r>
    </w:p>
    <w:p>
      <w:pPr>
        <w:adjustRightInd w:val="0"/>
        <w:snapToGrid w:val="0"/>
        <w:spacing w:line="260" w:lineRule="exact"/>
        <w:ind w:firstLine="420" w:firstLineChars="200"/>
        <w:jc w:val="left"/>
        <w:rPr>
          <w:rFonts w:eastAsia="黑体"/>
          <w:szCs w:val="21"/>
        </w:rPr>
      </w:pPr>
      <w:r>
        <w:rPr>
          <w:rFonts w:hAnsi="黑体" w:eastAsia="黑体"/>
          <w:szCs w:val="21"/>
        </w:rPr>
        <w:t>十、中介服务</w:t>
      </w:r>
      <w:r>
        <w:rPr>
          <w:rFonts w:hint="eastAsia" w:hAnsi="黑体" w:eastAsia="黑体"/>
          <w:szCs w:val="21"/>
        </w:rPr>
        <w:t>（无）</w:t>
      </w:r>
    </w:p>
    <w:p>
      <w:pPr>
        <w:spacing w:line="260" w:lineRule="exact"/>
        <w:ind w:firstLine="420" w:firstLineChars="200"/>
        <w:rPr>
          <w:szCs w:val="21"/>
        </w:rPr>
      </w:pPr>
      <w:r>
        <w:rPr>
          <w:rFonts w:hint="eastAsia" w:hAnsi="宋体"/>
          <w:szCs w:val="21"/>
        </w:rPr>
        <w:t>无</w:t>
      </w:r>
    </w:p>
    <w:p>
      <w:pPr>
        <w:spacing w:line="260" w:lineRule="exact"/>
        <w:ind w:firstLine="420" w:firstLineChars="200"/>
        <w:rPr>
          <w:rFonts w:eastAsia="黑体"/>
          <w:szCs w:val="21"/>
        </w:rPr>
      </w:pPr>
      <w:r>
        <w:rPr>
          <w:rFonts w:hAnsi="黑体" w:eastAsia="黑体"/>
          <w:szCs w:val="21"/>
        </w:rPr>
        <w:t>十一、年审年检与指定培训</w:t>
      </w:r>
      <w:r>
        <w:rPr>
          <w:rFonts w:hint="eastAsia" w:hAnsi="黑体" w:eastAsia="黑体"/>
          <w:szCs w:val="21"/>
        </w:rPr>
        <w:t>（无）</w:t>
      </w:r>
    </w:p>
    <w:p>
      <w:pPr>
        <w:spacing w:line="260" w:lineRule="exact"/>
        <w:ind w:firstLine="420" w:firstLineChars="200"/>
        <w:rPr>
          <w:szCs w:val="21"/>
        </w:rPr>
      </w:pPr>
      <w:r>
        <w:rPr>
          <w:rFonts w:hint="eastAsia" w:hAnsi="宋体"/>
          <w:szCs w:val="21"/>
        </w:rPr>
        <w:t>无</w:t>
      </w:r>
    </w:p>
    <w:p>
      <w:pPr>
        <w:spacing w:line="260" w:lineRule="exact"/>
        <w:ind w:firstLine="420" w:firstLineChars="200"/>
        <w:rPr>
          <w:rFonts w:eastAsia="黑体"/>
          <w:szCs w:val="21"/>
        </w:rPr>
      </w:pPr>
      <w:r>
        <w:rPr>
          <w:rFonts w:hAnsi="黑体" w:eastAsia="黑体"/>
          <w:szCs w:val="21"/>
        </w:rPr>
        <w:t>十二、资质资格</w:t>
      </w:r>
      <w:r>
        <w:rPr>
          <w:rFonts w:hint="eastAsia" w:hAnsi="黑体" w:eastAsia="黑体"/>
          <w:szCs w:val="21"/>
        </w:rPr>
        <w:t>（无）</w:t>
      </w:r>
    </w:p>
    <w:p>
      <w:pPr>
        <w:spacing w:line="260" w:lineRule="exact"/>
        <w:ind w:firstLine="420" w:firstLineChars="200"/>
        <w:rPr>
          <w:szCs w:val="21"/>
        </w:rPr>
      </w:pPr>
      <w:r>
        <w:rPr>
          <w:rFonts w:hint="eastAsia" w:hAnsi="宋体"/>
          <w:szCs w:val="21"/>
        </w:rPr>
        <w:t>无</w:t>
      </w:r>
    </w:p>
    <w:p>
      <w:pPr>
        <w:spacing w:line="260" w:lineRule="exact"/>
        <w:ind w:firstLine="420" w:firstLineChars="200"/>
        <w:outlineLvl w:val="0"/>
        <w:rPr>
          <w:rFonts w:eastAsia="黑体"/>
          <w:szCs w:val="21"/>
        </w:rPr>
      </w:pPr>
      <w:r>
        <w:rPr>
          <w:rFonts w:hAnsi="黑体" w:eastAsia="黑体"/>
          <w:szCs w:val="21"/>
        </w:rPr>
        <w:t>十三、</w:t>
      </w:r>
      <w:r>
        <w:rPr>
          <w:rFonts w:hint="eastAsia" w:hAnsi="黑体" w:eastAsia="黑体"/>
          <w:szCs w:val="21"/>
        </w:rPr>
        <w:t>审批</w:t>
      </w:r>
      <w:r>
        <w:rPr>
          <w:rFonts w:hAnsi="黑体" w:eastAsia="黑体"/>
          <w:szCs w:val="21"/>
        </w:rPr>
        <w:t>流程</w:t>
      </w:r>
    </w:p>
    <w:p>
      <w:pPr>
        <w:spacing w:line="260" w:lineRule="exact"/>
        <w:ind w:firstLine="422" w:firstLineChars="200"/>
        <w:outlineLvl w:val="0"/>
        <w:rPr>
          <w:rFonts w:ascii="宋体" w:hAnsi="宋体"/>
          <w:b/>
          <w:szCs w:val="21"/>
        </w:rPr>
      </w:pPr>
      <w:r>
        <w:rPr>
          <w:rFonts w:ascii="宋体" w:hAnsi="宋体"/>
          <w:b/>
          <w:szCs w:val="21"/>
        </w:rPr>
        <w:t>（一）申请</w:t>
      </w:r>
    </w:p>
    <w:p>
      <w:pPr>
        <w:adjustRightInd w:val="0"/>
        <w:snapToGrid w:val="0"/>
        <w:spacing w:line="260" w:lineRule="exact"/>
        <w:ind w:firstLine="420" w:firstLineChars="200"/>
        <w:jc w:val="left"/>
        <w:rPr>
          <w:rFonts w:ascii="Times New Roman" w:hAnsi="宋体" w:cs="Times New Roman"/>
          <w:szCs w:val="21"/>
        </w:rPr>
      </w:pPr>
      <w:r>
        <w:rPr>
          <w:szCs w:val="21"/>
        </w:rPr>
        <w:t>1.</w:t>
      </w:r>
      <w:r>
        <w:rPr>
          <w:rFonts w:hAnsi="宋体"/>
          <w:szCs w:val="21"/>
        </w:rPr>
        <w:t>提交方式</w:t>
      </w:r>
    </w:p>
    <w:p>
      <w:pPr>
        <w:adjustRightInd w:val="0"/>
        <w:snapToGrid w:val="0"/>
        <w:spacing w:line="260" w:lineRule="exact"/>
        <w:ind w:firstLine="420" w:firstLineChars="200"/>
        <w:jc w:val="left"/>
        <w:rPr>
          <w:rFonts w:ascii="Times New Roman" w:hAnsi="宋体" w:cs="Times New Roman"/>
          <w:szCs w:val="21"/>
          <w:lang w:val="en-US" w:eastAsia="zh-CN"/>
        </w:rPr>
      </w:pPr>
      <w:r>
        <w:rPr>
          <w:rFonts w:ascii="Times New Roman" w:hAnsi="宋体" w:cs="Times New Roman"/>
          <w:szCs w:val="21"/>
        </w:rPr>
        <w:t>（1）窗口提交。地址：</w:t>
      </w:r>
      <w:r>
        <w:rPr>
          <w:rFonts w:ascii="Times New Roman" w:hAnsi="宋体" w:cs="Times New Roman"/>
          <w:szCs w:val="21"/>
          <w:lang w:val="en-US" w:eastAsia="zh-CN"/>
        </w:rPr>
        <w:t>云南省玉溪市红塔区玉龙路2号玉溪市政务服务中心（市内可乘公交13路、18路在保安大厦站下车，沿玉龙路行300米即可到达。）</w:t>
      </w:r>
    </w:p>
    <w:p>
      <w:pPr>
        <w:adjustRightInd w:val="0"/>
        <w:snapToGrid w:val="0"/>
        <w:spacing w:line="260" w:lineRule="exact"/>
        <w:ind w:firstLine="420" w:firstLineChars="200"/>
        <w:jc w:val="left"/>
        <w:rPr>
          <w:szCs w:val="21"/>
        </w:rPr>
      </w:pPr>
      <w:r>
        <w:rPr>
          <w:rFonts w:hAnsi="宋体"/>
          <w:szCs w:val="21"/>
        </w:rPr>
        <w:t>（</w:t>
      </w:r>
      <w:r>
        <w:rPr>
          <w:szCs w:val="21"/>
        </w:rPr>
        <w:t>2</w:t>
      </w:r>
      <w:r>
        <w:rPr>
          <w:rFonts w:hAnsi="宋体"/>
          <w:szCs w:val="21"/>
        </w:rPr>
        <w:t>）网络提交。</w:t>
      </w:r>
      <w:r>
        <w:rPr>
          <w:rFonts w:hint="eastAsia" w:hAnsi="宋体"/>
          <w:szCs w:val="21"/>
        </w:rPr>
        <w:t>无</w:t>
      </w:r>
    </w:p>
    <w:p>
      <w:pPr>
        <w:adjustRightInd w:val="0"/>
        <w:snapToGrid w:val="0"/>
        <w:spacing w:line="260" w:lineRule="exact"/>
        <w:ind w:firstLine="420" w:firstLineChars="200"/>
        <w:jc w:val="left"/>
        <w:rPr>
          <w:szCs w:val="21"/>
        </w:rPr>
      </w:pPr>
      <w:r>
        <w:rPr>
          <w:szCs w:val="21"/>
        </w:rPr>
        <w:t>2.</w:t>
      </w:r>
      <w:r>
        <w:rPr>
          <w:rFonts w:hAnsi="宋体"/>
          <w:szCs w:val="21"/>
        </w:rPr>
        <w:t>提交时间</w:t>
      </w:r>
    </w:p>
    <w:p>
      <w:pPr>
        <w:adjustRightInd w:val="0"/>
        <w:snapToGrid w:val="0"/>
        <w:spacing w:line="260" w:lineRule="exact"/>
        <w:ind w:firstLine="420" w:firstLineChars="200"/>
        <w:jc w:val="left"/>
        <w:rPr>
          <w:szCs w:val="21"/>
        </w:rPr>
      </w:pPr>
      <w:r>
        <w:rPr>
          <w:rFonts w:hAnsi="宋体"/>
          <w:szCs w:val="21"/>
        </w:rPr>
        <w:t>窗口提交：星期一至星期五</w:t>
      </w:r>
      <w:r>
        <w:rPr>
          <w:rFonts w:hint="eastAsia" w:hAnsi="宋体"/>
          <w:szCs w:val="21"/>
        </w:rPr>
        <w:t>上午8:</w:t>
      </w:r>
      <w:r>
        <w:rPr>
          <w:rFonts w:hint="eastAsia" w:hAnsi="宋体"/>
          <w:szCs w:val="21"/>
          <w:lang w:val="en-US" w:eastAsia="zh-CN"/>
        </w:rPr>
        <w:t>30</w:t>
      </w:r>
      <w:r>
        <w:rPr>
          <w:rFonts w:hint="eastAsia" w:hAnsi="宋体"/>
          <w:szCs w:val="21"/>
        </w:rPr>
        <w:t>—1</w:t>
      </w:r>
      <w:r>
        <w:rPr>
          <w:rFonts w:hint="eastAsia" w:hAnsi="宋体"/>
          <w:szCs w:val="21"/>
          <w:lang w:val="en-US" w:eastAsia="zh-CN"/>
        </w:rPr>
        <w:t>2:00</w:t>
      </w:r>
      <w:r>
        <w:rPr>
          <w:rFonts w:hint="eastAsia" w:hAnsi="宋体"/>
          <w:szCs w:val="21"/>
        </w:rPr>
        <w:t>，下午14:</w:t>
      </w:r>
      <w:r>
        <w:rPr>
          <w:rFonts w:hint="eastAsia" w:hAnsi="宋体"/>
          <w:szCs w:val="21"/>
          <w:lang w:val="en-US" w:eastAsia="zh-CN"/>
        </w:rPr>
        <w:t>0</w:t>
      </w:r>
      <w:r>
        <w:rPr>
          <w:rFonts w:hint="eastAsia" w:hAnsi="宋体"/>
          <w:szCs w:val="21"/>
        </w:rPr>
        <w:t>0—1</w:t>
      </w:r>
      <w:r>
        <w:rPr>
          <w:rFonts w:hint="eastAsia" w:hAnsi="宋体"/>
          <w:szCs w:val="21"/>
          <w:lang w:val="en-US" w:eastAsia="zh-CN"/>
        </w:rPr>
        <w:t>8</w:t>
      </w:r>
      <w:r>
        <w:rPr>
          <w:rFonts w:hint="eastAsia" w:hAnsi="宋体"/>
          <w:szCs w:val="21"/>
        </w:rPr>
        <w:t>:</w:t>
      </w:r>
      <w:r>
        <w:rPr>
          <w:rFonts w:hint="eastAsia" w:hAnsi="宋体"/>
          <w:szCs w:val="21"/>
          <w:lang w:val="en-US" w:eastAsia="zh-CN"/>
        </w:rPr>
        <w:t>0</w:t>
      </w:r>
      <w:r>
        <w:rPr>
          <w:rFonts w:hint="eastAsia" w:hAnsi="宋体"/>
          <w:szCs w:val="21"/>
        </w:rPr>
        <w:t>0</w:t>
      </w:r>
      <w:r>
        <w:rPr>
          <w:rFonts w:hAnsi="宋体"/>
          <w:szCs w:val="21"/>
        </w:rPr>
        <w:t>。</w:t>
      </w:r>
      <w:r>
        <w:rPr>
          <w:rFonts w:hint="eastAsia" w:ascii="宋体" w:hAnsi="宋体" w:eastAsia="宋体" w:cs="宋体"/>
          <w:sz w:val="21"/>
          <w:szCs w:val="21"/>
          <w:lang w:val="en-US" w:eastAsia="zh-CN"/>
        </w:rPr>
        <w:t>（法定节假日除外）</w:t>
      </w:r>
    </w:p>
    <w:p>
      <w:pPr>
        <w:adjustRightInd w:val="0"/>
        <w:snapToGrid w:val="0"/>
        <w:spacing w:line="260" w:lineRule="exact"/>
        <w:ind w:firstLine="420" w:firstLineChars="200"/>
        <w:jc w:val="left"/>
        <w:rPr>
          <w:szCs w:val="21"/>
        </w:rPr>
      </w:pPr>
      <w:r>
        <w:rPr>
          <w:rFonts w:hAnsi="宋体"/>
          <w:szCs w:val="21"/>
        </w:rPr>
        <w:t>网络提交：</w:t>
      </w:r>
      <w:r>
        <w:rPr>
          <w:rFonts w:hint="eastAsia" w:hAnsi="宋体"/>
          <w:szCs w:val="21"/>
        </w:rPr>
        <w:t>无</w:t>
      </w:r>
      <w:r>
        <w:rPr>
          <w:rFonts w:hAnsi="宋体"/>
          <w:szCs w:val="21"/>
        </w:rPr>
        <w:t>。</w:t>
      </w:r>
    </w:p>
    <w:p>
      <w:pPr>
        <w:spacing w:line="260" w:lineRule="exact"/>
        <w:ind w:firstLine="422" w:firstLineChars="200"/>
        <w:outlineLvl w:val="0"/>
        <w:rPr>
          <w:rFonts w:ascii="宋体" w:hAnsi="宋体"/>
          <w:b/>
          <w:szCs w:val="21"/>
        </w:rPr>
      </w:pPr>
      <w:r>
        <w:rPr>
          <w:rFonts w:ascii="宋体" w:hAnsi="宋体"/>
          <w:b/>
          <w:szCs w:val="21"/>
        </w:rPr>
        <w:t>（二）受理</w:t>
      </w:r>
    </w:p>
    <w:p>
      <w:pPr>
        <w:pStyle w:val="5"/>
        <w:spacing w:before="0" w:beforeAutospacing="0" w:after="0" w:afterAutospacing="0" w:line="260" w:lineRule="exact"/>
        <w:ind w:firstLine="420" w:firstLineChars="200"/>
        <w:rPr>
          <w:rFonts w:ascii="Times New Roman" w:cs="Times New Roman"/>
          <w:kern w:val="2"/>
          <w:sz w:val="21"/>
          <w:szCs w:val="21"/>
        </w:rPr>
      </w:pPr>
      <w:r>
        <w:rPr>
          <w:rFonts w:hint="eastAsia" w:ascii="Times New Roman" w:cs="Times New Roman"/>
          <w:kern w:val="2"/>
          <w:sz w:val="21"/>
          <w:szCs w:val="21"/>
        </w:rPr>
        <w:t>市</w:t>
      </w:r>
      <w:r>
        <w:rPr>
          <w:rFonts w:hint="eastAsia" w:ascii="Times New Roman" w:cs="Times New Roman"/>
          <w:kern w:val="2"/>
          <w:sz w:val="21"/>
          <w:szCs w:val="21"/>
          <w:lang w:eastAsia="zh-CN"/>
        </w:rPr>
        <w:t>市场监督管理局</w:t>
      </w:r>
      <w:r>
        <w:rPr>
          <w:rFonts w:hint="eastAsia" w:ascii="Times New Roman" w:cs="Times New Roman"/>
          <w:kern w:val="2"/>
          <w:sz w:val="21"/>
          <w:szCs w:val="21"/>
        </w:rPr>
        <w:t>收到企业申请后，现场做出是否受理的决定。</w:t>
      </w:r>
    </w:p>
    <w:p>
      <w:pPr>
        <w:pStyle w:val="5"/>
        <w:spacing w:before="0" w:beforeAutospacing="0" w:after="0" w:afterAutospacing="0" w:line="260" w:lineRule="exact"/>
        <w:ind w:firstLine="420" w:firstLineChars="200"/>
        <w:rPr>
          <w:rFonts w:ascii="Times New Roman" w:hAnsi="Times New Roman" w:cs="Times New Roman"/>
          <w:kern w:val="2"/>
          <w:sz w:val="21"/>
          <w:szCs w:val="21"/>
        </w:rPr>
      </w:pPr>
      <w:r>
        <w:rPr>
          <w:rFonts w:ascii="Times New Roman" w:cs="Times New Roman"/>
          <w:kern w:val="2"/>
          <w:sz w:val="21"/>
          <w:szCs w:val="21"/>
        </w:rPr>
        <w:t>对申请材料符合要求的，准予受理，并向企业发送《受理决定书》。对申请材料不符合要求且可以通过补正达到要求的，将当场或者在</w:t>
      </w:r>
      <w:r>
        <w:rPr>
          <w:rFonts w:ascii="Times New Roman" w:hAnsi="Times New Roman" w:cs="Times New Roman"/>
          <w:kern w:val="2"/>
          <w:sz w:val="21"/>
          <w:szCs w:val="21"/>
        </w:rPr>
        <w:t>5</w:t>
      </w:r>
      <w:r>
        <w:rPr>
          <w:rFonts w:ascii="Times New Roman" w:cs="Times New Roman"/>
          <w:kern w:val="2"/>
          <w:sz w:val="21"/>
          <w:szCs w:val="21"/>
        </w:rPr>
        <w:t>日内向企业发送《申请材料补正告知书》一次性告知，逾期不告知的，自收到申请材料之日起即为受理。对申请材料不符合要求的，将作出不予受理的决定，并发出《不予受理决定书》。</w:t>
      </w:r>
    </w:p>
    <w:p>
      <w:pPr>
        <w:pStyle w:val="5"/>
        <w:spacing w:before="0" w:beforeAutospacing="0" w:after="0" w:afterAutospacing="0" w:line="260" w:lineRule="exact"/>
        <w:rPr>
          <w:rFonts w:cs="Times New Roman"/>
          <w:b/>
          <w:kern w:val="2"/>
          <w:sz w:val="21"/>
          <w:szCs w:val="21"/>
        </w:rPr>
      </w:pPr>
      <w:r>
        <w:rPr>
          <w:rFonts w:cs="Times New Roman"/>
          <w:b/>
          <w:kern w:val="2"/>
          <w:sz w:val="21"/>
          <w:szCs w:val="21"/>
        </w:rPr>
        <w:t>　　（三）审批发证</w:t>
      </w:r>
    </w:p>
    <w:p>
      <w:pPr>
        <w:widowControl/>
        <w:spacing w:line="260" w:lineRule="exact"/>
        <w:ind w:firstLine="420" w:firstLineChars="200"/>
        <w:jc w:val="left"/>
        <w:rPr>
          <w:szCs w:val="21"/>
        </w:rPr>
      </w:pPr>
      <w:r>
        <w:rPr>
          <w:rFonts w:hint="eastAsia"/>
          <w:szCs w:val="21"/>
        </w:rPr>
        <w:t>市</w:t>
      </w:r>
      <w:r>
        <w:rPr>
          <w:rFonts w:hint="eastAsia"/>
          <w:szCs w:val="21"/>
          <w:lang w:eastAsia="zh-CN"/>
        </w:rPr>
        <w:t>市场监督管理局</w:t>
      </w:r>
      <w:r>
        <w:rPr>
          <w:rFonts w:hint="eastAsia"/>
          <w:szCs w:val="21"/>
        </w:rPr>
        <w:t>自受理申请之日起10个工作日根据申请材料审查情况，做出是否批准的决定。批准的，发给加盖市</w:t>
      </w:r>
      <w:r>
        <w:rPr>
          <w:rFonts w:hint="eastAsia"/>
          <w:szCs w:val="21"/>
          <w:lang w:eastAsia="zh-CN"/>
        </w:rPr>
        <w:t>市场监督管理局</w:t>
      </w:r>
      <w:r>
        <w:rPr>
          <w:rFonts w:hint="eastAsia"/>
          <w:szCs w:val="21"/>
        </w:rPr>
        <w:t>公章的《医疗机构制剂调剂使用批件》，不予批准的，应当书面说明理由。</w:t>
      </w:r>
    </w:p>
    <w:p>
      <w:pPr>
        <w:spacing w:line="260" w:lineRule="exact"/>
        <w:ind w:firstLine="420" w:firstLineChars="200"/>
        <w:outlineLvl w:val="0"/>
        <w:rPr>
          <w:rFonts w:eastAsia="黑体"/>
          <w:szCs w:val="21"/>
        </w:rPr>
      </w:pPr>
      <w:r>
        <w:rPr>
          <w:rFonts w:eastAsia="黑体"/>
          <w:szCs w:val="21"/>
        </w:rPr>
        <w:t>十四、</w:t>
      </w:r>
      <w:r>
        <w:rPr>
          <w:rFonts w:hint="eastAsia" w:eastAsia="黑体"/>
          <w:szCs w:val="21"/>
        </w:rPr>
        <w:t>审批服务</w:t>
      </w:r>
    </w:p>
    <w:p>
      <w:pPr>
        <w:pStyle w:val="14"/>
        <w:adjustRightInd w:val="0"/>
        <w:snapToGrid w:val="0"/>
        <w:spacing w:line="260" w:lineRule="exact"/>
        <w:ind w:left="483" w:leftChars="230" w:firstLine="103" w:firstLineChars="49"/>
        <w:jc w:val="left"/>
        <w:rPr>
          <w:rFonts w:hAnsi="宋体"/>
          <w:b/>
          <w:sz w:val="21"/>
          <w:szCs w:val="21"/>
        </w:rPr>
      </w:pPr>
      <w:r>
        <w:rPr>
          <w:rFonts w:hAnsi="宋体"/>
          <w:b/>
          <w:sz w:val="21"/>
          <w:szCs w:val="21"/>
        </w:rPr>
        <w:t>（一）咨询方式</w:t>
      </w:r>
    </w:p>
    <w:p>
      <w:pPr>
        <w:pStyle w:val="14"/>
        <w:adjustRightInd w:val="0"/>
        <w:snapToGrid w:val="0"/>
        <w:spacing w:line="260" w:lineRule="exact"/>
        <w:jc w:val="left"/>
        <w:rPr>
          <w:rFonts w:ascii="Times New Roman" w:hAnsi="宋体" w:eastAsia="宋体" w:cs="Times New Roman"/>
          <w:kern w:val="2"/>
          <w:sz w:val="21"/>
          <w:szCs w:val="21"/>
          <w:lang w:val="en-US" w:eastAsia="zh-CN" w:bidi="ar-SA"/>
        </w:rPr>
      </w:pPr>
      <w:r>
        <w:rPr>
          <w:rFonts w:ascii="Times New Roman"/>
          <w:sz w:val="21"/>
          <w:szCs w:val="21"/>
        </w:rPr>
        <w:t>1.</w:t>
      </w:r>
      <w:r>
        <w:rPr>
          <w:rFonts w:ascii="Times New Roman" w:hAnsi="宋体"/>
          <w:sz w:val="21"/>
          <w:szCs w:val="21"/>
        </w:rPr>
        <w:t>窗口咨询。地址</w:t>
      </w:r>
      <w:r>
        <w:rPr>
          <w:rFonts w:ascii="Times New Roman" w:hAnsi="宋体" w:eastAsia="宋体" w:cs="Times New Roman"/>
          <w:kern w:val="2"/>
          <w:sz w:val="21"/>
          <w:szCs w:val="21"/>
          <w:lang w:val="en-US" w:eastAsia="zh-CN" w:bidi="ar-SA"/>
        </w:rPr>
        <w:t>：云南省玉溪市红塔区玉龙路2号玉溪市政务服务中心（市内可乘公交13路、18路在保安大厦站下车，沿玉龙路行300米即可到达。）</w:t>
      </w:r>
    </w:p>
    <w:p>
      <w:pPr>
        <w:pStyle w:val="14"/>
        <w:adjustRightInd w:val="0"/>
        <w:snapToGrid w:val="0"/>
        <w:spacing w:line="260" w:lineRule="exact"/>
        <w:jc w:val="left"/>
        <w:rPr>
          <w:rFonts w:hint="eastAsia" w:ascii="Times New Roman" w:hAnsi="宋体" w:cs="Times New Roman"/>
          <w:sz w:val="21"/>
          <w:szCs w:val="21"/>
        </w:rPr>
      </w:pPr>
      <w:r>
        <w:rPr>
          <w:rFonts w:ascii="Times New Roman" w:hAnsi="宋体" w:cs="Times New Roman"/>
          <w:sz w:val="21"/>
          <w:szCs w:val="21"/>
        </w:rPr>
        <w:t>2.电话咨询。联系电话：</w:t>
      </w:r>
      <w:r>
        <w:rPr>
          <w:rFonts w:hint="eastAsia" w:ascii="Times New Roman" w:hAnsi="宋体" w:cs="Times New Roman"/>
          <w:sz w:val="21"/>
          <w:szCs w:val="21"/>
        </w:rPr>
        <w:t>0877-6986848，0877-6694250</w:t>
      </w:r>
    </w:p>
    <w:p>
      <w:pPr>
        <w:pStyle w:val="14"/>
        <w:adjustRightInd w:val="0"/>
        <w:snapToGrid w:val="0"/>
        <w:spacing w:line="260" w:lineRule="exact"/>
        <w:jc w:val="left"/>
        <w:rPr>
          <w:rFonts w:ascii="Times New Roman" w:hAnsi="宋体" w:cs="Times New Roman"/>
          <w:sz w:val="21"/>
          <w:szCs w:val="21"/>
        </w:rPr>
      </w:pPr>
      <w:r>
        <w:rPr>
          <w:rFonts w:ascii="Times New Roman" w:hAnsi="宋体" w:cs="Times New Roman"/>
          <w:sz w:val="21"/>
          <w:szCs w:val="21"/>
        </w:rPr>
        <w:t>3.网络咨询。</w:t>
      </w:r>
      <w:r>
        <w:rPr>
          <w:rFonts w:hint="default" w:ascii="Times New Roman" w:hAnsi="宋体" w:cs="Times New Roman"/>
          <w:sz w:val="21"/>
          <w:szCs w:val="21"/>
        </w:rPr>
        <w:t>http://xxgk.yuxi.gov.cn/yxszfxxgk/gkzn2125/</w:t>
      </w:r>
    </w:p>
    <w:p>
      <w:pPr>
        <w:spacing w:line="260" w:lineRule="exact"/>
        <w:ind w:firstLine="422" w:firstLineChars="200"/>
        <w:rPr>
          <w:rFonts w:ascii="宋体" w:hAnsi="宋体"/>
          <w:b/>
          <w:kern w:val="0"/>
          <w:szCs w:val="21"/>
        </w:rPr>
      </w:pPr>
      <w:r>
        <w:rPr>
          <w:rFonts w:ascii="宋体" w:hAnsi="宋体"/>
          <w:b/>
          <w:kern w:val="0"/>
          <w:szCs w:val="21"/>
        </w:rPr>
        <w:t>（二）咨询回复</w:t>
      </w:r>
    </w:p>
    <w:p>
      <w:pPr>
        <w:adjustRightInd w:val="0"/>
        <w:snapToGrid w:val="0"/>
        <w:spacing w:line="260" w:lineRule="exact"/>
        <w:ind w:firstLine="420" w:firstLineChars="200"/>
        <w:jc w:val="left"/>
        <w:rPr>
          <w:szCs w:val="21"/>
        </w:rPr>
      </w:pPr>
      <w:r>
        <w:rPr>
          <w:rFonts w:hAnsi="宋体"/>
          <w:szCs w:val="21"/>
        </w:rPr>
        <w:t>通过窗口和电话咨询的，当场得到回复。</w:t>
      </w:r>
    </w:p>
    <w:p>
      <w:pPr>
        <w:spacing w:line="260" w:lineRule="exact"/>
        <w:ind w:firstLine="422" w:firstLineChars="200"/>
        <w:outlineLvl w:val="0"/>
        <w:rPr>
          <w:rFonts w:ascii="宋体" w:hAnsi="宋体"/>
          <w:b/>
          <w:szCs w:val="21"/>
        </w:rPr>
      </w:pPr>
      <w:bookmarkStart w:id="3" w:name="_Toc371002672"/>
      <w:r>
        <w:rPr>
          <w:rFonts w:ascii="宋体" w:hAnsi="宋体"/>
          <w:b/>
          <w:szCs w:val="21"/>
        </w:rPr>
        <w:t>（三）办理进程查询</w:t>
      </w:r>
      <w:bookmarkEnd w:id="3"/>
    </w:p>
    <w:p>
      <w:pPr>
        <w:adjustRightInd w:val="0"/>
        <w:snapToGrid w:val="0"/>
        <w:spacing w:line="260" w:lineRule="exact"/>
        <w:ind w:firstLine="420" w:firstLineChars="200"/>
        <w:jc w:val="left"/>
        <w:rPr>
          <w:szCs w:val="21"/>
        </w:rPr>
      </w:pPr>
      <w:r>
        <w:rPr>
          <w:rFonts w:hAnsi="宋体"/>
          <w:szCs w:val="21"/>
        </w:rPr>
        <w:t>申请人可通过</w:t>
      </w:r>
      <w:r>
        <w:rPr>
          <w:rFonts w:hint="eastAsia" w:hAnsi="宋体"/>
          <w:szCs w:val="21"/>
        </w:rPr>
        <w:t>到窗口或电话</w:t>
      </w:r>
      <w:r>
        <w:rPr>
          <w:rFonts w:hAnsi="宋体"/>
          <w:szCs w:val="21"/>
        </w:rPr>
        <w:t>查询审批事项办理进程。</w:t>
      </w:r>
    </w:p>
    <w:p>
      <w:pPr>
        <w:spacing w:line="260" w:lineRule="exact"/>
        <w:ind w:firstLine="422" w:firstLineChars="200"/>
        <w:outlineLvl w:val="0"/>
        <w:rPr>
          <w:rFonts w:ascii="宋体" w:hAnsi="宋体"/>
          <w:b/>
          <w:szCs w:val="21"/>
        </w:rPr>
      </w:pPr>
      <w:r>
        <w:rPr>
          <w:rFonts w:ascii="宋体" w:hAnsi="宋体"/>
          <w:b/>
          <w:szCs w:val="21"/>
        </w:rPr>
        <w:t>（四）获取办理结果</w:t>
      </w:r>
    </w:p>
    <w:p>
      <w:pPr>
        <w:adjustRightInd w:val="0"/>
        <w:snapToGrid w:val="0"/>
        <w:spacing w:line="260" w:lineRule="exact"/>
        <w:ind w:firstLine="420" w:firstLineChars="200"/>
        <w:jc w:val="left"/>
        <w:rPr>
          <w:rFonts w:hint="eastAsia" w:ascii="Times New Roman" w:hAnsi="宋体" w:eastAsia="宋体" w:cs="Times New Roman"/>
          <w:szCs w:val="21"/>
          <w:lang w:val="en-US" w:eastAsia="zh-CN"/>
        </w:rPr>
      </w:pPr>
      <w:r>
        <w:rPr>
          <w:rFonts w:ascii="Times New Roman" w:hAnsi="宋体" w:cs="Times New Roman"/>
          <w:szCs w:val="21"/>
        </w:rPr>
        <w:t>审批证件为：</w:t>
      </w:r>
      <w:r>
        <w:rPr>
          <w:rFonts w:hint="eastAsia" w:ascii="Times New Roman" w:hAnsi="宋体" w:cs="Times New Roman"/>
          <w:szCs w:val="21"/>
        </w:rPr>
        <w:t>医疗机构制剂调剂使用申请表</w:t>
      </w:r>
      <w:r>
        <w:rPr>
          <w:rFonts w:hint="eastAsia" w:ascii="Times New Roman" w:hAnsi="宋体" w:cs="Times New Roman"/>
          <w:szCs w:val="21"/>
          <w:lang w:eastAsia="zh-CN"/>
        </w:rPr>
        <w:t>。</w:t>
      </w:r>
    </w:p>
    <w:p>
      <w:pPr>
        <w:adjustRightInd w:val="0"/>
        <w:snapToGrid w:val="0"/>
        <w:spacing w:line="260" w:lineRule="exact"/>
        <w:ind w:firstLine="420" w:firstLineChars="200"/>
        <w:jc w:val="left"/>
        <w:rPr>
          <w:szCs w:val="21"/>
        </w:rPr>
      </w:pPr>
      <w:r>
        <w:rPr>
          <w:rFonts w:hAnsi="宋体"/>
          <w:szCs w:val="21"/>
        </w:rPr>
        <w:t>自作出核准决定之日起</w:t>
      </w:r>
      <w:r>
        <w:rPr>
          <w:rFonts w:hint="eastAsia"/>
          <w:szCs w:val="21"/>
        </w:rPr>
        <w:t>5</w:t>
      </w:r>
      <w:r>
        <w:rPr>
          <w:rFonts w:hAnsi="宋体"/>
          <w:szCs w:val="21"/>
        </w:rPr>
        <w:t>日内向申请人</w:t>
      </w:r>
      <w:r>
        <w:rPr>
          <w:rFonts w:hint="eastAsia" w:hAnsi="宋体"/>
          <w:szCs w:val="21"/>
        </w:rPr>
        <w:t>核发</w:t>
      </w:r>
      <w:r>
        <w:rPr>
          <w:rFonts w:hint="eastAsia" w:ascii="Times New Roman" w:hAnsi="宋体" w:cs="Times New Roman"/>
          <w:szCs w:val="21"/>
        </w:rPr>
        <w:t>医疗机构制剂调剂使用申请表</w:t>
      </w:r>
      <w:r>
        <w:rPr>
          <w:rFonts w:hint="eastAsia" w:ascii="Times New Roman" w:hAnsi="宋体" w:cs="Times New Roman"/>
          <w:szCs w:val="21"/>
          <w:lang w:eastAsia="zh-CN"/>
        </w:rPr>
        <w:t>。</w:t>
      </w:r>
      <w:r>
        <w:rPr>
          <w:rFonts w:hint="eastAsia" w:hAnsi="宋体"/>
          <w:szCs w:val="21"/>
        </w:rPr>
        <w:t xml:space="preserve"> </w:t>
      </w:r>
    </w:p>
    <w:p>
      <w:pPr>
        <w:spacing w:line="260" w:lineRule="exact"/>
        <w:ind w:firstLine="422" w:firstLineChars="200"/>
        <w:outlineLvl w:val="0"/>
        <w:rPr>
          <w:rFonts w:ascii="宋体" w:hAnsi="宋体"/>
          <w:b/>
          <w:szCs w:val="21"/>
        </w:rPr>
      </w:pPr>
      <w:r>
        <w:rPr>
          <w:rFonts w:hint="eastAsia" w:ascii="宋体" w:hAnsi="宋体"/>
          <w:b/>
          <w:szCs w:val="21"/>
        </w:rPr>
        <w:t>（五）监督投诉</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outlineLvl w:val="9"/>
        <w:rPr>
          <w:rFonts w:hint="default" w:ascii="Times New Roman" w:hAnsi="Times New Roman" w:cs="Times New Roman"/>
          <w:color w:val="auto"/>
          <w:szCs w:val="21"/>
          <w:lang w:val="en-US" w:eastAsia="zh-CN"/>
        </w:rPr>
      </w:pPr>
      <w:bookmarkStart w:id="4" w:name="_Toc371002674"/>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窗口投诉：云南省玉溪市红塔区玉龙路2号玉溪市政务服务中心（市内可乘公交13路、18路在保安大厦站下车，沿玉龙路行300米即可到达。）</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lang w:val="en-US" w:eastAsia="zh-CN"/>
        </w:rPr>
        <w:t>电话</w:t>
      </w:r>
      <w:r>
        <w:rPr>
          <w:rFonts w:hint="eastAsia" w:ascii="Times New Roman" w:hAnsi="Times New Roman" w:cs="Times New Roman"/>
          <w:color w:val="auto"/>
          <w:szCs w:val="21"/>
          <w:lang w:val="en-US" w:eastAsia="zh-CN"/>
        </w:rPr>
        <w:t>投诉：12310；</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.纪检监察投诉：</w:t>
      </w:r>
      <w:r>
        <w:rPr>
          <w:rFonts w:hint="eastAsia"/>
        </w:rPr>
        <w:t>玉溪市纪委监察委驻玉溪市市场监督管理局纪检监察组</w:t>
      </w:r>
      <w:r>
        <w:rPr>
          <w:rFonts w:hint="default" w:ascii="Times New Roman" w:hAnsi="Times New Roman" w:cs="Times New Roman"/>
          <w:color w:val="auto"/>
          <w:szCs w:val="21"/>
          <w:lang w:val="en-US" w:eastAsia="zh-CN"/>
        </w:rPr>
        <w:t>，电话号码：（0877）2154015 ；</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outlineLvl w:val="9"/>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lang w:val="en-US" w:eastAsia="zh-CN"/>
        </w:rPr>
        <w:t>.信函投诉：</w:t>
      </w:r>
      <w:r>
        <w:rPr>
          <w:rFonts w:hint="eastAsia"/>
        </w:rPr>
        <w:t>玉溪市纪委监察委驻玉溪市市场监督管理局纪检监察组</w:t>
      </w:r>
      <w:r>
        <w:rPr>
          <w:rFonts w:hint="default" w:ascii="Times New Roman" w:hAnsi="Times New Roman" w:cs="Times New Roman"/>
          <w:color w:val="auto"/>
          <w:szCs w:val="21"/>
          <w:lang w:val="en-US" w:eastAsia="zh-CN"/>
        </w:rPr>
        <w:t>，通讯地址：玉溪市红塔区</w:t>
      </w:r>
      <w:r>
        <w:rPr>
          <w:rFonts w:hint="eastAsia" w:ascii="Times New Roman" w:hAnsi="Times New Roman" w:cs="Times New Roman"/>
          <w:color w:val="auto"/>
          <w:szCs w:val="21"/>
          <w:lang w:val="en-US" w:eastAsia="zh-CN"/>
        </w:rPr>
        <w:t>紫艺路40号</w:t>
      </w:r>
      <w:r>
        <w:rPr>
          <w:rFonts w:hint="default" w:ascii="Times New Roman" w:hAnsi="Times New Roman" w:cs="Times New Roman"/>
          <w:color w:val="auto"/>
          <w:szCs w:val="21"/>
          <w:lang w:val="en-US" w:eastAsia="zh-CN"/>
        </w:rPr>
        <w:t>，邮政编码：653100</w:t>
      </w:r>
      <w:r>
        <w:rPr>
          <w:rFonts w:hint="eastAsia" w:ascii="Times New Roman" w:hAnsi="Times New Roman" w:cs="Times New Roman"/>
          <w:color w:val="auto"/>
          <w:szCs w:val="21"/>
          <w:lang w:val="en-US" w:eastAsia="zh-CN"/>
        </w:rPr>
        <w:t>。</w:t>
      </w:r>
    </w:p>
    <w:p>
      <w:pPr>
        <w:spacing w:line="260" w:lineRule="exact"/>
        <w:ind w:firstLine="422" w:firstLineChars="200"/>
        <w:outlineLvl w:val="0"/>
        <w:rPr>
          <w:rFonts w:ascii="宋体" w:hAnsi="宋体"/>
          <w:b/>
          <w:szCs w:val="21"/>
        </w:rPr>
      </w:pPr>
      <w:r>
        <w:rPr>
          <w:rFonts w:hint="eastAsia" w:ascii="宋体" w:hAnsi="宋体"/>
          <w:b/>
          <w:szCs w:val="21"/>
        </w:rPr>
        <w:t>（六）行政复议</w:t>
      </w:r>
      <w:bookmarkEnd w:id="4"/>
      <w:r>
        <w:rPr>
          <w:rFonts w:hint="eastAsia" w:ascii="宋体" w:hAnsi="宋体"/>
          <w:b/>
          <w:szCs w:val="21"/>
        </w:rPr>
        <w:t>或行政诉讼</w:t>
      </w:r>
    </w:p>
    <w:p>
      <w:pPr>
        <w:adjustRightInd w:val="0"/>
        <w:snapToGrid w:val="0"/>
        <w:spacing w:line="260" w:lineRule="exact"/>
        <w:ind w:firstLine="420" w:firstLineChars="200"/>
        <w:jc w:val="left"/>
        <w:rPr>
          <w:szCs w:val="21"/>
        </w:rPr>
      </w:pPr>
      <w:r>
        <w:rPr>
          <w:rFonts w:hAnsi="宋体"/>
          <w:szCs w:val="21"/>
        </w:rPr>
        <w:t>自知道该具体行政行为之日起六十日内向</w:t>
      </w:r>
      <w:r>
        <w:rPr>
          <w:rFonts w:hint="eastAsia" w:hAnsi="宋体"/>
          <w:szCs w:val="21"/>
        </w:rPr>
        <w:t>玉溪市</w:t>
      </w:r>
      <w:r>
        <w:rPr>
          <w:rFonts w:hAnsi="宋体"/>
          <w:szCs w:val="21"/>
        </w:rPr>
        <w:t>人民政府或</w:t>
      </w:r>
      <w:r>
        <w:rPr>
          <w:rFonts w:hint="eastAsia" w:hAnsi="宋体"/>
          <w:szCs w:val="21"/>
        </w:rPr>
        <w:t>云南省</w:t>
      </w:r>
      <w:r>
        <w:rPr>
          <w:rFonts w:hint="eastAsia" w:hAnsi="宋体"/>
          <w:szCs w:val="21"/>
          <w:lang w:eastAsia="zh-CN"/>
        </w:rPr>
        <w:t>市场监督管理局</w:t>
      </w:r>
      <w:r>
        <w:rPr>
          <w:rFonts w:hAnsi="宋体"/>
          <w:szCs w:val="21"/>
        </w:rPr>
        <w:t>提出行政复议，或三个月内依法向</w:t>
      </w:r>
      <w:r>
        <w:rPr>
          <w:rFonts w:hint="eastAsia" w:hAnsi="宋体"/>
          <w:szCs w:val="21"/>
        </w:rPr>
        <w:t>红塔区</w:t>
      </w:r>
      <w:r>
        <w:rPr>
          <w:rFonts w:hAnsi="宋体"/>
          <w:szCs w:val="21"/>
        </w:rPr>
        <w:t>人民法院提起行政诉讼。</w:t>
      </w:r>
    </w:p>
    <w:p>
      <w:pPr>
        <w:adjustRightInd w:val="0"/>
        <w:snapToGrid w:val="0"/>
        <w:spacing w:line="260" w:lineRule="exact"/>
        <w:ind w:firstLine="420" w:firstLineChars="200"/>
        <w:outlineLvl w:val="0"/>
        <w:rPr>
          <w:rFonts w:eastAsia="黑体"/>
          <w:szCs w:val="21"/>
        </w:rPr>
      </w:pPr>
      <w:r>
        <w:rPr>
          <w:rFonts w:eastAsia="黑体"/>
          <w:szCs w:val="21"/>
        </w:rPr>
        <w:t>十</w:t>
      </w:r>
      <w:r>
        <w:rPr>
          <w:rFonts w:hint="eastAsia" w:eastAsia="黑体"/>
          <w:szCs w:val="21"/>
        </w:rPr>
        <w:t>五</w:t>
      </w:r>
      <w:r>
        <w:rPr>
          <w:rFonts w:eastAsia="黑体"/>
          <w:szCs w:val="21"/>
        </w:rPr>
        <w:t>、文书表单及办事指南获取</w:t>
      </w:r>
    </w:p>
    <w:p>
      <w:pPr>
        <w:pStyle w:val="14"/>
        <w:adjustRightInd w:val="0"/>
        <w:snapToGrid w:val="0"/>
        <w:spacing w:line="260" w:lineRule="exact"/>
        <w:jc w:val="left"/>
        <w:rPr>
          <w:rFonts w:hint="default" w:ascii="Times New Roman" w:hAnsi="Times New Roman" w:cs="Times New Roman"/>
          <w:sz w:val="21"/>
          <w:szCs w:val="21"/>
          <w:lang w:val="en-US" w:eastAsia="zh-CN"/>
        </w:rPr>
      </w:pPr>
      <w:r>
        <w:rPr>
          <w:rFonts w:hint="default" w:ascii="Times New Roman" w:hAnsi="Times New Roman" w:cs="Times New Roman"/>
          <w:szCs w:val="21"/>
        </w:rPr>
        <w:t>相关文书表单及办事指南可到</w:t>
      </w:r>
      <w:r>
        <w:rPr>
          <w:rFonts w:hint="eastAsia" w:ascii="Times New Roman" w:hAnsi="Times New Roman" w:cs="Times New Roman"/>
          <w:szCs w:val="21"/>
          <w:lang w:eastAsia="zh-CN"/>
        </w:rPr>
        <w:t>玉溪市政府信息公开网（</w:t>
      </w:r>
      <w:r>
        <w:rPr>
          <w:rFonts w:hint="default" w:ascii="Times New Roman" w:hAnsi="Times New Roman" w:cs="Times New Roman"/>
          <w:szCs w:val="21"/>
        </w:rPr>
        <w:t>http://xxgk.yuxi.gov.cn/yxszfxxgk/gkzn2125/</w:t>
      </w:r>
      <w:r>
        <w:rPr>
          <w:rFonts w:hint="eastAsia" w:ascii="Times New Roman" w:hAnsi="Times New Roman" w:cs="Times New Roman"/>
          <w:szCs w:val="21"/>
          <w:lang w:eastAsia="zh-CN"/>
        </w:rPr>
        <w:t>）</w:t>
      </w:r>
      <w:r>
        <w:rPr>
          <w:rFonts w:hint="default" w:ascii="Times New Roman" w:hAnsi="Times New Roman" w:cs="Times New Roman"/>
          <w:szCs w:val="21"/>
        </w:rPr>
        <w:t>下载或在受理窗口直接领取。</w:t>
      </w:r>
    </w:p>
    <w:p>
      <w:pPr>
        <w:spacing w:line="260" w:lineRule="exact"/>
        <w:rPr>
          <w:rFonts w:eastAsia="黑体"/>
          <w:szCs w:val="21"/>
        </w:rPr>
      </w:pPr>
      <w:r>
        <w:rPr>
          <w:szCs w:val="21"/>
        </w:rPr>
        <w:br w:type="page"/>
      </w:r>
      <w:r>
        <w:rPr>
          <w:rFonts w:eastAsia="黑体"/>
          <w:szCs w:val="21"/>
        </w:rPr>
        <w:t>附 件</w:t>
      </w:r>
      <w:r>
        <w:rPr>
          <w:rFonts w:hint="eastAsia" w:eastAsia="黑体"/>
          <w:szCs w:val="21"/>
        </w:rPr>
        <w:t>1</w:t>
      </w:r>
      <w:r>
        <w:rPr>
          <w:rFonts w:eastAsia="黑体"/>
          <w:szCs w:val="21"/>
        </w:rPr>
        <w:t xml:space="preserve">  </w:t>
      </w:r>
    </w:p>
    <w:p>
      <w:pPr>
        <w:spacing w:line="260" w:lineRule="exact"/>
        <w:rPr>
          <w:rFonts w:eastAsia="黑体"/>
          <w:szCs w:val="21"/>
        </w:rPr>
      </w:pPr>
    </w:p>
    <w:p>
      <w:pPr>
        <w:spacing w:line="260" w:lineRule="exact"/>
        <w:ind w:firstLine="2100" w:firstLineChars="1000"/>
        <w:rPr>
          <w:rFonts w:eastAsia="黑体"/>
          <w:szCs w:val="21"/>
        </w:rPr>
      </w:pPr>
      <w:r>
        <w:rPr>
          <w:rFonts w:hint="eastAsia" w:ascii="黑体" w:hAnsi="黑体" w:eastAsia="黑体"/>
          <w:szCs w:val="21"/>
        </w:rPr>
        <w:t>医疗机构制剂调剂使用审批</w:t>
      </w:r>
      <w:r>
        <w:rPr>
          <w:rFonts w:eastAsia="黑体"/>
          <w:szCs w:val="21"/>
        </w:rPr>
        <w:t>办事流程图</w:t>
      </w:r>
    </w:p>
    <w:p>
      <w:pPr>
        <w:spacing w:line="400" w:lineRule="exact"/>
        <w:jc w:val="center"/>
        <w:rPr>
          <w:rFonts w:eastAsia="黑体"/>
          <w:szCs w:val="21"/>
        </w:rPr>
      </w:pPr>
      <w:r>
        <mc:AlternateContent>
          <mc:Choice Requires="wps">
            <w:drawing>
              <wp:anchor distT="0" distB="0" distL="114300" distR="114300" simplePos="0" relativeHeight="251662336" behindDoc="0" locked="0" layoutInCell="1" allowOverlap="1">
                <wp:simplePos x="0" y="0"/>
                <wp:positionH relativeFrom="column">
                  <wp:posOffset>-167005</wp:posOffset>
                </wp:positionH>
                <wp:positionV relativeFrom="paragraph">
                  <wp:posOffset>193675</wp:posOffset>
                </wp:positionV>
                <wp:extent cx="5820410" cy="6863715"/>
                <wp:effectExtent l="0" t="0" r="0" b="0"/>
                <wp:wrapNone/>
                <wp:docPr id="2" name="文本框 4"/>
                <wp:cNvGraphicFramePr/>
                <a:graphic xmlns:a="http://schemas.openxmlformats.org/drawingml/2006/main">
                  <a:graphicData uri="http://schemas.microsoft.com/office/word/2010/wordprocessingShape">
                    <wps:wsp>
                      <wps:cNvSpPr txBox="1"/>
                      <wps:spPr>
                        <a:xfrm>
                          <a:off x="0" y="0"/>
                          <a:ext cx="5820410" cy="6863715"/>
                        </a:xfrm>
                        <a:prstGeom prst="rect">
                          <a:avLst/>
                        </a:prstGeom>
                        <a:noFill/>
                        <a:ln w="9525">
                          <a:noFill/>
                        </a:ln>
                      </wps:spPr>
                      <wps:txbx>
                        <w:txbxContent>
                          <w:p>
                            <w:r>
                              <w:drawing>
                                <wp:inline distT="0" distB="0" distL="0" distR="0">
                                  <wp:extent cx="5276850" cy="6000750"/>
                                  <wp:effectExtent l="19050" t="0" r="0" b="0"/>
                                  <wp:docPr id="4" name="图片 4" descr="http://www.kmfda.gov.cn/upload/resources/image/2018/05/10/267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kmfda.gov.cn/upload/resources/image/2018/05/10/2675026.jpg"/>
                                          <pic:cNvPicPr>
                                            <a:picLocks noChangeAspect="1" noChangeArrowheads="1"/>
                                          </pic:cNvPicPr>
                                        </pic:nvPicPr>
                                        <pic:blipFill>
                                          <a:blip r:embed="rId8"/>
                                          <a:srcRect/>
                                          <a:stretch>
                                            <a:fillRect/>
                                          </a:stretch>
                                        </pic:blipFill>
                                        <pic:spPr>
                                          <a:xfrm>
                                            <a:off x="0" y="0"/>
                                            <a:ext cx="5276850" cy="6000750"/>
                                          </a:xfrm>
                                          <a:prstGeom prst="rect">
                                            <a:avLst/>
                                          </a:prstGeom>
                                          <a:noFill/>
                                          <a:ln w="9525">
                                            <a:noFill/>
                                            <a:miter lim="800000"/>
                                            <a:headEnd/>
                                            <a:tailEnd/>
                                          </a:ln>
                                        </pic:spPr>
                                      </pic:pic>
                                    </a:graphicData>
                                  </a:graphic>
                                </wp:inline>
                              </w:drawing>
                            </w:r>
                          </w:p>
                          <w:p/>
                          <w:p/>
                          <w:p/>
                          <w:p/>
                          <w:p/>
                          <w:p/>
                          <w:p/>
                          <w:p/>
                          <w:p/>
                          <w:p/>
                          <w:p/>
                          <w:p/>
                          <w:p/>
                          <w:p/>
                          <w:p/>
                          <w:p/>
                          <w:p/>
                          <w:p/>
                          <w:p/>
                          <w:p/>
                          <w:p/>
                          <w:p/>
                          <w:p/>
                          <w:p/>
                          <w:p/>
                          <w:p/>
                          <w:p/>
                        </w:txbxContent>
                      </wps:txbx>
                      <wps:bodyPr upright="1"/>
                    </wps:wsp>
                  </a:graphicData>
                </a:graphic>
              </wp:anchor>
            </w:drawing>
          </mc:Choice>
          <mc:Fallback>
            <w:pict>
              <v:shape id="文本框 4" o:spid="_x0000_s1026" o:spt="202" type="#_x0000_t202" style="position:absolute;left:0pt;margin-left:-13.15pt;margin-top:15.25pt;height:540.45pt;width:458.3pt;z-index:251662336;mso-width-relative:page;mso-height-relative:page;" filled="f" stroked="f" coordsize="21600,21600" o:gfxdata="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fpyp/WAAAACwEAAA8AAAAAAAAAAQAgAAAA&#10;IgAAAGRycy9kb3ducmV2LnhtbFBLAQIUABQAAAAIAIdO4kCXchpsmwEAAAoDAAAOAAAAAAAAAAEA&#10;IAAAACUBAABkcnMvZTJvRG9jLnhtbFBLBQYAAAAABgAGAFkBAAAyBQAAAAA=&#10;">
                <v:fill on="f" focussize="0,0"/>
                <v:stroke on="f"/>
                <v:imagedata o:title=""/>
                <o:lock v:ext="edit" aspectratio="f"/>
                <v:textbox>
                  <w:txbxContent>
                    <w:p>
                      <w:r>
                        <w:drawing>
                          <wp:inline distT="0" distB="0" distL="0" distR="0">
                            <wp:extent cx="5276850" cy="6000750"/>
                            <wp:effectExtent l="19050" t="0" r="0" b="0"/>
                            <wp:docPr id="4" name="图片 4" descr="http://www.kmfda.gov.cn/upload/resources/image/2018/05/10/267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kmfda.gov.cn/upload/resources/image/2018/05/10/2675026.jpg"/>
                                    <pic:cNvPicPr>
                                      <a:picLocks noChangeAspect="1" noChangeArrowheads="1"/>
                                    </pic:cNvPicPr>
                                  </pic:nvPicPr>
                                  <pic:blipFill>
                                    <a:blip r:embed="rId8"/>
                                    <a:srcRect/>
                                    <a:stretch>
                                      <a:fillRect/>
                                    </a:stretch>
                                  </pic:blipFill>
                                  <pic:spPr>
                                    <a:xfrm>
                                      <a:off x="0" y="0"/>
                                      <a:ext cx="5276850" cy="6000750"/>
                                    </a:xfrm>
                                    <a:prstGeom prst="rect">
                                      <a:avLst/>
                                    </a:prstGeom>
                                    <a:noFill/>
                                    <a:ln w="9525">
                                      <a:noFill/>
                                      <a:miter lim="800000"/>
                                      <a:headEnd/>
                                      <a:tailEnd/>
                                    </a:ln>
                                  </pic:spPr>
                                </pic:pic>
                              </a:graphicData>
                            </a:graphic>
                          </wp:inline>
                        </w:drawing>
                      </w:r>
                    </w:p>
                    <w:p/>
                    <w:p/>
                    <w:p/>
                    <w:p/>
                    <w:p/>
                    <w:p/>
                    <w:p/>
                    <w:p/>
                    <w:p/>
                    <w:p/>
                    <w:p/>
                    <w:p/>
                    <w:p/>
                    <w:p/>
                    <w:p/>
                    <w:p/>
                    <w:p/>
                    <w:p/>
                    <w:p/>
                    <w:p/>
                    <w:p/>
                    <w:p/>
                    <w:p/>
                    <w:p/>
                    <w:p/>
                    <w:p/>
                    <w:p/>
                  </w:txbxContent>
                </v:textbox>
              </v:shape>
            </w:pict>
          </mc:Fallback>
        </mc:AlternateContent>
      </w:r>
      <w:r>
        <w:rPr>
          <w:sz w:val="28"/>
          <w:szCs w:val="28"/>
        </w:rPr>
        <w:t xml:space="preserve"> </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eastAsia="黑体"/>
          <w:szCs w:val="21"/>
        </w:rPr>
      </w:pPr>
    </w:p>
    <w:p>
      <w:pPr>
        <w:spacing w:line="400" w:lineRule="exact"/>
        <w:rPr>
          <w:rFonts w:eastAsia="黑体"/>
          <w:szCs w:val="21"/>
        </w:rPr>
      </w:pPr>
    </w:p>
    <w:p>
      <w:pPr>
        <w:spacing w:line="400" w:lineRule="exact"/>
        <w:jc w:val="center"/>
        <w:rPr>
          <w:rFonts w:ascii="黑体" w:hAnsi="黑体" w:eastAsia="黑体"/>
          <w:szCs w:val="21"/>
        </w:rPr>
      </w:pPr>
    </w:p>
    <w:p>
      <w:pPr>
        <w:spacing w:line="400" w:lineRule="exact"/>
        <w:jc w:val="center"/>
        <w:rPr>
          <w:rFonts w:ascii="黑体" w:hAnsi="黑体" w:eastAsia="黑体"/>
          <w:szCs w:val="21"/>
        </w:rPr>
      </w:pPr>
    </w:p>
    <w:p>
      <w:pPr>
        <w:spacing w:line="400" w:lineRule="exact"/>
        <w:jc w:val="center"/>
        <w:rPr>
          <w:rFonts w:ascii="黑体" w:hAnsi="黑体" w:eastAsia="黑体"/>
          <w:szCs w:val="21"/>
        </w:rPr>
      </w:pPr>
    </w:p>
    <w:p>
      <w:pPr>
        <w:spacing w:line="400" w:lineRule="exact"/>
        <w:rPr>
          <w:rFonts w:ascii="黑体" w:hAnsi="黑体" w:eastAsia="黑体"/>
          <w:szCs w:val="21"/>
        </w:rPr>
      </w:pPr>
      <w:r>
        <w:rPr>
          <w:rFonts w:hint="eastAsia" w:ascii="黑体" w:hAnsi="黑体" w:eastAsia="黑体"/>
          <w:szCs w:val="21"/>
        </w:rPr>
        <w:t>附件2</w:t>
      </w:r>
    </w:p>
    <w:p>
      <w:pPr>
        <w:spacing w:line="400" w:lineRule="exact"/>
        <w:rPr>
          <w:rFonts w:ascii="黑体" w:hAnsi="黑体" w:eastAsia="黑体"/>
          <w:szCs w:val="21"/>
        </w:rPr>
      </w:pPr>
    </w:p>
    <w:p>
      <w:pPr>
        <w:spacing w:line="0" w:lineRule="atLeast"/>
        <w:jc w:val="center"/>
        <w:rPr>
          <w:b/>
          <w:sz w:val="48"/>
        </w:rPr>
      </w:pPr>
      <w:r>
        <w:rPr>
          <w:rFonts w:hint="eastAsia"/>
          <w:b/>
          <w:sz w:val="48"/>
        </w:rPr>
        <w:t>医疗机构制剂调剂使用申请表</w:t>
      </w:r>
    </w:p>
    <w:p>
      <w:pPr>
        <w:snapToGrid w:val="0"/>
        <w:spacing w:before="156" w:line="0" w:lineRule="atLeast"/>
        <w:ind w:right="817" w:firstLine="361"/>
        <w:jc w:val="center"/>
      </w:pPr>
      <w:r>
        <w:rPr>
          <w:rFonts w:hint="eastAsia"/>
          <w:b/>
          <w:sz w:val="36"/>
        </w:rPr>
        <w:t>　　　　　　　　　　　　　　</w:t>
      </w:r>
      <w:r>
        <w:rPr>
          <w:b/>
          <w:sz w:val="36"/>
        </w:rPr>
        <w:t xml:space="preserve">  </w:t>
      </w:r>
      <w:r>
        <w:rPr>
          <w:rFonts w:hint="eastAsia"/>
        </w:rPr>
        <w:t>受理号：</w:t>
      </w:r>
    </w:p>
    <w:p>
      <w:pPr>
        <w:snapToGrid w:val="0"/>
        <w:spacing w:before="156" w:line="0" w:lineRule="atLeast"/>
        <w:ind w:right="817" w:firstLine="361"/>
        <w:jc w:val="center"/>
        <w:rPr>
          <w:b/>
          <w:sz w:val="24"/>
        </w:rPr>
      </w:pPr>
      <w:r>
        <w:rPr>
          <w:rFonts w:hint="eastAsia"/>
          <w:sz w:val="24"/>
        </w:rPr>
        <w:t>　　　　　　　　　　　　　　　　　　　　　受理日期：</w:t>
      </w:r>
    </w:p>
    <w:tbl>
      <w:tblPr>
        <w:tblStyle w:val="6"/>
        <w:tblW w:w="918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2340"/>
        <w:gridCol w:w="360"/>
        <w:gridCol w:w="900"/>
        <w:gridCol w:w="54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制剂名称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剂</w:t>
            </w:r>
            <w:r>
              <w:t xml:space="preserve">  </w:t>
            </w:r>
            <w:r>
              <w:rPr>
                <w:rFonts w:hint="eastAsia"/>
              </w:rPr>
              <w:t>型</w:t>
            </w:r>
          </w:p>
        </w:tc>
        <w:tc>
          <w:tcPr>
            <w:tcW w:w="30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规</w:t>
            </w:r>
            <w:r>
              <w:t xml:space="preserve">  </w:t>
            </w:r>
            <w:r>
              <w:rPr>
                <w:rFonts w:hint="eastAsia"/>
              </w:rPr>
              <w:t>格</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有效期</w:t>
            </w:r>
          </w:p>
        </w:tc>
        <w:tc>
          <w:tcPr>
            <w:tcW w:w="30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质量标准</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产品批号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批准文号</w:t>
            </w:r>
          </w:p>
        </w:tc>
        <w:tc>
          <w:tcPr>
            <w:tcW w:w="720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申请理由</w:t>
            </w:r>
          </w:p>
        </w:tc>
        <w:tc>
          <w:tcPr>
            <w:tcW w:w="720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p>
          <w:p>
            <w:pPr>
              <w:tabs>
                <w:tab w:val="left" w:pos="720"/>
                <w:tab w:val="left" w:pos="900"/>
              </w:tabs>
              <w:spacing w:line="0" w:lineRule="atLeast"/>
            </w:pPr>
          </w:p>
          <w:p>
            <w:pPr>
              <w:tabs>
                <w:tab w:val="left" w:pos="720"/>
                <w:tab w:val="left" w:pos="900"/>
              </w:tabs>
              <w:spacing w:line="0" w:lineRule="atLeast"/>
            </w:pPr>
          </w:p>
          <w:p>
            <w:pPr>
              <w:tabs>
                <w:tab w:val="left" w:pos="720"/>
                <w:tab w:val="left" w:pos="900"/>
              </w:tabs>
              <w:spacing w:line="0" w:lineRule="atLeast"/>
            </w:pPr>
          </w:p>
          <w:p>
            <w:pPr>
              <w:tabs>
                <w:tab w:val="left" w:pos="720"/>
                <w:tab w:val="left" w:pos="900"/>
              </w:tabs>
              <w:spacing w:line="0" w:lineRule="atLeast"/>
            </w:pPr>
          </w:p>
          <w:p>
            <w:pPr>
              <w:tabs>
                <w:tab w:val="left" w:pos="720"/>
                <w:tab w:val="left" w:pos="900"/>
              </w:tabs>
              <w:spacing w:line="0" w:lineRule="atLeas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使用范围</w:t>
            </w:r>
          </w:p>
        </w:tc>
        <w:tc>
          <w:tcPr>
            <w:tcW w:w="720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p>
          <w:p>
            <w:pPr>
              <w:tabs>
                <w:tab w:val="left" w:pos="720"/>
                <w:tab w:val="left" w:pos="900"/>
              </w:tabs>
              <w:spacing w:line="0" w:lineRule="atLeast"/>
            </w:pPr>
          </w:p>
          <w:p>
            <w:pPr>
              <w:tabs>
                <w:tab w:val="left" w:pos="720"/>
                <w:tab w:val="left" w:pos="900"/>
              </w:tabs>
              <w:spacing w:line="0" w:lineRule="atLeas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调剂数量</w:t>
            </w:r>
          </w:p>
        </w:tc>
        <w:tc>
          <w:tcPr>
            <w:tcW w:w="234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p>
          <w:p>
            <w:pPr>
              <w:tabs>
                <w:tab w:val="left" w:pos="720"/>
                <w:tab w:val="left" w:pos="900"/>
              </w:tabs>
              <w:spacing w:line="0" w:lineRule="atLeast"/>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r>
              <w:rPr>
                <w:rFonts w:hint="eastAsia"/>
              </w:rPr>
              <w:t>使用期限</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pPr>
            <w:r>
              <w:rPr>
                <w:rFonts w:hint="eastAsia"/>
              </w:rPr>
              <w:t>至</w:t>
            </w:r>
            <w:r>
              <w:t xml:space="preserve">    </w:t>
            </w:r>
            <w:r>
              <w:rPr>
                <w:rFonts w:hint="eastAsia"/>
              </w:rPr>
              <w:t>　　　　年　</w:t>
            </w:r>
            <w:r>
              <w:t xml:space="preserve">  </w:t>
            </w:r>
            <w:r>
              <w:rPr>
                <w:rFonts w:hint="eastAsia"/>
              </w:rPr>
              <w:t>月</w:t>
            </w:r>
            <w:r>
              <w:t xml:space="preserve">  </w:t>
            </w:r>
            <w:r>
              <w:rPr>
                <w:rFonts w:hint="eastAsia"/>
              </w:rPr>
              <w:t>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调出方</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调入方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80"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医疗机构单位名称</w:t>
            </w:r>
          </w:p>
        </w:tc>
        <w:tc>
          <w:tcPr>
            <w:tcW w:w="3600" w:type="dxa"/>
            <w:gridSpan w:val="3"/>
            <w:tcBorders>
              <w:top w:val="single" w:color="auto" w:sz="4" w:space="0"/>
              <w:left w:val="single" w:color="auto" w:sz="4" w:space="0"/>
              <w:bottom w:val="single" w:color="auto" w:sz="4" w:space="0"/>
              <w:right w:val="single" w:color="auto" w:sz="4" w:space="0"/>
            </w:tcBorders>
            <w:vAlign w:val="bottom"/>
          </w:tcPr>
          <w:p>
            <w:pPr>
              <w:tabs>
                <w:tab w:val="left" w:pos="720"/>
                <w:tab w:val="left" w:pos="900"/>
              </w:tabs>
              <w:spacing w:line="0" w:lineRule="atLeast"/>
              <w:jc w:val="right"/>
              <w:rPr>
                <w:sz w:val="18"/>
              </w:rPr>
            </w:pPr>
          </w:p>
        </w:tc>
        <w:tc>
          <w:tcPr>
            <w:tcW w:w="3600" w:type="dxa"/>
            <w:gridSpan w:val="2"/>
            <w:tcBorders>
              <w:top w:val="single" w:color="auto" w:sz="4" w:space="0"/>
              <w:left w:val="single" w:color="auto" w:sz="4" w:space="0"/>
              <w:bottom w:val="single" w:color="auto" w:sz="4" w:space="0"/>
              <w:right w:val="single" w:color="auto" w:sz="4" w:space="0"/>
            </w:tcBorders>
            <w:vAlign w:val="bottom"/>
          </w:tcPr>
          <w:p>
            <w:pPr>
              <w:tabs>
                <w:tab w:val="left" w:pos="720"/>
                <w:tab w:val="left" w:pos="900"/>
              </w:tabs>
              <w:spacing w:line="0" w:lineRule="atLeast"/>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医疗机构地址</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制剂配制单位名称</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制剂配制地址</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420"/>
              <w:jc w:val="left"/>
            </w:pP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《医疗机构制剂许可证》（或《药品生产质量管理规范》认证证书）编号</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联系人</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rPr>
                <w:sz w:val="18"/>
              </w:rPr>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联系电话</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pP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法人代表</w:t>
            </w:r>
          </w:p>
        </w:tc>
        <w:tc>
          <w:tcPr>
            <w:tcW w:w="360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rPr>
                <w:sz w:val="18"/>
              </w:rPr>
            </w:pPr>
          </w:p>
          <w:p>
            <w:pPr>
              <w:tabs>
                <w:tab w:val="left" w:pos="720"/>
                <w:tab w:val="left" w:pos="900"/>
              </w:tabs>
              <w:spacing w:line="0" w:lineRule="atLeast"/>
              <w:rPr>
                <w:sz w:val="18"/>
              </w:rPr>
            </w:pPr>
            <w:r>
              <w:rPr>
                <w:sz w:val="18"/>
              </w:rPr>
              <w:t xml:space="preserve">                       </w:t>
            </w:r>
            <w:r>
              <w:rPr>
                <w:rFonts w:hint="eastAsia"/>
                <w:sz w:val="18"/>
              </w:rPr>
              <w:t>（签字及公章）</w:t>
            </w:r>
          </w:p>
          <w:p>
            <w:pPr>
              <w:tabs>
                <w:tab w:val="left" w:pos="720"/>
                <w:tab w:val="left" w:pos="900"/>
              </w:tabs>
              <w:spacing w:line="0" w:lineRule="atLeast"/>
            </w:pPr>
            <w:r>
              <w:rPr>
                <w:sz w:val="18"/>
              </w:rPr>
              <w:t xml:space="preserve">           </w:t>
            </w:r>
            <w:r>
              <w:rPr>
                <w:rFonts w:hint="eastAsia"/>
                <w:sz w:val="18"/>
              </w:rPr>
              <w:t>日期：</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0" w:lineRule="atLeast"/>
              <w:rPr>
                <w:sz w:val="18"/>
              </w:rPr>
            </w:pPr>
          </w:p>
          <w:p>
            <w:pPr>
              <w:tabs>
                <w:tab w:val="left" w:pos="720"/>
                <w:tab w:val="left" w:pos="900"/>
              </w:tabs>
              <w:spacing w:line="0" w:lineRule="atLeast"/>
              <w:rPr>
                <w:sz w:val="18"/>
              </w:rPr>
            </w:pPr>
            <w:r>
              <w:rPr>
                <w:sz w:val="18"/>
              </w:rPr>
              <w:t xml:space="preserve">                       </w:t>
            </w:r>
            <w:r>
              <w:rPr>
                <w:rFonts w:hint="eastAsia"/>
                <w:sz w:val="18"/>
              </w:rPr>
              <w:t>（签字及公章）</w:t>
            </w:r>
          </w:p>
          <w:p>
            <w:pPr>
              <w:tabs>
                <w:tab w:val="left" w:pos="720"/>
                <w:tab w:val="left" w:pos="900"/>
              </w:tabs>
              <w:spacing w:line="0" w:lineRule="atLeast"/>
            </w:pPr>
            <w:r>
              <w:rPr>
                <w:sz w:val="18"/>
              </w:rPr>
              <w:t xml:space="preserve">           </w:t>
            </w:r>
            <w:r>
              <w:rPr>
                <w:rFonts w:hint="eastAsia"/>
                <w:sz w:val="18"/>
              </w:rPr>
              <w:t>日期：</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pPr>
        <w:rPr>
          <w:rFonts w:hint="eastAsia"/>
        </w:rPr>
      </w:pPr>
    </w:p>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方正黑体简体">
    <w:altName w:val="Arial Unicode MS"/>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Ascii"/>
                              <w:b w:val="0"/>
                              <w:bCs w:val="0"/>
                              <w:sz w:val="32"/>
                              <w:szCs w:val="32"/>
                              <w:lang w:eastAsia="zh-CN"/>
                            </w:rPr>
                            <w:fldChar w:fldCharType="begin"/>
                          </w:r>
                          <w:r>
                            <w:rPr>
                              <w:rFonts w:hint="eastAsia" w:asciiTheme="minorAscii"/>
                              <w:b w:val="0"/>
                              <w:bCs w:val="0"/>
                              <w:sz w:val="32"/>
                              <w:szCs w:val="32"/>
                              <w:lang w:eastAsia="zh-CN"/>
                            </w:rPr>
                            <w:instrText xml:space="preserve"> PAGE  \* MERGEFORMAT </w:instrText>
                          </w:r>
                          <w:r>
                            <w:rPr>
                              <w:rFonts w:hint="eastAsia" w:asciiTheme="minorAscii"/>
                              <w:b w:val="0"/>
                              <w:bCs w:val="0"/>
                              <w:sz w:val="32"/>
                              <w:szCs w:val="32"/>
                              <w:lang w:eastAsia="zh-CN"/>
                            </w:rPr>
                            <w:fldChar w:fldCharType="separate"/>
                          </w:r>
                          <w:r>
                            <w:rPr>
                              <w:rFonts w:hint="eastAsia" w:asciiTheme="minorAscii"/>
                              <w:b w:val="0"/>
                              <w:bCs w:val="0"/>
                              <w:sz w:val="32"/>
                              <w:szCs w:val="32"/>
                              <w:lang w:eastAsia="zh-CN"/>
                            </w:rPr>
                            <w:t>- 2 -</w:t>
                          </w:r>
                          <w:r>
                            <w:rPr>
                              <w:rFonts w:hint="eastAsia" w:asciiTheme="minorAscii"/>
                              <w:b w:val="0"/>
                              <w:bCs w:val="0"/>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Ascii"/>
                        <w:b w:val="0"/>
                        <w:bCs w:val="0"/>
                        <w:sz w:val="32"/>
                        <w:szCs w:val="32"/>
                        <w:lang w:eastAsia="zh-CN"/>
                      </w:rPr>
                      <w:fldChar w:fldCharType="begin"/>
                    </w:r>
                    <w:r>
                      <w:rPr>
                        <w:rFonts w:hint="eastAsia" w:asciiTheme="minorAscii"/>
                        <w:b w:val="0"/>
                        <w:bCs w:val="0"/>
                        <w:sz w:val="32"/>
                        <w:szCs w:val="32"/>
                        <w:lang w:eastAsia="zh-CN"/>
                      </w:rPr>
                      <w:instrText xml:space="preserve"> PAGE  \* MERGEFORMAT </w:instrText>
                    </w:r>
                    <w:r>
                      <w:rPr>
                        <w:rFonts w:hint="eastAsia" w:asciiTheme="minorAscii"/>
                        <w:b w:val="0"/>
                        <w:bCs w:val="0"/>
                        <w:sz w:val="32"/>
                        <w:szCs w:val="32"/>
                        <w:lang w:eastAsia="zh-CN"/>
                      </w:rPr>
                      <w:fldChar w:fldCharType="separate"/>
                    </w:r>
                    <w:r>
                      <w:rPr>
                        <w:rFonts w:hint="eastAsia" w:asciiTheme="minorAscii"/>
                        <w:b w:val="0"/>
                        <w:bCs w:val="0"/>
                        <w:sz w:val="32"/>
                        <w:szCs w:val="32"/>
                        <w:lang w:eastAsia="zh-CN"/>
                      </w:rPr>
                      <w:t>- 2 -</w:t>
                    </w:r>
                    <w:r>
                      <w:rPr>
                        <w:rFonts w:hint="eastAsia" w:asciiTheme="minorAscii"/>
                        <w:b w:val="0"/>
                        <w:bCs w:val="0"/>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24"/>
    <w:rsid w:val="000A5AB3"/>
    <w:rsid w:val="00457E4E"/>
    <w:rsid w:val="005A6B4A"/>
    <w:rsid w:val="00695C24"/>
    <w:rsid w:val="008600F0"/>
    <w:rsid w:val="00B053CE"/>
    <w:rsid w:val="00B7359C"/>
    <w:rsid w:val="00B9302A"/>
    <w:rsid w:val="00BC0221"/>
    <w:rsid w:val="00F517D1"/>
    <w:rsid w:val="00F84047"/>
    <w:rsid w:val="00FD0A5A"/>
    <w:rsid w:val="015531A9"/>
    <w:rsid w:val="02FD13F1"/>
    <w:rsid w:val="0E22306B"/>
    <w:rsid w:val="10EB55B0"/>
    <w:rsid w:val="127F2F15"/>
    <w:rsid w:val="1C33571A"/>
    <w:rsid w:val="1CFE40A9"/>
    <w:rsid w:val="24084C83"/>
    <w:rsid w:val="24892576"/>
    <w:rsid w:val="27704591"/>
    <w:rsid w:val="434F4ED7"/>
    <w:rsid w:val="517328C0"/>
    <w:rsid w:val="53623017"/>
    <w:rsid w:val="565406C2"/>
    <w:rsid w:val="5EFC4C22"/>
    <w:rsid w:val="63886D0E"/>
    <w:rsid w:val="683C583A"/>
    <w:rsid w:val="6F724B62"/>
    <w:rsid w:val="750A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段 Char Char"/>
    <w:link w:val="10"/>
    <w:qFormat/>
    <w:uiPriority w:val="0"/>
    <w:rPr>
      <w:rFonts w:ascii="宋体"/>
    </w:rPr>
  </w:style>
  <w:style w:type="paragraph" w:customStyle="1" w:styleId="10">
    <w:name w:val="段"/>
    <w:link w:val="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1">
    <w:name w:val="示例内容"/>
    <w:qFormat/>
    <w:uiPriority w:val="0"/>
    <w:pPr>
      <w:ind w:firstLine="200" w:firstLineChars="200"/>
      <w:jc w:val="left"/>
    </w:pPr>
    <w:rPr>
      <w:rFonts w:ascii="宋体" w:hAnsi="Times New Roman" w:eastAsia="宋体" w:cs="Times New Roman"/>
      <w:kern w:val="0"/>
      <w:sz w:val="18"/>
      <w:szCs w:val="18"/>
      <w:lang w:val="en-US" w:eastAsia="zh-CN" w:bidi="ar-SA"/>
    </w:rPr>
  </w:style>
  <w:style w:type="character" w:customStyle="1" w:styleId="12">
    <w:name w:val="页眉 Char"/>
    <w:basedOn w:val="7"/>
    <w:link w:val="4"/>
    <w:qFormat/>
    <w:uiPriority w:val="0"/>
    <w:rPr>
      <w:rFonts w:ascii="Times New Roman" w:hAnsi="Times New Roman" w:eastAsia="宋体" w:cs="Times New Roman"/>
      <w:sz w:val="18"/>
      <w:szCs w:val="18"/>
    </w:rPr>
  </w:style>
  <w:style w:type="character" w:customStyle="1" w:styleId="13">
    <w:name w:val="页脚 Char"/>
    <w:basedOn w:val="7"/>
    <w:link w:val="3"/>
    <w:qFormat/>
    <w:uiPriority w:val="0"/>
    <w:rPr>
      <w:rFonts w:ascii="Times New Roman" w:hAnsi="Times New Roman" w:eastAsia="宋体" w:cs="Times New Roman"/>
      <w:sz w:val="18"/>
      <w:szCs w:val="18"/>
    </w:rPr>
  </w:style>
  <w:style w:type="paragraph" w:customStyle="1" w:styleId="14">
    <w:name w:val="示例×："/>
    <w:basedOn w:val="1"/>
    <w:qFormat/>
    <w:uiPriority w:val="0"/>
    <w:pPr>
      <w:widowControl/>
      <w:ind w:left="205" w:firstLine="363"/>
    </w:pPr>
    <w:rPr>
      <w:rFonts w:ascii="宋体"/>
      <w:kern w:val="0"/>
      <w:sz w:val="18"/>
      <w:szCs w:val="18"/>
    </w:rPr>
  </w:style>
  <w:style w:type="paragraph" w:customStyle="1" w:styleId="15">
    <w:name w:val="要求"/>
    <w:basedOn w:val="10"/>
    <w:qFormat/>
    <w:uiPriority w:val="0"/>
    <w:pPr>
      <w:adjustRightInd w:val="0"/>
      <w:snapToGrid w:val="0"/>
      <w:ind w:left="200" w:leftChars="200" w:firstLine="200"/>
    </w:pPr>
  </w:style>
  <w:style w:type="character" w:customStyle="1" w:styleId="16">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401</Words>
  <Characters>2290</Characters>
  <Lines>19</Lines>
  <Paragraphs>5</Paragraphs>
  <TotalTime>2</TotalTime>
  <ScaleCrop>false</ScaleCrop>
  <LinksUpToDate>false</LinksUpToDate>
  <CharactersWithSpaces>2686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2018-08-14T02:21:00Z</dcterms:created>
  <dc:creator>DELL</dc:creator>
  <cp:lastModifiedBy>so so</cp:lastModifiedBy>
  <dcterms:modified xsi:type="dcterms:W3CDTF">2019-09-03T08:41:09Z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