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40" w:beforeAutospacing="0" w:after="0" w:afterAutospacing="0" w:line="19" w:lineRule="atLeast"/>
        <w:ind w:left="0" w:right="0"/>
        <w:jc w:val="center"/>
        <w:rPr>
          <w:b w:val="0"/>
          <w:color w:val="333333"/>
          <w:sz w:val="19"/>
          <w:szCs w:val="19"/>
        </w:rPr>
      </w:pPr>
      <w:r>
        <w:rPr>
          <w:b w:val="0"/>
          <w:color w:val="333333"/>
          <w:sz w:val="19"/>
          <w:szCs w:val="19"/>
        </w:rPr>
        <w:t>中国人民政治协商会议云南省玉溪市</w:t>
      </w:r>
      <w:r>
        <w:rPr>
          <w:b w:val="0"/>
          <w:color w:val="333333"/>
          <w:sz w:val="19"/>
          <w:szCs w:val="19"/>
        </w:rPr>
        <w:br w:type="textWrapping"/>
      </w:r>
      <w:r>
        <w:rPr>
          <w:b w:val="0"/>
          <w:color w:val="333333"/>
          <w:sz w:val="19"/>
          <w:szCs w:val="19"/>
        </w:rPr>
        <w:t xml:space="preserve">第五届委员会第一次会议 </w:t>
      </w:r>
    </w:p>
    <w:p>
      <w:pPr>
        <w:pStyle w:val="2"/>
        <w:keepNext w:val="0"/>
        <w:keepLines w:val="0"/>
        <w:widowControl/>
        <w:suppressLineNumbers w:val="0"/>
        <w:spacing w:before="0" w:beforeAutospacing="0" w:after="240" w:afterAutospacing="0" w:line="22" w:lineRule="atLeast"/>
        <w:ind w:left="0" w:right="0"/>
        <w:jc w:val="center"/>
        <w:rPr>
          <w:color w:val="333333"/>
          <w:sz w:val="28"/>
          <w:szCs w:val="28"/>
        </w:rPr>
      </w:pPr>
      <w:r>
        <w:rPr>
          <w:color w:val="333333"/>
          <w:sz w:val="28"/>
          <w:szCs w:val="28"/>
        </w:rPr>
        <w:t xml:space="preserve">提   案 </w:t>
      </w:r>
    </w:p>
    <w:p>
      <w:pPr>
        <w:pStyle w:val="4"/>
        <w:keepNext w:val="0"/>
        <w:keepLines w:val="0"/>
        <w:widowControl/>
        <w:suppressLineNumbers w:val="0"/>
        <w:spacing w:before="0" w:beforeAutospacing="0" w:after="0" w:afterAutospacing="0"/>
        <w:ind w:left="0" w:right="0"/>
      </w:pPr>
      <w:r>
        <w:rPr>
          <w:rFonts w:hint="eastAsia" w:ascii="Tahoma" w:hAnsi="Tahoma" w:eastAsia="Tahoma" w:cs="Tahoma"/>
          <w:sz w:val="14"/>
          <w:szCs w:val="14"/>
        </w:rPr>
        <w:t>【</w:t>
      </w:r>
      <w:r>
        <w:rPr>
          <w:rFonts w:hint="default" w:ascii="Tahoma" w:hAnsi="Tahoma" w:eastAsia="Tahoma" w:cs="Tahoma"/>
          <w:sz w:val="14"/>
          <w:szCs w:val="14"/>
        </w:rPr>
        <w:t>2018】0075号</w:t>
      </w:r>
    </w:p>
    <w:p>
      <w:pPr>
        <w:pStyle w:val="4"/>
        <w:keepNext w:val="0"/>
        <w:keepLines w:val="0"/>
        <w:widowControl/>
        <w:suppressLineNumbers w:val="0"/>
        <w:spacing w:before="0" w:beforeAutospacing="0" w:after="0" w:afterAutospacing="0"/>
        <w:ind w:left="0" w:right="0"/>
      </w:pPr>
      <w:r>
        <w:rPr>
          <w:rFonts w:hint="default" w:ascii="Tahoma" w:hAnsi="Tahoma" w:eastAsia="Tahoma" w:cs="Tahoma"/>
          <w:sz w:val="14"/>
          <w:szCs w:val="14"/>
        </w:rPr>
        <w:t>2018年11月5日</w:t>
      </w:r>
    </w:p>
    <w:tbl>
      <w:tblPr>
        <w:tblW w:w="8305" w:type="dxa"/>
        <w:tblInd w:w="0" w:type="dxa"/>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161"/>
        <w:gridCol w:w="2144"/>
      </w:tblGrid>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305" w:type="dxa"/>
            <w:gridSpan w:val="2"/>
            <w:tcBorders>
              <w:bottom w:val="dashed" w:color="CCCCCC" w:sz="4" w:space="0"/>
            </w:tcBorders>
            <w:shd w:val="clear"/>
            <w:tcMar>
              <w:top w:w="240" w:type="dxa"/>
              <w:left w:w="0" w:type="dxa"/>
              <w:bottom w:w="24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bdr w:val="none" w:color="auto" w:sz="0" w:space="0"/>
                <w:lang w:val="en-US" w:eastAsia="zh-CN" w:bidi="ar"/>
              </w:rPr>
              <w:t>标题：关于加强年轻一代民营企业家教育培养工作的建议</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6161" w:type="dxa"/>
            <w:tcBorders>
              <w:bottom w:val="dashed" w:color="CCCCCC" w:sz="4" w:space="0"/>
            </w:tcBorders>
            <w:shd w:val="clear"/>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bdr w:val="none" w:color="auto" w:sz="0" w:space="0"/>
                <w:lang w:val="en-US" w:eastAsia="zh-CN" w:bidi="ar"/>
              </w:rPr>
              <w:t>类别：经济建设类</w:t>
            </w:r>
          </w:p>
        </w:tc>
        <w:tc>
          <w:tcPr>
            <w:tcW w:w="2144" w:type="dxa"/>
            <w:tcBorders>
              <w:bottom w:val="dashed" w:color="CCCCCC" w:sz="4" w:space="0"/>
            </w:tcBorders>
            <w:shd w:val="clear"/>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bdr w:val="none" w:color="auto" w:sz="0" w:space="0"/>
                <w:lang w:val="en-US" w:eastAsia="zh-CN" w:bidi="ar"/>
              </w:rPr>
              <w:t>二级类别：工业</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305" w:type="dxa"/>
            <w:gridSpan w:val="2"/>
            <w:tcBorders>
              <w:bottom w:val="dashed" w:color="CCCCCC" w:sz="4" w:space="0"/>
            </w:tcBorders>
            <w:shd w:val="clear"/>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bdr w:val="none" w:color="auto" w:sz="0" w:space="0"/>
                <w:lang w:val="en-US" w:eastAsia="zh-CN" w:bidi="ar"/>
              </w:rPr>
              <w:t>领衔委员：徐勇等1名委员</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305" w:type="dxa"/>
            <w:gridSpan w:val="2"/>
            <w:tcBorders>
              <w:bottom w:val="dashed" w:color="CCCCCC" w:sz="4" w:space="0"/>
            </w:tcBorders>
            <w:shd w:val="clear"/>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bdr w:val="none" w:color="auto" w:sz="0" w:space="0"/>
                <w:lang w:val="en-US" w:eastAsia="zh-CN" w:bidi="ar"/>
              </w:rPr>
              <w:t>联系电话：13908778787</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6161" w:type="dxa"/>
            <w:tcBorders>
              <w:bottom w:val="dashed" w:color="CCCCCC" w:sz="4" w:space="0"/>
            </w:tcBorders>
            <w:shd w:val="clear"/>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bdr w:val="none" w:color="auto" w:sz="0" w:space="0"/>
                <w:lang w:val="en-US" w:eastAsia="zh-CN" w:bidi="ar"/>
              </w:rPr>
              <w:t>通信地址：玉溪江西商会会长、玉溪永荣医疗器械有限公司董事长</w:t>
            </w:r>
          </w:p>
        </w:tc>
        <w:tc>
          <w:tcPr>
            <w:tcW w:w="2144" w:type="dxa"/>
            <w:tcBorders>
              <w:bottom w:val="dashed" w:color="CCCCCC" w:sz="4" w:space="0"/>
            </w:tcBorders>
            <w:shd w:val="clear"/>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bdr w:val="none" w:color="auto" w:sz="0" w:space="0"/>
                <w:lang w:val="en-US" w:eastAsia="zh-CN" w:bidi="ar"/>
              </w:rPr>
              <w:t>邮编：</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6161" w:type="dxa"/>
            <w:tcBorders>
              <w:bottom w:val="dashed" w:color="CCCCCC" w:sz="4" w:space="0"/>
            </w:tcBorders>
            <w:shd w:val="clear"/>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bdr w:val="none" w:color="auto" w:sz="0" w:space="0"/>
                <w:lang w:val="en-US" w:eastAsia="zh-CN" w:bidi="ar"/>
              </w:rPr>
              <w:t>主办单位： 市工信委</w:t>
            </w:r>
          </w:p>
        </w:tc>
        <w:tc>
          <w:tcPr>
            <w:tcW w:w="2144" w:type="dxa"/>
            <w:tcBorders>
              <w:bottom w:val="dashed" w:color="CCCCCC" w:sz="4" w:space="0"/>
            </w:tcBorders>
            <w:shd w:val="clear"/>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bdr w:val="none" w:color="auto" w:sz="0" w:space="0"/>
                <w:lang w:val="en-US" w:eastAsia="zh-CN" w:bidi="ar"/>
              </w:rPr>
              <w:t>会办单位：</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6161" w:type="dxa"/>
            <w:tcBorders>
              <w:bottom w:val="dashed" w:color="CCCCCC" w:sz="4" w:space="0"/>
            </w:tcBorders>
            <w:shd w:val="clear"/>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bdr w:val="none" w:color="auto" w:sz="0" w:space="0"/>
                <w:lang w:val="en-US" w:eastAsia="zh-CN" w:bidi="ar"/>
              </w:rPr>
              <w:t>提出时间： 2018-01-30</w:t>
            </w:r>
          </w:p>
        </w:tc>
        <w:tc>
          <w:tcPr>
            <w:tcW w:w="2144" w:type="dxa"/>
            <w:tcBorders>
              <w:bottom w:val="dashed" w:color="CCCCCC" w:sz="4" w:space="0"/>
            </w:tcBorders>
            <w:shd w:val="clear"/>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bdr w:val="none" w:color="auto" w:sz="0" w:space="0"/>
                <w:lang w:val="en-US" w:eastAsia="zh-CN" w:bidi="ar"/>
              </w:rPr>
              <w:t>交办时间：2018-03-12</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305" w:type="dxa"/>
            <w:gridSpan w:val="2"/>
            <w:tcBorders>
              <w:bottom w:val="dashed" w:color="CCCCCC" w:sz="4" w:space="0"/>
            </w:tcBorders>
            <w:shd w:val="clear"/>
            <w:tcMar>
              <w:top w:w="120" w:type="dxa"/>
              <w:left w:w="0" w:type="dxa"/>
              <w:bottom w:w="120" w:type="dxa"/>
              <w:right w:w="0" w:type="dxa"/>
            </w:tcMar>
            <w:vAlign w:val="center"/>
          </w:tcPr>
          <w:p>
            <w:pPr>
              <w:pStyle w:val="4"/>
              <w:keepNext w:val="0"/>
              <w:keepLines w:val="0"/>
              <w:widowControl/>
              <w:suppressLineNumbers w:val="0"/>
              <w:spacing w:line="18" w:lineRule="atLeast"/>
            </w:pPr>
            <w:r>
              <w:rPr>
                <w:rFonts w:hint="default" w:ascii="Tahoma" w:hAnsi="Tahoma" w:eastAsia="Tahoma" w:cs="Tahoma"/>
                <w:color w:val="666666"/>
                <w:sz w:val="18"/>
                <w:szCs w:val="18"/>
                <w:bdr w:val="none" w:color="auto" w:sz="0" w:space="0"/>
              </w:rPr>
              <w:br w:type="textWrapping"/>
            </w:r>
            <w:r>
              <w:rPr>
                <w:rFonts w:hint="default" w:ascii="Tahoma" w:hAnsi="Tahoma" w:eastAsia="Tahoma" w:cs="Tahoma"/>
                <w:color w:val="666666"/>
                <w:sz w:val="18"/>
                <w:szCs w:val="18"/>
                <w:bdr w:val="none" w:color="auto" w:sz="0" w:space="0"/>
              </w:rPr>
              <w:t xml:space="preserve">提案原文： </w:t>
            </w:r>
          </w:p>
          <w:p>
            <w:pPr>
              <w:pStyle w:val="4"/>
              <w:keepNext w:val="0"/>
              <w:keepLines w:val="0"/>
              <w:widowControl/>
              <w:suppressLineNumbers w:val="0"/>
              <w:spacing w:line="420" w:lineRule="atLeast"/>
              <w:ind w:left="0" w:firstLine="420"/>
              <w:rPr>
                <w:rFonts w:hint="eastAsia" w:ascii="宋体" w:hAnsi="宋体" w:eastAsia="宋体" w:cs="宋体"/>
                <w:sz w:val="25"/>
                <w:szCs w:val="25"/>
              </w:rPr>
            </w:pPr>
            <w:r>
              <w:rPr>
                <w:rFonts w:hint="eastAsia" w:ascii="宋体" w:hAnsi="宋体" w:eastAsia="宋体" w:cs="宋体"/>
                <w:color w:val="666666"/>
                <w:sz w:val="25"/>
                <w:szCs w:val="25"/>
                <w:bdr w:val="none" w:color="auto" w:sz="0" w:space="0"/>
              </w:rPr>
              <w:t> </w:t>
            </w:r>
          </w:p>
          <w:p>
            <w:pPr>
              <w:pStyle w:val="4"/>
              <w:keepNext w:val="0"/>
              <w:keepLines w:val="0"/>
              <w:widowControl/>
              <w:suppressLineNumbers w:val="0"/>
              <w:spacing w:line="420" w:lineRule="atLeast"/>
              <w:ind w:left="0" w:firstLine="420"/>
              <w:rPr>
                <w:rFonts w:hint="eastAsia" w:ascii="宋体" w:hAnsi="宋体" w:eastAsia="宋体" w:cs="宋体"/>
                <w:sz w:val="25"/>
                <w:szCs w:val="25"/>
              </w:rPr>
            </w:pPr>
            <w:r>
              <w:rPr>
                <w:rFonts w:hint="eastAsia" w:ascii="宋体" w:hAnsi="宋体" w:eastAsia="宋体" w:cs="宋体"/>
                <w:color w:val="666666"/>
                <w:sz w:val="25"/>
                <w:szCs w:val="25"/>
                <w:bdr w:val="none" w:color="auto" w:sz="0" w:space="0"/>
              </w:rPr>
              <w:t>改革开放以来，玉溪民营经济已发展成为推进产业升级的重要力量、吸纳社会就业的主要渠道、扩大开放合作的有力支撑，在稳增长、调结构、增效益、保民生等方面发挥了重要作用。2017年，全市民营经济组织达到18万个，其中民营企业2.6万户，从业人员人达到71万人，同比增长9%，实现增加值515亿元，同比增长13.3%，占GDP的比重达到36.4%，呈现出转型升级步伐不断加快、经济结构日益优化、综合实力明显提升的良好局面。</w:t>
            </w:r>
          </w:p>
          <w:p>
            <w:pPr>
              <w:pStyle w:val="4"/>
              <w:keepNext w:val="0"/>
              <w:keepLines w:val="0"/>
              <w:widowControl/>
              <w:suppressLineNumbers w:val="0"/>
              <w:spacing w:line="420" w:lineRule="atLeast"/>
              <w:ind w:left="0" w:firstLine="420"/>
              <w:rPr>
                <w:rFonts w:hint="eastAsia" w:ascii="宋体" w:hAnsi="宋体" w:eastAsia="宋体" w:cs="宋体"/>
                <w:sz w:val="25"/>
                <w:szCs w:val="25"/>
              </w:rPr>
            </w:pPr>
            <w:r>
              <w:rPr>
                <w:rFonts w:hint="eastAsia" w:ascii="宋体" w:hAnsi="宋体" w:eastAsia="宋体" w:cs="宋体"/>
                <w:color w:val="666666"/>
                <w:sz w:val="25"/>
                <w:szCs w:val="25"/>
                <w:bdr w:val="none" w:color="auto" w:sz="0" w:space="0"/>
              </w:rPr>
              <w:t>在全市民营经济快速发展的同时，以民营企业新一代接班人和自主创业的青年民营企业家为主体的年轻一代民营企业群体不断壮大，正在成为推动全市经济发展和社会进步的新生力量。这个特殊的年轻人群体综合素质总体较高、思想主流积极向上、规则意识普遍较强、责任意识不断提升。以玉溪市江西商会为例，在121名会员中，1970年以后出生的年轻一代民营企业家会员有101人，占会员总数的83.5%。在这101人中，民营企业新一代接班人9人，自主创业的青年民营企业家91人；70后39人、占38.6%，80后52人、占51.5%，90后10人，占9.9%，年轻一代民营企业家在推动商会及会员企业发展中的地位和作用日益显现。</w:t>
            </w:r>
          </w:p>
          <w:p>
            <w:pPr>
              <w:pStyle w:val="4"/>
              <w:keepNext w:val="0"/>
              <w:keepLines w:val="0"/>
              <w:widowControl/>
              <w:suppressLineNumbers w:val="0"/>
              <w:spacing w:line="420" w:lineRule="atLeast"/>
              <w:ind w:left="0" w:firstLine="420"/>
              <w:rPr>
                <w:rFonts w:hint="eastAsia" w:ascii="宋体" w:hAnsi="宋体" w:eastAsia="宋体" w:cs="宋体"/>
                <w:sz w:val="25"/>
                <w:szCs w:val="25"/>
              </w:rPr>
            </w:pPr>
            <w:r>
              <w:rPr>
                <w:rFonts w:hint="eastAsia" w:ascii="宋体" w:hAnsi="宋体" w:eastAsia="宋体" w:cs="宋体"/>
                <w:color w:val="666666"/>
                <w:sz w:val="25"/>
                <w:szCs w:val="25"/>
                <w:bdr w:val="none" w:color="auto" w:sz="0" w:space="0"/>
              </w:rPr>
              <w:t>习近平总书记在党的十九大报告中指出，“青年兴则国家兴，青年强则国家强。青年一代有理想、有本领、有担当，国家就有前途，民族就有希望。”年轻一代民营企业家肩负着接续奋斗的使命，年轻一代民营企业家的健康成长，不仅是民营企业家的家事，更是事关增强国民经济后劲，事关巩固和扩大党执政的群众基础和社会基础，事关夺取新时代中国特色社会主义伟大胜利的大事。加强对年轻一代民营企业家的培养教育，促进年轻一代民营企业家健康成长，有利于优化全市民营企业家队伍结构，关乎全市民营经济转型升级和可持续发展，关乎全市党的统一战线事业薪火相传，关乎为实现中华民族伟大复兴中国梦凝聚更广泛力量。</w:t>
            </w:r>
          </w:p>
          <w:p>
            <w:pPr>
              <w:pStyle w:val="4"/>
              <w:keepNext w:val="0"/>
              <w:keepLines w:val="0"/>
              <w:widowControl/>
              <w:suppressLineNumbers w:val="0"/>
              <w:spacing w:line="420" w:lineRule="atLeast"/>
              <w:ind w:left="0" w:firstLine="420"/>
              <w:rPr>
                <w:rFonts w:hint="eastAsia" w:ascii="宋体" w:hAnsi="宋体" w:eastAsia="宋体" w:cs="宋体"/>
                <w:sz w:val="25"/>
                <w:szCs w:val="25"/>
              </w:rPr>
            </w:pPr>
            <w:r>
              <w:rPr>
                <w:rFonts w:hint="eastAsia" w:ascii="宋体" w:hAnsi="宋体" w:eastAsia="宋体" w:cs="宋体"/>
                <w:color w:val="666666"/>
                <w:sz w:val="25"/>
                <w:szCs w:val="25"/>
                <w:bdr w:val="none" w:color="auto" w:sz="0" w:space="0"/>
              </w:rPr>
              <w:t>建议：</w:t>
            </w:r>
          </w:p>
          <w:p>
            <w:pPr>
              <w:pStyle w:val="4"/>
              <w:keepNext w:val="0"/>
              <w:keepLines w:val="0"/>
              <w:widowControl/>
              <w:suppressLineNumbers w:val="0"/>
              <w:spacing w:line="420" w:lineRule="atLeast"/>
              <w:ind w:left="0" w:firstLine="420"/>
              <w:rPr>
                <w:rFonts w:hint="eastAsia" w:ascii="宋体" w:hAnsi="宋体" w:eastAsia="宋体" w:cs="宋体"/>
                <w:sz w:val="25"/>
                <w:szCs w:val="25"/>
              </w:rPr>
            </w:pPr>
            <w:r>
              <w:rPr>
                <w:rFonts w:hint="eastAsia" w:ascii="宋体" w:hAnsi="宋体" w:eastAsia="宋体" w:cs="宋体"/>
                <w:color w:val="666666"/>
                <w:sz w:val="25"/>
                <w:szCs w:val="25"/>
                <w:bdr w:val="none" w:color="auto" w:sz="0" w:space="0"/>
              </w:rPr>
              <w:t>全市各级党委、政府深入贯彻落实中共中央、国务院发布《关于营造企业家健康成长环境弘扬优秀企业家精神更好发挥企业家作用的意见》（中发〔2017〕25号），牢固树立培养年轻一代民营企业家就是赢得发展未来的理念，高度重视年轻一代民营企业家教育培养工作，切实加强对年轻一代民营企业家队伍建设的领导，研究出台玉溪市《关于营造企业家健康成长环境弘扬优秀企业家精神更好发挥企业家作用的实施意见》，制定细化具体政策措施，大力做好建机制、造环境、搭平台等工作，努力造就一支有信念、有梦想、有本领、有奉献的年轻一代民营企业家队伍，为推动新时代全市民营经济跨越发展培养和储备优秀年轻人才。</w:t>
            </w:r>
          </w:p>
          <w:p>
            <w:pPr>
              <w:pStyle w:val="4"/>
              <w:keepNext w:val="0"/>
              <w:keepLines w:val="0"/>
              <w:widowControl/>
              <w:suppressLineNumbers w:val="0"/>
              <w:spacing w:line="420" w:lineRule="atLeast"/>
              <w:ind w:left="0" w:firstLine="420"/>
              <w:rPr>
                <w:rFonts w:hint="eastAsia" w:ascii="宋体" w:hAnsi="宋体" w:eastAsia="宋体" w:cs="宋体"/>
                <w:sz w:val="25"/>
                <w:szCs w:val="25"/>
              </w:rPr>
            </w:pPr>
            <w:r>
              <w:rPr>
                <w:rFonts w:hint="eastAsia" w:ascii="宋体" w:hAnsi="宋体" w:eastAsia="宋体" w:cs="宋体"/>
                <w:color w:val="666666"/>
                <w:sz w:val="25"/>
                <w:szCs w:val="25"/>
                <w:bdr w:val="none" w:color="auto" w:sz="0" w:space="0"/>
              </w:rPr>
              <w:t>一、完善年轻一代民营企业家教育培养机制。一是建立统筹教育培养机制。把年轻一代民营企业家教育培养工作纳入全市人才培养培训总体规划，建立各级党委政府统一领导，统战部门牵头，工商联具体负责，组织、人事、工信、商务以及工青妇等部门协调配合、齐抓共管的教育培养工作机制。加大财政支持力度，为年轻一代民营企业家教育培养工作提供资金保障。二是建立综合素质培养机制。整合党委政府、社会组织、民营企业三方资源和优势，建立民营企业接班人培训基地，定期组织年轻一代民营企业家接受教育培训，邀请知名专家、学者和优秀企业家举办专题讲座。适时遴选部分优秀年轻一代民营企业家到经济部门和国有企业跟班学习，开阔视野、增强历练、提升素质。三是教育引导履行社会责任。坚持教育引导与支持帮助相结合，从增进感情入手，密切与年轻一代民营企业家的沟通交流，及时提供政策咨询、法律援助、商务信息沟通等服务，帮助解决实际问题。引导年轻一代民营企业家传承发扬前辈听党话、跟党走、爱国家的光荣传统，培养爱国之情，砥砺强国之志，把个人梦、企业梦与中国梦有机结合起来，主动融入党和国家事业发展全局。</w:t>
            </w:r>
          </w:p>
          <w:p>
            <w:pPr>
              <w:pStyle w:val="4"/>
              <w:keepNext w:val="0"/>
              <w:keepLines w:val="0"/>
              <w:widowControl/>
              <w:suppressLineNumbers w:val="0"/>
              <w:spacing w:line="420" w:lineRule="atLeast"/>
              <w:ind w:left="0" w:firstLine="420"/>
              <w:rPr>
                <w:rFonts w:hint="eastAsia" w:ascii="宋体" w:hAnsi="宋体" w:eastAsia="宋体" w:cs="宋体"/>
                <w:sz w:val="25"/>
                <w:szCs w:val="25"/>
              </w:rPr>
            </w:pPr>
            <w:r>
              <w:rPr>
                <w:rFonts w:hint="eastAsia" w:ascii="宋体" w:hAnsi="宋体" w:eastAsia="宋体" w:cs="宋体"/>
                <w:color w:val="666666"/>
                <w:sz w:val="25"/>
                <w:szCs w:val="25"/>
                <w:bdr w:val="none" w:color="auto" w:sz="0" w:space="0"/>
              </w:rPr>
              <w:t>二、构建年轻一代民营企业家健康成长环境。一是加强正面宣传引导。在玉溪电视台、《玉溪日报》、政务网站等媒体开辟专栏，大力宣传优秀年轻一代民营企业家创业创新、爱岗敬业、守法诚信、扶贫济困、回报社会的典型事迹，发挥示范引领作用，营造年轻一代民营企业家健康成长环境。二是评选表扬优秀典型。以评选表彰劳动模范、三八红旗手、扶贫攻坚先进个人等为载体，定期评选表彰一批优秀年轻一代民营企业家，大力弘扬优秀企业家精神。三是建立联系服务制度。建立党委、政府及相关部门领导联系服务年轻一代民营企业家制度，定期开展走访调研、沟通联系、座谈交流，宣讲方针政策，听取意见建议，推动政策落实，协调解决年轻一代民营企业家成长过程中出现的困难和问题。</w:t>
            </w:r>
          </w:p>
          <w:p>
            <w:pPr>
              <w:pStyle w:val="4"/>
              <w:keepNext w:val="0"/>
              <w:keepLines w:val="0"/>
              <w:widowControl/>
              <w:suppressLineNumbers w:val="0"/>
              <w:spacing w:line="420" w:lineRule="atLeast"/>
              <w:ind w:left="0" w:firstLine="420"/>
              <w:rPr>
                <w:rFonts w:hint="eastAsia" w:ascii="宋体" w:hAnsi="宋体" w:eastAsia="宋体" w:cs="宋体"/>
                <w:sz w:val="25"/>
                <w:szCs w:val="25"/>
              </w:rPr>
            </w:pPr>
            <w:r>
              <w:rPr>
                <w:rFonts w:hint="eastAsia" w:ascii="宋体" w:hAnsi="宋体" w:eastAsia="宋体" w:cs="宋体"/>
                <w:color w:val="666666"/>
                <w:sz w:val="25"/>
                <w:szCs w:val="25"/>
                <w:bdr w:val="none" w:color="auto" w:sz="0" w:space="0"/>
              </w:rPr>
              <w:t>三、搭建年轻一代民营企业家政治参与平台。一是有序推进政治安排。有计划地推进年轻一代民营企业家的发现、培养和政治安排工作，在人大代表、政协委员推荐安排和劳动模范评选表彰等方面，适当增加年轻一代民营企业家的名额和比例，引导年轻一代民营企业家有序参与社会事务，增强使命感和责任感，更好发挥作用。二是搭建交流互动平台。充分发挥全市各级工商联组织的桥梁纽带作用，运用QQ群、微信群等形式搭建互动交流平台，大力促进年轻一代民营企业家与党政部门的沟通，提高对党和政府的信赖，增强对企业发展的信心。三是发挥党群组织作用。指导民营企业加强党、团、工会等组织建设，充分发挥企业党组织的领导核心和政治核心作用，把优秀的年轻一代民营企业家吸收到党员队伍中来，夯实思想政治基础。加强民营企业文化建设，凝聚企业家精神，助推民营企业健康发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34744"/>
    <w:rsid w:val="68834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sz w:val="14"/>
      <w:szCs w:val="14"/>
      <w:u w:val="none"/>
    </w:rPr>
  </w:style>
  <w:style w:type="character" w:styleId="7">
    <w:name w:val="Hyperlink"/>
    <w:basedOn w:val="5"/>
    <w:uiPriority w:val="0"/>
    <w:rPr>
      <w:color w:val="000000"/>
      <w:u w:val="none"/>
    </w:rPr>
  </w:style>
  <w:style w:type="character" w:customStyle="1" w:styleId="9">
    <w:name w:val="hover21"/>
    <w:basedOn w:val="5"/>
    <w:uiPriority w:val="0"/>
    <w:rPr>
      <w:shd w:val="clear" w:fill="1776CC"/>
    </w:rPr>
  </w:style>
  <w:style w:type="character" w:customStyle="1" w:styleId="10">
    <w:name w:val="hover22"/>
    <w:basedOn w:val="5"/>
    <w:uiPriority w:val="0"/>
  </w:style>
  <w:style w:type="character" w:customStyle="1" w:styleId="11">
    <w:name w:val="hover23"/>
    <w:basedOn w:val="5"/>
    <w:uiPriority w:val="0"/>
  </w:style>
  <w:style w:type="character" w:customStyle="1" w:styleId="12">
    <w:name w:val="after"/>
    <w:basedOn w:val="5"/>
    <w:uiPriority w:val="0"/>
    <w:rPr>
      <w:rFonts w:ascii="微软雅黑" w:hAnsi="微软雅黑" w:eastAsia="微软雅黑" w:cs="微软雅黑"/>
      <w:color w:val="FFFFFF"/>
      <w:sz w:val="16"/>
      <w:szCs w:val="16"/>
    </w:rPr>
  </w:style>
  <w:style w:type="character" w:customStyle="1" w:styleId="13">
    <w:name w:val="after1"/>
    <w:basedOn w:val="5"/>
    <w:uiPriority w:val="0"/>
    <w:rPr>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2018-12-05T10:10:00Z</dcterms:created>
  <dc:creator>陈华</dc:creator>
  <cp:lastModifiedBy>陈华</cp:lastModifiedBy>
  <dcterms:modified xsi:type="dcterms:W3CDTF">2018-12-05T10:10:45Z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