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40"/>
        <w:jc w:val="center"/>
        <w:rPr>
          <w:szCs w:val="24"/>
        </w:rPr>
      </w:pPr>
      <w:bookmarkStart w:id="0" w:name="_Toc525983026"/>
      <w:r>
        <w:rPr>
          <w:rFonts w:hint="eastAsia"/>
        </w:rPr>
        <w:t>附件3 经营高危险性体育项目（高山滑雪、自由式滑雪、单板滑雪）审批条件及程序</w:t>
      </w:r>
      <w:bookmarkEnd w:id="0"/>
    </w:p>
    <w:p>
      <w:pPr>
        <w:widowControl/>
        <w:shd w:val="clear" w:color="auto" w:fill="FFFFFF"/>
        <w:spacing w:line="300" w:lineRule="atLeast"/>
        <w:ind w:firstLine="198" w:firstLineChars="62"/>
        <w:jc w:val="left"/>
        <w:rPr>
          <w:rFonts w:ascii="方正仿宋_GBK" w:hAnsi="宋体" w:cs="宋体"/>
          <w:color w:val="003366"/>
          <w:kern w:val="0"/>
          <w:szCs w:val="32"/>
        </w:rPr>
      </w:pPr>
    </w:p>
    <w:p>
      <w:pPr>
        <w:widowControl/>
        <w:shd w:val="clear" w:color="auto" w:fill="FFFFFF"/>
        <w:spacing w:line="300" w:lineRule="atLeast"/>
        <w:ind w:firstLine="640"/>
        <w:jc w:val="left"/>
        <w:rPr>
          <w:rFonts w:ascii="方正黑体_GBK" w:hAnsi="宋体" w:eastAsia="方正黑体_GBK" w:cs="宋体"/>
          <w:color w:val="003366"/>
          <w:kern w:val="0"/>
          <w:szCs w:val="32"/>
        </w:rPr>
      </w:pPr>
      <w:r>
        <w:rPr>
          <w:rFonts w:hint="eastAsia" w:ascii="方正黑体_GBK" w:hAnsi="宋体" w:eastAsia="方正黑体_GBK" w:cs="宋体"/>
          <w:color w:val="000000"/>
          <w:kern w:val="0"/>
          <w:szCs w:val="32"/>
        </w:rPr>
        <w:t>一、审批依据</w:t>
      </w:r>
      <w:r>
        <w:rPr>
          <w:rFonts w:hint="eastAsia" w:ascii="方正黑体_GBK" w:hAnsi="宋体" w:eastAsia="方正黑体_GBK" w:cs="宋体"/>
          <w:color w:val="003366"/>
          <w:kern w:val="0"/>
          <w:szCs w:val="32"/>
        </w:rPr>
        <w:t xml:space="preserve"> </w:t>
      </w:r>
    </w:p>
    <w:p>
      <w:pPr>
        <w:ind w:firstLine="640"/>
        <w:rPr>
          <w:color w:val="003366"/>
          <w:kern w:val="0"/>
        </w:rPr>
      </w:pPr>
      <w:r>
        <w:rPr>
          <w:rFonts w:hint="eastAsia"/>
          <w:kern w:val="0"/>
        </w:rPr>
        <w:t>（一）《全民健身条例》（2009年8月30日国务院令第560号发布）</w:t>
      </w:r>
      <w:r>
        <w:rPr>
          <w:rFonts w:hint="eastAsia"/>
          <w:color w:val="003366"/>
          <w:kern w:val="0"/>
        </w:rPr>
        <w:t xml:space="preserve"> </w:t>
      </w:r>
    </w:p>
    <w:p>
      <w:pPr>
        <w:ind w:firstLine="640"/>
        <w:rPr>
          <w:color w:val="003366"/>
          <w:kern w:val="0"/>
        </w:rPr>
      </w:pPr>
      <w:r>
        <w:rPr>
          <w:rFonts w:hint="eastAsia"/>
          <w:kern w:val="0"/>
        </w:rPr>
        <w:t>（二）《经营高危险性体育项目许可管理办法》（2013年2月21日国家体育总局令第17号发布）</w:t>
      </w:r>
      <w:r>
        <w:rPr>
          <w:rFonts w:hint="eastAsia"/>
          <w:color w:val="003366"/>
          <w:kern w:val="0"/>
        </w:rPr>
        <w:t xml:space="preserve"> </w:t>
      </w:r>
    </w:p>
    <w:p>
      <w:pPr>
        <w:ind w:firstLine="640"/>
        <w:rPr>
          <w:color w:val="003366"/>
          <w:kern w:val="0"/>
        </w:rPr>
      </w:pPr>
      <w:r>
        <w:rPr>
          <w:rFonts w:hint="eastAsia"/>
          <w:kern w:val="0"/>
        </w:rPr>
        <w:t>（三）《第一批高危险性体育项目目录公告》（2013年5月1日国家体育总局、人力资源和社会保障部、国家工商行政管理总局、国家质量监督检验检疫总局、国家安全生产监督管理总局公告第16号发布）</w:t>
      </w:r>
      <w:r>
        <w:rPr>
          <w:rFonts w:hint="eastAsia"/>
          <w:color w:val="003366"/>
          <w:kern w:val="0"/>
        </w:rPr>
        <w:t xml:space="preserve"> </w:t>
      </w:r>
    </w:p>
    <w:p>
      <w:pPr>
        <w:widowControl/>
        <w:shd w:val="clear" w:color="auto" w:fill="FFFFFF"/>
        <w:spacing w:line="300" w:lineRule="atLeast"/>
        <w:ind w:firstLine="640"/>
        <w:jc w:val="left"/>
        <w:rPr>
          <w:rFonts w:ascii="方正黑体_GBK" w:hAnsi="宋体" w:eastAsia="方正黑体_GBK" w:cs="宋体"/>
          <w:color w:val="003366"/>
          <w:kern w:val="0"/>
          <w:szCs w:val="32"/>
        </w:rPr>
      </w:pPr>
      <w:r>
        <w:rPr>
          <w:rFonts w:hint="eastAsia" w:ascii="方正黑体_GBK" w:hAnsi="宋体" w:eastAsia="方正黑体_GBK" w:cs="宋体"/>
          <w:color w:val="000000"/>
          <w:kern w:val="0"/>
          <w:szCs w:val="32"/>
        </w:rPr>
        <w:t>二、审批条件</w:t>
      </w:r>
      <w:r>
        <w:rPr>
          <w:rFonts w:hint="eastAsia" w:ascii="方正黑体_GBK" w:hAnsi="宋体" w:eastAsia="方正黑体_GBK" w:cs="宋体"/>
          <w:color w:val="003366"/>
          <w:kern w:val="0"/>
          <w:szCs w:val="32"/>
        </w:rPr>
        <w:t xml:space="preserve"> </w:t>
      </w:r>
    </w:p>
    <w:p>
      <w:pPr>
        <w:ind w:firstLine="640"/>
        <w:rPr>
          <w:color w:val="003366"/>
          <w:kern w:val="0"/>
        </w:rPr>
      </w:pPr>
      <w:r>
        <w:rPr>
          <w:rFonts w:hint="eastAsia"/>
          <w:kern w:val="0"/>
        </w:rPr>
        <w:t>（一）滑雪道、设施设备等符合国家标准（GB 19079.6-2013）；</w:t>
      </w:r>
      <w:r>
        <w:rPr>
          <w:rFonts w:hint="eastAsia"/>
          <w:color w:val="003366"/>
          <w:kern w:val="0"/>
        </w:rPr>
        <w:t xml:space="preserve"> </w:t>
      </w:r>
    </w:p>
    <w:p>
      <w:pPr>
        <w:ind w:firstLine="640"/>
        <w:rPr>
          <w:color w:val="003366"/>
          <w:kern w:val="0"/>
        </w:rPr>
      </w:pPr>
      <w:r>
        <w:rPr>
          <w:rFonts w:hint="eastAsia"/>
          <w:kern w:val="0"/>
        </w:rPr>
        <w:t>（二）至少配备5名社会体育指导员（滑雪）；</w:t>
      </w:r>
      <w:r>
        <w:rPr>
          <w:rFonts w:hint="eastAsia"/>
          <w:color w:val="003366"/>
          <w:kern w:val="0"/>
        </w:rPr>
        <w:t xml:space="preserve"> </w:t>
      </w:r>
    </w:p>
    <w:p>
      <w:pPr>
        <w:ind w:firstLine="640"/>
        <w:rPr>
          <w:color w:val="003366"/>
          <w:kern w:val="0"/>
        </w:rPr>
      </w:pPr>
      <w:r>
        <w:rPr>
          <w:rFonts w:hint="eastAsia"/>
          <w:kern w:val="0"/>
        </w:rPr>
        <w:t>（三）有安全生产岗位责任制，安全操作规程，突发事件应急预案，滑雪设施、设备、器材安全检查制度等安全保障制度和措施。</w:t>
      </w:r>
      <w:r>
        <w:rPr>
          <w:rFonts w:hint="eastAsia"/>
          <w:color w:val="003366"/>
          <w:kern w:val="0"/>
        </w:rPr>
        <w:t xml:space="preserve"> </w:t>
      </w:r>
    </w:p>
    <w:p>
      <w:pPr>
        <w:widowControl/>
        <w:shd w:val="clear" w:color="auto" w:fill="FFFFFF"/>
        <w:spacing w:line="300" w:lineRule="atLeast"/>
        <w:ind w:firstLine="640"/>
        <w:jc w:val="left"/>
        <w:rPr>
          <w:rFonts w:ascii="方正黑体_GBK" w:hAnsi="宋体" w:eastAsia="方正黑体_GBK" w:cs="宋体"/>
          <w:color w:val="003366"/>
          <w:kern w:val="0"/>
          <w:szCs w:val="32"/>
        </w:rPr>
      </w:pPr>
      <w:r>
        <w:rPr>
          <w:rFonts w:hint="eastAsia" w:ascii="方正黑体_GBK" w:hAnsi="宋体" w:eastAsia="方正黑体_GBK" w:cs="宋体"/>
          <w:color w:val="000000"/>
          <w:kern w:val="0"/>
          <w:szCs w:val="32"/>
        </w:rPr>
        <w:t>三、审批单位</w:t>
      </w:r>
      <w:r>
        <w:rPr>
          <w:rFonts w:hint="eastAsia" w:ascii="方正黑体_GBK" w:hAnsi="宋体" w:eastAsia="方正黑体_GBK" w:cs="宋体"/>
          <w:color w:val="003366"/>
          <w:kern w:val="0"/>
          <w:szCs w:val="32"/>
        </w:rPr>
        <w:t xml:space="preserve"> </w:t>
      </w:r>
    </w:p>
    <w:p>
      <w:pPr>
        <w:ind w:firstLine="640"/>
        <w:rPr>
          <w:color w:val="003366"/>
          <w:kern w:val="0"/>
        </w:rPr>
      </w:pPr>
      <w:r>
        <w:rPr>
          <w:rFonts w:hint="eastAsia"/>
          <w:kern w:val="0"/>
        </w:rPr>
        <w:t>玉溪市体育局。</w:t>
      </w:r>
      <w:r>
        <w:rPr>
          <w:rFonts w:hint="eastAsia"/>
          <w:color w:val="003366"/>
          <w:kern w:val="0"/>
        </w:rPr>
        <w:t xml:space="preserve"> </w:t>
      </w:r>
    </w:p>
    <w:p>
      <w:pPr>
        <w:widowControl/>
        <w:shd w:val="clear" w:color="auto" w:fill="FFFFFF"/>
        <w:spacing w:line="300" w:lineRule="atLeast"/>
        <w:ind w:firstLine="640"/>
        <w:jc w:val="left"/>
        <w:rPr>
          <w:rFonts w:ascii="方正黑体_GBK" w:hAnsi="宋体" w:eastAsia="方正黑体_GBK" w:cs="宋体"/>
          <w:color w:val="003366"/>
          <w:kern w:val="0"/>
          <w:szCs w:val="32"/>
        </w:rPr>
      </w:pPr>
      <w:r>
        <w:rPr>
          <w:rFonts w:hint="eastAsia" w:ascii="方正黑体_GBK" w:hAnsi="宋体" w:eastAsia="方正黑体_GBK" w:cs="宋体"/>
          <w:color w:val="000000"/>
          <w:kern w:val="0"/>
          <w:szCs w:val="32"/>
        </w:rPr>
        <w:t>四、申请材料</w:t>
      </w:r>
      <w:r>
        <w:rPr>
          <w:rFonts w:hint="eastAsia" w:ascii="方正黑体_GBK" w:hAnsi="宋体" w:eastAsia="方正黑体_GBK" w:cs="宋体"/>
          <w:color w:val="003366"/>
          <w:kern w:val="0"/>
          <w:szCs w:val="32"/>
        </w:rPr>
        <w:t xml:space="preserve"> </w:t>
      </w:r>
    </w:p>
    <w:p>
      <w:pPr>
        <w:ind w:firstLine="640"/>
        <w:rPr>
          <w:color w:val="003366"/>
          <w:kern w:val="0"/>
        </w:rPr>
      </w:pPr>
      <w:r>
        <w:rPr>
          <w:rFonts w:hint="eastAsia"/>
          <w:kern w:val="0"/>
        </w:rPr>
        <w:t>（一）申请书。申请书应当包括申请人的名称、住所，拟经营的高危险性体育项目，拟成立经营机构的名称、地址、经营场所等内容；</w:t>
      </w:r>
      <w:r>
        <w:rPr>
          <w:rFonts w:hint="eastAsia"/>
          <w:color w:val="003366"/>
          <w:kern w:val="0"/>
        </w:rPr>
        <w:t xml:space="preserve"> </w:t>
      </w:r>
    </w:p>
    <w:p>
      <w:pPr>
        <w:ind w:firstLine="640"/>
        <w:rPr>
          <w:color w:val="003366"/>
          <w:kern w:val="0"/>
        </w:rPr>
      </w:pPr>
      <w:r>
        <w:rPr>
          <w:rFonts w:hint="eastAsia"/>
          <w:kern w:val="0"/>
        </w:rPr>
        <w:t>（二）体育设施符合相关国家标准的说明性材料（详见附件，申请人自行检查提供或检验机构、认证机构检查出具，需要合格证明的须出具合格证明）；</w:t>
      </w:r>
      <w:r>
        <w:rPr>
          <w:rFonts w:hint="eastAsia"/>
          <w:color w:val="003366"/>
          <w:kern w:val="0"/>
        </w:rPr>
        <w:t xml:space="preserve"> </w:t>
      </w:r>
    </w:p>
    <w:p>
      <w:pPr>
        <w:ind w:firstLine="640"/>
        <w:rPr>
          <w:color w:val="003366"/>
          <w:kern w:val="0"/>
        </w:rPr>
      </w:pPr>
      <w:r>
        <w:rPr>
          <w:rFonts w:hint="eastAsia"/>
          <w:kern w:val="0"/>
        </w:rPr>
        <w:t>（三）经营场所的所有权或使用权证明及复印件；</w:t>
      </w:r>
      <w:r>
        <w:rPr>
          <w:rFonts w:hint="eastAsia"/>
          <w:color w:val="003366"/>
          <w:kern w:val="0"/>
        </w:rPr>
        <w:t xml:space="preserve"> </w:t>
      </w:r>
    </w:p>
    <w:p>
      <w:pPr>
        <w:ind w:firstLine="640"/>
        <w:rPr>
          <w:color w:val="003366"/>
          <w:kern w:val="0"/>
        </w:rPr>
      </w:pPr>
      <w:r>
        <w:rPr>
          <w:rFonts w:hint="eastAsia"/>
          <w:kern w:val="0"/>
        </w:rPr>
        <w:t>（四）人力资源和社会保障部统一印制的社会体育指导员（滑雪）职业资格证书及复印件；</w:t>
      </w:r>
      <w:r>
        <w:rPr>
          <w:rFonts w:hint="eastAsia"/>
          <w:color w:val="003366"/>
          <w:kern w:val="0"/>
        </w:rPr>
        <w:t xml:space="preserve"> </w:t>
      </w:r>
    </w:p>
    <w:p>
      <w:pPr>
        <w:ind w:firstLine="640"/>
        <w:rPr>
          <w:color w:val="003366"/>
          <w:kern w:val="0"/>
        </w:rPr>
      </w:pPr>
      <w:r>
        <w:rPr>
          <w:rFonts w:hint="eastAsia"/>
          <w:kern w:val="0"/>
        </w:rPr>
        <w:t>（五）安全保障制度和措施（滑雪人员须知、滑雪者行为与安全守则，治安保卫、安全救护、设施设备维修制度及人员服务岗位责任制等）的书面材料；</w:t>
      </w:r>
      <w:r>
        <w:rPr>
          <w:rFonts w:hint="eastAsia"/>
          <w:color w:val="003366"/>
          <w:kern w:val="0"/>
        </w:rPr>
        <w:t xml:space="preserve"> </w:t>
      </w:r>
    </w:p>
    <w:p>
      <w:pPr>
        <w:ind w:firstLine="640"/>
        <w:rPr>
          <w:color w:val="003366"/>
          <w:kern w:val="0"/>
        </w:rPr>
      </w:pPr>
      <w:r>
        <w:rPr>
          <w:rFonts w:hint="eastAsia"/>
          <w:kern w:val="0"/>
        </w:rPr>
        <w:t>（六）法律、法规规定的其他材料。</w:t>
      </w:r>
      <w:r>
        <w:rPr>
          <w:rFonts w:hint="eastAsia"/>
          <w:color w:val="003366"/>
          <w:kern w:val="0"/>
        </w:rPr>
        <w:t xml:space="preserve"> </w:t>
      </w:r>
    </w:p>
    <w:p>
      <w:pPr>
        <w:widowControl/>
        <w:shd w:val="clear" w:color="auto" w:fill="FFFFFF"/>
        <w:spacing w:line="300" w:lineRule="atLeast"/>
        <w:ind w:firstLine="640"/>
        <w:jc w:val="left"/>
        <w:rPr>
          <w:rFonts w:ascii="方正黑体_GBK" w:hAnsi="宋体" w:eastAsia="方正黑体_GBK" w:cs="宋体"/>
          <w:color w:val="003366"/>
          <w:kern w:val="0"/>
          <w:szCs w:val="32"/>
        </w:rPr>
      </w:pPr>
      <w:r>
        <w:rPr>
          <w:rFonts w:hint="eastAsia" w:ascii="方正黑体_GBK" w:hAnsi="宋体" w:eastAsia="方正黑体_GBK" w:cs="宋体"/>
          <w:color w:val="000000"/>
          <w:kern w:val="0"/>
          <w:szCs w:val="32"/>
        </w:rPr>
        <w:t>五、审批时限</w:t>
      </w:r>
      <w:r>
        <w:rPr>
          <w:rFonts w:hint="eastAsia" w:ascii="方正黑体_GBK" w:hAnsi="宋体" w:eastAsia="方正黑体_GBK" w:cs="宋体"/>
          <w:color w:val="003366"/>
          <w:kern w:val="0"/>
          <w:szCs w:val="32"/>
        </w:rPr>
        <w:t xml:space="preserve"> </w:t>
      </w:r>
    </w:p>
    <w:p>
      <w:pPr>
        <w:widowControl/>
        <w:shd w:val="clear" w:color="auto" w:fill="FFFFFF"/>
        <w:spacing w:line="300" w:lineRule="atLeast"/>
        <w:ind w:firstLine="640"/>
        <w:jc w:val="left"/>
        <w:rPr>
          <w:rFonts w:ascii="方正仿宋_GBK" w:hAnsi="宋体" w:cs="宋体"/>
          <w:color w:val="003366"/>
          <w:kern w:val="0"/>
          <w:szCs w:val="32"/>
        </w:rPr>
      </w:pPr>
      <w:r>
        <w:rPr>
          <w:rFonts w:hint="eastAsia" w:ascii="方正仿宋_GBK" w:hAnsi="宋体" w:cs="宋体"/>
          <w:color w:val="000000"/>
          <w:kern w:val="0"/>
          <w:szCs w:val="32"/>
        </w:rPr>
        <w:t>玉溪市体育局应当自收到申请之日起30日内进行实地核查，做出批准或者不予批准的决定。批准的，应当发给许可证；不予批准的，应当书面通知申请人并说明理由。</w:t>
      </w:r>
      <w:r>
        <w:rPr>
          <w:rFonts w:hint="eastAsia" w:ascii="方正仿宋_GBK" w:hAnsi="宋体" w:cs="宋体"/>
          <w:color w:val="003366"/>
          <w:kern w:val="0"/>
          <w:szCs w:val="32"/>
        </w:rPr>
        <w:t xml:space="preserve"> </w:t>
      </w:r>
    </w:p>
    <w:p/>
    <w:p/>
    <w:p/>
    <w:p/>
    <w:p/>
    <w:p/>
    <w:p/>
    <w:p>
      <w:pPr>
        <w:pStyle w:val="2"/>
        <w:ind w:firstLine="640"/>
        <w:rPr>
          <w:color w:val="003366"/>
          <w:kern w:val="0"/>
        </w:rPr>
      </w:pPr>
      <w:bookmarkStart w:id="1" w:name="_Toc525983027"/>
      <w:r>
        <w:rPr>
          <w:rFonts w:hint="eastAsia"/>
          <w:kern w:val="0"/>
        </w:rPr>
        <w:t>滑雪场所体育设施符合相关国家标准的说明性材料</w:t>
      </w:r>
      <w:bookmarkEnd w:id="1"/>
      <w:r>
        <w:rPr>
          <w:rFonts w:hint="eastAsia"/>
          <w:color w:val="003366"/>
          <w:kern w:val="0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/>
        <w:jc w:val="left"/>
        <w:textAlignment w:val="auto"/>
        <w:outlineLvl w:val="9"/>
        <w:rPr>
          <w:rFonts w:ascii="方正仿宋_GBK" w:hAnsi="宋体" w:cs="宋体"/>
          <w:color w:val="003366"/>
          <w:kern w:val="0"/>
          <w:sz w:val="24"/>
          <w:szCs w:val="24"/>
        </w:rPr>
      </w:pPr>
      <w:r>
        <w:rPr>
          <w:rFonts w:hint="eastAsia" w:ascii="方正仿宋_GBK" w:hAnsi="宋体" w:cs="宋体"/>
          <w:color w:val="000000"/>
          <w:kern w:val="0"/>
          <w:sz w:val="24"/>
          <w:szCs w:val="24"/>
        </w:rPr>
        <w:t>滑雪场所名称：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               </w:t>
      </w:r>
      <w:r>
        <w:rPr>
          <w:rFonts w:hint="eastAsia" w:ascii="方正仿宋_GBK" w:hAnsi="宋体" w:cs="宋体"/>
          <w:color w:val="000000"/>
          <w:kern w:val="0"/>
          <w:sz w:val="24"/>
          <w:szCs w:val="24"/>
        </w:rPr>
        <w:t>地址：</w:t>
      </w:r>
      <w:r>
        <w:rPr>
          <w:rFonts w:hint="eastAsia" w:ascii="方正仿宋_GBK" w:hAnsi="宋体" w:cs="宋体"/>
          <w:color w:val="003366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/>
        <w:jc w:val="left"/>
        <w:textAlignment w:val="auto"/>
        <w:outlineLvl w:val="9"/>
        <w:rPr>
          <w:rFonts w:ascii="方正仿宋_GBK" w:hAnsi="宋体" w:cs="宋体"/>
          <w:color w:val="003366"/>
          <w:kern w:val="0"/>
          <w:sz w:val="24"/>
          <w:szCs w:val="24"/>
        </w:rPr>
      </w:pPr>
      <w:r>
        <w:rPr>
          <w:rFonts w:hint="eastAsia" w:ascii="方正仿宋_GBK" w:hAnsi="宋体" w:cs="宋体"/>
          <w:color w:val="000000"/>
          <w:kern w:val="0"/>
          <w:sz w:val="24"/>
          <w:szCs w:val="24"/>
        </w:rPr>
        <w:t>滑雪道数量：</w:t>
      </w:r>
      <w:r>
        <w:rPr>
          <w:rFonts w:hint="eastAsia" w:ascii="方正仿宋_GBK" w:hAnsi="宋体" w:cs="宋体"/>
          <w:color w:val="003366"/>
          <w:kern w:val="0"/>
          <w:sz w:val="24"/>
          <w:szCs w:val="24"/>
        </w:rPr>
        <w:t xml:space="preserve">                               </w:t>
      </w:r>
      <w:r>
        <w:rPr>
          <w:rFonts w:hint="eastAsia" w:ascii="方正仿宋_GBK" w:hAnsi="宋体" w:cs="宋体"/>
          <w:color w:val="000000"/>
          <w:kern w:val="0"/>
          <w:sz w:val="24"/>
          <w:szCs w:val="24"/>
        </w:rPr>
        <w:t>滑雪索道数量：</w:t>
      </w:r>
      <w:r>
        <w:rPr>
          <w:rFonts w:hint="eastAsia" w:ascii="方正仿宋_GBK" w:hAnsi="宋体" w:cs="宋体"/>
          <w:color w:val="003366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/>
        <w:jc w:val="left"/>
        <w:textAlignment w:val="auto"/>
        <w:outlineLvl w:val="9"/>
        <w:rPr>
          <w:rFonts w:ascii="方正仿宋_GBK" w:hAnsi="宋体" w:cs="宋体"/>
          <w:color w:val="003366"/>
          <w:kern w:val="0"/>
          <w:sz w:val="24"/>
          <w:szCs w:val="24"/>
        </w:rPr>
      </w:pPr>
      <w:r>
        <w:rPr>
          <w:rFonts w:hint="eastAsia" w:ascii="方正仿宋_GBK" w:hAnsi="宋体" w:cs="宋体"/>
          <w:color w:val="000000"/>
          <w:kern w:val="0"/>
          <w:sz w:val="24"/>
          <w:szCs w:val="24"/>
        </w:rPr>
        <w:t>造雪系统配置情况：</w:t>
      </w:r>
      <w:r>
        <w:rPr>
          <w:rFonts w:hint="eastAsia" w:ascii="方正仿宋_GBK" w:hAnsi="宋体" w:cs="宋体"/>
          <w:color w:val="003366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 </w:t>
      </w:r>
      <w:r>
        <w:rPr>
          <w:rFonts w:hint="eastAsia" w:ascii="方正仿宋_GBK" w:hAnsi="宋体" w:cs="宋体"/>
          <w:color w:val="003366"/>
          <w:kern w:val="0"/>
          <w:sz w:val="24"/>
          <w:szCs w:val="24"/>
        </w:rPr>
        <w:t xml:space="preserve"> </w:t>
      </w:r>
    </w:p>
    <w:tbl>
      <w:tblPr>
        <w:tblStyle w:val="4"/>
        <w:tblW w:w="880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6"/>
        <w:gridCol w:w="6803"/>
        <w:gridCol w:w="12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场所</w:t>
            </w:r>
          </w:p>
        </w:tc>
        <w:tc>
          <w:tcPr>
            <w:tcW w:w="6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1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是否合格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滑雪场所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滑雪道雪层压实厚度不小于0.3m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80"/>
              <w:jc w:val="left"/>
              <w:textAlignment w:val="auto"/>
              <w:outlineLvl w:val="9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80"/>
              <w:jc w:val="left"/>
              <w:textAlignment w:val="auto"/>
              <w:outlineLvl w:val="9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滑雪道雪面上不得有裸露的土石等杂物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80"/>
              <w:jc w:val="left"/>
              <w:textAlignment w:val="auto"/>
              <w:outlineLvl w:val="9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80"/>
              <w:jc w:val="left"/>
              <w:textAlignment w:val="auto"/>
              <w:outlineLvl w:val="9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每条滑雪道终点停止区地势平缓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80"/>
              <w:jc w:val="left"/>
              <w:textAlignment w:val="auto"/>
              <w:outlineLvl w:val="9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80"/>
              <w:jc w:val="left"/>
              <w:textAlignment w:val="auto"/>
              <w:outlineLvl w:val="9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室外滑雪道终点停止区域面积不小于1000㎡，室内滑雪道终点停止区域面积不小于500㎡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80"/>
              <w:jc w:val="left"/>
              <w:textAlignment w:val="auto"/>
              <w:outlineLvl w:val="9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80"/>
              <w:jc w:val="left"/>
              <w:textAlignment w:val="auto"/>
              <w:outlineLvl w:val="9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滑雪道终点停止区末端加装安全防护设施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80"/>
              <w:jc w:val="left"/>
              <w:textAlignment w:val="auto"/>
              <w:outlineLvl w:val="9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80"/>
              <w:jc w:val="left"/>
              <w:textAlignment w:val="auto"/>
              <w:outlineLvl w:val="9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在危险地段设有安全网、防护垫等安全防护设施，在明显位置设立警示标识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80"/>
              <w:jc w:val="left"/>
              <w:textAlignment w:val="auto"/>
              <w:outlineLvl w:val="9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80"/>
              <w:jc w:val="left"/>
              <w:textAlignment w:val="auto"/>
              <w:outlineLvl w:val="9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配备滑雪道平整专用机械设备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80"/>
              <w:jc w:val="left"/>
              <w:textAlignment w:val="auto"/>
              <w:outlineLvl w:val="9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80"/>
              <w:jc w:val="left"/>
              <w:textAlignment w:val="auto"/>
              <w:outlineLvl w:val="9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设有急救室、配备专用急救器材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80"/>
              <w:jc w:val="left"/>
              <w:textAlignment w:val="auto"/>
              <w:outlineLvl w:val="9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80"/>
              <w:jc w:val="left"/>
              <w:textAlignment w:val="auto"/>
              <w:outlineLvl w:val="9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滑雪器材维护、修理的专用设备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80"/>
              <w:jc w:val="left"/>
              <w:textAlignment w:val="auto"/>
              <w:outlineLvl w:val="9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80"/>
              <w:jc w:val="left"/>
              <w:textAlignment w:val="auto"/>
              <w:outlineLvl w:val="9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提供夜场滑雪服务的滑雪道灯光的水平照度不低于200lx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80"/>
              <w:jc w:val="left"/>
              <w:textAlignment w:val="auto"/>
              <w:outlineLvl w:val="9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80"/>
              <w:jc w:val="left"/>
              <w:textAlignment w:val="auto"/>
              <w:outlineLvl w:val="9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有广播、通讯设备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80"/>
              <w:jc w:val="left"/>
              <w:textAlignment w:val="auto"/>
              <w:outlineLvl w:val="9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80"/>
              <w:jc w:val="left"/>
              <w:textAlignment w:val="auto"/>
              <w:outlineLvl w:val="9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突发事件应急预案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80"/>
              <w:jc w:val="left"/>
              <w:textAlignment w:val="auto"/>
              <w:outlineLvl w:val="9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80"/>
              <w:jc w:val="left"/>
              <w:textAlignment w:val="auto"/>
              <w:outlineLvl w:val="9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在醒目位置悬挂社会体育指导员（滑雪）姓名、照片、职业资格证书编号等信息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80"/>
              <w:jc w:val="left"/>
              <w:textAlignment w:val="auto"/>
              <w:outlineLvl w:val="9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80"/>
              <w:jc w:val="left"/>
              <w:textAlignment w:val="auto"/>
              <w:outlineLvl w:val="9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在醒目位置悬挂“滑雪人员须知”、“滑雪者行为与安全守则”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80"/>
              <w:jc w:val="left"/>
              <w:textAlignment w:val="auto"/>
              <w:outlineLvl w:val="9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80"/>
              <w:jc w:val="left"/>
              <w:textAlignment w:val="auto"/>
              <w:outlineLvl w:val="9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在醒目位置悬挂各种滑雪道、索道分布图示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80"/>
              <w:jc w:val="left"/>
              <w:textAlignment w:val="auto"/>
              <w:outlineLvl w:val="9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80"/>
              <w:jc w:val="left"/>
              <w:textAlignment w:val="auto"/>
              <w:outlineLvl w:val="9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公共区域地面有防滑措施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80"/>
              <w:jc w:val="left"/>
              <w:textAlignment w:val="auto"/>
              <w:outlineLvl w:val="9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方正仿宋_GBK" w:hAnsi="宋体" w:cs="宋体"/>
          <w:color w:val="003366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方正仿宋_GBK" w:hAnsi="宋体" w:cs="宋体"/>
          <w:color w:val="003366"/>
          <w:kern w:val="0"/>
          <w:sz w:val="24"/>
          <w:szCs w:val="24"/>
        </w:rPr>
      </w:pPr>
      <w:r>
        <w:rPr>
          <w:rFonts w:hint="eastAsia" w:ascii="方正仿宋_GBK" w:hAnsi="宋体" w:cs="宋体"/>
          <w:color w:val="000000"/>
          <w:kern w:val="0"/>
          <w:sz w:val="24"/>
          <w:szCs w:val="24"/>
        </w:rPr>
        <w:t>检查人：</w:t>
      </w:r>
      <w:r>
        <w:rPr>
          <w:rFonts w:hint="eastAsia" w:ascii="方正仿宋_GBK" w:hAnsi="宋体" w:cs="宋体"/>
          <w:color w:val="003366"/>
          <w:kern w:val="0"/>
          <w:sz w:val="24"/>
          <w:szCs w:val="24"/>
        </w:rPr>
        <w:t xml:space="preserve"> </w:t>
      </w:r>
      <w:bookmarkStart w:id="2" w:name="_GoBack"/>
      <w:bookmarkEnd w:id="2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方正仿宋_GBK" w:hAnsi="宋体" w:cs="宋体"/>
          <w:color w:val="000000"/>
          <w:kern w:val="0"/>
          <w:sz w:val="24"/>
          <w:szCs w:val="24"/>
        </w:rPr>
      </w:pPr>
      <w:r>
        <w:rPr>
          <w:rFonts w:hint="eastAsia" w:ascii="方正仿宋_GBK" w:hAnsi="宋体" w:cs="宋体"/>
          <w:color w:val="000000"/>
          <w:kern w:val="0"/>
          <w:sz w:val="24"/>
          <w:szCs w:val="24"/>
        </w:rPr>
        <w:t>检查单位：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方正仿宋_GBK" w:hAnsi="宋体" w:cs="宋体"/>
          <w:color w:val="003366"/>
          <w:kern w:val="0"/>
          <w:sz w:val="24"/>
          <w:szCs w:val="24"/>
        </w:rPr>
      </w:pPr>
      <w:r>
        <w:rPr>
          <w:rFonts w:hint="eastAsia" w:ascii="方正仿宋_GBK" w:hAnsi="宋体" w:cs="宋体"/>
          <w:color w:val="000000"/>
          <w:kern w:val="0"/>
          <w:sz w:val="24"/>
          <w:szCs w:val="24"/>
        </w:rPr>
        <w:t xml:space="preserve">（盖章）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                     </w:t>
      </w:r>
      <w:r>
        <w:rPr>
          <w:rFonts w:hint="eastAsia" w:ascii="方正仿宋_GBK" w:hAnsi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  </w:t>
      </w:r>
      <w:r>
        <w:rPr>
          <w:rFonts w:hint="eastAsia" w:ascii="方正仿宋_GBK" w:hAnsi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  </w:t>
      </w:r>
      <w:r>
        <w:rPr>
          <w:rFonts w:hint="eastAsia" w:ascii="方正仿宋_GBK" w:hAnsi="宋体" w:cs="宋体"/>
          <w:color w:val="000000"/>
          <w:kern w:val="0"/>
          <w:sz w:val="24"/>
          <w:szCs w:val="24"/>
        </w:rPr>
        <w:t>日</w:t>
      </w:r>
      <w:r>
        <w:rPr>
          <w:rFonts w:hint="eastAsia" w:ascii="方正仿宋_GBK" w:hAnsi="宋体" w:cs="宋体"/>
          <w:color w:val="003366"/>
          <w:kern w:val="0"/>
          <w:sz w:val="24"/>
          <w:szCs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0E511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ind w:firstLine="200" w:firstLineChars="20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jc w:val="left"/>
      <w:outlineLvl w:val="1"/>
    </w:pPr>
    <w:rPr>
      <w:rFonts w:eastAsia="方正黑体_GBK" w:asciiTheme="majorHAnsi" w:hAnsiTheme="majorHAnsi" w:cstheme="majorBidi"/>
      <w:bCs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2018-09-30T06:59:36Z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