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bookmarkStart w:id="1" w:name="_GoBack"/>
      <w:r>
        <w:rPr>
          <w:rFonts w:hint="eastAsi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605155</wp:posOffset>
            </wp:positionV>
            <wp:extent cx="5686425" cy="6273800"/>
            <wp:effectExtent l="0" t="0" r="9525" b="12700"/>
            <wp:wrapSquare wrapText="bothSides"/>
            <wp:docPr id="38" name="图片 38" descr="C:\Users\tyj\AppData\Roaming\Tencent\Users\1191622435\QQ\WinTemp\RichOle\`$P(B_7`~5O)1~~`_RSN9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tyj\AppData\Roaming\Tencent\Users\1191622435\QQ\WinTemp\RichOle\`$P(B_7`~5O)1~~`_RSN9K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27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  <w:bookmarkStart w:id="0" w:name="_Toc525983023"/>
      <w:r>
        <w:rPr>
          <w:rFonts w:hint="eastAsia"/>
        </w:rPr>
        <w:t>附件1 经营高危险性体育项目许可办事流程图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711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2018-09-30T06:55:47Z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