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u w:val="none"/>
          <w:lang w:eastAsia="zh-CN"/>
        </w:rPr>
        <w:t>玉溪市住房和城乡建设局黑臭水体整治公众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u w:val="none"/>
        </w:rPr>
        <w:t>监督举报制度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pacing w:line="432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一、受理范围与原则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范围：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玉溪市中心城区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建成区内黑臭水体。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原则：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在受理举报时必须遵循“件件受理、事事回应、公平公正”的处理原则。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二、举报方式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举报人可以通过来人、来函、来电等方式，向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玉溪市住房和城乡建设局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提供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黑臭水体名称、具体位置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情况，并提供本人联系方式或联系电话。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、受理方式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电话受理。设立举报受理电话，电话号码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向群众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公开公示，公示的举报电话必须保持畅通。号码如有变动应在10个工作日内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进行通告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，确保举报渠道通畅。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其他受理。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局办公室应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受理群众以口头、书面等其他形式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举报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、处理流程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办公室人员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负责举报案件的受理、登记。内容包括举报人姓名、联系电话；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黑臭水体名称、具体位置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情况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。并及时转交有关科室办理。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业务单位在接到举报或交办问题时，对属受理范围的问题，及时受理解决，并做好台账记录及处理结果反馈工作；不在本部门职责范围内的，应转交相关职能部门处理，并对举报方或交办方作出相应的解释。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、调查处理及信息反馈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接到转办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举报案件的有关科室，应派两名以上人员，根据举报线索进行调查处理，调查结束后应将调查结果上报分管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领导，并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u w:val="none"/>
        </w:rPr>
        <w:t>及时将调查处理结果反馈给举报人。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、受理时限要求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对于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公众举报情况，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原则上在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个工作日内办结；因特殊情况不能在规定时间内办结的，应当以适当方式告知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举报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人，并承诺办理期限。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0EC5"/>
    <w:rsid w:val="15DA5127"/>
    <w:rsid w:val="37563892"/>
    <w:rsid w:val="62F80165"/>
    <w:rsid w:val="66A5348D"/>
    <w:rsid w:val="69D46B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ky</dc:creator>
  <cp:lastModifiedBy>gyp</cp:lastModifiedBy>
  <cp:lastPrinted>2018-05-23T00:40:21Z</cp:lastPrinted>
  <dcterms:modified xsi:type="dcterms:W3CDTF">2018-05-23T00:55:27Z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