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15936">
      <w:pPr>
        <w:numPr>
          <w:ilvl w:val="0"/>
          <w:numId w:val="0"/>
        </w:numPr>
        <w:adjustRightInd w:val="0"/>
        <w:snapToGrid w:val="0"/>
        <w:spacing w:line="240" w:lineRule="auto"/>
        <w:ind w:leftChars="0"/>
        <w:jc w:val="center"/>
        <w:textAlignment w:val="auto"/>
        <w:outlineLvl w:val="0"/>
        <w:rPr>
          <w:rFonts w:hint="eastAsia" w:ascii="方正小标宋_GBK" w:hAnsi="Calibri" w:eastAsia="方正小标宋_GBK" w:cs="Times New Roman"/>
          <w:bCs/>
          <w:color w:val="auto"/>
          <w:kern w:val="2"/>
          <w:sz w:val="72"/>
          <w:szCs w:val="72"/>
          <w:highlight w:val="none"/>
        </w:rPr>
      </w:pPr>
      <w:bookmarkStart w:id="0" w:name="_Toc9892"/>
      <w:bookmarkStart w:id="40" w:name="_GoBack"/>
      <w:bookmarkEnd w:id="40"/>
      <w:r>
        <w:rPr>
          <w:rFonts w:hint="eastAsia" w:ascii="方正小标宋_GBK" w:hAnsi="Calibri" w:eastAsia="方正小标宋_GBK" w:cs="Times New Roman"/>
          <w:bCs/>
          <w:color w:val="auto"/>
          <w:kern w:val="2"/>
          <w:sz w:val="72"/>
          <w:szCs w:val="72"/>
          <w:highlight w:val="none"/>
        </w:rPr>
        <w:t>建设项目环境影响报告表</w:t>
      </w:r>
      <w:bookmarkEnd w:id="0"/>
    </w:p>
    <w:p w14:paraId="37382D51">
      <w:pPr>
        <w:rPr>
          <w:color w:val="auto"/>
          <w:highlight w:val="none"/>
        </w:rPr>
      </w:pPr>
    </w:p>
    <w:p w14:paraId="6A20BB1D">
      <w:pPr>
        <w:adjustRightInd w:val="0"/>
        <w:snapToGrid w:val="0"/>
        <w:spacing w:before="192" w:beforeLines="80" w:line="240" w:lineRule="auto"/>
        <w:jc w:val="center"/>
        <w:textAlignment w:val="auto"/>
        <w:rPr>
          <w:rFonts w:hint="eastAsia" w:ascii="楷体_GB2312" w:hAnsi="Calibri" w:eastAsia="楷体_GB2312" w:cs="Times New Roman"/>
          <w:bCs/>
          <w:color w:val="auto"/>
          <w:kern w:val="2"/>
          <w:sz w:val="48"/>
          <w:szCs w:val="48"/>
          <w:highlight w:val="none"/>
        </w:rPr>
      </w:pPr>
      <w:r>
        <w:rPr>
          <w:rFonts w:hint="eastAsia" w:ascii="楷体_GB2312" w:hAnsi="Calibri" w:eastAsia="楷体_GB2312" w:cs="Times New Roman"/>
          <w:bCs/>
          <w:color w:val="auto"/>
          <w:kern w:val="2"/>
          <w:sz w:val="48"/>
          <w:szCs w:val="48"/>
          <w:highlight w:val="none"/>
        </w:rPr>
        <w:t>(</w:t>
      </w:r>
      <w:r>
        <w:rPr>
          <w:rFonts w:hint="eastAsia" w:ascii="楷体_GB2312" w:hAnsi="Calibri" w:eastAsia="楷体_GB2312" w:cs="Times New Roman"/>
          <w:bCs/>
          <w:color w:val="auto"/>
          <w:kern w:val="2"/>
          <w:sz w:val="48"/>
          <w:szCs w:val="48"/>
          <w:highlight w:val="none"/>
          <w:lang w:eastAsia="zh-CN"/>
        </w:rPr>
        <w:t>污染影响类</w:t>
      </w:r>
      <w:r>
        <w:rPr>
          <w:rFonts w:hint="eastAsia" w:ascii="楷体_GB2312" w:hAnsi="Calibri" w:eastAsia="楷体_GB2312" w:cs="Times New Roman"/>
          <w:bCs/>
          <w:color w:val="auto"/>
          <w:kern w:val="2"/>
          <w:sz w:val="48"/>
          <w:szCs w:val="48"/>
          <w:highlight w:val="none"/>
        </w:rPr>
        <w:t>)</w:t>
      </w:r>
    </w:p>
    <w:p w14:paraId="7BBB459F">
      <w:pPr>
        <w:keepNext w:val="0"/>
        <w:keepLines w:val="0"/>
        <w:pageBreakBefore w:val="0"/>
        <w:kinsoku/>
        <w:wordWrap/>
        <w:overflowPunct/>
        <w:topLinePunct w:val="0"/>
        <w:autoSpaceDE/>
        <w:autoSpaceDN/>
        <w:bidi w:val="0"/>
        <w:adjustRightInd w:val="0"/>
        <w:snapToGrid/>
        <w:jc w:val="center"/>
        <w:textAlignment w:val="baseline"/>
        <w:outlineLvl w:val="9"/>
        <w:rPr>
          <w:rFonts w:ascii="Times New Roman" w:eastAsia="宋体"/>
          <w:color w:val="auto"/>
          <w:highlight w:val="none"/>
        </w:rPr>
      </w:pPr>
    </w:p>
    <w:p w14:paraId="0CCAD8CC">
      <w:pPr>
        <w:keepNext w:val="0"/>
        <w:keepLines w:val="0"/>
        <w:pageBreakBefore w:val="0"/>
        <w:kinsoku/>
        <w:wordWrap/>
        <w:overflowPunct/>
        <w:topLinePunct w:val="0"/>
        <w:autoSpaceDE/>
        <w:autoSpaceDN/>
        <w:bidi w:val="0"/>
        <w:adjustRightInd w:val="0"/>
        <w:snapToGrid/>
        <w:textAlignment w:val="baseline"/>
        <w:outlineLvl w:val="9"/>
        <w:rPr>
          <w:rFonts w:ascii="Times New Roman"/>
          <w:color w:val="auto"/>
          <w:highlight w:val="none"/>
        </w:rPr>
      </w:pPr>
    </w:p>
    <w:p w14:paraId="0BD9A02A">
      <w:pPr>
        <w:keepNext w:val="0"/>
        <w:keepLines w:val="0"/>
        <w:pageBreakBefore w:val="0"/>
        <w:kinsoku/>
        <w:wordWrap/>
        <w:overflowPunct/>
        <w:topLinePunct w:val="0"/>
        <w:autoSpaceDE/>
        <w:autoSpaceDN/>
        <w:bidi w:val="0"/>
        <w:adjustRightInd w:val="0"/>
        <w:snapToGrid/>
        <w:textAlignment w:val="baseline"/>
        <w:outlineLvl w:val="9"/>
        <w:rPr>
          <w:rFonts w:ascii="Times New Roman"/>
          <w:color w:val="auto"/>
          <w:highlight w:val="none"/>
        </w:rPr>
      </w:pPr>
    </w:p>
    <w:p w14:paraId="2AE2E222">
      <w:pPr>
        <w:keepNext w:val="0"/>
        <w:keepLines w:val="0"/>
        <w:pageBreakBefore w:val="0"/>
        <w:kinsoku/>
        <w:wordWrap/>
        <w:overflowPunct/>
        <w:topLinePunct w:val="0"/>
        <w:autoSpaceDE/>
        <w:autoSpaceDN/>
        <w:bidi w:val="0"/>
        <w:adjustRightInd w:val="0"/>
        <w:snapToGrid/>
        <w:textAlignment w:val="baseline"/>
        <w:outlineLvl w:val="9"/>
        <w:rPr>
          <w:rFonts w:ascii="Times New Roman"/>
          <w:color w:val="auto"/>
          <w:highlight w:val="none"/>
        </w:rPr>
      </w:pPr>
    </w:p>
    <w:p w14:paraId="12D40984">
      <w:pPr>
        <w:keepNext w:val="0"/>
        <w:keepLines w:val="0"/>
        <w:pageBreakBefore w:val="0"/>
        <w:kinsoku/>
        <w:wordWrap/>
        <w:overflowPunct/>
        <w:topLinePunct w:val="0"/>
        <w:autoSpaceDE/>
        <w:autoSpaceDN/>
        <w:bidi w:val="0"/>
        <w:adjustRightInd w:val="0"/>
        <w:snapToGrid/>
        <w:spacing w:line="240" w:lineRule="auto"/>
        <w:jc w:val="both"/>
        <w:textAlignment w:val="baseline"/>
        <w:outlineLvl w:val="9"/>
        <w:rPr>
          <w:rFonts w:hint="eastAsia" w:ascii="Times New Roman" w:eastAsia="宋体"/>
          <w:b/>
          <w:bCs/>
          <w:color w:val="auto"/>
          <w:sz w:val="32"/>
          <w:highlight w:val="none"/>
          <w:lang w:eastAsia="zh-CN"/>
        </w:rPr>
      </w:pPr>
    </w:p>
    <w:p w14:paraId="683C716F">
      <w:pPr>
        <w:keepNext w:val="0"/>
        <w:keepLines w:val="0"/>
        <w:pageBreakBefore w:val="0"/>
        <w:kinsoku/>
        <w:wordWrap/>
        <w:overflowPunct/>
        <w:topLinePunct w:val="0"/>
        <w:autoSpaceDE/>
        <w:autoSpaceDN/>
        <w:bidi w:val="0"/>
        <w:adjustRightInd w:val="0"/>
        <w:snapToGrid/>
        <w:spacing w:line="240" w:lineRule="auto"/>
        <w:jc w:val="center"/>
        <w:textAlignment w:val="baseline"/>
        <w:outlineLvl w:val="9"/>
        <w:rPr>
          <w:rFonts w:ascii="Times New Roman"/>
          <w:b/>
          <w:bCs/>
          <w:color w:val="auto"/>
          <w:sz w:val="32"/>
          <w:highlight w:val="none"/>
        </w:rPr>
      </w:pPr>
    </w:p>
    <w:p w14:paraId="74AFF9C1">
      <w:pPr>
        <w:keepNext w:val="0"/>
        <w:keepLines w:val="0"/>
        <w:pageBreakBefore w:val="0"/>
        <w:kinsoku/>
        <w:wordWrap/>
        <w:overflowPunct/>
        <w:topLinePunct w:val="0"/>
        <w:autoSpaceDE/>
        <w:autoSpaceDN/>
        <w:bidi w:val="0"/>
        <w:adjustRightInd w:val="0"/>
        <w:snapToGrid/>
        <w:spacing w:line="240" w:lineRule="auto"/>
        <w:jc w:val="center"/>
        <w:textAlignment w:val="baseline"/>
        <w:outlineLvl w:val="9"/>
        <w:rPr>
          <w:rFonts w:ascii="Times New Roman"/>
          <w:b/>
          <w:bCs/>
          <w:color w:val="auto"/>
          <w:sz w:val="32"/>
          <w:highlight w:val="none"/>
        </w:rPr>
      </w:pPr>
    </w:p>
    <w:p w14:paraId="3A4E4B11">
      <w:pPr>
        <w:keepNext w:val="0"/>
        <w:keepLines w:val="0"/>
        <w:pageBreakBefore w:val="0"/>
        <w:kinsoku/>
        <w:wordWrap/>
        <w:overflowPunct/>
        <w:topLinePunct w:val="0"/>
        <w:autoSpaceDE/>
        <w:autoSpaceDN/>
        <w:bidi w:val="0"/>
        <w:adjustRightInd w:val="0"/>
        <w:snapToGrid/>
        <w:spacing w:line="240" w:lineRule="auto"/>
        <w:jc w:val="center"/>
        <w:textAlignment w:val="baseline"/>
        <w:outlineLvl w:val="9"/>
        <w:rPr>
          <w:rFonts w:ascii="Times New Roman"/>
          <w:b/>
          <w:bCs/>
          <w:color w:val="auto"/>
          <w:sz w:val="32"/>
          <w:highlight w:val="none"/>
        </w:rPr>
      </w:pPr>
    </w:p>
    <w:p w14:paraId="295DE41B">
      <w:pPr>
        <w:keepNext w:val="0"/>
        <w:keepLines w:val="0"/>
        <w:pageBreakBefore w:val="0"/>
        <w:kinsoku/>
        <w:wordWrap/>
        <w:overflowPunct/>
        <w:topLinePunct w:val="0"/>
        <w:autoSpaceDE/>
        <w:autoSpaceDN/>
        <w:bidi w:val="0"/>
        <w:adjustRightInd w:val="0"/>
        <w:snapToGrid/>
        <w:spacing w:line="240" w:lineRule="auto"/>
        <w:jc w:val="both"/>
        <w:textAlignment w:val="baseline"/>
        <w:outlineLvl w:val="9"/>
        <w:rPr>
          <w:rFonts w:hint="eastAsia" w:ascii="仿宋_GB2312" w:hAnsi="仿宋_GB2312" w:eastAsia="仿宋_GB2312" w:cs="仿宋_GB2312"/>
          <w:b w:val="0"/>
          <w:bCs w:val="0"/>
          <w:color w:val="auto"/>
          <w:sz w:val="36"/>
          <w:szCs w:val="36"/>
          <w:highlight w:val="none"/>
        </w:rPr>
      </w:pPr>
    </w:p>
    <w:p w14:paraId="2BDC94D2">
      <w:pPr>
        <w:keepNext w:val="0"/>
        <w:keepLines w:val="0"/>
        <w:pageBreakBefore w:val="0"/>
        <w:kinsoku/>
        <w:wordWrap/>
        <w:overflowPunct/>
        <w:topLinePunct w:val="0"/>
        <w:autoSpaceDE/>
        <w:autoSpaceDN/>
        <w:bidi w:val="0"/>
        <w:adjustRightInd w:val="0"/>
        <w:snapToGrid/>
        <w:spacing w:line="240" w:lineRule="auto"/>
        <w:jc w:val="center"/>
        <w:textAlignment w:val="baseline"/>
        <w:outlineLvl w:val="9"/>
        <w:rPr>
          <w:rFonts w:hint="eastAsia" w:ascii="仿宋_GB2312" w:hAnsi="仿宋_GB2312" w:eastAsia="仿宋_GB2312" w:cs="仿宋_GB2312"/>
          <w:b w:val="0"/>
          <w:bCs w:val="0"/>
          <w:color w:val="auto"/>
          <w:sz w:val="36"/>
          <w:szCs w:val="36"/>
          <w:highlight w:val="none"/>
        </w:rPr>
      </w:pPr>
      <w:r>
        <w:rPr>
          <w:rFonts w:hint="eastAsia" w:ascii="仿宋_GB2312" w:hAnsi="仿宋_GB2312" w:eastAsia="仿宋_GB2312" w:cs="仿宋_GB2312"/>
          <w:b w:val="0"/>
          <w:bCs w:val="0"/>
          <w:color w:val="auto"/>
          <w:sz w:val="36"/>
          <w:szCs w:val="36"/>
          <w:highlight w:val="none"/>
        </w:rPr>
        <w:t>项目名称：</w:t>
      </w:r>
      <w:r>
        <w:rPr>
          <w:rFonts w:hint="eastAsia" w:ascii="仿宋_GB2312" w:hAnsi="仿宋_GB2312" w:eastAsia="仿宋_GB2312" w:cs="仿宋_GB2312"/>
          <w:b w:val="0"/>
          <w:bCs w:val="0"/>
          <w:color w:val="auto"/>
          <w:sz w:val="36"/>
          <w:szCs w:val="36"/>
          <w:highlight w:val="none"/>
          <w:u w:val="single"/>
        </w:rPr>
        <w:t>大山生活垃圾填埋场渗滤液全量化处理站及其他附属配套设施建设项目</w:t>
      </w:r>
    </w:p>
    <w:p w14:paraId="65EF5F3B">
      <w:pPr>
        <w:keepNext w:val="0"/>
        <w:keepLines w:val="0"/>
        <w:pageBreakBefore w:val="0"/>
        <w:kinsoku/>
        <w:wordWrap/>
        <w:overflowPunct/>
        <w:topLinePunct w:val="0"/>
        <w:autoSpaceDE/>
        <w:autoSpaceDN/>
        <w:bidi w:val="0"/>
        <w:adjustRightInd w:val="0"/>
        <w:snapToGrid/>
        <w:spacing w:line="240" w:lineRule="auto"/>
        <w:jc w:val="center"/>
        <w:textAlignment w:val="baseline"/>
        <w:outlineLvl w:val="9"/>
        <w:rPr>
          <w:rFonts w:hint="eastAsia" w:ascii="仿宋_GB2312" w:hAnsi="仿宋_GB2312" w:eastAsia="仿宋_GB2312" w:cs="仿宋_GB2312"/>
          <w:b w:val="0"/>
          <w:bCs w:val="0"/>
          <w:color w:val="auto"/>
          <w:sz w:val="36"/>
          <w:szCs w:val="36"/>
          <w:highlight w:val="none"/>
        </w:rPr>
      </w:pPr>
    </w:p>
    <w:p w14:paraId="2231B049">
      <w:pPr>
        <w:keepNext w:val="0"/>
        <w:keepLines w:val="0"/>
        <w:pageBreakBefore w:val="0"/>
        <w:kinsoku/>
        <w:wordWrap/>
        <w:overflowPunct/>
        <w:topLinePunct w:val="0"/>
        <w:autoSpaceDE/>
        <w:autoSpaceDN/>
        <w:bidi w:val="0"/>
        <w:adjustRightInd w:val="0"/>
        <w:snapToGrid/>
        <w:spacing w:line="240" w:lineRule="auto"/>
        <w:jc w:val="center"/>
        <w:textAlignment w:val="baseline"/>
        <w:outlineLvl w:val="9"/>
        <w:rPr>
          <w:rFonts w:hint="eastAsia" w:ascii="仿宋_GB2312" w:hAnsi="仿宋_GB2312" w:eastAsia="仿宋_GB2312" w:cs="仿宋_GB2312"/>
          <w:b w:val="0"/>
          <w:bCs w:val="0"/>
          <w:color w:val="auto"/>
          <w:sz w:val="36"/>
          <w:szCs w:val="36"/>
          <w:highlight w:val="none"/>
          <w:u w:val="single"/>
          <w:lang w:val="en-US" w:eastAsia="zh-CN"/>
        </w:rPr>
      </w:pPr>
      <w:r>
        <w:rPr>
          <w:rFonts w:hint="eastAsia" w:ascii="仿宋_GB2312" w:hAnsi="仿宋_GB2312" w:eastAsia="仿宋_GB2312" w:cs="仿宋_GB2312"/>
          <w:b w:val="0"/>
          <w:bCs w:val="0"/>
          <w:color w:val="auto"/>
          <w:sz w:val="36"/>
          <w:szCs w:val="36"/>
          <w:highlight w:val="none"/>
        </w:rPr>
        <w:t>建设单位(盖章)：</w:t>
      </w:r>
      <w:r>
        <w:rPr>
          <w:rFonts w:hint="eastAsia" w:ascii="仿宋_GB2312" w:hAnsi="仿宋_GB2312" w:eastAsia="仿宋_GB2312" w:cs="仿宋_GB2312"/>
          <w:b w:val="0"/>
          <w:bCs w:val="0"/>
          <w:color w:val="auto"/>
          <w:sz w:val="36"/>
          <w:szCs w:val="36"/>
          <w:highlight w:val="none"/>
          <w:u w:val="single"/>
          <w:lang w:val="en-US" w:eastAsia="zh-CN"/>
        </w:rPr>
        <w:t>澄江市住房和城乡建设局</w:t>
      </w:r>
    </w:p>
    <w:p w14:paraId="14A70FD7">
      <w:pPr>
        <w:pStyle w:val="11"/>
        <w:keepNext w:val="0"/>
        <w:keepLines w:val="0"/>
        <w:pageBreakBefore w:val="0"/>
        <w:kinsoku/>
        <w:wordWrap/>
        <w:overflowPunct/>
        <w:topLinePunct w:val="0"/>
        <w:autoSpaceDE/>
        <w:autoSpaceDN/>
        <w:bidi w:val="0"/>
        <w:adjustRightInd w:val="0"/>
        <w:snapToGrid/>
        <w:ind w:firstLine="1080" w:firstLineChars="300"/>
        <w:textAlignment w:val="baseline"/>
        <w:outlineLvl w:val="9"/>
        <w:rPr>
          <w:rFonts w:hint="eastAsia" w:ascii="仿宋_GB2312" w:hAnsi="仿宋_GB2312" w:eastAsia="仿宋_GB2312" w:cs="仿宋_GB2312"/>
          <w:b w:val="0"/>
          <w:bCs w:val="0"/>
          <w:color w:val="auto"/>
          <w:sz w:val="36"/>
          <w:szCs w:val="36"/>
          <w:highlight w:val="none"/>
          <w:lang w:eastAsia="zh-CN"/>
        </w:rPr>
      </w:pPr>
    </w:p>
    <w:p w14:paraId="4686EE8C">
      <w:pPr>
        <w:pStyle w:val="11"/>
        <w:keepNext w:val="0"/>
        <w:keepLines w:val="0"/>
        <w:pageBreakBefore w:val="0"/>
        <w:kinsoku/>
        <w:wordWrap/>
        <w:overflowPunct/>
        <w:topLinePunct w:val="0"/>
        <w:autoSpaceDE/>
        <w:autoSpaceDN/>
        <w:bidi w:val="0"/>
        <w:adjustRightInd w:val="0"/>
        <w:snapToGrid/>
        <w:ind w:firstLine="1080" w:firstLineChars="300"/>
        <w:textAlignment w:val="baseline"/>
        <w:outlineLvl w:val="9"/>
        <w:rPr>
          <w:rFonts w:hint="eastAsia" w:ascii="仿宋_GB2312" w:hAnsi="仿宋_GB2312" w:eastAsia="仿宋_GB2312" w:cs="仿宋_GB2312"/>
          <w:b w:val="0"/>
          <w:bCs w:val="0"/>
          <w:color w:val="auto"/>
          <w:sz w:val="36"/>
          <w:szCs w:val="36"/>
          <w:highlight w:val="none"/>
        </w:rPr>
      </w:pPr>
      <w:r>
        <w:rPr>
          <w:rFonts w:hint="eastAsia" w:ascii="仿宋_GB2312" w:hAnsi="仿宋_GB2312" w:eastAsia="仿宋_GB2312" w:cs="仿宋_GB2312"/>
          <w:b w:val="0"/>
          <w:bCs w:val="0"/>
          <w:color w:val="auto"/>
          <w:sz w:val="36"/>
          <w:szCs w:val="36"/>
          <w:highlight w:val="none"/>
          <w:lang w:eastAsia="zh-CN"/>
        </w:rPr>
        <w:t>编制日期</w:t>
      </w:r>
      <w:r>
        <w:rPr>
          <w:rFonts w:hint="eastAsia" w:ascii="仿宋_GB2312" w:hAnsi="仿宋_GB2312" w:eastAsia="仿宋_GB2312" w:cs="仿宋_GB2312"/>
          <w:b w:val="0"/>
          <w:bCs w:val="0"/>
          <w:color w:val="auto"/>
          <w:sz w:val="36"/>
          <w:szCs w:val="36"/>
          <w:highlight w:val="none"/>
        </w:rPr>
        <w:t>：</w:t>
      </w:r>
      <w:r>
        <w:rPr>
          <w:rFonts w:hint="eastAsia" w:ascii="仿宋_GB2312" w:hAnsi="仿宋_GB2312" w:eastAsia="仿宋_GB2312" w:cs="仿宋_GB2312"/>
          <w:b w:val="0"/>
          <w:bCs w:val="0"/>
          <w:color w:val="auto"/>
          <w:sz w:val="36"/>
          <w:szCs w:val="36"/>
          <w:highlight w:val="none"/>
          <w:u w:val="single"/>
          <w:lang w:val="en-US" w:eastAsia="zh-CN"/>
        </w:rPr>
        <w:t xml:space="preserve">      2025年9月          </w:t>
      </w:r>
    </w:p>
    <w:p w14:paraId="4DC59C2D">
      <w:pPr>
        <w:keepNext w:val="0"/>
        <w:keepLines w:val="0"/>
        <w:pageBreakBefore w:val="0"/>
        <w:kinsoku/>
        <w:wordWrap/>
        <w:overflowPunct/>
        <w:topLinePunct w:val="0"/>
        <w:autoSpaceDE/>
        <w:autoSpaceDN/>
        <w:bidi w:val="0"/>
        <w:adjustRightInd w:val="0"/>
        <w:snapToGrid/>
        <w:ind w:firstLine="1080" w:firstLineChars="300"/>
        <w:textAlignment w:val="baseline"/>
        <w:outlineLvl w:val="9"/>
        <w:rPr>
          <w:rFonts w:hint="eastAsia" w:ascii="仿宋_GB2312" w:hAnsi="仿宋_GB2312" w:eastAsia="仿宋_GB2312" w:cs="仿宋_GB2312"/>
          <w:b w:val="0"/>
          <w:bCs w:val="0"/>
          <w:color w:val="auto"/>
          <w:sz w:val="36"/>
          <w:szCs w:val="36"/>
          <w:highlight w:val="none"/>
          <w:u w:val="single"/>
        </w:rPr>
      </w:pPr>
    </w:p>
    <w:p w14:paraId="7EF7990C">
      <w:pPr>
        <w:keepNext w:val="0"/>
        <w:keepLines w:val="0"/>
        <w:pageBreakBefore w:val="0"/>
        <w:kinsoku/>
        <w:wordWrap/>
        <w:overflowPunct/>
        <w:topLinePunct w:val="0"/>
        <w:autoSpaceDE/>
        <w:autoSpaceDN/>
        <w:bidi w:val="0"/>
        <w:adjustRightInd w:val="0"/>
        <w:snapToGrid/>
        <w:spacing w:line="600" w:lineRule="atLeast"/>
        <w:jc w:val="center"/>
        <w:textAlignment w:val="baseline"/>
        <w:outlineLvl w:val="9"/>
        <w:rPr>
          <w:rFonts w:hint="eastAsia" w:ascii="仿宋_GB2312" w:hAnsi="仿宋_GB2312" w:eastAsia="仿宋_GB2312" w:cs="仿宋_GB2312"/>
          <w:b w:val="0"/>
          <w:bCs w:val="0"/>
          <w:color w:val="auto"/>
          <w:sz w:val="36"/>
          <w:szCs w:val="36"/>
          <w:highlight w:val="none"/>
        </w:rPr>
      </w:pPr>
    </w:p>
    <w:p w14:paraId="51FB7C71">
      <w:pPr>
        <w:keepNext w:val="0"/>
        <w:keepLines w:val="0"/>
        <w:pageBreakBefore w:val="0"/>
        <w:kinsoku/>
        <w:wordWrap/>
        <w:overflowPunct/>
        <w:topLinePunct w:val="0"/>
        <w:autoSpaceDE/>
        <w:autoSpaceDN/>
        <w:bidi w:val="0"/>
        <w:adjustRightInd w:val="0"/>
        <w:snapToGrid/>
        <w:spacing w:line="600" w:lineRule="atLeast"/>
        <w:textAlignment w:val="baseline"/>
        <w:outlineLvl w:val="9"/>
        <w:rPr>
          <w:rFonts w:hint="eastAsia" w:ascii="仿宋_GB2312" w:hAnsi="仿宋_GB2312" w:eastAsia="仿宋_GB2312" w:cs="仿宋_GB2312"/>
          <w:b w:val="0"/>
          <w:bCs w:val="0"/>
          <w:color w:val="auto"/>
          <w:sz w:val="36"/>
          <w:szCs w:val="36"/>
          <w:highlight w:val="none"/>
        </w:rPr>
      </w:pPr>
    </w:p>
    <w:p w14:paraId="2CF3706A">
      <w:pPr>
        <w:pStyle w:val="17"/>
        <w:keepNext w:val="0"/>
        <w:keepLines w:val="0"/>
        <w:pageBreakBefore w:val="0"/>
        <w:kinsoku/>
        <w:wordWrap/>
        <w:overflowPunct/>
        <w:topLinePunct w:val="0"/>
        <w:autoSpaceDE/>
        <w:autoSpaceDN/>
        <w:bidi w:val="0"/>
        <w:adjustRightInd w:val="0"/>
        <w:snapToGrid/>
        <w:ind w:firstLine="640"/>
        <w:textAlignment w:val="baseline"/>
        <w:outlineLvl w:val="9"/>
        <w:rPr>
          <w:rFonts w:hint="eastAsia" w:ascii="仿宋_GB2312" w:hAnsi="仿宋_GB2312" w:eastAsia="仿宋_GB2312" w:cs="仿宋_GB2312"/>
          <w:b w:val="0"/>
          <w:bCs w:val="0"/>
          <w:color w:val="auto"/>
          <w:sz w:val="36"/>
          <w:szCs w:val="36"/>
          <w:highlight w:val="none"/>
        </w:rPr>
      </w:pPr>
    </w:p>
    <w:p w14:paraId="35846A87">
      <w:pPr>
        <w:pStyle w:val="29"/>
        <w:keepNext w:val="0"/>
        <w:keepLines w:val="0"/>
        <w:pageBreakBefore w:val="0"/>
        <w:kinsoku/>
        <w:wordWrap/>
        <w:overflowPunct/>
        <w:topLinePunct w:val="0"/>
        <w:autoSpaceDE/>
        <w:autoSpaceDN/>
        <w:bidi w:val="0"/>
        <w:adjustRightInd w:val="0"/>
        <w:snapToGrid/>
        <w:ind w:firstLine="240"/>
        <w:textAlignment w:val="baseline"/>
        <w:outlineLvl w:val="9"/>
        <w:rPr>
          <w:rFonts w:hint="eastAsia" w:ascii="仿宋_GB2312" w:hAnsi="仿宋_GB2312" w:eastAsia="仿宋_GB2312" w:cs="仿宋_GB2312"/>
          <w:b w:val="0"/>
          <w:bCs w:val="0"/>
          <w:color w:val="auto"/>
          <w:sz w:val="36"/>
          <w:szCs w:val="36"/>
          <w:highlight w:val="none"/>
        </w:rPr>
      </w:pPr>
    </w:p>
    <w:p w14:paraId="73D3DB7A">
      <w:pPr>
        <w:keepNext w:val="0"/>
        <w:keepLines w:val="0"/>
        <w:pageBreakBefore w:val="0"/>
        <w:kinsoku/>
        <w:wordWrap/>
        <w:overflowPunct/>
        <w:topLinePunct w:val="0"/>
        <w:autoSpaceDE/>
        <w:autoSpaceDN/>
        <w:bidi w:val="0"/>
        <w:adjustRightInd w:val="0"/>
        <w:snapToGrid/>
        <w:jc w:val="center"/>
        <w:textAlignment w:val="baseline"/>
        <w:outlineLvl w:val="9"/>
        <w:rPr>
          <w:rFonts w:hint="eastAsia" w:ascii="仿宋_GB2312" w:hAnsi="仿宋_GB2312" w:eastAsia="仿宋_GB2312" w:cs="仿宋_GB2312"/>
          <w:b w:val="0"/>
          <w:bCs w:val="0"/>
          <w:color w:val="auto"/>
          <w:sz w:val="36"/>
          <w:szCs w:val="36"/>
          <w:highlight w:val="none"/>
          <w:lang w:eastAsia="zh-CN"/>
        </w:rPr>
      </w:pPr>
    </w:p>
    <w:p w14:paraId="6718C28D">
      <w:pPr>
        <w:keepNext w:val="0"/>
        <w:keepLines w:val="0"/>
        <w:pageBreakBefore w:val="0"/>
        <w:kinsoku/>
        <w:wordWrap/>
        <w:overflowPunct/>
        <w:topLinePunct w:val="0"/>
        <w:autoSpaceDE/>
        <w:autoSpaceDN/>
        <w:bidi w:val="0"/>
        <w:adjustRightInd w:val="0"/>
        <w:snapToGrid/>
        <w:jc w:val="center"/>
        <w:textAlignment w:val="baseline"/>
        <w:outlineLvl w:val="9"/>
        <w:rPr>
          <w:rFonts w:hint="eastAsia" w:ascii="仿宋_GB2312" w:hAnsi="仿宋_GB2312" w:eastAsia="仿宋_GB2312" w:cs="仿宋_GB2312"/>
          <w:b w:val="0"/>
          <w:bCs w:val="0"/>
          <w:color w:val="auto"/>
          <w:sz w:val="36"/>
          <w:szCs w:val="36"/>
          <w:highlight w:val="none"/>
          <w:lang w:eastAsia="zh-CN"/>
        </w:rPr>
      </w:pPr>
    </w:p>
    <w:p w14:paraId="390136B6">
      <w:pPr>
        <w:keepNext w:val="0"/>
        <w:keepLines w:val="0"/>
        <w:pageBreakBefore w:val="0"/>
        <w:kinsoku/>
        <w:wordWrap/>
        <w:overflowPunct/>
        <w:topLinePunct w:val="0"/>
        <w:autoSpaceDE/>
        <w:autoSpaceDN/>
        <w:bidi w:val="0"/>
        <w:adjustRightInd w:val="0"/>
        <w:snapToGrid/>
        <w:jc w:val="center"/>
        <w:textAlignment w:val="baseline"/>
        <w:outlineLvl w:val="9"/>
        <w:rPr>
          <w:rFonts w:hint="eastAsia" w:ascii="仿宋_GB2312" w:hAnsi="仿宋_GB2312" w:eastAsia="仿宋_GB2312" w:cs="仿宋_GB2312"/>
          <w:b w:val="0"/>
          <w:bCs w:val="0"/>
          <w:color w:val="auto"/>
          <w:sz w:val="36"/>
          <w:szCs w:val="36"/>
          <w:highlight w:val="none"/>
          <w:lang w:eastAsia="zh-CN"/>
        </w:rPr>
      </w:pPr>
      <w:r>
        <w:rPr>
          <w:rFonts w:hint="eastAsia" w:ascii="仿宋_GB2312" w:hAnsi="仿宋_GB2312" w:eastAsia="仿宋_GB2312" w:cs="仿宋_GB2312"/>
          <w:b w:val="0"/>
          <w:bCs w:val="0"/>
          <w:color w:val="auto"/>
          <w:sz w:val="36"/>
          <w:szCs w:val="36"/>
          <w:highlight w:val="none"/>
          <w:lang w:eastAsia="zh-CN"/>
        </w:rPr>
        <w:t>中华人民共和国生态环境部制</w:t>
      </w:r>
    </w:p>
    <w:p w14:paraId="3203B750">
      <w:pPr>
        <w:pStyle w:val="11"/>
        <w:keepNext w:val="0"/>
        <w:keepLines w:val="0"/>
        <w:pageBreakBefore w:val="0"/>
        <w:kinsoku/>
        <w:wordWrap/>
        <w:overflowPunct/>
        <w:topLinePunct w:val="0"/>
        <w:autoSpaceDE/>
        <w:autoSpaceDN/>
        <w:bidi w:val="0"/>
        <w:adjustRightInd w:val="0"/>
        <w:snapToGrid/>
        <w:textAlignment w:val="baseline"/>
        <w:outlineLvl w:val="9"/>
        <w:rPr>
          <w:rFonts w:hint="eastAsia" w:ascii="Times New Roman"/>
          <w:b/>
          <w:bCs/>
          <w:color w:val="auto"/>
          <w:sz w:val="30"/>
          <w:szCs w:val="30"/>
          <w:highlight w:val="none"/>
          <w:lang w:eastAsia="zh-CN"/>
        </w:rPr>
      </w:pPr>
    </w:p>
    <w:p w14:paraId="5A335F1B">
      <w:pPr>
        <w:rPr>
          <w:rFonts w:hint="eastAsia" w:ascii="Times New Roman"/>
          <w:b/>
          <w:bCs/>
          <w:color w:val="auto"/>
          <w:sz w:val="30"/>
          <w:szCs w:val="30"/>
          <w:highlight w:val="none"/>
          <w:lang w:eastAsia="zh-CN"/>
        </w:rPr>
      </w:pPr>
    </w:p>
    <w:p w14:paraId="60217F9C">
      <w:pPr>
        <w:rPr>
          <w:rFonts w:hint="eastAsia" w:ascii="Times New Roman"/>
          <w:b/>
          <w:bCs/>
          <w:color w:val="auto"/>
          <w:sz w:val="30"/>
          <w:szCs w:val="30"/>
          <w:highlight w:val="none"/>
          <w:lang w:eastAsia="zh-CN"/>
        </w:rPr>
      </w:pPr>
    </w:p>
    <w:p w14:paraId="02641AE5">
      <w:pPr>
        <w:rPr>
          <w:rFonts w:hint="eastAsia" w:ascii="Times New Roman"/>
          <w:b/>
          <w:bCs/>
          <w:color w:val="auto"/>
          <w:sz w:val="30"/>
          <w:szCs w:val="30"/>
          <w:highlight w:val="none"/>
          <w:lang w:eastAsia="zh-CN"/>
        </w:rPr>
      </w:pPr>
    </w:p>
    <w:p w14:paraId="39ED6E7C">
      <w:pPr>
        <w:rPr>
          <w:rFonts w:hint="eastAsia" w:ascii="Times New Roman"/>
          <w:b/>
          <w:bCs/>
          <w:color w:val="auto"/>
          <w:sz w:val="30"/>
          <w:szCs w:val="30"/>
          <w:highlight w:val="none"/>
          <w:lang w:eastAsia="zh-CN"/>
        </w:rPr>
      </w:pPr>
    </w:p>
    <w:p w14:paraId="3A8CA916">
      <w:pPr>
        <w:rPr>
          <w:rFonts w:hint="eastAsia" w:ascii="Times New Roman"/>
          <w:b/>
          <w:bCs/>
          <w:color w:val="auto"/>
          <w:sz w:val="30"/>
          <w:szCs w:val="30"/>
          <w:highlight w:val="none"/>
          <w:lang w:eastAsia="zh-CN"/>
        </w:rPr>
      </w:pPr>
    </w:p>
    <w:p w14:paraId="640A452F">
      <w:pPr>
        <w:rPr>
          <w:rFonts w:hint="eastAsia" w:ascii="Times New Roman"/>
          <w:b/>
          <w:bCs/>
          <w:color w:val="auto"/>
          <w:sz w:val="30"/>
          <w:szCs w:val="30"/>
          <w:highlight w:val="none"/>
          <w:lang w:eastAsia="zh-CN"/>
        </w:rPr>
      </w:pPr>
    </w:p>
    <w:p w14:paraId="7B2294C7">
      <w:pPr>
        <w:rPr>
          <w:rFonts w:hint="eastAsia" w:ascii="Times New Roman"/>
          <w:b/>
          <w:bCs/>
          <w:color w:val="auto"/>
          <w:sz w:val="30"/>
          <w:szCs w:val="30"/>
          <w:highlight w:val="none"/>
          <w:lang w:eastAsia="zh-CN"/>
        </w:rPr>
      </w:pPr>
    </w:p>
    <w:p w14:paraId="5C09583E">
      <w:pPr>
        <w:rPr>
          <w:rFonts w:hint="eastAsia" w:ascii="Times New Roman"/>
          <w:b/>
          <w:bCs/>
          <w:color w:val="auto"/>
          <w:sz w:val="30"/>
          <w:szCs w:val="30"/>
          <w:highlight w:val="none"/>
          <w:lang w:eastAsia="zh-CN"/>
        </w:rPr>
      </w:pPr>
    </w:p>
    <w:p w14:paraId="7778EF7F">
      <w:pPr>
        <w:rPr>
          <w:rFonts w:hint="eastAsia" w:ascii="Times New Roman"/>
          <w:b/>
          <w:bCs/>
          <w:color w:val="auto"/>
          <w:sz w:val="30"/>
          <w:szCs w:val="30"/>
          <w:highlight w:val="none"/>
          <w:lang w:eastAsia="zh-CN"/>
        </w:rPr>
      </w:pPr>
    </w:p>
    <w:p w14:paraId="088E81EB">
      <w:pPr>
        <w:rPr>
          <w:rFonts w:hint="eastAsia" w:ascii="Times New Roman"/>
          <w:b/>
          <w:bCs/>
          <w:color w:val="auto"/>
          <w:sz w:val="30"/>
          <w:szCs w:val="30"/>
          <w:highlight w:val="none"/>
          <w:lang w:eastAsia="zh-CN"/>
        </w:rPr>
      </w:pPr>
    </w:p>
    <w:p w14:paraId="14F2B14F">
      <w:pPr>
        <w:rPr>
          <w:rFonts w:hint="eastAsia" w:ascii="Times New Roman"/>
          <w:b/>
          <w:bCs/>
          <w:color w:val="auto"/>
          <w:sz w:val="30"/>
          <w:szCs w:val="30"/>
          <w:highlight w:val="none"/>
          <w:lang w:eastAsia="zh-CN"/>
        </w:rPr>
      </w:pPr>
    </w:p>
    <w:p w14:paraId="1444EB1D">
      <w:pPr>
        <w:rPr>
          <w:rFonts w:hint="eastAsia" w:ascii="Times New Roman"/>
          <w:b/>
          <w:bCs/>
          <w:color w:val="auto"/>
          <w:sz w:val="30"/>
          <w:szCs w:val="30"/>
          <w:highlight w:val="none"/>
          <w:lang w:eastAsia="zh-CN"/>
        </w:rPr>
      </w:pPr>
    </w:p>
    <w:p w14:paraId="304F1A02">
      <w:pPr>
        <w:rPr>
          <w:rFonts w:hint="eastAsia" w:ascii="Times New Roman"/>
          <w:b/>
          <w:bCs/>
          <w:color w:val="auto"/>
          <w:sz w:val="30"/>
          <w:szCs w:val="30"/>
          <w:highlight w:val="none"/>
          <w:lang w:eastAsia="zh-CN"/>
        </w:rPr>
      </w:pPr>
    </w:p>
    <w:p w14:paraId="0AA8E6BF">
      <w:pPr>
        <w:rPr>
          <w:rFonts w:hint="eastAsia" w:ascii="Times New Roman"/>
          <w:b/>
          <w:bCs/>
          <w:color w:val="auto"/>
          <w:sz w:val="30"/>
          <w:szCs w:val="30"/>
          <w:highlight w:val="none"/>
          <w:lang w:eastAsia="zh-CN"/>
        </w:rPr>
      </w:pPr>
    </w:p>
    <w:p w14:paraId="14DC38C9">
      <w:pPr>
        <w:rPr>
          <w:rFonts w:hint="eastAsia" w:ascii="Times New Roman"/>
          <w:b/>
          <w:bCs/>
          <w:color w:val="auto"/>
          <w:sz w:val="30"/>
          <w:szCs w:val="30"/>
          <w:highlight w:val="none"/>
          <w:lang w:eastAsia="zh-CN"/>
        </w:rPr>
      </w:pPr>
    </w:p>
    <w:p w14:paraId="462B19E6">
      <w:pPr>
        <w:rPr>
          <w:rFonts w:hint="eastAsia" w:ascii="Times New Roman"/>
          <w:b/>
          <w:bCs/>
          <w:color w:val="auto"/>
          <w:sz w:val="30"/>
          <w:szCs w:val="30"/>
          <w:highlight w:val="none"/>
          <w:lang w:eastAsia="zh-CN"/>
        </w:rPr>
      </w:pPr>
    </w:p>
    <w:p w14:paraId="56607A85">
      <w:pPr>
        <w:rPr>
          <w:rFonts w:hint="eastAsia" w:ascii="Times New Roman"/>
          <w:b/>
          <w:bCs/>
          <w:color w:val="auto"/>
          <w:sz w:val="30"/>
          <w:szCs w:val="30"/>
          <w:highlight w:val="none"/>
          <w:lang w:eastAsia="zh-CN"/>
        </w:rPr>
      </w:pPr>
    </w:p>
    <w:p w14:paraId="605329F0">
      <w:pPr>
        <w:rPr>
          <w:rFonts w:hint="eastAsia" w:ascii="Times New Roman"/>
          <w:b/>
          <w:bCs/>
          <w:color w:val="auto"/>
          <w:sz w:val="30"/>
          <w:szCs w:val="30"/>
          <w:highlight w:val="none"/>
          <w:lang w:eastAsia="zh-CN"/>
        </w:rPr>
      </w:pPr>
    </w:p>
    <w:p w14:paraId="2A68E64D">
      <w:pPr>
        <w:rPr>
          <w:rFonts w:hint="eastAsia" w:ascii="Times New Roman"/>
          <w:b/>
          <w:bCs/>
          <w:color w:val="auto"/>
          <w:sz w:val="30"/>
          <w:szCs w:val="30"/>
          <w:highlight w:val="none"/>
          <w:lang w:eastAsia="zh-CN"/>
        </w:rPr>
      </w:pPr>
    </w:p>
    <w:p w14:paraId="2D66A171">
      <w:pPr>
        <w:rPr>
          <w:rFonts w:hint="eastAsia" w:ascii="Times New Roman"/>
          <w:b/>
          <w:bCs/>
          <w:color w:val="auto"/>
          <w:sz w:val="30"/>
          <w:szCs w:val="30"/>
          <w:highlight w:val="none"/>
          <w:lang w:eastAsia="zh-CN"/>
        </w:rPr>
      </w:pPr>
    </w:p>
    <w:p w14:paraId="45D32080">
      <w:pPr>
        <w:rPr>
          <w:rFonts w:hint="eastAsia" w:ascii="Times New Roman"/>
          <w:b/>
          <w:bCs/>
          <w:color w:val="auto"/>
          <w:sz w:val="30"/>
          <w:szCs w:val="30"/>
          <w:highlight w:val="none"/>
          <w:lang w:eastAsia="zh-CN"/>
        </w:rPr>
      </w:pPr>
    </w:p>
    <w:p w14:paraId="1F7AF7D5">
      <w:pPr>
        <w:rPr>
          <w:rFonts w:hint="eastAsia" w:ascii="Times New Roman"/>
          <w:b/>
          <w:bCs/>
          <w:color w:val="auto"/>
          <w:sz w:val="30"/>
          <w:szCs w:val="30"/>
          <w:highlight w:val="none"/>
          <w:lang w:eastAsia="zh-CN"/>
        </w:rPr>
      </w:pPr>
    </w:p>
    <w:p w14:paraId="3826DF83">
      <w:pPr>
        <w:rPr>
          <w:rFonts w:hint="eastAsia" w:ascii="Times New Roman"/>
          <w:b/>
          <w:bCs/>
          <w:color w:val="auto"/>
          <w:sz w:val="30"/>
          <w:szCs w:val="30"/>
          <w:highlight w:val="none"/>
          <w:lang w:eastAsia="zh-CN"/>
        </w:rPr>
      </w:pPr>
    </w:p>
    <w:p w14:paraId="70246280">
      <w:pPr>
        <w:rPr>
          <w:rFonts w:hint="eastAsia" w:ascii="Times New Roman"/>
          <w:b/>
          <w:bCs/>
          <w:color w:val="auto"/>
          <w:sz w:val="30"/>
          <w:szCs w:val="30"/>
          <w:highlight w:val="none"/>
          <w:lang w:eastAsia="zh-CN"/>
        </w:rPr>
      </w:pPr>
    </w:p>
    <w:p w14:paraId="705A9CC1">
      <w:pPr>
        <w:rPr>
          <w:rFonts w:hint="eastAsia" w:ascii="Times New Roman"/>
          <w:b/>
          <w:bCs/>
          <w:color w:val="auto"/>
          <w:sz w:val="30"/>
          <w:szCs w:val="30"/>
          <w:highlight w:val="none"/>
          <w:lang w:eastAsia="zh-CN"/>
        </w:rPr>
      </w:pPr>
    </w:p>
    <w:p w14:paraId="0AF432CC">
      <w:pPr>
        <w:rPr>
          <w:rFonts w:hint="eastAsia" w:ascii="Times New Roman"/>
          <w:b/>
          <w:bCs/>
          <w:color w:val="auto"/>
          <w:sz w:val="30"/>
          <w:szCs w:val="30"/>
          <w:highlight w:val="none"/>
          <w:lang w:eastAsia="zh-CN"/>
        </w:rPr>
      </w:pPr>
    </w:p>
    <w:p w14:paraId="79FB10C3">
      <w:pPr>
        <w:rPr>
          <w:rFonts w:hint="eastAsia" w:ascii="Times New Roman"/>
          <w:b/>
          <w:bCs/>
          <w:color w:val="auto"/>
          <w:sz w:val="30"/>
          <w:szCs w:val="30"/>
          <w:highlight w:val="none"/>
          <w:lang w:eastAsia="zh-CN"/>
        </w:rPr>
      </w:pPr>
    </w:p>
    <w:p w14:paraId="35261D9F">
      <w:pPr>
        <w:rPr>
          <w:rFonts w:hint="eastAsia" w:ascii="Times New Roman"/>
          <w:b/>
          <w:bCs/>
          <w:color w:val="auto"/>
          <w:sz w:val="30"/>
          <w:szCs w:val="30"/>
          <w:highlight w:val="none"/>
          <w:lang w:eastAsia="zh-CN"/>
        </w:rPr>
      </w:pPr>
    </w:p>
    <w:p w14:paraId="35B7CD96">
      <w:pPr>
        <w:rPr>
          <w:rFonts w:hint="eastAsia" w:ascii="Times New Roman"/>
          <w:b/>
          <w:bCs/>
          <w:color w:val="auto"/>
          <w:sz w:val="30"/>
          <w:szCs w:val="30"/>
          <w:highlight w:val="none"/>
          <w:lang w:eastAsia="zh-CN"/>
        </w:rPr>
      </w:pPr>
    </w:p>
    <w:p w14:paraId="11711B7F">
      <w:pPr>
        <w:rPr>
          <w:rFonts w:hint="eastAsia" w:ascii="Times New Roman"/>
          <w:b/>
          <w:bCs/>
          <w:color w:val="auto"/>
          <w:sz w:val="30"/>
          <w:szCs w:val="30"/>
          <w:highlight w:val="none"/>
          <w:lang w:eastAsia="zh-CN"/>
        </w:rPr>
      </w:pPr>
    </w:p>
    <w:p w14:paraId="674CE112">
      <w:pPr>
        <w:rPr>
          <w:rFonts w:hint="eastAsia" w:ascii="Times New Roman"/>
          <w:b/>
          <w:bCs/>
          <w:color w:val="auto"/>
          <w:sz w:val="30"/>
          <w:szCs w:val="30"/>
          <w:highlight w:val="none"/>
          <w:lang w:eastAsia="zh-CN"/>
        </w:rPr>
      </w:pPr>
    </w:p>
    <w:p w14:paraId="5B71BC71">
      <w:pPr>
        <w:rPr>
          <w:rFonts w:hint="eastAsia" w:ascii="Times New Roman"/>
          <w:b/>
          <w:bCs/>
          <w:color w:val="auto"/>
          <w:sz w:val="30"/>
          <w:szCs w:val="30"/>
          <w:highlight w:val="none"/>
          <w:lang w:eastAsia="zh-CN"/>
        </w:rPr>
      </w:pPr>
    </w:p>
    <w:p w14:paraId="0E681500">
      <w:pPr>
        <w:rPr>
          <w:rFonts w:hint="eastAsia" w:ascii="Times New Roman"/>
          <w:b/>
          <w:bCs/>
          <w:color w:val="auto"/>
          <w:sz w:val="30"/>
          <w:szCs w:val="30"/>
          <w:highlight w:val="none"/>
          <w:lang w:eastAsia="zh-CN"/>
        </w:rPr>
      </w:pPr>
    </w:p>
    <w:p w14:paraId="00AA9476">
      <w:pPr>
        <w:rPr>
          <w:rFonts w:hint="eastAsia" w:ascii="Times New Roman"/>
          <w:b/>
          <w:bCs/>
          <w:color w:val="auto"/>
          <w:sz w:val="30"/>
          <w:szCs w:val="30"/>
          <w:highlight w:val="none"/>
          <w:lang w:eastAsia="zh-CN"/>
        </w:rPr>
      </w:pPr>
    </w:p>
    <w:p w14:paraId="3B45AB68">
      <w:pPr>
        <w:rPr>
          <w:rFonts w:hint="eastAsia" w:ascii="Times New Roman"/>
          <w:b/>
          <w:bCs/>
          <w:color w:val="auto"/>
          <w:sz w:val="30"/>
          <w:szCs w:val="30"/>
          <w:highlight w:val="none"/>
          <w:lang w:eastAsia="zh-CN"/>
        </w:rPr>
      </w:pPr>
    </w:p>
    <w:p w14:paraId="30695696">
      <w:pPr>
        <w:rPr>
          <w:rFonts w:hint="eastAsia" w:ascii="Times New Roman"/>
          <w:b/>
          <w:bCs/>
          <w:color w:val="auto"/>
          <w:sz w:val="30"/>
          <w:szCs w:val="30"/>
          <w:highlight w:val="none"/>
          <w:lang w:eastAsia="zh-CN"/>
        </w:rPr>
      </w:pPr>
    </w:p>
    <w:p w14:paraId="0D2F0F15">
      <w:pPr>
        <w:rPr>
          <w:rFonts w:hint="eastAsia" w:ascii="Times New Roman"/>
          <w:b/>
          <w:bCs/>
          <w:color w:val="auto"/>
          <w:sz w:val="30"/>
          <w:szCs w:val="30"/>
          <w:highlight w:val="none"/>
          <w:lang w:eastAsia="zh-CN"/>
        </w:rPr>
      </w:pPr>
    </w:p>
    <w:p w14:paraId="5C213FD8">
      <w:pPr>
        <w:rPr>
          <w:rFonts w:hint="eastAsia" w:ascii="Times New Roman"/>
          <w:b/>
          <w:bCs/>
          <w:color w:val="auto"/>
          <w:sz w:val="30"/>
          <w:szCs w:val="30"/>
          <w:highlight w:val="none"/>
          <w:lang w:eastAsia="zh-CN"/>
        </w:rPr>
      </w:pPr>
    </w:p>
    <w:p w14:paraId="00D2FD7D">
      <w:pPr>
        <w:rPr>
          <w:rFonts w:hint="eastAsia" w:ascii="Times New Roman"/>
          <w:b/>
          <w:bCs/>
          <w:color w:val="auto"/>
          <w:sz w:val="30"/>
          <w:szCs w:val="30"/>
          <w:highlight w:val="none"/>
          <w:lang w:eastAsia="zh-CN"/>
        </w:rPr>
      </w:pPr>
    </w:p>
    <w:p w14:paraId="2B6CEAB2">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b/>
          <w:bCs/>
          <w:color w:val="auto"/>
          <w:sz w:val="28"/>
          <w:szCs w:val="28"/>
          <w:highlight w:val="none"/>
          <w:lang w:val="en-US" w:eastAsia="zh-CN"/>
        </w:rPr>
      </w:pPr>
    </w:p>
    <w:p w14:paraId="6C3FAC0E">
      <w:pPr>
        <w:keepNext w:val="0"/>
        <w:keepLines w:val="0"/>
        <w:pageBreakBefore w:val="0"/>
        <w:widowControl w:val="0"/>
        <w:kinsoku/>
        <w:wordWrap/>
        <w:overflowPunct/>
        <w:topLinePunct w:val="0"/>
        <w:bidi w:val="0"/>
        <w:snapToGrid/>
        <w:rPr>
          <w:rFonts w:hint="eastAsia" w:ascii="Times New Roman"/>
          <w:b/>
          <w:bCs/>
          <w:color w:val="auto"/>
          <w:sz w:val="24"/>
          <w:szCs w:val="24"/>
          <w:highlight w:val="none"/>
          <w:lang w:eastAsia="zh-CN"/>
        </w:rPr>
      </w:pPr>
    </w:p>
    <w:p w14:paraId="28133F8B">
      <w:pPr>
        <w:pStyle w:val="37"/>
        <w:keepNext w:val="0"/>
        <w:keepLines w:val="0"/>
        <w:pageBreakBefore w:val="0"/>
        <w:widowControl w:val="0"/>
        <w:kinsoku/>
        <w:wordWrap/>
        <w:overflowPunct/>
        <w:topLinePunct w:val="0"/>
        <w:bidi w:val="0"/>
        <w:snapToGrid/>
        <w:rPr>
          <w:rFonts w:hint="eastAsia" w:ascii="Times New Roman"/>
          <w:b/>
          <w:bCs/>
          <w:color w:val="auto"/>
          <w:sz w:val="24"/>
          <w:szCs w:val="24"/>
          <w:highlight w:val="none"/>
          <w:lang w:eastAsia="zh-CN"/>
        </w:rPr>
      </w:pPr>
    </w:p>
    <w:p w14:paraId="7D5EE24B">
      <w:pPr>
        <w:rPr>
          <w:rFonts w:hint="eastAsia" w:ascii="Times New Roman"/>
          <w:b/>
          <w:bCs/>
          <w:color w:val="auto"/>
          <w:sz w:val="30"/>
          <w:szCs w:val="30"/>
          <w:highlight w:val="none"/>
          <w:lang w:eastAsia="zh-CN"/>
        </w:rPr>
      </w:pPr>
      <w:r>
        <w:rPr>
          <w:rFonts w:hint="eastAsia" w:ascii="Times New Roman"/>
          <w:b/>
          <w:bCs/>
          <w:color w:val="auto"/>
          <w:sz w:val="30"/>
          <w:szCs w:val="30"/>
          <w:highlight w:val="none"/>
          <w:lang w:eastAsia="zh-CN"/>
        </w:rPr>
        <w:br w:type="page"/>
      </w:r>
    </w:p>
    <w:p w14:paraId="68EE8E5F">
      <w:pPr>
        <w:pStyle w:val="37"/>
        <w:rPr>
          <w:color w:val="auto"/>
          <w:highlight w:val="none"/>
        </w:rPr>
      </w:pPr>
    </w:p>
    <w:p w14:paraId="08B09849">
      <w:pPr>
        <w:rPr>
          <w:color w:val="auto"/>
          <w:highlight w:val="none"/>
        </w:rPr>
      </w:pPr>
    </w:p>
    <w:sdt>
      <w:sdtPr>
        <w:rPr>
          <w:rFonts w:ascii="宋体" w:hAnsi="宋体" w:eastAsia="宋体" w:cs="Times New Roman"/>
          <w:b/>
          <w:bCs/>
          <w:color w:val="auto"/>
          <w:kern w:val="2"/>
          <w:sz w:val="36"/>
          <w:szCs w:val="36"/>
          <w:highlight w:val="none"/>
          <w:lang w:val="en-US" w:eastAsia="zh-CN" w:bidi="ar-SA"/>
        </w:rPr>
        <w:id w:val="147467651"/>
        <w15:color w:val="DBDBDB"/>
        <w:docPartObj>
          <w:docPartGallery w:val="Table of Contents"/>
          <w:docPartUnique/>
        </w:docPartObj>
      </w:sdtPr>
      <w:sdtEndPr>
        <w:rPr>
          <w:rFonts w:hint="eastAsia" w:ascii="Times New Roman" w:hAnsi="Calibri" w:eastAsia="宋体" w:cs="Times New Roman"/>
          <w:b/>
          <w:bCs/>
          <w:i/>
          <w:color w:val="auto"/>
          <w:kern w:val="2"/>
          <w:sz w:val="21"/>
          <w:szCs w:val="30"/>
          <w:highlight w:val="none"/>
          <w:lang w:val="en-US" w:eastAsia="zh-CN" w:bidi="ar-SA"/>
        </w:rPr>
      </w:sdtEndPr>
      <w:sdtContent>
        <w:p w14:paraId="5DD6460C">
          <w:pPr>
            <w:spacing w:before="0" w:beforeLines="0" w:after="0" w:afterLines="0" w:line="240" w:lineRule="auto"/>
            <w:ind w:left="0" w:leftChars="0" w:right="0" w:rightChars="0" w:firstLine="0" w:firstLineChars="0"/>
            <w:jc w:val="center"/>
            <w:rPr>
              <w:b/>
              <w:bCs/>
              <w:color w:val="auto"/>
              <w:sz w:val="36"/>
              <w:szCs w:val="36"/>
              <w:highlight w:val="none"/>
            </w:rPr>
          </w:pPr>
          <w:r>
            <w:rPr>
              <w:rFonts w:ascii="宋体" w:hAnsi="宋体" w:eastAsia="宋体"/>
              <w:b/>
              <w:bCs/>
              <w:color w:val="auto"/>
              <w:sz w:val="36"/>
              <w:szCs w:val="36"/>
              <w:highlight w:val="none"/>
            </w:rPr>
            <w:t>目录</w:t>
          </w:r>
        </w:p>
        <w:p w14:paraId="721786A7">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color w:val="auto"/>
              <w:highlight w:val="none"/>
            </w:rPr>
          </w:pPr>
          <w:r>
            <w:rPr>
              <w:rFonts w:hint="eastAsia" w:ascii="Times New Roman"/>
              <w:b/>
              <w:bCs/>
              <w:color w:val="auto"/>
              <w:sz w:val="30"/>
              <w:szCs w:val="30"/>
              <w:highlight w:val="none"/>
              <w:lang w:eastAsia="zh-CN"/>
            </w:rPr>
            <w:fldChar w:fldCharType="begin"/>
          </w:r>
          <w:r>
            <w:rPr>
              <w:rFonts w:hint="eastAsia" w:ascii="Times New Roman"/>
              <w:b/>
              <w:bCs/>
              <w:color w:val="auto"/>
              <w:sz w:val="30"/>
              <w:szCs w:val="30"/>
              <w:highlight w:val="none"/>
              <w:lang w:eastAsia="zh-CN"/>
            </w:rPr>
            <w:instrText xml:space="preserve">TOC \o "1-1" \h \u </w:instrText>
          </w:r>
          <w:r>
            <w:rPr>
              <w:rFonts w:hint="eastAsia" w:ascii="Times New Roman"/>
              <w:b/>
              <w:bCs/>
              <w:color w:val="auto"/>
              <w:sz w:val="30"/>
              <w:szCs w:val="30"/>
              <w:highlight w:val="none"/>
              <w:lang w:eastAsia="zh-CN"/>
            </w:rPr>
            <w:fldChar w:fldCharType="separate"/>
          </w:r>
        </w:p>
        <w:p w14:paraId="3CC162C2">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lang w:eastAsia="zh-CN"/>
            </w:rPr>
            <w:fldChar w:fldCharType="begin"/>
          </w:r>
          <w:r>
            <w:rPr>
              <w:rFonts w:hint="default" w:ascii="Times New Roman" w:hAnsi="Times New Roman" w:eastAsia="宋体" w:cs="Times New Roman"/>
              <w:b w:val="0"/>
              <w:bCs w:val="0"/>
              <w:color w:val="auto"/>
              <w:sz w:val="28"/>
              <w:szCs w:val="28"/>
              <w:highlight w:val="none"/>
              <w:lang w:eastAsia="zh-CN"/>
            </w:rPr>
            <w:instrText xml:space="preserve"> HYPERLINK \l _Toc5700 </w:instrText>
          </w:r>
          <w:r>
            <w:rPr>
              <w:rFonts w:hint="default" w:ascii="Times New Roman" w:hAnsi="Times New Roman" w:eastAsia="宋体" w:cs="Times New Roman"/>
              <w:b w:val="0"/>
              <w:bCs w:val="0"/>
              <w:color w:val="auto"/>
              <w:sz w:val="28"/>
              <w:szCs w:val="28"/>
              <w:highlight w:val="none"/>
              <w:lang w:eastAsia="zh-CN"/>
            </w:rPr>
            <w:fldChar w:fldCharType="separate"/>
          </w:r>
          <w:r>
            <w:rPr>
              <w:rFonts w:hint="default" w:ascii="Times New Roman" w:hAnsi="Times New Roman" w:eastAsia="宋体" w:cs="Times New Roman"/>
              <w:b w:val="0"/>
              <w:bCs w:val="0"/>
              <w:snapToGrid w:val="0"/>
              <w:color w:val="auto"/>
              <w:sz w:val="28"/>
              <w:szCs w:val="28"/>
              <w:highlight w:val="none"/>
            </w:rPr>
            <w:t>一、建设项目基本情况</w:t>
          </w:r>
          <w:r>
            <w:rPr>
              <w:rFonts w:hint="default" w:ascii="Times New Roman" w:hAnsi="Times New Roman" w:eastAsia="宋体" w:cs="Times New Roman"/>
              <w:b w:val="0"/>
              <w:bCs w:val="0"/>
              <w:color w:val="auto"/>
              <w:sz w:val="28"/>
              <w:szCs w:val="28"/>
              <w:highlight w:val="none"/>
            </w:rPr>
            <w:tab/>
          </w:r>
          <w:r>
            <w:rPr>
              <w:rFonts w:hint="default" w:ascii="Times New Roman" w:hAnsi="Times New Roman" w:eastAsia="宋体" w:cs="Times New Roman"/>
              <w:b w:val="0"/>
              <w:bCs w:val="0"/>
              <w:color w:val="auto"/>
              <w:sz w:val="28"/>
              <w:szCs w:val="28"/>
              <w:highlight w:val="none"/>
            </w:rPr>
            <w:fldChar w:fldCharType="begin"/>
          </w:r>
          <w:r>
            <w:rPr>
              <w:rFonts w:hint="default" w:ascii="Times New Roman" w:hAnsi="Times New Roman" w:eastAsia="宋体" w:cs="Times New Roman"/>
              <w:b w:val="0"/>
              <w:bCs w:val="0"/>
              <w:color w:val="auto"/>
              <w:sz w:val="28"/>
              <w:szCs w:val="28"/>
              <w:highlight w:val="none"/>
            </w:rPr>
            <w:instrText xml:space="preserve"> PAGEREF _Toc5700 \h </w:instrText>
          </w:r>
          <w:r>
            <w:rPr>
              <w:rFonts w:hint="default" w:ascii="Times New Roman" w:hAnsi="Times New Roman" w:eastAsia="宋体" w:cs="Times New Roman"/>
              <w:b w:val="0"/>
              <w:bCs w:val="0"/>
              <w:color w:val="auto"/>
              <w:sz w:val="28"/>
              <w:szCs w:val="28"/>
              <w:highlight w:val="none"/>
            </w:rPr>
            <w:fldChar w:fldCharType="separate"/>
          </w:r>
          <w:r>
            <w:rPr>
              <w:rFonts w:hint="default" w:ascii="Times New Roman" w:hAnsi="Times New Roman" w:eastAsia="宋体" w:cs="Times New Roman"/>
              <w:b w:val="0"/>
              <w:bCs w:val="0"/>
              <w:color w:val="auto"/>
              <w:sz w:val="28"/>
              <w:szCs w:val="28"/>
              <w:highlight w:val="none"/>
            </w:rPr>
            <w:t>1</w:t>
          </w:r>
          <w:r>
            <w:rPr>
              <w:rFonts w:hint="default" w:ascii="Times New Roman" w:hAnsi="Times New Roman" w:eastAsia="宋体" w:cs="Times New Roman"/>
              <w:b w:val="0"/>
              <w:bCs w:val="0"/>
              <w:color w:val="auto"/>
              <w:sz w:val="28"/>
              <w:szCs w:val="28"/>
              <w:highlight w:val="none"/>
            </w:rPr>
            <w:fldChar w:fldCharType="end"/>
          </w:r>
          <w:r>
            <w:rPr>
              <w:rFonts w:hint="default" w:ascii="Times New Roman" w:hAnsi="Times New Roman" w:eastAsia="宋体" w:cs="Times New Roman"/>
              <w:b w:val="0"/>
              <w:bCs w:val="0"/>
              <w:color w:val="auto"/>
              <w:sz w:val="28"/>
              <w:szCs w:val="28"/>
              <w:highlight w:val="none"/>
              <w:lang w:eastAsia="zh-CN"/>
            </w:rPr>
            <w:fldChar w:fldCharType="end"/>
          </w:r>
        </w:p>
        <w:p w14:paraId="2F799C35">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lang w:eastAsia="zh-CN"/>
            </w:rPr>
            <w:fldChar w:fldCharType="begin"/>
          </w:r>
          <w:r>
            <w:rPr>
              <w:rFonts w:hint="default" w:ascii="Times New Roman" w:hAnsi="Times New Roman" w:eastAsia="宋体" w:cs="Times New Roman"/>
              <w:b w:val="0"/>
              <w:bCs w:val="0"/>
              <w:color w:val="auto"/>
              <w:sz w:val="28"/>
              <w:szCs w:val="28"/>
              <w:highlight w:val="none"/>
              <w:lang w:eastAsia="zh-CN"/>
            </w:rPr>
            <w:instrText xml:space="preserve"> HYPERLINK \l _Toc18700 </w:instrText>
          </w:r>
          <w:r>
            <w:rPr>
              <w:rFonts w:hint="default" w:ascii="Times New Roman" w:hAnsi="Times New Roman" w:eastAsia="宋体" w:cs="Times New Roman"/>
              <w:b w:val="0"/>
              <w:bCs w:val="0"/>
              <w:color w:val="auto"/>
              <w:sz w:val="28"/>
              <w:szCs w:val="28"/>
              <w:highlight w:val="none"/>
              <w:lang w:eastAsia="zh-CN"/>
            </w:rPr>
            <w:fldChar w:fldCharType="separate"/>
          </w:r>
          <w:r>
            <w:rPr>
              <w:rFonts w:hint="default" w:ascii="Times New Roman" w:hAnsi="Times New Roman" w:eastAsia="宋体" w:cs="Times New Roman"/>
              <w:b w:val="0"/>
              <w:bCs w:val="0"/>
              <w:snapToGrid w:val="0"/>
              <w:color w:val="auto"/>
              <w:sz w:val="28"/>
              <w:szCs w:val="28"/>
              <w:highlight w:val="none"/>
            </w:rPr>
            <w:t>二、建设项目工程分析</w:t>
          </w:r>
          <w:r>
            <w:rPr>
              <w:rFonts w:hint="default" w:ascii="Times New Roman" w:hAnsi="Times New Roman" w:eastAsia="宋体" w:cs="Times New Roman"/>
              <w:b w:val="0"/>
              <w:bCs w:val="0"/>
              <w:color w:val="auto"/>
              <w:sz w:val="28"/>
              <w:szCs w:val="28"/>
              <w:highlight w:val="none"/>
            </w:rPr>
            <w:tab/>
          </w:r>
          <w:r>
            <w:rPr>
              <w:rFonts w:hint="default" w:ascii="Times New Roman" w:hAnsi="Times New Roman" w:eastAsia="宋体" w:cs="Times New Roman"/>
              <w:b w:val="0"/>
              <w:bCs w:val="0"/>
              <w:color w:val="auto"/>
              <w:sz w:val="28"/>
              <w:szCs w:val="28"/>
              <w:highlight w:val="none"/>
            </w:rPr>
            <w:fldChar w:fldCharType="begin"/>
          </w:r>
          <w:r>
            <w:rPr>
              <w:rFonts w:hint="default" w:ascii="Times New Roman" w:hAnsi="Times New Roman" w:eastAsia="宋体" w:cs="Times New Roman"/>
              <w:b w:val="0"/>
              <w:bCs w:val="0"/>
              <w:color w:val="auto"/>
              <w:sz w:val="28"/>
              <w:szCs w:val="28"/>
              <w:highlight w:val="none"/>
            </w:rPr>
            <w:instrText xml:space="preserve"> PAGEREF _Toc18700 \h </w:instrText>
          </w:r>
          <w:r>
            <w:rPr>
              <w:rFonts w:hint="default" w:ascii="Times New Roman" w:hAnsi="Times New Roman" w:eastAsia="宋体" w:cs="Times New Roman"/>
              <w:b w:val="0"/>
              <w:bCs w:val="0"/>
              <w:color w:val="auto"/>
              <w:sz w:val="28"/>
              <w:szCs w:val="28"/>
              <w:highlight w:val="none"/>
            </w:rPr>
            <w:fldChar w:fldCharType="separate"/>
          </w:r>
          <w:r>
            <w:rPr>
              <w:rFonts w:hint="default" w:ascii="Times New Roman" w:hAnsi="Times New Roman" w:eastAsia="宋体" w:cs="Times New Roman"/>
              <w:b w:val="0"/>
              <w:bCs w:val="0"/>
              <w:color w:val="auto"/>
              <w:sz w:val="28"/>
              <w:szCs w:val="28"/>
              <w:highlight w:val="none"/>
            </w:rPr>
            <w:t>18</w:t>
          </w:r>
          <w:r>
            <w:rPr>
              <w:rFonts w:hint="default" w:ascii="Times New Roman" w:hAnsi="Times New Roman" w:eastAsia="宋体" w:cs="Times New Roman"/>
              <w:b w:val="0"/>
              <w:bCs w:val="0"/>
              <w:color w:val="auto"/>
              <w:sz w:val="28"/>
              <w:szCs w:val="28"/>
              <w:highlight w:val="none"/>
            </w:rPr>
            <w:fldChar w:fldCharType="end"/>
          </w:r>
          <w:r>
            <w:rPr>
              <w:rFonts w:hint="default" w:ascii="Times New Roman" w:hAnsi="Times New Roman" w:eastAsia="宋体" w:cs="Times New Roman"/>
              <w:b w:val="0"/>
              <w:bCs w:val="0"/>
              <w:color w:val="auto"/>
              <w:sz w:val="28"/>
              <w:szCs w:val="28"/>
              <w:highlight w:val="none"/>
              <w:lang w:eastAsia="zh-CN"/>
            </w:rPr>
            <w:fldChar w:fldCharType="end"/>
          </w:r>
        </w:p>
        <w:p w14:paraId="140A6216">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lang w:eastAsia="zh-CN"/>
            </w:rPr>
            <w:fldChar w:fldCharType="begin"/>
          </w:r>
          <w:r>
            <w:rPr>
              <w:rFonts w:hint="default" w:ascii="Times New Roman" w:hAnsi="Times New Roman" w:eastAsia="宋体" w:cs="Times New Roman"/>
              <w:b w:val="0"/>
              <w:bCs w:val="0"/>
              <w:color w:val="auto"/>
              <w:sz w:val="28"/>
              <w:szCs w:val="28"/>
              <w:highlight w:val="none"/>
              <w:lang w:eastAsia="zh-CN"/>
            </w:rPr>
            <w:instrText xml:space="preserve"> HYPERLINK \l _Toc26732 </w:instrText>
          </w:r>
          <w:r>
            <w:rPr>
              <w:rFonts w:hint="default" w:ascii="Times New Roman" w:hAnsi="Times New Roman" w:eastAsia="宋体" w:cs="Times New Roman"/>
              <w:b w:val="0"/>
              <w:bCs w:val="0"/>
              <w:color w:val="auto"/>
              <w:sz w:val="28"/>
              <w:szCs w:val="28"/>
              <w:highlight w:val="none"/>
              <w:lang w:eastAsia="zh-CN"/>
            </w:rPr>
            <w:fldChar w:fldCharType="separate"/>
          </w:r>
          <w:r>
            <w:rPr>
              <w:rFonts w:hint="default" w:ascii="Times New Roman" w:hAnsi="Times New Roman" w:eastAsia="宋体" w:cs="Times New Roman"/>
              <w:b w:val="0"/>
              <w:bCs w:val="0"/>
              <w:snapToGrid w:val="0"/>
              <w:color w:val="auto"/>
              <w:sz w:val="28"/>
              <w:szCs w:val="28"/>
              <w:highlight w:val="none"/>
            </w:rPr>
            <w:t>三、区域环境质量现状、环境保护目标及评价标准</w:t>
          </w:r>
          <w:r>
            <w:rPr>
              <w:rFonts w:hint="default" w:ascii="Times New Roman" w:hAnsi="Times New Roman" w:eastAsia="宋体" w:cs="Times New Roman"/>
              <w:b w:val="0"/>
              <w:bCs w:val="0"/>
              <w:color w:val="auto"/>
              <w:sz w:val="28"/>
              <w:szCs w:val="28"/>
              <w:highlight w:val="none"/>
            </w:rPr>
            <w:tab/>
          </w:r>
          <w:r>
            <w:rPr>
              <w:rFonts w:hint="default" w:ascii="Times New Roman" w:hAnsi="Times New Roman" w:eastAsia="宋体" w:cs="Times New Roman"/>
              <w:b w:val="0"/>
              <w:bCs w:val="0"/>
              <w:color w:val="auto"/>
              <w:sz w:val="28"/>
              <w:szCs w:val="28"/>
              <w:highlight w:val="none"/>
            </w:rPr>
            <w:fldChar w:fldCharType="begin"/>
          </w:r>
          <w:r>
            <w:rPr>
              <w:rFonts w:hint="default" w:ascii="Times New Roman" w:hAnsi="Times New Roman" w:eastAsia="宋体" w:cs="Times New Roman"/>
              <w:b w:val="0"/>
              <w:bCs w:val="0"/>
              <w:color w:val="auto"/>
              <w:sz w:val="28"/>
              <w:szCs w:val="28"/>
              <w:highlight w:val="none"/>
            </w:rPr>
            <w:instrText xml:space="preserve"> PAGEREF _Toc26732 \h </w:instrText>
          </w:r>
          <w:r>
            <w:rPr>
              <w:rFonts w:hint="default" w:ascii="Times New Roman" w:hAnsi="Times New Roman" w:eastAsia="宋体" w:cs="Times New Roman"/>
              <w:b w:val="0"/>
              <w:bCs w:val="0"/>
              <w:color w:val="auto"/>
              <w:sz w:val="28"/>
              <w:szCs w:val="28"/>
              <w:highlight w:val="none"/>
            </w:rPr>
            <w:fldChar w:fldCharType="separate"/>
          </w:r>
          <w:r>
            <w:rPr>
              <w:rFonts w:hint="default" w:ascii="Times New Roman" w:hAnsi="Times New Roman" w:eastAsia="宋体" w:cs="Times New Roman"/>
              <w:b w:val="0"/>
              <w:bCs w:val="0"/>
              <w:color w:val="auto"/>
              <w:sz w:val="28"/>
              <w:szCs w:val="28"/>
              <w:highlight w:val="none"/>
            </w:rPr>
            <w:t>52</w:t>
          </w:r>
          <w:r>
            <w:rPr>
              <w:rFonts w:hint="default" w:ascii="Times New Roman" w:hAnsi="Times New Roman" w:eastAsia="宋体" w:cs="Times New Roman"/>
              <w:b w:val="0"/>
              <w:bCs w:val="0"/>
              <w:color w:val="auto"/>
              <w:sz w:val="28"/>
              <w:szCs w:val="28"/>
              <w:highlight w:val="none"/>
            </w:rPr>
            <w:fldChar w:fldCharType="end"/>
          </w:r>
          <w:r>
            <w:rPr>
              <w:rFonts w:hint="default" w:ascii="Times New Roman" w:hAnsi="Times New Roman" w:eastAsia="宋体" w:cs="Times New Roman"/>
              <w:b w:val="0"/>
              <w:bCs w:val="0"/>
              <w:color w:val="auto"/>
              <w:sz w:val="28"/>
              <w:szCs w:val="28"/>
              <w:highlight w:val="none"/>
              <w:lang w:eastAsia="zh-CN"/>
            </w:rPr>
            <w:fldChar w:fldCharType="end"/>
          </w:r>
        </w:p>
        <w:p w14:paraId="1130DB60">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lang w:eastAsia="zh-CN"/>
            </w:rPr>
            <w:fldChar w:fldCharType="begin"/>
          </w:r>
          <w:r>
            <w:rPr>
              <w:rFonts w:hint="default" w:ascii="Times New Roman" w:hAnsi="Times New Roman" w:eastAsia="宋体" w:cs="Times New Roman"/>
              <w:b w:val="0"/>
              <w:bCs w:val="0"/>
              <w:color w:val="auto"/>
              <w:sz w:val="28"/>
              <w:szCs w:val="28"/>
              <w:highlight w:val="none"/>
              <w:lang w:eastAsia="zh-CN"/>
            </w:rPr>
            <w:instrText xml:space="preserve"> HYPERLINK \l _Toc27921 </w:instrText>
          </w:r>
          <w:r>
            <w:rPr>
              <w:rFonts w:hint="default" w:ascii="Times New Roman" w:hAnsi="Times New Roman" w:eastAsia="宋体" w:cs="Times New Roman"/>
              <w:b w:val="0"/>
              <w:bCs w:val="0"/>
              <w:color w:val="auto"/>
              <w:sz w:val="28"/>
              <w:szCs w:val="28"/>
              <w:highlight w:val="none"/>
              <w:lang w:eastAsia="zh-CN"/>
            </w:rPr>
            <w:fldChar w:fldCharType="separate"/>
          </w:r>
          <w:r>
            <w:rPr>
              <w:rFonts w:hint="default" w:ascii="Times New Roman" w:hAnsi="Times New Roman" w:eastAsia="宋体" w:cs="Times New Roman"/>
              <w:b w:val="0"/>
              <w:bCs w:val="0"/>
              <w:snapToGrid w:val="0"/>
              <w:color w:val="auto"/>
              <w:sz w:val="28"/>
              <w:szCs w:val="28"/>
              <w:highlight w:val="none"/>
            </w:rPr>
            <w:t>四、主要环境影响和保护措施</w:t>
          </w:r>
          <w:r>
            <w:rPr>
              <w:rFonts w:hint="default" w:ascii="Times New Roman" w:hAnsi="Times New Roman" w:eastAsia="宋体" w:cs="Times New Roman"/>
              <w:b w:val="0"/>
              <w:bCs w:val="0"/>
              <w:color w:val="auto"/>
              <w:sz w:val="28"/>
              <w:szCs w:val="28"/>
              <w:highlight w:val="none"/>
            </w:rPr>
            <w:tab/>
          </w:r>
          <w:r>
            <w:rPr>
              <w:rFonts w:hint="default" w:ascii="Times New Roman" w:hAnsi="Times New Roman" w:eastAsia="宋体" w:cs="Times New Roman"/>
              <w:b w:val="0"/>
              <w:bCs w:val="0"/>
              <w:color w:val="auto"/>
              <w:sz w:val="28"/>
              <w:szCs w:val="28"/>
              <w:highlight w:val="none"/>
            </w:rPr>
            <w:fldChar w:fldCharType="begin"/>
          </w:r>
          <w:r>
            <w:rPr>
              <w:rFonts w:hint="default" w:ascii="Times New Roman" w:hAnsi="Times New Roman" w:eastAsia="宋体" w:cs="Times New Roman"/>
              <w:b w:val="0"/>
              <w:bCs w:val="0"/>
              <w:color w:val="auto"/>
              <w:sz w:val="28"/>
              <w:szCs w:val="28"/>
              <w:highlight w:val="none"/>
            </w:rPr>
            <w:instrText xml:space="preserve"> PAGEREF _Toc27921 \h </w:instrText>
          </w:r>
          <w:r>
            <w:rPr>
              <w:rFonts w:hint="default" w:ascii="Times New Roman" w:hAnsi="Times New Roman" w:eastAsia="宋体" w:cs="Times New Roman"/>
              <w:b w:val="0"/>
              <w:bCs w:val="0"/>
              <w:color w:val="auto"/>
              <w:sz w:val="28"/>
              <w:szCs w:val="28"/>
              <w:highlight w:val="none"/>
            </w:rPr>
            <w:fldChar w:fldCharType="separate"/>
          </w:r>
          <w:r>
            <w:rPr>
              <w:rFonts w:hint="default" w:ascii="Times New Roman" w:hAnsi="Times New Roman" w:eastAsia="宋体" w:cs="Times New Roman"/>
              <w:b w:val="0"/>
              <w:bCs w:val="0"/>
              <w:color w:val="auto"/>
              <w:sz w:val="28"/>
              <w:szCs w:val="28"/>
              <w:highlight w:val="none"/>
            </w:rPr>
            <w:t>66</w:t>
          </w:r>
          <w:r>
            <w:rPr>
              <w:rFonts w:hint="default" w:ascii="Times New Roman" w:hAnsi="Times New Roman" w:eastAsia="宋体" w:cs="Times New Roman"/>
              <w:b w:val="0"/>
              <w:bCs w:val="0"/>
              <w:color w:val="auto"/>
              <w:sz w:val="28"/>
              <w:szCs w:val="28"/>
              <w:highlight w:val="none"/>
            </w:rPr>
            <w:fldChar w:fldCharType="end"/>
          </w:r>
          <w:r>
            <w:rPr>
              <w:rFonts w:hint="default" w:ascii="Times New Roman" w:hAnsi="Times New Roman" w:eastAsia="宋体" w:cs="Times New Roman"/>
              <w:b w:val="0"/>
              <w:bCs w:val="0"/>
              <w:color w:val="auto"/>
              <w:sz w:val="28"/>
              <w:szCs w:val="28"/>
              <w:highlight w:val="none"/>
              <w:lang w:eastAsia="zh-CN"/>
            </w:rPr>
            <w:fldChar w:fldCharType="end"/>
          </w:r>
        </w:p>
        <w:p w14:paraId="49F42A4C">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lang w:eastAsia="zh-CN"/>
            </w:rPr>
            <w:fldChar w:fldCharType="begin"/>
          </w:r>
          <w:r>
            <w:rPr>
              <w:rFonts w:hint="default" w:ascii="Times New Roman" w:hAnsi="Times New Roman" w:eastAsia="宋体" w:cs="Times New Roman"/>
              <w:b w:val="0"/>
              <w:bCs w:val="0"/>
              <w:color w:val="auto"/>
              <w:sz w:val="28"/>
              <w:szCs w:val="28"/>
              <w:highlight w:val="none"/>
              <w:lang w:eastAsia="zh-CN"/>
            </w:rPr>
            <w:instrText xml:space="preserve"> HYPERLINK \l _Toc22794 </w:instrText>
          </w:r>
          <w:r>
            <w:rPr>
              <w:rFonts w:hint="default" w:ascii="Times New Roman" w:hAnsi="Times New Roman" w:eastAsia="宋体" w:cs="Times New Roman"/>
              <w:b w:val="0"/>
              <w:bCs w:val="0"/>
              <w:color w:val="auto"/>
              <w:sz w:val="28"/>
              <w:szCs w:val="28"/>
              <w:highlight w:val="none"/>
              <w:lang w:eastAsia="zh-CN"/>
            </w:rPr>
            <w:fldChar w:fldCharType="separate"/>
          </w:r>
          <w:r>
            <w:rPr>
              <w:rFonts w:hint="default" w:ascii="Times New Roman" w:hAnsi="Times New Roman" w:eastAsia="宋体" w:cs="Times New Roman"/>
              <w:b w:val="0"/>
              <w:bCs w:val="0"/>
              <w:snapToGrid w:val="0"/>
              <w:color w:val="auto"/>
              <w:sz w:val="28"/>
              <w:szCs w:val="28"/>
              <w:highlight w:val="none"/>
            </w:rPr>
            <w:t>五、环境保护措施监督检查清单</w:t>
          </w:r>
          <w:r>
            <w:rPr>
              <w:rFonts w:hint="default" w:ascii="Times New Roman" w:hAnsi="Times New Roman" w:eastAsia="宋体" w:cs="Times New Roman"/>
              <w:b w:val="0"/>
              <w:bCs w:val="0"/>
              <w:color w:val="auto"/>
              <w:sz w:val="28"/>
              <w:szCs w:val="28"/>
              <w:highlight w:val="none"/>
            </w:rPr>
            <w:tab/>
          </w:r>
          <w:r>
            <w:rPr>
              <w:rFonts w:hint="default" w:ascii="Times New Roman" w:hAnsi="Times New Roman" w:eastAsia="宋体" w:cs="Times New Roman"/>
              <w:b w:val="0"/>
              <w:bCs w:val="0"/>
              <w:color w:val="auto"/>
              <w:sz w:val="28"/>
              <w:szCs w:val="28"/>
              <w:highlight w:val="none"/>
            </w:rPr>
            <w:fldChar w:fldCharType="begin"/>
          </w:r>
          <w:r>
            <w:rPr>
              <w:rFonts w:hint="default" w:ascii="Times New Roman" w:hAnsi="Times New Roman" w:eastAsia="宋体" w:cs="Times New Roman"/>
              <w:b w:val="0"/>
              <w:bCs w:val="0"/>
              <w:color w:val="auto"/>
              <w:sz w:val="28"/>
              <w:szCs w:val="28"/>
              <w:highlight w:val="none"/>
            </w:rPr>
            <w:instrText xml:space="preserve"> PAGEREF _Toc22794 \h </w:instrText>
          </w:r>
          <w:r>
            <w:rPr>
              <w:rFonts w:hint="default" w:ascii="Times New Roman" w:hAnsi="Times New Roman" w:eastAsia="宋体" w:cs="Times New Roman"/>
              <w:b w:val="0"/>
              <w:bCs w:val="0"/>
              <w:color w:val="auto"/>
              <w:sz w:val="28"/>
              <w:szCs w:val="28"/>
              <w:highlight w:val="none"/>
            </w:rPr>
            <w:fldChar w:fldCharType="separate"/>
          </w:r>
          <w:r>
            <w:rPr>
              <w:rFonts w:hint="default" w:ascii="Times New Roman" w:hAnsi="Times New Roman" w:eastAsia="宋体" w:cs="Times New Roman"/>
              <w:b w:val="0"/>
              <w:bCs w:val="0"/>
              <w:color w:val="auto"/>
              <w:sz w:val="28"/>
              <w:szCs w:val="28"/>
              <w:highlight w:val="none"/>
            </w:rPr>
            <w:t>97</w:t>
          </w:r>
          <w:r>
            <w:rPr>
              <w:rFonts w:hint="default" w:ascii="Times New Roman" w:hAnsi="Times New Roman" w:eastAsia="宋体" w:cs="Times New Roman"/>
              <w:b w:val="0"/>
              <w:bCs w:val="0"/>
              <w:color w:val="auto"/>
              <w:sz w:val="28"/>
              <w:szCs w:val="28"/>
              <w:highlight w:val="none"/>
            </w:rPr>
            <w:fldChar w:fldCharType="end"/>
          </w:r>
          <w:r>
            <w:rPr>
              <w:rFonts w:hint="default" w:ascii="Times New Roman" w:hAnsi="Times New Roman" w:eastAsia="宋体" w:cs="Times New Roman"/>
              <w:b w:val="0"/>
              <w:bCs w:val="0"/>
              <w:color w:val="auto"/>
              <w:sz w:val="28"/>
              <w:szCs w:val="28"/>
              <w:highlight w:val="none"/>
              <w:lang w:eastAsia="zh-CN"/>
            </w:rPr>
            <w:fldChar w:fldCharType="end"/>
          </w:r>
        </w:p>
        <w:p w14:paraId="0B0C255A">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lang w:eastAsia="zh-CN"/>
            </w:rPr>
            <w:fldChar w:fldCharType="begin"/>
          </w:r>
          <w:r>
            <w:rPr>
              <w:rFonts w:hint="default" w:ascii="Times New Roman" w:hAnsi="Times New Roman" w:eastAsia="宋体" w:cs="Times New Roman"/>
              <w:b w:val="0"/>
              <w:bCs w:val="0"/>
              <w:color w:val="auto"/>
              <w:sz w:val="28"/>
              <w:szCs w:val="28"/>
              <w:highlight w:val="none"/>
              <w:lang w:eastAsia="zh-CN"/>
            </w:rPr>
            <w:instrText xml:space="preserve"> HYPERLINK \l _Toc215 </w:instrText>
          </w:r>
          <w:r>
            <w:rPr>
              <w:rFonts w:hint="default" w:ascii="Times New Roman" w:hAnsi="Times New Roman" w:eastAsia="宋体" w:cs="Times New Roman"/>
              <w:b w:val="0"/>
              <w:bCs w:val="0"/>
              <w:color w:val="auto"/>
              <w:sz w:val="28"/>
              <w:szCs w:val="28"/>
              <w:highlight w:val="none"/>
              <w:lang w:eastAsia="zh-CN"/>
            </w:rPr>
            <w:fldChar w:fldCharType="separate"/>
          </w:r>
          <w:r>
            <w:rPr>
              <w:rFonts w:hint="default" w:ascii="Times New Roman" w:hAnsi="Times New Roman" w:eastAsia="宋体" w:cs="Times New Roman"/>
              <w:b w:val="0"/>
              <w:bCs w:val="0"/>
              <w:snapToGrid w:val="0"/>
              <w:color w:val="auto"/>
              <w:sz w:val="28"/>
              <w:szCs w:val="28"/>
              <w:highlight w:val="none"/>
            </w:rPr>
            <w:t>六、结论</w:t>
          </w:r>
          <w:r>
            <w:rPr>
              <w:rFonts w:hint="default" w:ascii="Times New Roman" w:hAnsi="Times New Roman" w:eastAsia="宋体" w:cs="Times New Roman"/>
              <w:b w:val="0"/>
              <w:bCs w:val="0"/>
              <w:color w:val="auto"/>
              <w:sz w:val="28"/>
              <w:szCs w:val="28"/>
              <w:highlight w:val="none"/>
            </w:rPr>
            <w:tab/>
          </w:r>
          <w:r>
            <w:rPr>
              <w:rFonts w:hint="default" w:ascii="Times New Roman" w:hAnsi="Times New Roman" w:eastAsia="宋体" w:cs="Times New Roman"/>
              <w:b w:val="0"/>
              <w:bCs w:val="0"/>
              <w:color w:val="auto"/>
              <w:sz w:val="28"/>
              <w:szCs w:val="28"/>
              <w:highlight w:val="none"/>
            </w:rPr>
            <w:fldChar w:fldCharType="begin"/>
          </w:r>
          <w:r>
            <w:rPr>
              <w:rFonts w:hint="default" w:ascii="Times New Roman" w:hAnsi="Times New Roman" w:eastAsia="宋体" w:cs="Times New Roman"/>
              <w:b w:val="0"/>
              <w:bCs w:val="0"/>
              <w:color w:val="auto"/>
              <w:sz w:val="28"/>
              <w:szCs w:val="28"/>
              <w:highlight w:val="none"/>
            </w:rPr>
            <w:instrText xml:space="preserve"> PAGEREF _Toc215 \h </w:instrText>
          </w:r>
          <w:r>
            <w:rPr>
              <w:rFonts w:hint="default" w:ascii="Times New Roman" w:hAnsi="Times New Roman" w:eastAsia="宋体" w:cs="Times New Roman"/>
              <w:b w:val="0"/>
              <w:bCs w:val="0"/>
              <w:color w:val="auto"/>
              <w:sz w:val="28"/>
              <w:szCs w:val="28"/>
              <w:highlight w:val="none"/>
            </w:rPr>
            <w:fldChar w:fldCharType="separate"/>
          </w:r>
          <w:r>
            <w:rPr>
              <w:rFonts w:hint="default" w:ascii="Times New Roman" w:hAnsi="Times New Roman" w:eastAsia="宋体" w:cs="Times New Roman"/>
              <w:b w:val="0"/>
              <w:bCs w:val="0"/>
              <w:color w:val="auto"/>
              <w:sz w:val="28"/>
              <w:szCs w:val="28"/>
              <w:highlight w:val="none"/>
            </w:rPr>
            <w:t>105</w:t>
          </w:r>
          <w:r>
            <w:rPr>
              <w:rFonts w:hint="default" w:ascii="Times New Roman" w:hAnsi="Times New Roman" w:eastAsia="宋体" w:cs="Times New Roman"/>
              <w:b w:val="0"/>
              <w:bCs w:val="0"/>
              <w:color w:val="auto"/>
              <w:sz w:val="28"/>
              <w:szCs w:val="28"/>
              <w:highlight w:val="none"/>
            </w:rPr>
            <w:fldChar w:fldCharType="end"/>
          </w:r>
          <w:r>
            <w:rPr>
              <w:rFonts w:hint="default" w:ascii="Times New Roman" w:hAnsi="Times New Roman" w:eastAsia="宋体" w:cs="Times New Roman"/>
              <w:b w:val="0"/>
              <w:bCs w:val="0"/>
              <w:color w:val="auto"/>
              <w:sz w:val="28"/>
              <w:szCs w:val="28"/>
              <w:highlight w:val="none"/>
              <w:lang w:eastAsia="zh-CN"/>
            </w:rPr>
            <w:fldChar w:fldCharType="end"/>
          </w:r>
        </w:p>
        <w:p w14:paraId="76D28EA5">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lang w:eastAsia="zh-CN"/>
            </w:rPr>
            <w:fldChar w:fldCharType="begin"/>
          </w:r>
          <w:r>
            <w:rPr>
              <w:rFonts w:hint="default" w:ascii="Times New Roman" w:hAnsi="Times New Roman" w:eastAsia="宋体" w:cs="Times New Roman"/>
              <w:b w:val="0"/>
              <w:bCs w:val="0"/>
              <w:color w:val="auto"/>
              <w:sz w:val="28"/>
              <w:szCs w:val="28"/>
              <w:highlight w:val="none"/>
              <w:lang w:eastAsia="zh-CN"/>
            </w:rPr>
            <w:instrText xml:space="preserve"> HYPERLINK \l _Toc31220 </w:instrText>
          </w:r>
          <w:r>
            <w:rPr>
              <w:rFonts w:hint="default" w:ascii="Times New Roman" w:hAnsi="Times New Roman" w:eastAsia="宋体" w:cs="Times New Roman"/>
              <w:b w:val="0"/>
              <w:bCs w:val="0"/>
              <w:color w:val="auto"/>
              <w:sz w:val="28"/>
              <w:szCs w:val="28"/>
              <w:highlight w:val="none"/>
              <w:lang w:eastAsia="zh-CN"/>
            </w:rPr>
            <w:fldChar w:fldCharType="separate"/>
          </w:r>
          <w:r>
            <w:rPr>
              <w:rFonts w:hint="default" w:ascii="Times New Roman" w:hAnsi="Times New Roman" w:eastAsia="宋体" w:cs="Times New Roman"/>
              <w:b w:val="0"/>
              <w:bCs w:val="0"/>
              <w:snapToGrid w:val="0"/>
              <w:color w:val="auto"/>
              <w:sz w:val="28"/>
              <w:szCs w:val="28"/>
              <w:highlight w:val="none"/>
            </w:rPr>
            <w:t>附表</w:t>
          </w:r>
          <w:r>
            <w:rPr>
              <w:rFonts w:hint="default" w:ascii="Times New Roman" w:hAnsi="Times New Roman" w:eastAsia="宋体" w:cs="Times New Roman"/>
              <w:b w:val="0"/>
              <w:bCs w:val="0"/>
              <w:color w:val="auto"/>
              <w:sz w:val="28"/>
              <w:szCs w:val="28"/>
              <w:highlight w:val="none"/>
            </w:rPr>
            <w:tab/>
          </w:r>
          <w:r>
            <w:rPr>
              <w:rFonts w:hint="default" w:ascii="Times New Roman" w:hAnsi="Times New Roman" w:eastAsia="宋体" w:cs="Times New Roman"/>
              <w:b w:val="0"/>
              <w:bCs w:val="0"/>
              <w:color w:val="auto"/>
              <w:sz w:val="28"/>
              <w:szCs w:val="28"/>
              <w:highlight w:val="none"/>
            </w:rPr>
            <w:fldChar w:fldCharType="begin"/>
          </w:r>
          <w:r>
            <w:rPr>
              <w:rFonts w:hint="default" w:ascii="Times New Roman" w:hAnsi="Times New Roman" w:eastAsia="宋体" w:cs="Times New Roman"/>
              <w:b w:val="0"/>
              <w:bCs w:val="0"/>
              <w:color w:val="auto"/>
              <w:sz w:val="28"/>
              <w:szCs w:val="28"/>
              <w:highlight w:val="none"/>
            </w:rPr>
            <w:instrText xml:space="preserve"> PAGEREF _Toc31220 \h </w:instrText>
          </w:r>
          <w:r>
            <w:rPr>
              <w:rFonts w:hint="default" w:ascii="Times New Roman" w:hAnsi="Times New Roman" w:eastAsia="宋体" w:cs="Times New Roman"/>
              <w:b w:val="0"/>
              <w:bCs w:val="0"/>
              <w:color w:val="auto"/>
              <w:sz w:val="28"/>
              <w:szCs w:val="28"/>
              <w:highlight w:val="none"/>
            </w:rPr>
            <w:fldChar w:fldCharType="separate"/>
          </w:r>
          <w:r>
            <w:rPr>
              <w:rFonts w:hint="default" w:ascii="Times New Roman" w:hAnsi="Times New Roman" w:eastAsia="宋体" w:cs="Times New Roman"/>
              <w:b w:val="0"/>
              <w:bCs w:val="0"/>
              <w:color w:val="auto"/>
              <w:sz w:val="28"/>
              <w:szCs w:val="28"/>
              <w:highlight w:val="none"/>
            </w:rPr>
            <w:t>106</w:t>
          </w:r>
          <w:r>
            <w:rPr>
              <w:rFonts w:hint="default" w:ascii="Times New Roman" w:hAnsi="Times New Roman" w:eastAsia="宋体" w:cs="Times New Roman"/>
              <w:b w:val="0"/>
              <w:bCs w:val="0"/>
              <w:color w:val="auto"/>
              <w:sz w:val="28"/>
              <w:szCs w:val="28"/>
              <w:highlight w:val="none"/>
            </w:rPr>
            <w:fldChar w:fldCharType="end"/>
          </w:r>
          <w:r>
            <w:rPr>
              <w:rFonts w:hint="default" w:ascii="Times New Roman" w:hAnsi="Times New Roman" w:eastAsia="宋体" w:cs="Times New Roman"/>
              <w:b w:val="0"/>
              <w:bCs w:val="0"/>
              <w:color w:val="auto"/>
              <w:sz w:val="28"/>
              <w:szCs w:val="28"/>
              <w:highlight w:val="none"/>
              <w:lang w:eastAsia="zh-CN"/>
            </w:rPr>
            <w:fldChar w:fldCharType="end"/>
          </w:r>
        </w:p>
        <w:p w14:paraId="643197D3">
          <w:pPr>
            <w:pStyle w:val="20"/>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Times New Roman" w:hAnsi="Calibri" w:eastAsia="宋体" w:cs="Times New Roman"/>
              <w:bCs/>
              <w:i/>
              <w:color w:val="auto"/>
              <w:sz w:val="21"/>
              <w:szCs w:val="30"/>
              <w:highlight w:val="none"/>
              <w:lang w:val="en-US" w:eastAsia="zh-CN" w:bidi="ar-SA"/>
            </w:rPr>
          </w:pPr>
          <w:r>
            <w:rPr>
              <w:rFonts w:hint="default" w:ascii="Times New Roman" w:hAnsi="Times New Roman" w:eastAsia="宋体" w:cs="Times New Roman"/>
              <w:b w:val="0"/>
              <w:bCs w:val="0"/>
              <w:color w:val="auto"/>
              <w:sz w:val="28"/>
              <w:szCs w:val="28"/>
              <w:highlight w:val="none"/>
              <w:lang w:eastAsia="zh-CN"/>
            </w:rPr>
            <w:fldChar w:fldCharType="begin"/>
          </w:r>
          <w:r>
            <w:rPr>
              <w:rFonts w:hint="default" w:ascii="Times New Roman" w:hAnsi="Times New Roman" w:eastAsia="宋体" w:cs="Times New Roman"/>
              <w:b w:val="0"/>
              <w:bCs w:val="0"/>
              <w:color w:val="auto"/>
              <w:sz w:val="28"/>
              <w:szCs w:val="28"/>
              <w:highlight w:val="none"/>
              <w:lang w:eastAsia="zh-CN"/>
            </w:rPr>
            <w:instrText xml:space="preserve"> HYPERLINK \l _Toc25086 </w:instrText>
          </w:r>
          <w:r>
            <w:rPr>
              <w:rFonts w:hint="default" w:ascii="Times New Roman" w:hAnsi="Times New Roman" w:eastAsia="宋体" w:cs="Times New Roman"/>
              <w:b w:val="0"/>
              <w:bCs w:val="0"/>
              <w:color w:val="auto"/>
              <w:sz w:val="28"/>
              <w:szCs w:val="28"/>
              <w:highlight w:val="none"/>
              <w:lang w:eastAsia="zh-CN"/>
            </w:rPr>
            <w:fldChar w:fldCharType="separate"/>
          </w:r>
          <w:r>
            <w:rPr>
              <w:rFonts w:hint="default" w:ascii="Times New Roman" w:hAnsi="Times New Roman" w:eastAsia="宋体" w:cs="Times New Roman"/>
              <w:b w:val="0"/>
              <w:bCs w:val="0"/>
              <w:snapToGrid w:val="0"/>
              <w:color w:val="auto"/>
              <w:sz w:val="28"/>
              <w:szCs w:val="28"/>
              <w:highlight w:val="none"/>
            </w:rPr>
            <w:t>建设项目污染物排放量汇总表</w:t>
          </w:r>
          <w:r>
            <w:rPr>
              <w:rFonts w:hint="default" w:ascii="Times New Roman" w:hAnsi="Times New Roman" w:eastAsia="宋体" w:cs="Times New Roman"/>
              <w:b w:val="0"/>
              <w:bCs w:val="0"/>
              <w:color w:val="auto"/>
              <w:sz w:val="28"/>
              <w:szCs w:val="28"/>
              <w:highlight w:val="none"/>
            </w:rPr>
            <w:tab/>
          </w:r>
          <w:r>
            <w:rPr>
              <w:rFonts w:hint="default" w:ascii="Times New Roman" w:hAnsi="Times New Roman" w:eastAsia="宋体" w:cs="Times New Roman"/>
              <w:b w:val="0"/>
              <w:bCs w:val="0"/>
              <w:color w:val="auto"/>
              <w:sz w:val="28"/>
              <w:szCs w:val="28"/>
              <w:highlight w:val="none"/>
            </w:rPr>
            <w:fldChar w:fldCharType="begin"/>
          </w:r>
          <w:r>
            <w:rPr>
              <w:rFonts w:hint="default" w:ascii="Times New Roman" w:hAnsi="Times New Roman" w:eastAsia="宋体" w:cs="Times New Roman"/>
              <w:b w:val="0"/>
              <w:bCs w:val="0"/>
              <w:color w:val="auto"/>
              <w:sz w:val="28"/>
              <w:szCs w:val="28"/>
              <w:highlight w:val="none"/>
            </w:rPr>
            <w:instrText xml:space="preserve"> PAGEREF _Toc25086 \h </w:instrText>
          </w:r>
          <w:r>
            <w:rPr>
              <w:rFonts w:hint="default" w:ascii="Times New Roman" w:hAnsi="Times New Roman" w:eastAsia="宋体" w:cs="Times New Roman"/>
              <w:b w:val="0"/>
              <w:bCs w:val="0"/>
              <w:color w:val="auto"/>
              <w:sz w:val="28"/>
              <w:szCs w:val="28"/>
              <w:highlight w:val="none"/>
            </w:rPr>
            <w:fldChar w:fldCharType="separate"/>
          </w:r>
          <w:r>
            <w:rPr>
              <w:rFonts w:hint="default" w:ascii="Times New Roman" w:hAnsi="Times New Roman" w:eastAsia="宋体" w:cs="Times New Roman"/>
              <w:b w:val="0"/>
              <w:bCs w:val="0"/>
              <w:color w:val="auto"/>
              <w:sz w:val="28"/>
              <w:szCs w:val="28"/>
              <w:highlight w:val="none"/>
            </w:rPr>
            <w:t>106</w:t>
          </w:r>
          <w:r>
            <w:rPr>
              <w:rFonts w:hint="default" w:ascii="Times New Roman" w:hAnsi="Times New Roman" w:eastAsia="宋体" w:cs="Times New Roman"/>
              <w:b w:val="0"/>
              <w:bCs w:val="0"/>
              <w:color w:val="auto"/>
              <w:sz w:val="28"/>
              <w:szCs w:val="28"/>
              <w:highlight w:val="none"/>
            </w:rPr>
            <w:fldChar w:fldCharType="end"/>
          </w:r>
          <w:r>
            <w:rPr>
              <w:rFonts w:hint="default" w:ascii="Times New Roman" w:hAnsi="Times New Roman" w:eastAsia="宋体" w:cs="Times New Roman"/>
              <w:b w:val="0"/>
              <w:bCs w:val="0"/>
              <w:color w:val="auto"/>
              <w:sz w:val="28"/>
              <w:szCs w:val="28"/>
              <w:highlight w:val="none"/>
              <w:lang w:eastAsia="zh-CN"/>
            </w:rPr>
            <w:fldChar w:fldCharType="end"/>
          </w:r>
          <w:r>
            <w:rPr>
              <w:rFonts w:hint="eastAsia" w:ascii="Times New Roman"/>
              <w:bCs/>
              <w:color w:val="auto"/>
              <w:szCs w:val="30"/>
              <w:highlight w:val="none"/>
              <w:lang w:eastAsia="zh-CN"/>
            </w:rPr>
            <w:fldChar w:fldCharType="end"/>
          </w:r>
        </w:p>
      </w:sdtContent>
    </w:sdt>
    <w:p w14:paraId="06F8ADD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b/>
          <w:color w:val="auto"/>
          <w:sz w:val="28"/>
          <w:szCs w:val="28"/>
          <w:highlight w:val="none"/>
        </w:rPr>
      </w:pPr>
      <w:bookmarkStart w:id="1" w:name="_Toc461298460"/>
    </w:p>
    <w:p w14:paraId="05EFAED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eastAsiaTheme="minorEastAsia"/>
          <w:b/>
          <w:color w:val="auto"/>
          <w:sz w:val="28"/>
          <w:szCs w:val="28"/>
          <w:highlight w:val="none"/>
          <w:lang w:val="en-US" w:eastAsia="zh-CN"/>
        </w:rPr>
      </w:pPr>
      <w:bookmarkStart w:id="2" w:name="_Toc17238"/>
      <w:bookmarkStart w:id="3" w:name="_Toc2928"/>
      <w:bookmarkStart w:id="4" w:name="_Toc2481"/>
      <w:bookmarkStart w:id="5" w:name="_Toc5523"/>
      <w:r>
        <w:rPr>
          <w:rFonts w:hint="eastAsia" w:ascii="Times New Roman" w:hAnsi="Times New Roman" w:cs="Times New Roman" w:eastAsiaTheme="minorEastAsia"/>
          <w:b/>
          <w:color w:val="auto"/>
          <w:sz w:val="28"/>
          <w:szCs w:val="28"/>
          <w:highlight w:val="none"/>
        </w:rPr>
        <w:t>专项一   环境风险专</w:t>
      </w:r>
      <w:bookmarkEnd w:id="2"/>
      <w:bookmarkEnd w:id="3"/>
      <w:bookmarkEnd w:id="4"/>
      <w:bookmarkEnd w:id="5"/>
      <w:r>
        <w:rPr>
          <w:rFonts w:hint="eastAsia" w:cs="Times New Roman" w:eastAsiaTheme="minorEastAsia"/>
          <w:b/>
          <w:color w:val="auto"/>
          <w:sz w:val="28"/>
          <w:szCs w:val="28"/>
          <w:highlight w:val="none"/>
          <w:lang w:val="en-US" w:eastAsia="zh-CN"/>
        </w:rPr>
        <w:t>章</w:t>
      </w:r>
    </w:p>
    <w:p w14:paraId="4EACD39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b/>
          <w:color w:val="auto"/>
          <w:sz w:val="28"/>
          <w:szCs w:val="28"/>
          <w:highlight w:val="none"/>
        </w:rPr>
      </w:pPr>
      <w:r>
        <w:rPr>
          <w:rFonts w:hint="default" w:ascii="Times New Roman" w:hAnsi="Times New Roman" w:cs="Times New Roman" w:eastAsiaTheme="minorEastAsia"/>
          <w:b/>
          <w:color w:val="auto"/>
          <w:sz w:val="28"/>
          <w:szCs w:val="28"/>
          <w:highlight w:val="none"/>
        </w:rPr>
        <w:t>附图：</w:t>
      </w:r>
    </w:p>
    <w:p w14:paraId="3BAB1B9A">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附图1</w:t>
      </w:r>
      <w:r>
        <w:rPr>
          <w:rFonts w:hint="eastAsia" w:ascii="Times New Roman" w:hAnsi="Times New Roman" w:cs="Times New Roman" w:eastAsiaTheme="minorEastAsia"/>
          <w:color w:val="auto"/>
          <w:sz w:val="28"/>
          <w:szCs w:val="28"/>
          <w:highlight w:val="none"/>
          <w:lang w:eastAsia="zh-CN"/>
        </w:rPr>
        <w:t>、</w:t>
      </w:r>
      <w:r>
        <w:rPr>
          <w:rFonts w:hint="default" w:ascii="Times New Roman" w:hAnsi="Times New Roman" w:cs="Times New Roman" w:eastAsiaTheme="minorEastAsia"/>
          <w:color w:val="auto"/>
          <w:sz w:val="28"/>
          <w:szCs w:val="28"/>
          <w:highlight w:val="none"/>
          <w:lang w:eastAsia="zh-CN"/>
        </w:rPr>
        <w:t>项目</w:t>
      </w:r>
      <w:r>
        <w:rPr>
          <w:rFonts w:hint="default" w:ascii="Times New Roman" w:hAnsi="Times New Roman" w:cs="Times New Roman" w:eastAsiaTheme="minorEastAsia"/>
          <w:color w:val="auto"/>
          <w:sz w:val="28"/>
          <w:szCs w:val="28"/>
          <w:highlight w:val="none"/>
        </w:rPr>
        <w:t>地理位置图</w:t>
      </w:r>
    </w:p>
    <w:p w14:paraId="1D24A72D">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附图2</w:t>
      </w:r>
      <w:r>
        <w:rPr>
          <w:rFonts w:hint="eastAsia" w:ascii="Times New Roman" w:hAnsi="Times New Roman" w:cs="Times New Roman" w:eastAsiaTheme="minorEastAsia"/>
          <w:color w:val="auto"/>
          <w:sz w:val="28"/>
          <w:szCs w:val="28"/>
          <w:highlight w:val="none"/>
          <w:lang w:eastAsia="zh-CN"/>
        </w:rPr>
        <w:t>、</w:t>
      </w:r>
      <w:r>
        <w:rPr>
          <w:rFonts w:hint="default" w:ascii="Times New Roman" w:hAnsi="Times New Roman" w:cs="Times New Roman" w:eastAsiaTheme="minorEastAsia"/>
          <w:color w:val="auto"/>
          <w:sz w:val="28"/>
          <w:szCs w:val="28"/>
          <w:highlight w:val="none"/>
        </w:rPr>
        <w:t>项目总平面</w:t>
      </w:r>
      <w:r>
        <w:rPr>
          <w:rFonts w:hint="eastAsia" w:cs="Times New Roman" w:eastAsiaTheme="minorEastAsia"/>
          <w:color w:val="auto"/>
          <w:sz w:val="28"/>
          <w:szCs w:val="28"/>
          <w:highlight w:val="none"/>
          <w:lang w:val="en-US" w:eastAsia="zh-CN"/>
        </w:rPr>
        <w:t>及环保设施布置图、重点防渗分区</w:t>
      </w:r>
      <w:r>
        <w:rPr>
          <w:rFonts w:hint="default" w:ascii="Times New Roman" w:hAnsi="Times New Roman" w:cs="Times New Roman" w:eastAsiaTheme="minorEastAsia"/>
          <w:color w:val="auto"/>
          <w:sz w:val="28"/>
          <w:szCs w:val="28"/>
          <w:highlight w:val="none"/>
        </w:rPr>
        <w:t>图</w:t>
      </w:r>
    </w:p>
    <w:p w14:paraId="00F11E43">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eastAsia="zh-CN"/>
        </w:rPr>
        <w:t>附图</w:t>
      </w:r>
      <w:r>
        <w:rPr>
          <w:rFonts w:hint="eastAsia" w:ascii="Times New Roman" w:hAnsi="Times New Roman" w:cs="Times New Roman" w:eastAsiaTheme="minorEastAsia"/>
          <w:color w:val="auto"/>
          <w:sz w:val="28"/>
          <w:szCs w:val="28"/>
          <w:highlight w:val="none"/>
          <w:lang w:val="en-US" w:eastAsia="zh-CN"/>
        </w:rPr>
        <w:t>3、</w:t>
      </w:r>
      <w:r>
        <w:rPr>
          <w:rFonts w:hint="eastAsia" w:cs="Times New Roman" w:eastAsiaTheme="minorEastAsia"/>
          <w:color w:val="auto"/>
          <w:sz w:val="28"/>
          <w:szCs w:val="28"/>
          <w:highlight w:val="none"/>
          <w:lang w:val="en-US" w:eastAsia="zh-CN"/>
        </w:rPr>
        <w:t>项目全量化处理站平面布置及重点防渗分区</w:t>
      </w:r>
      <w:r>
        <w:rPr>
          <w:rFonts w:hint="default" w:ascii="Times New Roman" w:hAnsi="Times New Roman" w:cs="Times New Roman" w:eastAsiaTheme="minorEastAsia"/>
          <w:color w:val="auto"/>
          <w:sz w:val="28"/>
          <w:szCs w:val="28"/>
          <w:highlight w:val="none"/>
        </w:rPr>
        <w:t>图</w:t>
      </w:r>
    </w:p>
    <w:p w14:paraId="390DFDCE">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Times New Roman" w:hAnsi="Times New Roman" w:cs="Times New Roman" w:eastAsiaTheme="minorEastAsia"/>
          <w:color w:val="auto"/>
          <w:sz w:val="28"/>
          <w:szCs w:val="28"/>
          <w:highlight w:val="none"/>
          <w:lang w:val="en-US" w:eastAsia="zh-CN"/>
        </w:rPr>
      </w:pPr>
      <w:r>
        <w:rPr>
          <w:rFonts w:hint="eastAsia" w:cs="Times New Roman" w:eastAsiaTheme="minorEastAsia"/>
          <w:color w:val="auto"/>
          <w:sz w:val="28"/>
          <w:szCs w:val="28"/>
          <w:highlight w:val="none"/>
          <w:lang w:val="en-US" w:eastAsia="zh-CN"/>
        </w:rPr>
        <w:t>附图4、全量化处理站工艺流程布置图</w:t>
      </w:r>
    </w:p>
    <w:p w14:paraId="3F289C76">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rPr>
        <w:t>附图</w:t>
      </w:r>
      <w:r>
        <w:rPr>
          <w:rFonts w:hint="eastAsia" w:cs="Times New Roman" w:eastAsiaTheme="minorEastAsia"/>
          <w:color w:val="auto"/>
          <w:sz w:val="28"/>
          <w:szCs w:val="28"/>
          <w:highlight w:val="none"/>
          <w:lang w:val="en-US" w:eastAsia="zh-CN"/>
        </w:rPr>
        <w:t>5</w:t>
      </w:r>
      <w:r>
        <w:rPr>
          <w:rFonts w:hint="eastAsia" w:ascii="Times New Roman" w:hAnsi="Times New Roman" w:cs="Times New Roman" w:eastAsiaTheme="minorEastAsia"/>
          <w:color w:val="auto"/>
          <w:sz w:val="28"/>
          <w:szCs w:val="28"/>
          <w:highlight w:val="none"/>
          <w:lang w:val="en-US" w:eastAsia="zh-CN"/>
        </w:rPr>
        <w:t>、</w:t>
      </w:r>
      <w:r>
        <w:rPr>
          <w:rFonts w:hint="eastAsia" w:cs="Times New Roman" w:eastAsiaTheme="minorEastAsia"/>
          <w:color w:val="auto"/>
          <w:sz w:val="28"/>
          <w:szCs w:val="28"/>
          <w:highlight w:val="none"/>
          <w:lang w:val="en-US" w:eastAsia="zh-CN"/>
        </w:rPr>
        <w:t>项目固化渣暂存间平面布置及环保设施布置图</w:t>
      </w:r>
    </w:p>
    <w:p w14:paraId="42A579E0">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lang w:val="en-US" w:eastAsia="zh-CN"/>
        </w:rPr>
      </w:pPr>
      <w:r>
        <w:rPr>
          <w:rFonts w:hint="eastAsia" w:cs="Times New Roman" w:eastAsiaTheme="minorEastAsia"/>
          <w:color w:val="auto"/>
          <w:sz w:val="28"/>
          <w:szCs w:val="28"/>
          <w:highlight w:val="none"/>
          <w:lang w:val="en-US" w:eastAsia="zh-CN"/>
        </w:rPr>
        <w:t>附图6、</w:t>
      </w:r>
      <w:r>
        <w:rPr>
          <w:rFonts w:hint="eastAsia" w:ascii="Times New Roman" w:hAnsi="Times New Roman" w:cs="Times New Roman" w:eastAsiaTheme="minorEastAsia"/>
          <w:color w:val="auto"/>
          <w:sz w:val="28"/>
          <w:szCs w:val="28"/>
          <w:highlight w:val="none"/>
          <w:lang w:val="en-US" w:eastAsia="zh-CN"/>
        </w:rPr>
        <w:t>项目周边</w:t>
      </w:r>
      <w:r>
        <w:rPr>
          <w:rFonts w:hint="eastAsia" w:cs="Times New Roman" w:eastAsiaTheme="minorEastAsia"/>
          <w:color w:val="auto"/>
          <w:sz w:val="28"/>
          <w:szCs w:val="28"/>
          <w:highlight w:val="none"/>
          <w:lang w:val="en-US" w:eastAsia="zh-CN"/>
        </w:rPr>
        <w:t>环境敏感点位置关系示意</w:t>
      </w:r>
      <w:r>
        <w:rPr>
          <w:rFonts w:hint="eastAsia" w:ascii="Times New Roman" w:hAnsi="Times New Roman" w:cs="Times New Roman" w:eastAsiaTheme="minorEastAsia"/>
          <w:color w:val="auto"/>
          <w:sz w:val="28"/>
          <w:szCs w:val="28"/>
          <w:highlight w:val="none"/>
          <w:lang w:val="en-US" w:eastAsia="zh-CN"/>
        </w:rPr>
        <w:t>图</w:t>
      </w:r>
    </w:p>
    <w:p w14:paraId="0FFA81E0">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附图</w:t>
      </w:r>
      <w:r>
        <w:rPr>
          <w:rFonts w:hint="eastAsia" w:cs="Times New Roman" w:eastAsiaTheme="minorEastAsia"/>
          <w:color w:val="auto"/>
          <w:sz w:val="28"/>
          <w:szCs w:val="28"/>
          <w:highlight w:val="none"/>
          <w:lang w:val="en-US" w:eastAsia="zh-CN"/>
        </w:rPr>
        <w:t>7</w:t>
      </w:r>
      <w:r>
        <w:rPr>
          <w:rFonts w:hint="eastAsia" w:ascii="Times New Roman" w:hAnsi="Times New Roman" w:cs="Times New Roman" w:eastAsiaTheme="minorEastAsia"/>
          <w:color w:val="auto"/>
          <w:sz w:val="28"/>
          <w:szCs w:val="28"/>
          <w:highlight w:val="none"/>
          <w:lang w:val="en-US" w:eastAsia="zh-CN"/>
        </w:rPr>
        <w:t>、</w:t>
      </w:r>
      <w:r>
        <w:rPr>
          <w:rFonts w:hint="default" w:ascii="Times New Roman" w:hAnsi="Times New Roman" w:eastAsia="宋体" w:cs="Times New Roman"/>
          <w:color w:val="auto"/>
          <w:sz w:val="28"/>
          <w:szCs w:val="28"/>
          <w:highlight w:val="none"/>
          <w:lang w:val="en-US" w:eastAsia="zh-CN" w:bidi="ar-SA"/>
        </w:rPr>
        <w:t>项目</w:t>
      </w:r>
      <w:r>
        <w:rPr>
          <w:rFonts w:hint="eastAsia" w:ascii="Times New Roman" w:hAnsi="Times New Roman" w:eastAsia="宋体" w:cs="Times New Roman"/>
          <w:color w:val="auto"/>
          <w:sz w:val="28"/>
          <w:szCs w:val="28"/>
          <w:highlight w:val="none"/>
          <w:lang w:val="en-US" w:eastAsia="zh-CN" w:bidi="ar-SA"/>
        </w:rPr>
        <w:t>区</w:t>
      </w:r>
      <w:r>
        <w:rPr>
          <w:rFonts w:hint="default" w:ascii="Times New Roman" w:hAnsi="Times New Roman" w:eastAsia="宋体" w:cs="Times New Roman"/>
          <w:color w:val="auto"/>
          <w:sz w:val="28"/>
          <w:szCs w:val="28"/>
          <w:highlight w:val="none"/>
          <w:lang w:val="en-US" w:eastAsia="zh-CN" w:bidi="ar-SA"/>
        </w:rPr>
        <w:t>水系图</w:t>
      </w:r>
    </w:p>
    <w:p w14:paraId="107DA500">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cs="Times New Roman" w:eastAsiaTheme="minorEastAsia"/>
          <w:color w:val="auto"/>
          <w:sz w:val="28"/>
          <w:szCs w:val="28"/>
          <w:highlight w:val="none"/>
          <w:lang w:val="en-US" w:eastAsia="zh-CN"/>
        </w:rPr>
      </w:pPr>
      <w:r>
        <w:rPr>
          <w:rFonts w:hint="eastAsia" w:cs="Times New Roman" w:eastAsiaTheme="minorEastAsia"/>
          <w:color w:val="auto"/>
          <w:sz w:val="28"/>
          <w:szCs w:val="28"/>
          <w:highlight w:val="none"/>
          <w:lang w:val="en-US" w:eastAsia="zh-CN"/>
        </w:rPr>
        <w:t>附图8、项目区水文地质图</w:t>
      </w:r>
    </w:p>
    <w:p w14:paraId="4F9BD0D7">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eastAsia" w:cs="Times New Roman" w:eastAsiaTheme="minorEastAsia"/>
          <w:color w:val="auto"/>
          <w:sz w:val="28"/>
          <w:szCs w:val="28"/>
          <w:highlight w:val="none"/>
          <w:lang w:val="en-US" w:eastAsia="zh-CN"/>
        </w:rPr>
      </w:pPr>
      <w:r>
        <w:rPr>
          <w:rFonts w:hint="eastAsia" w:cs="Times New Roman" w:eastAsiaTheme="minorEastAsia"/>
          <w:color w:val="auto"/>
          <w:sz w:val="28"/>
          <w:szCs w:val="28"/>
          <w:highlight w:val="none"/>
          <w:lang w:val="en-US" w:eastAsia="zh-CN"/>
        </w:rPr>
        <w:t>附图9、项目与抚仙湖两线三区位置关系图</w:t>
      </w:r>
    </w:p>
    <w:p w14:paraId="4DDF4F5F">
      <w:pPr>
        <w:pStyle w:val="17"/>
        <w:spacing w:line="360" w:lineRule="auto"/>
        <w:ind w:left="0" w:leftChars="0" w:firstLine="560" w:firstLineChars="200"/>
        <w:rPr>
          <w:rFonts w:hint="default" w:cs="Times New Roman" w:eastAsiaTheme="minorEastAsia"/>
          <w:color w:val="auto"/>
          <w:sz w:val="28"/>
          <w:szCs w:val="28"/>
          <w:highlight w:val="none"/>
          <w:lang w:val="en-US" w:eastAsia="zh-CN"/>
        </w:rPr>
      </w:pPr>
      <w:r>
        <w:rPr>
          <w:rFonts w:hint="eastAsia" w:cs="Times New Roman" w:eastAsiaTheme="minorEastAsia"/>
          <w:color w:val="auto"/>
          <w:sz w:val="28"/>
          <w:szCs w:val="28"/>
          <w:highlight w:val="none"/>
          <w:lang w:val="en-US" w:eastAsia="zh-CN"/>
        </w:rPr>
        <w:t>附图10、项目区现场照片</w:t>
      </w:r>
    </w:p>
    <w:p w14:paraId="746533BD">
      <w:pPr>
        <w:pStyle w:val="29"/>
        <w:rPr>
          <w:rFonts w:hint="default"/>
          <w:color w:val="auto"/>
          <w:highlight w:val="none"/>
          <w:lang w:val="en-US" w:eastAsia="zh-CN"/>
        </w:rPr>
      </w:pPr>
    </w:p>
    <w:p w14:paraId="2E591EA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b/>
          <w:color w:val="auto"/>
          <w:sz w:val="28"/>
          <w:szCs w:val="28"/>
          <w:highlight w:val="none"/>
        </w:rPr>
      </w:pPr>
    </w:p>
    <w:p w14:paraId="0129644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b/>
          <w:color w:val="auto"/>
          <w:sz w:val="28"/>
          <w:szCs w:val="28"/>
          <w:highlight w:val="none"/>
        </w:rPr>
      </w:pPr>
    </w:p>
    <w:p w14:paraId="0B40841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b/>
          <w:color w:val="auto"/>
          <w:sz w:val="28"/>
          <w:szCs w:val="28"/>
          <w:highlight w:val="none"/>
        </w:rPr>
      </w:pPr>
      <w:r>
        <w:rPr>
          <w:rFonts w:hint="default" w:ascii="Times New Roman" w:hAnsi="Times New Roman" w:cs="Times New Roman" w:eastAsiaTheme="minorEastAsia"/>
          <w:b/>
          <w:color w:val="auto"/>
          <w:sz w:val="28"/>
          <w:szCs w:val="28"/>
          <w:highlight w:val="none"/>
        </w:rPr>
        <w:t>附件：</w:t>
      </w:r>
      <w:bookmarkEnd w:id="1"/>
    </w:p>
    <w:p w14:paraId="2DC255FB">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附件1</w:t>
      </w:r>
      <w:r>
        <w:rPr>
          <w:rFonts w:hint="eastAsia" w:ascii="Times New Roman" w:hAnsi="Times New Roman" w:cs="Times New Roman" w:eastAsiaTheme="minorEastAsia"/>
          <w:color w:val="auto"/>
          <w:sz w:val="28"/>
          <w:szCs w:val="28"/>
          <w:highlight w:val="none"/>
          <w:lang w:eastAsia="zh-CN"/>
        </w:rPr>
        <w:t>、</w:t>
      </w:r>
      <w:r>
        <w:rPr>
          <w:rFonts w:hint="default" w:ascii="Times New Roman" w:hAnsi="Times New Roman" w:cs="Times New Roman" w:eastAsiaTheme="minorEastAsia"/>
          <w:color w:val="auto"/>
          <w:sz w:val="28"/>
          <w:szCs w:val="28"/>
          <w:highlight w:val="none"/>
        </w:rPr>
        <w:t>委托书</w:t>
      </w:r>
    </w:p>
    <w:p w14:paraId="2DAF1348">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rPr>
        <w:t>附件</w:t>
      </w:r>
      <w:r>
        <w:rPr>
          <w:rFonts w:hint="default" w:ascii="Times New Roman" w:hAnsi="Times New Roman" w:cs="Times New Roman" w:eastAsiaTheme="minorEastAsia"/>
          <w:color w:val="auto"/>
          <w:sz w:val="28"/>
          <w:szCs w:val="28"/>
          <w:highlight w:val="none"/>
          <w:lang w:val="en-US" w:eastAsia="zh-CN"/>
        </w:rPr>
        <w:t>2</w:t>
      </w:r>
      <w:r>
        <w:rPr>
          <w:rFonts w:hint="eastAsia" w:ascii="Times New Roman" w:hAnsi="Times New Roman" w:cs="Times New Roman" w:eastAsiaTheme="minorEastAsia"/>
          <w:color w:val="auto"/>
          <w:sz w:val="28"/>
          <w:szCs w:val="28"/>
          <w:highlight w:val="none"/>
          <w:lang w:eastAsia="zh-CN"/>
        </w:rPr>
        <w:t>、</w:t>
      </w:r>
      <w:r>
        <w:rPr>
          <w:rFonts w:hint="eastAsia" w:cs="Times New Roman" w:eastAsiaTheme="minorEastAsia"/>
          <w:color w:val="auto"/>
          <w:sz w:val="28"/>
          <w:szCs w:val="28"/>
          <w:highlight w:val="none"/>
          <w:lang w:eastAsia="zh-CN"/>
        </w:rPr>
        <w:t>可行性研究报告批复</w:t>
      </w:r>
    </w:p>
    <w:p w14:paraId="24D8F1BE">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lang w:val="en-US" w:eastAsia="zh-CN"/>
        </w:rPr>
      </w:pPr>
      <w:r>
        <w:rPr>
          <w:rFonts w:hint="eastAsia" w:cs="Times New Roman" w:eastAsiaTheme="minorEastAsia"/>
          <w:color w:val="auto"/>
          <w:sz w:val="28"/>
          <w:szCs w:val="28"/>
          <w:highlight w:val="none"/>
          <w:lang w:val="en-US" w:eastAsia="zh-CN"/>
        </w:rPr>
        <w:t>附件3、项目“三区三线”占用情况的回函</w:t>
      </w:r>
    </w:p>
    <w:p w14:paraId="6B95833E">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lang w:val="en-US" w:eastAsia="zh-CN"/>
        </w:rPr>
      </w:pPr>
      <w:r>
        <w:rPr>
          <w:rFonts w:hint="eastAsia" w:cs="Times New Roman" w:eastAsiaTheme="minorEastAsia"/>
          <w:color w:val="auto"/>
          <w:sz w:val="28"/>
          <w:szCs w:val="28"/>
          <w:highlight w:val="none"/>
          <w:lang w:val="en-US" w:eastAsia="zh-CN"/>
        </w:rPr>
        <w:t>附件4、项目“三线一单”占用情况的回函</w:t>
      </w:r>
    </w:p>
    <w:p w14:paraId="4CCE1B9A">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rPr>
        <w:t>附件</w:t>
      </w:r>
      <w:r>
        <w:rPr>
          <w:rFonts w:hint="eastAsia" w:cs="Times New Roman" w:eastAsiaTheme="minorEastAsia"/>
          <w:color w:val="auto"/>
          <w:sz w:val="28"/>
          <w:szCs w:val="28"/>
          <w:highlight w:val="none"/>
          <w:lang w:val="en-US" w:eastAsia="zh-CN"/>
        </w:rPr>
        <w:t>5</w:t>
      </w:r>
      <w:r>
        <w:rPr>
          <w:rFonts w:hint="eastAsia" w:ascii="Times New Roman" w:hAnsi="Times New Roman" w:cs="Times New Roman" w:eastAsiaTheme="minorEastAsia"/>
          <w:color w:val="auto"/>
          <w:sz w:val="28"/>
          <w:szCs w:val="28"/>
          <w:highlight w:val="none"/>
          <w:lang w:eastAsia="zh-CN"/>
        </w:rPr>
        <w:t>、</w:t>
      </w:r>
      <w:r>
        <w:rPr>
          <w:rFonts w:hint="eastAsia" w:cs="Times New Roman" w:eastAsiaTheme="minorEastAsia"/>
          <w:color w:val="auto"/>
          <w:sz w:val="28"/>
          <w:szCs w:val="28"/>
          <w:highlight w:val="none"/>
          <w:lang w:val="en-US" w:eastAsia="zh-CN"/>
        </w:rPr>
        <w:t>土地使用证</w:t>
      </w:r>
    </w:p>
    <w:p w14:paraId="24393E6F">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Times New Roman" w:hAnsi="Times New Roman" w:cs="Times New Roman" w:eastAsiaTheme="minorEastAsia"/>
          <w:color w:val="auto"/>
          <w:sz w:val="28"/>
          <w:szCs w:val="28"/>
          <w:highlight w:val="none"/>
          <w:lang w:eastAsia="zh-CN"/>
        </w:rPr>
      </w:pPr>
      <w:r>
        <w:rPr>
          <w:rFonts w:hint="eastAsia" w:cs="Times New Roman" w:eastAsiaTheme="minorEastAsia"/>
          <w:color w:val="auto"/>
          <w:sz w:val="28"/>
          <w:szCs w:val="28"/>
          <w:highlight w:val="none"/>
          <w:lang w:val="en-US" w:eastAsia="zh-CN"/>
        </w:rPr>
        <w:t>附件6、</w:t>
      </w:r>
      <w:r>
        <w:rPr>
          <w:rFonts w:hint="eastAsia" w:cs="Times New Roman" w:eastAsiaTheme="minorEastAsia"/>
          <w:color w:val="auto"/>
          <w:sz w:val="28"/>
          <w:szCs w:val="28"/>
          <w:highlight w:val="none"/>
          <w:lang w:eastAsia="zh-CN"/>
        </w:rPr>
        <w:t>排污许可证</w:t>
      </w:r>
    </w:p>
    <w:p w14:paraId="7B08FCB2">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rPr>
        <w:t>附件</w:t>
      </w:r>
      <w:r>
        <w:rPr>
          <w:rFonts w:hint="eastAsia" w:cs="Times New Roman" w:eastAsiaTheme="minorEastAsia"/>
          <w:color w:val="auto"/>
          <w:sz w:val="28"/>
          <w:szCs w:val="28"/>
          <w:highlight w:val="none"/>
          <w:lang w:val="en-US" w:eastAsia="zh-CN"/>
        </w:rPr>
        <w:t>7</w:t>
      </w:r>
      <w:r>
        <w:rPr>
          <w:rFonts w:hint="eastAsia" w:ascii="Times New Roman" w:hAnsi="Times New Roman" w:cs="Times New Roman" w:eastAsiaTheme="minorEastAsia"/>
          <w:color w:val="auto"/>
          <w:sz w:val="28"/>
          <w:szCs w:val="28"/>
          <w:highlight w:val="none"/>
          <w:lang w:eastAsia="zh-CN"/>
        </w:rPr>
        <w:t>、</w:t>
      </w:r>
      <w:r>
        <w:rPr>
          <w:rFonts w:hint="eastAsia" w:cs="Times New Roman" w:eastAsiaTheme="minorEastAsia"/>
          <w:color w:val="auto"/>
          <w:sz w:val="28"/>
          <w:szCs w:val="28"/>
          <w:highlight w:val="none"/>
          <w:lang w:val="en-US" w:eastAsia="zh-CN"/>
        </w:rPr>
        <w:t>澄江县城生活垃圾生态化填埋处理场建设项目环境影响报告表审批意见</w:t>
      </w:r>
    </w:p>
    <w:p w14:paraId="4149994E">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rPr>
        <w:t>附件</w:t>
      </w:r>
      <w:r>
        <w:rPr>
          <w:rFonts w:hint="eastAsia" w:cs="Times New Roman" w:eastAsiaTheme="minorEastAsia"/>
          <w:color w:val="auto"/>
          <w:sz w:val="28"/>
          <w:szCs w:val="28"/>
          <w:highlight w:val="none"/>
          <w:lang w:val="en-US" w:eastAsia="zh-CN"/>
        </w:rPr>
        <w:t>8</w:t>
      </w:r>
      <w:r>
        <w:rPr>
          <w:rFonts w:hint="eastAsia" w:ascii="Times New Roman" w:hAnsi="Times New Roman" w:cs="Times New Roman" w:eastAsiaTheme="minorEastAsia"/>
          <w:color w:val="auto"/>
          <w:sz w:val="28"/>
          <w:szCs w:val="28"/>
          <w:highlight w:val="none"/>
          <w:lang w:val="en-US" w:eastAsia="zh-CN"/>
        </w:rPr>
        <w:t>、</w:t>
      </w:r>
      <w:r>
        <w:rPr>
          <w:rFonts w:hint="eastAsia" w:eastAsiaTheme="minorEastAsia"/>
          <w:color w:val="auto"/>
          <w:sz w:val="28"/>
          <w:szCs w:val="28"/>
          <w:highlight w:val="none"/>
        </w:rPr>
        <w:t>玉溪市生态环境局澄江分局关于澄江县农村生活污水处理及人居环境提升工程环境影响报告书的批复</w:t>
      </w:r>
    </w:p>
    <w:p w14:paraId="6AA55C95">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rPr>
        <w:t>附件</w:t>
      </w:r>
      <w:r>
        <w:rPr>
          <w:rFonts w:hint="eastAsia" w:cs="Times New Roman" w:eastAsiaTheme="minorEastAsia"/>
          <w:color w:val="auto"/>
          <w:sz w:val="28"/>
          <w:szCs w:val="28"/>
          <w:highlight w:val="none"/>
          <w:lang w:val="en-US" w:eastAsia="zh-CN"/>
        </w:rPr>
        <w:t>9</w:t>
      </w:r>
      <w:r>
        <w:rPr>
          <w:rFonts w:hint="eastAsia" w:ascii="Times New Roman" w:hAnsi="Times New Roman" w:cs="Times New Roman" w:eastAsiaTheme="minorEastAsia"/>
          <w:color w:val="auto"/>
          <w:sz w:val="28"/>
          <w:szCs w:val="28"/>
          <w:highlight w:val="none"/>
          <w:lang w:val="en-US" w:eastAsia="zh-CN"/>
        </w:rPr>
        <w:t>、</w:t>
      </w:r>
      <w:r>
        <w:rPr>
          <w:rFonts w:hint="eastAsia" w:cs="Times New Roman" w:eastAsiaTheme="minorEastAsia"/>
          <w:color w:val="auto"/>
          <w:sz w:val="28"/>
          <w:szCs w:val="28"/>
          <w:highlight w:val="none"/>
          <w:lang w:val="en-US" w:eastAsia="zh-CN"/>
        </w:rPr>
        <w:t>澄江市大山生活垃圾填埋场2025年5月及第二季度自行监测报告</w:t>
      </w:r>
    </w:p>
    <w:p w14:paraId="717E1AEE">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rPr>
        <w:t>附件</w:t>
      </w:r>
      <w:r>
        <w:rPr>
          <w:rFonts w:hint="eastAsia" w:ascii="Times New Roman" w:hAnsi="Times New Roman" w:cs="Times New Roman" w:eastAsiaTheme="minorEastAsia"/>
          <w:color w:val="auto"/>
          <w:sz w:val="28"/>
          <w:szCs w:val="28"/>
          <w:highlight w:val="none"/>
          <w:lang w:val="en-US" w:eastAsia="zh-CN"/>
        </w:rPr>
        <w:t>10</w:t>
      </w:r>
      <w:r>
        <w:rPr>
          <w:rFonts w:hint="default" w:ascii="Times New Roman" w:hAnsi="Times New Roman" w:cs="Times New Roman" w:eastAsiaTheme="minorEastAsia"/>
          <w:color w:val="auto"/>
          <w:sz w:val="28"/>
          <w:szCs w:val="28"/>
          <w:highlight w:val="none"/>
          <w:lang w:val="en-US" w:eastAsia="zh-CN"/>
        </w:rPr>
        <w:t>、</w:t>
      </w:r>
      <w:r>
        <w:rPr>
          <w:rFonts w:hint="eastAsia" w:cs="Times New Roman" w:eastAsiaTheme="minorEastAsia"/>
          <w:color w:val="auto"/>
          <w:sz w:val="28"/>
          <w:szCs w:val="28"/>
          <w:highlight w:val="none"/>
          <w:lang w:val="en-US" w:eastAsia="zh-CN"/>
        </w:rPr>
        <w:t>澄江市垃圾焚烧处理中心水质样品委托检测报告（大成检字[2025]-05-005号）（大山填埋场产水口水质检测报告）</w:t>
      </w:r>
    </w:p>
    <w:p w14:paraId="3733F178">
      <w:pPr>
        <w:pStyle w:val="1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color w:val="auto"/>
          <w:kern w:val="2"/>
          <w:sz w:val="28"/>
          <w:szCs w:val="28"/>
          <w:highlight w:val="none"/>
          <w:lang w:val="en-US" w:eastAsia="zh-CN" w:bidi="ar-SA"/>
        </w:rPr>
      </w:pPr>
      <w:r>
        <w:rPr>
          <w:rFonts w:hint="eastAsia" w:ascii="Times New Roman" w:hAnsi="Times New Roman" w:cs="Times New Roman" w:eastAsiaTheme="minorEastAsia"/>
          <w:color w:val="auto"/>
          <w:kern w:val="2"/>
          <w:sz w:val="28"/>
          <w:szCs w:val="28"/>
          <w:highlight w:val="none"/>
          <w:lang w:val="en-US" w:eastAsia="zh-CN" w:bidi="ar-SA"/>
        </w:rPr>
        <w:t>附件11、</w:t>
      </w:r>
      <w:r>
        <w:rPr>
          <w:rFonts w:hint="default" w:ascii="Times New Roman" w:hAnsi="Times New Roman" w:cs="Times New Roman" w:eastAsiaTheme="minorEastAsia"/>
          <w:color w:val="auto"/>
          <w:sz w:val="28"/>
          <w:szCs w:val="28"/>
          <w:highlight w:val="none"/>
          <w:lang w:val="en-US" w:eastAsia="zh-CN"/>
        </w:rPr>
        <w:t>澄江市垃圾焚烧处理中心水质样品委托检测报告（大成检字[2025]-06-022号）</w:t>
      </w:r>
    </w:p>
    <w:p w14:paraId="16908166">
      <w:pPr>
        <w:widowControl/>
        <w:adjustRightInd w:val="0"/>
        <w:snapToGrid w:val="0"/>
        <w:spacing w:line="360" w:lineRule="auto"/>
        <w:ind w:firstLine="560" w:firstLineChars="200"/>
        <w:jc w:val="left"/>
        <w:rPr>
          <w:rFonts w:hint="eastAsia" w:ascii="Times New Roman" w:hAnsi="Times New Roman" w:cs="Times New Roman" w:eastAsiaTheme="minorEastAsia"/>
          <w:color w:val="auto"/>
          <w:kern w:val="2"/>
          <w:sz w:val="28"/>
          <w:szCs w:val="28"/>
          <w:highlight w:val="none"/>
          <w:lang w:val="en-US" w:eastAsia="zh-CN" w:bidi="ar-SA"/>
        </w:rPr>
      </w:pPr>
      <w:r>
        <w:rPr>
          <w:rFonts w:hint="eastAsia" w:ascii="Times New Roman" w:hAnsi="Times New Roman" w:cs="Times New Roman" w:eastAsiaTheme="minorEastAsia"/>
          <w:color w:val="auto"/>
          <w:kern w:val="2"/>
          <w:sz w:val="28"/>
          <w:szCs w:val="28"/>
          <w:highlight w:val="none"/>
          <w:lang w:val="en-US" w:eastAsia="zh-CN" w:bidi="ar-SA"/>
        </w:rPr>
        <w:t>附件12、澄江市大山生活垃圾填埋场渗滤液全量化处理站及其他附属配套设施建设项目环境质量现状监测报告（中检联检字[2025]0815007号）</w:t>
      </w:r>
    </w:p>
    <w:p w14:paraId="5ABEE8E3">
      <w:pPr>
        <w:widowControl/>
        <w:adjustRightInd w:val="0"/>
        <w:snapToGrid w:val="0"/>
        <w:spacing w:line="360" w:lineRule="auto"/>
        <w:ind w:firstLine="560" w:firstLineChars="200"/>
        <w:jc w:val="left"/>
        <w:rPr>
          <w:rFonts w:hint="default"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附件1</w:t>
      </w:r>
      <w:r>
        <w:rPr>
          <w:rFonts w:hint="eastAsia" w:cs="Times New Roman" w:eastAsiaTheme="minorEastAsia"/>
          <w:color w:val="auto"/>
          <w:sz w:val="28"/>
          <w:szCs w:val="28"/>
          <w:highlight w:val="none"/>
          <w:lang w:val="en-US" w:eastAsia="zh-CN"/>
        </w:rPr>
        <w:t>3</w:t>
      </w:r>
      <w:r>
        <w:rPr>
          <w:rFonts w:hint="eastAsia" w:ascii="Times New Roman" w:hAnsi="Times New Roman" w:cs="Times New Roman" w:eastAsiaTheme="minorEastAsia"/>
          <w:color w:val="auto"/>
          <w:sz w:val="28"/>
          <w:szCs w:val="28"/>
          <w:highlight w:val="none"/>
          <w:lang w:val="en-US" w:eastAsia="zh-CN"/>
        </w:rPr>
        <w:t>、环评三级审核表、进度表</w:t>
      </w:r>
    </w:p>
    <w:p w14:paraId="5EEC5361">
      <w:pPr>
        <w:widowControl/>
        <w:adjustRightInd w:val="0"/>
        <w:snapToGrid w:val="0"/>
        <w:spacing w:line="360" w:lineRule="auto"/>
        <w:ind w:firstLine="560" w:firstLineChars="200"/>
        <w:jc w:val="left"/>
        <w:rPr>
          <w:rFonts w:hint="default"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附件1</w:t>
      </w:r>
      <w:r>
        <w:rPr>
          <w:rFonts w:hint="eastAsia" w:cs="Times New Roman" w:eastAsiaTheme="minorEastAsia"/>
          <w:color w:val="auto"/>
          <w:sz w:val="28"/>
          <w:szCs w:val="28"/>
          <w:highlight w:val="none"/>
          <w:lang w:val="en-US" w:eastAsia="zh-CN"/>
        </w:rPr>
        <w:t>4</w:t>
      </w:r>
      <w:r>
        <w:rPr>
          <w:rFonts w:hint="eastAsia" w:ascii="Times New Roman" w:hAnsi="Times New Roman" w:cs="Times New Roman" w:eastAsiaTheme="minorEastAsia"/>
          <w:color w:val="auto"/>
          <w:sz w:val="28"/>
          <w:szCs w:val="28"/>
          <w:highlight w:val="none"/>
          <w:lang w:val="en-US" w:eastAsia="zh-CN"/>
        </w:rPr>
        <w:t>、</w:t>
      </w:r>
      <w:r>
        <w:rPr>
          <w:rFonts w:hint="eastAsia" w:cs="Times New Roman" w:eastAsiaTheme="minorEastAsia"/>
          <w:color w:val="auto"/>
          <w:sz w:val="28"/>
          <w:szCs w:val="28"/>
          <w:highlight w:val="none"/>
          <w:lang w:val="en-US" w:eastAsia="zh-CN"/>
        </w:rPr>
        <w:t>环评合同</w:t>
      </w:r>
    </w:p>
    <w:p w14:paraId="1D47A70F">
      <w:pPr>
        <w:widowControl/>
        <w:adjustRightInd w:val="0"/>
        <w:snapToGrid w:val="0"/>
        <w:spacing w:line="360" w:lineRule="auto"/>
        <w:ind w:firstLine="560" w:firstLineChars="200"/>
        <w:jc w:val="left"/>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附件1</w:t>
      </w:r>
      <w:r>
        <w:rPr>
          <w:rFonts w:hint="eastAsia" w:cs="Times New Roman" w:eastAsiaTheme="minorEastAsia"/>
          <w:color w:val="auto"/>
          <w:sz w:val="28"/>
          <w:szCs w:val="28"/>
          <w:highlight w:val="none"/>
          <w:lang w:val="en-US" w:eastAsia="zh-CN"/>
        </w:rPr>
        <w:t>5</w:t>
      </w:r>
      <w:r>
        <w:rPr>
          <w:rFonts w:hint="eastAsia" w:ascii="Times New Roman" w:hAnsi="Times New Roman" w:cs="Times New Roman" w:eastAsiaTheme="minorEastAsia"/>
          <w:color w:val="auto"/>
          <w:sz w:val="28"/>
          <w:szCs w:val="28"/>
          <w:highlight w:val="none"/>
          <w:lang w:val="en-US" w:eastAsia="zh-CN"/>
        </w:rPr>
        <w:t>、专家评审意见及签字表</w:t>
      </w:r>
    </w:p>
    <w:p w14:paraId="57225FBC">
      <w:pPr>
        <w:widowControl/>
        <w:adjustRightInd w:val="0"/>
        <w:snapToGrid w:val="0"/>
        <w:spacing w:line="360" w:lineRule="auto"/>
        <w:ind w:firstLine="560" w:firstLineChars="200"/>
        <w:jc w:val="left"/>
        <w:rPr>
          <w:rFonts w:hint="eastAsia"/>
          <w:color w:val="auto"/>
          <w:highlight w:val="none"/>
          <w:lang w:val="en-US" w:eastAsia="zh-CN"/>
        </w:rPr>
      </w:pPr>
      <w:r>
        <w:rPr>
          <w:rFonts w:hint="eastAsia" w:ascii="Times New Roman" w:hAnsi="Times New Roman" w:cs="Times New Roman" w:eastAsiaTheme="minorEastAsia"/>
          <w:color w:val="auto"/>
          <w:sz w:val="28"/>
          <w:szCs w:val="28"/>
          <w:highlight w:val="none"/>
          <w:lang w:val="en-US" w:eastAsia="zh-CN"/>
        </w:rPr>
        <w:t>附件1</w:t>
      </w:r>
      <w:r>
        <w:rPr>
          <w:rFonts w:hint="eastAsia" w:cs="Times New Roman" w:eastAsiaTheme="minorEastAsia"/>
          <w:color w:val="auto"/>
          <w:sz w:val="28"/>
          <w:szCs w:val="28"/>
          <w:highlight w:val="none"/>
          <w:lang w:val="en-US" w:eastAsia="zh-CN"/>
        </w:rPr>
        <w:t>6</w:t>
      </w:r>
      <w:r>
        <w:rPr>
          <w:rFonts w:hint="eastAsia" w:ascii="Times New Roman" w:hAnsi="Times New Roman" w:cs="Times New Roman" w:eastAsiaTheme="minorEastAsia"/>
          <w:color w:val="auto"/>
          <w:sz w:val="28"/>
          <w:szCs w:val="28"/>
          <w:highlight w:val="none"/>
          <w:lang w:val="en-US" w:eastAsia="zh-CN"/>
        </w:rPr>
        <w:t>、修改说明</w:t>
      </w:r>
    </w:p>
    <w:p w14:paraId="058A0B1F">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cs="Times New Roman" w:eastAsiaTheme="minorEastAsia"/>
          <w:color w:val="auto"/>
          <w:sz w:val="28"/>
          <w:szCs w:val="28"/>
          <w:highlight w:val="none"/>
          <w:lang w:val="en-US" w:eastAsia="zh-CN"/>
        </w:rPr>
      </w:pPr>
    </w:p>
    <w:p w14:paraId="604931E7">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cs="Times New Roman" w:eastAsiaTheme="minorEastAsia"/>
          <w:color w:val="auto"/>
          <w:sz w:val="28"/>
          <w:szCs w:val="28"/>
          <w:highlight w:val="none"/>
          <w:lang w:val="en-US" w:eastAsia="zh-CN"/>
        </w:rPr>
        <w:sectPr>
          <w:footerReference r:id="rId3" w:type="default"/>
          <w:pgSz w:w="11906" w:h="16838"/>
          <w:pgMar w:top="1474" w:right="1531" w:bottom="1474" w:left="1531" w:header="851" w:footer="1077" w:gutter="0"/>
          <w:pgBorders>
            <w:top w:val="none" w:sz="0" w:space="0"/>
            <w:left w:val="none" w:sz="0" w:space="0"/>
            <w:bottom w:val="none" w:sz="0" w:space="0"/>
            <w:right w:val="none" w:sz="0" w:space="0"/>
          </w:pgBorders>
          <w:cols w:space="720" w:num="1"/>
          <w:docGrid w:linePitch="312" w:charSpace="0"/>
        </w:sectPr>
      </w:pPr>
    </w:p>
    <w:p w14:paraId="2B38A060">
      <w:pPr>
        <w:pStyle w:val="27"/>
        <w:jc w:val="center"/>
        <w:outlineLvl w:val="0"/>
        <w:rPr>
          <w:rFonts w:ascii="Times New Roman" w:hAnsi="Times New Roman" w:eastAsia="黑体"/>
          <w:snapToGrid w:val="0"/>
          <w:color w:val="auto"/>
          <w:sz w:val="30"/>
          <w:szCs w:val="30"/>
          <w:highlight w:val="none"/>
        </w:rPr>
      </w:pPr>
      <w:bookmarkStart w:id="6" w:name="_Toc5700"/>
      <w:r>
        <w:rPr>
          <w:rFonts w:ascii="Times New Roman" w:hAnsi="黑体" w:eastAsia="黑体"/>
          <w:snapToGrid w:val="0"/>
          <w:color w:val="auto"/>
          <w:sz w:val="30"/>
          <w:szCs w:val="30"/>
          <w:highlight w:val="none"/>
        </w:rPr>
        <w:t>一、建设项目基本情况</w:t>
      </w:r>
      <w:bookmarkEnd w:id="6"/>
    </w:p>
    <w:tbl>
      <w:tblPr>
        <w:tblStyle w:val="30"/>
        <w:tblW w:w="9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74"/>
        <w:gridCol w:w="2013"/>
        <w:gridCol w:w="340"/>
        <w:gridCol w:w="1945"/>
        <w:gridCol w:w="3557"/>
      </w:tblGrid>
      <w:tr w14:paraId="434EB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84" w:type="dxa"/>
            <w:tcMar>
              <w:top w:w="16" w:type="dxa"/>
              <w:left w:w="16" w:type="dxa"/>
              <w:right w:w="16" w:type="dxa"/>
            </w:tcMar>
            <w:vAlign w:val="center"/>
          </w:tcPr>
          <w:p w14:paraId="00A934F4">
            <w:pPr>
              <w:adjustRightInd w:val="0"/>
              <w:snapToGrid w:val="0"/>
              <w:jc w:val="center"/>
              <w:rPr>
                <w:rFonts w:hAnsi="宋体"/>
                <w:color w:val="auto"/>
                <w:sz w:val="24"/>
                <w:highlight w:val="none"/>
              </w:rPr>
            </w:pPr>
            <w:r>
              <w:rPr>
                <w:rFonts w:hAnsi="宋体"/>
                <w:color w:val="auto"/>
                <w:sz w:val="24"/>
                <w:highlight w:val="none"/>
              </w:rPr>
              <w:t>建设项目</w:t>
            </w:r>
          </w:p>
          <w:p w14:paraId="67161E81">
            <w:pPr>
              <w:adjustRightInd w:val="0"/>
              <w:snapToGrid w:val="0"/>
              <w:jc w:val="center"/>
              <w:rPr>
                <w:color w:val="auto"/>
                <w:sz w:val="24"/>
                <w:highlight w:val="none"/>
              </w:rPr>
            </w:pPr>
            <w:r>
              <w:rPr>
                <w:rFonts w:hAnsi="宋体"/>
                <w:color w:val="auto"/>
                <w:sz w:val="24"/>
                <w:highlight w:val="none"/>
              </w:rPr>
              <w:t>名称</w:t>
            </w:r>
          </w:p>
        </w:tc>
        <w:tc>
          <w:tcPr>
            <w:tcW w:w="7645" w:type="dxa"/>
            <w:gridSpan w:val="4"/>
            <w:vAlign w:val="center"/>
          </w:tcPr>
          <w:p w14:paraId="5A367B9B">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大山生活垃圾填埋场渗滤液全量化处理站及其他附属配套设施建设项目</w:t>
            </w:r>
          </w:p>
        </w:tc>
      </w:tr>
      <w:tr w14:paraId="3B2ED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1484" w:type="dxa"/>
            <w:tcMar>
              <w:top w:w="16" w:type="dxa"/>
              <w:left w:w="16" w:type="dxa"/>
              <w:right w:w="16" w:type="dxa"/>
            </w:tcMar>
            <w:vAlign w:val="center"/>
          </w:tcPr>
          <w:p w14:paraId="0BF0D272">
            <w:pPr>
              <w:adjustRightInd w:val="0"/>
              <w:snapToGrid w:val="0"/>
              <w:jc w:val="center"/>
              <w:rPr>
                <w:color w:val="auto"/>
                <w:sz w:val="24"/>
                <w:highlight w:val="none"/>
              </w:rPr>
            </w:pPr>
            <w:r>
              <w:rPr>
                <w:rFonts w:hAnsi="宋体"/>
                <w:color w:val="auto"/>
                <w:sz w:val="24"/>
                <w:highlight w:val="none"/>
              </w:rPr>
              <w:t>项目代码</w:t>
            </w:r>
          </w:p>
        </w:tc>
        <w:tc>
          <w:tcPr>
            <w:tcW w:w="7645" w:type="dxa"/>
            <w:gridSpan w:val="4"/>
            <w:vAlign w:val="center"/>
          </w:tcPr>
          <w:p w14:paraId="31F20168">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2403-530422-04-01-462027</w:t>
            </w:r>
          </w:p>
        </w:tc>
      </w:tr>
      <w:tr w14:paraId="5951DD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4" w:type="dxa"/>
            <w:tcMar>
              <w:top w:w="16" w:type="dxa"/>
              <w:left w:w="16" w:type="dxa"/>
              <w:right w:w="16" w:type="dxa"/>
            </w:tcMar>
            <w:vAlign w:val="center"/>
          </w:tcPr>
          <w:p w14:paraId="231BA6A8">
            <w:pPr>
              <w:adjustRightInd w:val="0"/>
              <w:snapToGrid w:val="0"/>
              <w:jc w:val="center"/>
              <w:rPr>
                <w:rFonts w:hAnsi="宋体"/>
                <w:color w:val="auto"/>
                <w:sz w:val="24"/>
                <w:highlight w:val="none"/>
              </w:rPr>
            </w:pPr>
            <w:r>
              <w:rPr>
                <w:rFonts w:hAnsi="宋体"/>
                <w:color w:val="auto"/>
                <w:sz w:val="24"/>
                <w:highlight w:val="none"/>
              </w:rPr>
              <w:t>建设单位</w:t>
            </w:r>
          </w:p>
          <w:p w14:paraId="0C658D65">
            <w:pPr>
              <w:adjustRightInd w:val="0"/>
              <w:snapToGrid w:val="0"/>
              <w:jc w:val="center"/>
              <w:rPr>
                <w:rFonts w:hAnsi="宋体"/>
                <w:color w:val="auto"/>
                <w:sz w:val="24"/>
                <w:highlight w:val="none"/>
              </w:rPr>
            </w:pPr>
            <w:r>
              <w:rPr>
                <w:rFonts w:hAnsi="宋体"/>
                <w:color w:val="auto"/>
                <w:sz w:val="24"/>
                <w:highlight w:val="none"/>
              </w:rPr>
              <w:t>联系人</w:t>
            </w:r>
          </w:p>
        </w:tc>
        <w:tc>
          <w:tcPr>
            <w:tcW w:w="2022" w:type="dxa"/>
            <w:vAlign w:val="center"/>
          </w:tcPr>
          <w:p w14:paraId="2BEF017A">
            <w:pPr>
              <w:adjustRightInd w:val="0"/>
              <w:snapToGrid w:val="0"/>
              <w:jc w:val="center"/>
              <w:rPr>
                <w:rFonts w:hint="eastAsia" w:hAnsi="宋体" w:eastAsia="宋体"/>
                <w:color w:val="auto"/>
                <w:sz w:val="24"/>
                <w:highlight w:val="none"/>
                <w:lang w:eastAsia="zh-CN"/>
              </w:rPr>
            </w:pPr>
            <w:r>
              <w:rPr>
                <w:rFonts w:hint="eastAsia" w:hAnsi="宋体" w:eastAsia="宋体"/>
                <w:color w:val="auto"/>
                <w:sz w:val="24"/>
                <w:highlight w:val="none"/>
                <w:lang w:eastAsia="zh-CN"/>
              </w:rPr>
              <w:t>薛航</w:t>
            </w:r>
          </w:p>
        </w:tc>
        <w:tc>
          <w:tcPr>
            <w:tcW w:w="2211" w:type="dxa"/>
            <w:gridSpan w:val="2"/>
            <w:vAlign w:val="center"/>
          </w:tcPr>
          <w:p w14:paraId="3D97479B">
            <w:pPr>
              <w:adjustRightInd w:val="0"/>
              <w:snapToGrid w:val="0"/>
              <w:jc w:val="center"/>
              <w:rPr>
                <w:rFonts w:hAnsi="宋体"/>
                <w:color w:val="auto"/>
                <w:sz w:val="24"/>
                <w:highlight w:val="none"/>
              </w:rPr>
            </w:pPr>
            <w:r>
              <w:rPr>
                <w:rFonts w:hAnsi="宋体"/>
                <w:color w:val="auto"/>
                <w:sz w:val="24"/>
                <w:highlight w:val="none"/>
              </w:rPr>
              <w:t>联系方式</w:t>
            </w:r>
          </w:p>
        </w:tc>
        <w:tc>
          <w:tcPr>
            <w:tcW w:w="3412" w:type="dxa"/>
            <w:vAlign w:val="center"/>
          </w:tcPr>
          <w:p w14:paraId="0427B757">
            <w:pPr>
              <w:adjustRightInd w:val="0"/>
              <w:snapToGrid w:val="0"/>
              <w:jc w:val="center"/>
              <w:rPr>
                <w:rFonts w:hint="default" w:hAnsi="宋体" w:eastAsia="宋体"/>
                <w:color w:val="auto"/>
                <w:sz w:val="24"/>
                <w:highlight w:val="none"/>
                <w:lang w:val="en-US" w:eastAsia="zh-CN"/>
              </w:rPr>
            </w:pPr>
            <w:r>
              <w:rPr>
                <w:rFonts w:hint="default" w:hAnsi="宋体" w:eastAsia="宋体"/>
                <w:color w:val="auto"/>
                <w:sz w:val="24"/>
                <w:highlight w:val="none"/>
                <w:lang w:val="en-US" w:eastAsia="zh-CN"/>
              </w:rPr>
              <w:t>19987770628</w:t>
            </w:r>
          </w:p>
        </w:tc>
      </w:tr>
      <w:tr w14:paraId="24E47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1484" w:type="dxa"/>
            <w:tcMar>
              <w:top w:w="16" w:type="dxa"/>
              <w:left w:w="16" w:type="dxa"/>
              <w:right w:w="16" w:type="dxa"/>
            </w:tcMar>
            <w:vAlign w:val="center"/>
          </w:tcPr>
          <w:p w14:paraId="5BD8C049">
            <w:pPr>
              <w:adjustRightInd w:val="0"/>
              <w:snapToGrid w:val="0"/>
              <w:jc w:val="center"/>
              <w:rPr>
                <w:color w:val="auto"/>
                <w:sz w:val="24"/>
                <w:highlight w:val="none"/>
              </w:rPr>
            </w:pPr>
            <w:r>
              <w:rPr>
                <w:rFonts w:hAnsi="宋体"/>
                <w:color w:val="auto"/>
                <w:sz w:val="24"/>
                <w:highlight w:val="none"/>
              </w:rPr>
              <w:t>建设地点</w:t>
            </w:r>
          </w:p>
        </w:tc>
        <w:tc>
          <w:tcPr>
            <w:tcW w:w="7645" w:type="dxa"/>
            <w:gridSpan w:val="4"/>
            <w:vAlign w:val="center"/>
          </w:tcPr>
          <w:p w14:paraId="746D96E1">
            <w:pPr>
              <w:adjustRightInd w:val="0"/>
              <w:snapToGrid w:val="0"/>
              <w:jc w:val="center"/>
              <w:rPr>
                <w:rFonts w:hint="default"/>
                <w:color w:val="auto"/>
                <w:sz w:val="24"/>
                <w:highlight w:val="none"/>
                <w:lang w:val="en-US"/>
              </w:rPr>
            </w:pPr>
            <w:r>
              <w:rPr>
                <w:rFonts w:ascii="Times New Roman" w:hAnsi="Times New Roman" w:cs="Times New Roman"/>
                <w:color w:val="auto"/>
                <w:sz w:val="24"/>
                <w:highlight w:val="none"/>
                <w:u w:val="single"/>
              </w:rPr>
              <w:t>云南</w:t>
            </w:r>
            <w:r>
              <w:rPr>
                <w:rFonts w:ascii="Times New Roman" w:hAnsi="Times New Roman" w:cs="Times New Roman"/>
                <w:color w:val="auto"/>
                <w:sz w:val="24"/>
                <w:highlight w:val="none"/>
              </w:rPr>
              <w:t>省</w:t>
            </w:r>
            <w:r>
              <w:rPr>
                <w:rFonts w:ascii="Times New Roman" w:hAnsi="Times New Roman" w:cs="Times New Roman"/>
                <w:color w:val="auto"/>
                <w:sz w:val="24"/>
                <w:highlight w:val="none"/>
                <w:u w:val="single"/>
              </w:rPr>
              <w:t>玉溪</w:t>
            </w:r>
            <w:r>
              <w:rPr>
                <w:rFonts w:ascii="Times New Roman" w:hAnsi="Times New Roman" w:cs="Times New Roman"/>
                <w:color w:val="auto"/>
                <w:sz w:val="24"/>
                <w:highlight w:val="none"/>
              </w:rPr>
              <w:t>市</w:t>
            </w:r>
            <w:r>
              <w:rPr>
                <w:rFonts w:hint="eastAsia" w:ascii="Times New Roman" w:hAnsi="Times New Roman" w:cs="Times New Roman"/>
                <w:color w:val="auto"/>
                <w:sz w:val="24"/>
                <w:highlight w:val="none"/>
                <w:u w:val="single"/>
                <w:lang w:val="en-US" w:eastAsia="zh-CN"/>
              </w:rPr>
              <w:t>澄江市</w:t>
            </w:r>
            <w:r>
              <w:rPr>
                <w:rFonts w:hint="eastAsia" w:cs="Times New Roman"/>
                <w:color w:val="auto"/>
                <w:sz w:val="24"/>
                <w:highlight w:val="none"/>
                <w:u w:val="single"/>
                <w:lang w:val="en-US" w:eastAsia="zh-CN"/>
              </w:rPr>
              <w:t>九村镇七江村委会大山村双水塘大山生活垃圾填埋场内</w:t>
            </w:r>
          </w:p>
        </w:tc>
      </w:tr>
      <w:tr w14:paraId="15E36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1484" w:type="dxa"/>
            <w:tcMar>
              <w:top w:w="16" w:type="dxa"/>
              <w:left w:w="16" w:type="dxa"/>
              <w:right w:w="16" w:type="dxa"/>
            </w:tcMar>
            <w:vAlign w:val="center"/>
          </w:tcPr>
          <w:p w14:paraId="7FEDA7BF">
            <w:pPr>
              <w:adjustRightInd w:val="0"/>
              <w:snapToGrid w:val="0"/>
              <w:jc w:val="center"/>
              <w:rPr>
                <w:color w:val="auto"/>
                <w:sz w:val="24"/>
                <w:highlight w:val="none"/>
              </w:rPr>
            </w:pPr>
            <w:r>
              <w:rPr>
                <w:rFonts w:hAnsi="宋体"/>
                <w:color w:val="auto"/>
                <w:sz w:val="24"/>
                <w:highlight w:val="none"/>
              </w:rPr>
              <w:t>地理坐标</w:t>
            </w:r>
          </w:p>
        </w:tc>
        <w:tc>
          <w:tcPr>
            <w:tcW w:w="7645" w:type="dxa"/>
            <w:gridSpan w:val="4"/>
            <w:vAlign w:val="center"/>
          </w:tcPr>
          <w:p w14:paraId="58AA09D2">
            <w:pPr>
              <w:jc w:val="center"/>
              <w:rPr>
                <w:color w:val="auto"/>
                <w:sz w:val="24"/>
                <w:highlight w:val="none"/>
              </w:rPr>
            </w:pPr>
            <w:r>
              <w:rPr>
                <w:rFonts w:hAnsi="宋体"/>
                <w:color w:val="auto"/>
                <w:sz w:val="24"/>
                <w:highlight w:val="none"/>
              </w:rPr>
              <w:t>（</w:t>
            </w:r>
            <w:r>
              <w:rPr>
                <w:color w:val="auto"/>
                <w:sz w:val="24"/>
                <w:highlight w:val="none"/>
                <w:u w:val="single"/>
              </w:rPr>
              <w:t xml:space="preserve"> 10</w:t>
            </w:r>
            <w:r>
              <w:rPr>
                <w:rFonts w:hint="eastAsia"/>
                <w:color w:val="auto"/>
                <w:sz w:val="24"/>
                <w:highlight w:val="none"/>
                <w:u w:val="single"/>
                <w:lang w:val="en-US" w:eastAsia="zh-CN"/>
              </w:rPr>
              <w:t>3</w:t>
            </w:r>
            <w:r>
              <w:rPr>
                <w:color w:val="auto"/>
                <w:sz w:val="24"/>
                <w:highlight w:val="none"/>
                <w:u w:val="single"/>
              </w:rPr>
              <w:t xml:space="preserve"> </w:t>
            </w:r>
            <w:r>
              <w:rPr>
                <w:rFonts w:hAnsi="宋体"/>
                <w:color w:val="auto"/>
                <w:sz w:val="24"/>
                <w:highlight w:val="none"/>
              </w:rPr>
              <w:t>度</w:t>
            </w:r>
            <w:r>
              <w:rPr>
                <w:color w:val="auto"/>
                <w:sz w:val="24"/>
                <w:highlight w:val="none"/>
                <w:u w:val="single"/>
              </w:rPr>
              <w:t xml:space="preserve"> </w:t>
            </w:r>
            <w:r>
              <w:rPr>
                <w:rFonts w:hint="eastAsia"/>
                <w:color w:val="auto"/>
                <w:sz w:val="24"/>
                <w:highlight w:val="none"/>
                <w:u w:val="single"/>
                <w:lang w:val="en-US" w:eastAsia="zh-CN"/>
              </w:rPr>
              <w:t>1</w:t>
            </w:r>
            <w:r>
              <w:rPr>
                <w:color w:val="auto"/>
                <w:sz w:val="24"/>
                <w:highlight w:val="none"/>
                <w:u w:val="single"/>
              </w:rPr>
              <w:t xml:space="preserve"> </w:t>
            </w:r>
            <w:r>
              <w:rPr>
                <w:rFonts w:hAnsi="宋体"/>
                <w:color w:val="auto"/>
                <w:sz w:val="24"/>
                <w:highlight w:val="none"/>
              </w:rPr>
              <w:t>分</w:t>
            </w:r>
            <w:r>
              <w:rPr>
                <w:color w:val="auto"/>
                <w:sz w:val="24"/>
                <w:highlight w:val="none"/>
                <w:u w:val="single"/>
              </w:rPr>
              <w:t xml:space="preserve"> </w:t>
            </w:r>
            <w:r>
              <w:rPr>
                <w:rFonts w:hint="eastAsia"/>
                <w:color w:val="auto"/>
                <w:sz w:val="24"/>
                <w:highlight w:val="none"/>
                <w:u w:val="single"/>
                <w:lang w:val="en-US" w:eastAsia="zh-CN"/>
              </w:rPr>
              <w:t>29.510</w:t>
            </w:r>
            <w:r>
              <w:rPr>
                <w:color w:val="auto"/>
                <w:sz w:val="24"/>
                <w:highlight w:val="none"/>
                <w:u w:val="single"/>
              </w:rPr>
              <w:t xml:space="preserve"> </w:t>
            </w:r>
            <w:r>
              <w:rPr>
                <w:rFonts w:hAnsi="宋体"/>
                <w:color w:val="auto"/>
                <w:sz w:val="24"/>
                <w:highlight w:val="none"/>
              </w:rPr>
              <w:t>秒，</w:t>
            </w:r>
            <w:r>
              <w:rPr>
                <w:color w:val="auto"/>
                <w:sz w:val="24"/>
                <w:highlight w:val="none"/>
                <w:u w:val="single"/>
              </w:rPr>
              <w:t xml:space="preserve"> 24 </w:t>
            </w:r>
            <w:r>
              <w:rPr>
                <w:rFonts w:hAnsi="宋体"/>
                <w:color w:val="auto"/>
                <w:sz w:val="24"/>
                <w:highlight w:val="none"/>
              </w:rPr>
              <w:t>度</w:t>
            </w:r>
            <w:r>
              <w:rPr>
                <w:color w:val="auto"/>
                <w:sz w:val="24"/>
                <w:highlight w:val="none"/>
                <w:u w:val="single"/>
              </w:rPr>
              <w:t xml:space="preserve"> </w:t>
            </w:r>
            <w:r>
              <w:rPr>
                <w:rFonts w:hint="eastAsia"/>
                <w:color w:val="auto"/>
                <w:sz w:val="24"/>
                <w:highlight w:val="none"/>
                <w:u w:val="single"/>
                <w:lang w:val="en-US" w:eastAsia="zh-CN"/>
              </w:rPr>
              <w:t>41</w:t>
            </w:r>
            <w:r>
              <w:rPr>
                <w:color w:val="auto"/>
                <w:sz w:val="24"/>
                <w:highlight w:val="none"/>
                <w:u w:val="single"/>
              </w:rPr>
              <w:t xml:space="preserve"> </w:t>
            </w:r>
            <w:r>
              <w:rPr>
                <w:rFonts w:hAnsi="宋体"/>
                <w:color w:val="auto"/>
                <w:sz w:val="24"/>
                <w:highlight w:val="none"/>
              </w:rPr>
              <w:t>分</w:t>
            </w:r>
            <w:r>
              <w:rPr>
                <w:color w:val="auto"/>
                <w:sz w:val="24"/>
                <w:highlight w:val="none"/>
                <w:u w:val="single"/>
              </w:rPr>
              <w:t xml:space="preserve"> </w:t>
            </w:r>
            <w:r>
              <w:rPr>
                <w:rFonts w:hint="eastAsia"/>
                <w:color w:val="auto"/>
                <w:sz w:val="24"/>
                <w:highlight w:val="none"/>
                <w:u w:val="single"/>
                <w:lang w:val="en-US" w:eastAsia="zh-CN"/>
              </w:rPr>
              <w:t>56.870</w:t>
            </w:r>
            <w:r>
              <w:rPr>
                <w:color w:val="auto"/>
                <w:sz w:val="24"/>
                <w:highlight w:val="none"/>
                <w:u w:val="single"/>
              </w:rPr>
              <w:t xml:space="preserve"> </w:t>
            </w:r>
            <w:r>
              <w:rPr>
                <w:rFonts w:hAnsi="宋体"/>
                <w:color w:val="auto"/>
                <w:sz w:val="24"/>
                <w:highlight w:val="none"/>
              </w:rPr>
              <w:t>秒）</w:t>
            </w:r>
          </w:p>
        </w:tc>
      </w:tr>
      <w:tr w14:paraId="27579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9" w:hRule="atLeast"/>
          <w:jc w:val="center"/>
        </w:trPr>
        <w:tc>
          <w:tcPr>
            <w:tcW w:w="1484" w:type="dxa"/>
            <w:tcMar>
              <w:top w:w="16" w:type="dxa"/>
              <w:left w:w="16" w:type="dxa"/>
              <w:right w:w="16" w:type="dxa"/>
            </w:tcMar>
            <w:vAlign w:val="center"/>
          </w:tcPr>
          <w:p w14:paraId="218C4765">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国民经济</w:t>
            </w:r>
          </w:p>
          <w:p w14:paraId="6A22B71D">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行业类别</w:t>
            </w:r>
          </w:p>
        </w:tc>
        <w:tc>
          <w:tcPr>
            <w:tcW w:w="2379" w:type="dxa"/>
            <w:gridSpan w:val="2"/>
            <w:vAlign w:val="center"/>
          </w:tcPr>
          <w:p w14:paraId="70CC8A52">
            <w:pPr>
              <w:jc w:val="left"/>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D4620污水处理及其再生利用</w:t>
            </w:r>
          </w:p>
        </w:tc>
        <w:tc>
          <w:tcPr>
            <w:tcW w:w="1854" w:type="dxa"/>
            <w:vAlign w:val="center"/>
          </w:tcPr>
          <w:p w14:paraId="7435F5BA">
            <w:pPr>
              <w:jc w:val="center"/>
              <w:rPr>
                <w:rFonts w:asciiTheme="minorEastAsia" w:hAnsiTheme="minorEastAsia" w:eastAsiaTheme="minorEastAsia"/>
                <w:color w:val="auto"/>
                <w:sz w:val="24"/>
                <w:highlight w:val="none"/>
              </w:rPr>
            </w:pPr>
            <w:bookmarkStart w:id="7" w:name="_Hlk49843745"/>
            <w:r>
              <w:rPr>
                <w:rFonts w:asciiTheme="minorEastAsia" w:hAnsiTheme="minorEastAsia" w:eastAsiaTheme="minorEastAsia"/>
                <w:color w:val="auto"/>
                <w:sz w:val="24"/>
                <w:highlight w:val="none"/>
              </w:rPr>
              <w:t>建设项目</w:t>
            </w:r>
          </w:p>
          <w:p w14:paraId="16EFD4B5">
            <w:pPr>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行业类别</w:t>
            </w:r>
            <w:bookmarkEnd w:id="7"/>
          </w:p>
        </w:tc>
        <w:tc>
          <w:tcPr>
            <w:tcW w:w="3412" w:type="dxa"/>
            <w:vAlign w:val="center"/>
          </w:tcPr>
          <w:p w14:paraId="3F5EBC4B">
            <w:pPr>
              <w:numPr>
                <w:ilvl w:val="0"/>
                <w:numId w:val="0"/>
              </w:numPr>
              <w:jc w:val="center"/>
              <w:rPr>
                <w:rFonts w:hint="default" w:asciiTheme="minorEastAsia" w:hAnsiTheme="minorEastAsia"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95、污</w:t>
            </w:r>
            <w:r>
              <w:rPr>
                <w:rFonts w:hint="eastAsia" w:asciiTheme="minorEastAsia" w:hAnsiTheme="minorEastAsia" w:eastAsiaTheme="minorEastAsia"/>
                <w:color w:val="auto"/>
                <w:sz w:val="24"/>
                <w:highlight w:val="none"/>
                <w:lang w:val="en-US" w:eastAsia="zh-CN"/>
              </w:rPr>
              <w:t>水处理及其再生利用</w:t>
            </w:r>
          </w:p>
        </w:tc>
      </w:tr>
      <w:tr w14:paraId="06FF1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91" w:hRule="atLeast"/>
          <w:jc w:val="center"/>
        </w:trPr>
        <w:tc>
          <w:tcPr>
            <w:tcW w:w="1484" w:type="dxa"/>
            <w:tcMar>
              <w:top w:w="16" w:type="dxa"/>
              <w:left w:w="16" w:type="dxa"/>
              <w:right w:w="16" w:type="dxa"/>
            </w:tcMar>
            <w:vAlign w:val="center"/>
          </w:tcPr>
          <w:p w14:paraId="4F4A8D7C">
            <w:pPr>
              <w:adjustRightInd w:val="0"/>
              <w:snapToGrid w:val="0"/>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建设性质</w:t>
            </w:r>
          </w:p>
        </w:tc>
        <w:tc>
          <w:tcPr>
            <w:tcW w:w="2379" w:type="dxa"/>
            <w:gridSpan w:val="2"/>
            <w:vAlign w:val="center"/>
          </w:tcPr>
          <w:p w14:paraId="16B00850">
            <w:pPr>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sym w:font="Wingdings 2" w:char="00A3"/>
            </w:r>
            <w:r>
              <w:rPr>
                <w:rFonts w:asciiTheme="minorEastAsia" w:hAnsiTheme="minorEastAsia" w:eastAsiaTheme="minorEastAsia"/>
                <w:color w:val="auto"/>
                <w:sz w:val="24"/>
                <w:highlight w:val="none"/>
              </w:rPr>
              <w:t>新建（迁建）</w:t>
            </w:r>
          </w:p>
          <w:p w14:paraId="4975CCA1">
            <w:pPr>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sym w:font="Wingdings 2" w:char="0052"/>
            </w:r>
            <w:r>
              <w:rPr>
                <w:rFonts w:asciiTheme="minorEastAsia" w:hAnsiTheme="minorEastAsia" w:eastAsiaTheme="minorEastAsia"/>
                <w:color w:val="auto"/>
                <w:sz w:val="24"/>
                <w:highlight w:val="none"/>
              </w:rPr>
              <w:t>改建</w:t>
            </w:r>
          </w:p>
          <w:p w14:paraId="5D3ED130">
            <w:pPr>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扩建</w:t>
            </w:r>
          </w:p>
          <w:p w14:paraId="4D963182">
            <w:pPr>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sym w:font="Wingdings 2" w:char="00A3"/>
            </w:r>
            <w:r>
              <w:rPr>
                <w:rFonts w:asciiTheme="minorEastAsia" w:hAnsiTheme="minorEastAsia" w:eastAsiaTheme="minorEastAsia"/>
                <w:color w:val="auto"/>
                <w:sz w:val="24"/>
                <w:highlight w:val="none"/>
              </w:rPr>
              <w:t>技术改造</w:t>
            </w:r>
          </w:p>
        </w:tc>
        <w:tc>
          <w:tcPr>
            <w:tcW w:w="1854" w:type="dxa"/>
            <w:vAlign w:val="center"/>
          </w:tcPr>
          <w:p w14:paraId="26CFF6F0">
            <w:pPr>
              <w:adjustRightInd w:val="0"/>
              <w:snapToGrid w:val="0"/>
              <w:jc w:val="center"/>
              <w:rPr>
                <w:color w:val="auto"/>
                <w:sz w:val="24"/>
                <w:highlight w:val="none"/>
              </w:rPr>
            </w:pPr>
            <w:r>
              <w:rPr>
                <w:rFonts w:hAnsi="宋体"/>
                <w:color w:val="auto"/>
                <w:sz w:val="24"/>
                <w:highlight w:val="none"/>
              </w:rPr>
              <w:t>建设项目</w:t>
            </w:r>
          </w:p>
          <w:p w14:paraId="2A3E81FC">
            <w:pPr>
              <w:adjustRightInd w:val="0"/>
              <w:snapToGrid w:val="0"/>
              <w:jc w:val="center"/>
              <w:rPr>
                <w:color w:val="auto"/>
                <w:sz w:val="24"/>
                <w:highlight w:val="none"/>
              </w:rPr>
            </w:pPr>
            <w:r>
              <w:rPr>
                <w:rFonts w:hAnsi="宋体"/>
                <w:color w:val="auto"/>
                <w:sz w:val="24"/>
                <w:highlight w:val="none"/>
              </w:rPr>
              <w:t>申报情形</w:t>
            </w:r>
          </w:p>
        </w:tc>
        <w:tc>
          <w:tcPr>
            <w:tcW w:w="3412" w:type="dxa"/>
            <w:vAlign w:val="center"/>
          </w:tcPr>
          <w:p w14:paraId="5B72283D">
            <w:pPr>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sym w:font="Wingdings" w:char="F0FE"/>
            </w:r>
            <w:r>
              <w:rPr>
                <w:rFonts w:asciiTheme="minorEastAsia" w:hAnsiTheme="minorEastAsia" w:eastAsiaTheme="minorEastAsia"/>
                <w:color w:val="auto"/>
                <w:sz w:val="24"/>
                <w:highlight w:val="none"/>
              </w:rPr>
              <w:t xml:space="preserve">首次申报项目             </w:t>
            </w:r>
          </w:p>
          <w:p w14:paraId="6B48371B">
            <w:pPr>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□不予批准后再次申报项目</w:t>
            </w:r>
          </w:p>
          <w:p w14:paraId="351DB164">
            <w:pPr>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sym w:font="Wingdings 2" w:char="00A3"/>
            </w:r>
            <w:r>
              <w:rPr>
                <w:rFonts w:asciiTheme="minorEastAsia" w:hAnsiTheme="minorEastAsia" w:eastAsiaTheme="minorEastAsia"/>
                <w:color w:val="auto"/>
                <w:sz w:val="24"/>
                <w:highlight w:val="none"/>
              </w:rPr>
              <w:t xml:space="preserve">超五年重新审核项目     </w:t>
            </w:r>
          </w:p>
          <w:p w14:paraId="36F67A5A">
            <w:pPr>
              <w:jc w:val="left"/>
              <w:rPr>
                <w:color w:val="auto"/>
                <w:sz w:val="24"/>
                <w:highlight w:val="none"/>
              </w:rPr>
            </w:pPr>
            <w:r>
              <w:rPr>
                <w:rFonts w:asciiTheme="minorEastAsia" w:hAnsiTheme="minorEastAsia" w:eastAsiaTheme="minorEastAsia"/>
                <w:color w:val="auto"/>
                <w:sz w:val="24"/>
                <w:highlight w:val="none"/>
              </w:rPr>
              <w:t>□重大变动重新报批项目</w:t>
            </w:r>
          </w:p>
        </w:tc>
      </w:tr>
      <w:tr w14:paraId="14CA7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4" w:type="dxa"/>
            <w:tcMar>
              <w:top w:w="16" w:type="dxa"/>
              <w:left w:w="16" w:type="dxa"/>
              <w:right w:w="16" w:type="dxa"/>
            </w:tcMar>
            <w:vAlign w:val="center"/>
          </w:tcPr>
          <w:p w14:paraId="4A10E471">
            <w:pPr>
              <w:adjustRightInd w:val="0"/>
              <w:snapToGrid w:val="0"/>
              <w:jc w:val="center"/>
              <w:rPr>
                <w:rFonts w:hAnsi="宋体"/>
                <w:color w:val="auto"/>
                <w:sz w:val="24"/>
                <w:highlight w:val="none"/>
              </w:rPr>
            </w:pPr>
            <w:r>
              <w:rPr>
                <w:rFonts w:hAnsi="宋体"/>
                <w:color w:val="auto"/>
                <w:sz w:val="24"/>
                <w:highlight w:val="none"/>
              </w:rPr>
              <w:t>项目审批（核准/备案）部门（选填）</w:t>
            </w:r>
          </w:p>
        </w:tc>
        <w:tc>
          <w:tcPr>
            <w:tcW w:w="2379" w:type="dxa"/>
            <w:gridSpan w:val="2"/>
            <w:vAlign w:val="center"/>
          </w:tcPr>
          <w:p w14:paraId="2BA0E244">
            <w:pPr>
              <w:jc w:val="center"/>
              <w:rPr>
                <w:rFonts w:hAnsi="宋体"/>
                <w:color w:val="auto"/>
                <w:sz w:val="24"/>
                <w:highlight w:val="none"/>
              </w:rPr>
            </w:pPr>
            <w:r>
              <w:rPr>
                <w:rFonts w:hint="eastAsia" w:hAnsi="宋体"/>
                <w:color w:val="auto"/>
                <w:sz w:val="24"/>
                <w:highlight w:val="none"/>
                <w:lang w:eastAsia="zh-CN"/>
              </w:rPr>
              <w:t>澄江市</w:t>
            </w:r>
            <w:r>
              <w:rPr>
                <w:rFonts w:hAnsi="宋体"/>
                <w:color w:val="auto"/>
                <w:sz w:val="24"/>
                <w:highlight w:val="none"/>
              </w:rPr>
              <w:t>发展和改革局</w:t>
            </w:r>
          </w:p>
        </w:tc>
        <w:tc>
          <w:tcPr>
            <w:tcW w:w="1854" w:type="dxa"/>
            <w:vAlign w:val="center"/>
          </w:tcPr>
          <w:p w14:paraId="5D01F9B8">
            <w:pPr>
              <w:jc w:val="center"/>
              <w:rPr>
                <w:rFonts w:hAnsi="宋体"/>
                <w:color w:val="auto"/>
                <w:sz w:val="24"/>
                <w:highlight w:val="none"/>
              </w:rPr>
            </w:pPr>
            <w:r>
              <w:rPr>
                <w:rFonts w:ascii="Times New Roman" w:hAnsi="Times New Roman" w:cs="Times New Roman"/>
                <w:color w:val="auto"/>
                <w:sz w:val="24"/>
                <w:highlight w:val="none"/>
              </w:rPr>
              <w:t>项目审批（核准/备案）文号（选填）</w:t>
            </w:r>
          </w:p>
        </w:tc>
        <w:tc>
          <w:tcPr>
            <w:tcW w:w="3412" w:type="dxa"/>
            <w:vAlign w:val="center"/>
          </w:tcPr>
          <w:p w14:paraId="662FE5DD">
            <w:pPr>
              <w:jc w:val="center"/>
              <w:rPr>
                <w:rFonts w:hint="eastAsia" w:eastAsia="宋体"/>
                <w:color w:val="auto"/>
                <w:sz w:val="24"/>
                <w:highlight w:val="none"/>
                <w:lang w:val="en-US" w:eastAsia="zh-CN"/>
              </w:rPr>
            </w:pPr>
            <w:r>
              <w:rPr>
                <w:rFonts w:hint="eastAsia"/>
                <w:color w:val="auto"/>
                <w:sz w:val="24"/>
                <w:highlight w:val="none"/>
                <w:lang w:val="en-US" w:eastAsia="zh-CN"/>
              </w:rPr>
              <w:t>澄发改发[2024]41号</w:t>
            </w:r>
            <w:r>
              <w:rPr>
                <w:rFonts w:hint="eastAsia" w:eastAsia="宋体"/>
                <w:color w:val="auto"/>
                <w:sz w:val="24"/>
                <w:highlight w:val="none"/>
                <w:lang w:val="en-US" w:eastAsia="zh-CN"/>
              </w:rPr>
              <w:t xml:space="preserve"> </w:t>
            </w:r>
          </w:p>
        </w:tc>
      </w:tr>
      <w:tr w14:paraId="26334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4" w:type="dxa"/>
            <w:tcMar>
              <w:top w:w="16" w:type="dxa"/>
              <w:left w:w="16" w:type="dxa"/>
              <w:right w:w="16" w:type="dxa"/>
            </w:tcMar>
            <w:vAlign w:val="center"/>
          </w:tcPr>
          <w:p w14:paraId="71569B88">
            <w:pPr>
              <w:adjustRightInd w:val="0"/>
              <w:snapToGrid w:val="0"/>
              <w:jc w:val="center"/>
              <w:rPr>
                <w:rFonts w:hAnsi="宋体"/>
                <w:color w:val="auto"/>
                <w:sz w:val="24"/>
                <w:highlight w:val="none"/>
              </w:rPr>
            </w:pPr>
            <w:r>
              <w:rPr>
                <w:rFonts w:hAnsi="宋体"/>
                <w:color w:val="auto"/>
                <w:sz w:val="24"/>
                <w:highlight w:val="none"/>
              </w:rPr>
              <w:t>总投资</w:t>
            </w:r>
          </w:p>
          <w:p w14:paraId="56F94F23">
            <w:pPr>
              <w:adjustRightInd w:val="0"/>
              <w:snapToGrid w:val="0"/>
              <w:jc w:val="center"/>
              <w:rPr>
                <w:color w:val="auto"/>
                <w:sz w:val="24"/>
                <w:highlight w:val="none"/>
              </w:rPr>
            </w:pPr>
            <w:r>
              <w:rPr>
                <w:rFonts w:hAnsi="宋体"/>
                <w:color w:val="auto"/>
                <w:sz w:val="24"/>
                <w:highlight w:val="none"/>
              </w:rPr>
              <w:t>（万元）</w:t>
            </w:r>
          </w:p>
        </w:tc>
        <w:tc>
          <w:tcPr>
            <w:tcW w:w="2379" w:type="dxa"/>
            <w:gridSpan w:val="2"/>
            <w:vAlign w:val="center"/>
          </w:tcPr>
          <w:p w14:paraId="55F522A0">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2135.56</w:t>
            </w:r>
          </w:p>
        </w:tc>
        <w:tc>
          <w:tcPr>
            <w:tcW w:w="1854" w:type="dxa"/>
            <w:tcMar>
              <w:top w:w="16" w:type="dxa"/>
              <w:left w:w="16" w:type="dxa"/>
              <w:right w:w="16" w:type="dxa"/>
            </w:tcMar>
            <w:vAlign w:val="center"/>
          </w:tcPr>
          <w:p w14:paraId="2B7D90FD">
            <w:pPr>
              <w:adjustRightInd w:val="0"/>
              <w:snapToGrid w:val="0"/>
              <w:jc w:val="center"/>
              <w:rPr>
                <w:rFonts w:hAnsi="宋体"/>
                <w:color w:val="auto"/>
                <w:sz w:val="24"/>
                <w:highlight w:val="none"/>
              </w:rPr>
            </w:pPr>
            <w:r>
              <w:rPr>
                <w:rFonts w:hAnsi="宋体"/>
                <w:color w:val="auto"/>
                <w:sz w:val="24"/>
                <w:highlight w:val="none"/>
              </w:rPr>
              <w:t>环保投资</w:t>
            </w:r>
          </w:p>
          <w:p w14:paraId="211A5B93">
            <w:pPr>
              <w:adjustRightInd w:val="0"/>
              <w:snapToGrid w:val="0"/>
              <w:jc w:val="center"/>
              <w:rPr>
                <w:color w:val="auto"/>
                <w:sz w:val="24"/>
                <w:highlight w:val="none"/>
              </w:rPr>
            </w:pPr>
            <w:r>
              <w:rPr>
                <w:rFonts w:hAnsi="宋体"/>
                <w:color w:val="auto"/>
                <w:sz w:val="24"/>
                <w:highlight w:val="none"/>
              </w:rPr>
              <w:t>（万元）</w:t>
            </w:r>
          </w:p>
        </w:tc>
        <w:tc>
          <w:tcPr>
            <w:tcW w:w="3412" w:type="dxa"/>
            <w:vAlign w:val="center"/>
          </w:tcPr>
          <w:p w14:paraId="7849DE62">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497.49</w:t>
            </w:r>
          </w:p>
        </w:tc>
      </w:tr>
      <w:tr w14:paraId="34BD4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4" w:type="dxa"/>
            <w:tcMar>
              <w:top w:w="16" w:type="dxa"/>
              <w:left w:w="16" w:type="dxa"/>
              <w:right w:w="16" w:type="dxa"/>
            </w:tcMar>
            <w:vAlign w:val="center"/>
          </w:tcPr>
          <w:p w14:paraId="409B385F">
            <w:pPr>
              <w:adjustRightInd w:val="0"/>
              <w:snapToGrid w:val="0"/>
              <w:jc w:val="center"/>
              <w:rPr>
                <w:color w:val="auto"/>
                <w:sz w:val="24"/>
                <w:highlight w:val="none"/>
              </w:rPr>
            </w:pPr>
            <w:r>
              <w:rPr>
                <w:rFonts w:hAnsi="宋体"/>
                <w:color w:val="auto"/>
                <w:sz w:val="24"/>
                <w:highlight w:val="none"/>
              </w:rPr>
              <w:t>环保投资占比（</w:t>
            </w:r>
            <w:r>
              <w:rPr>
                <w:color w:val="auto"/>
                <w:sz w:val="24"/>
                <w:highlight w:val="none"/>
              </w:rPr>
              <w:t>%</w:t>
            </w:r>
            <w:r>
              <w:rPr>
                <w:rFonts w:hAnsi="宋体"/>
                <w:color w:val="auto"/>
                <w:sz w:val="24"/>
                <w:highlight w:val="none"/>
              </w:rPr>
              <w:t>）</w:t>
            </w:r>
          </w:p>
        </w:tc>
        <w:tc>
          <w:tcPr>
            <w:tcW w:w="2379" w:type="dxa"/>
            <w:gridSpan w:val="2"/>
            <w:vAlign w:val="center"/>
          </w:tcPr>
          <w:p w14:paraId="0CE7046F">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23.29</w:t>
            </w:r>
          </w:p>
        </w:tc>
        <w:tc>
          <w:tcPr>
            <w:tcW w:w="1854" w:type="dxa"/>
            <w:tcMar>
              <w:top w:w="16" w:type="dxa"/>
              <w:left w:w="16" w:type="dxa"/>
              <w:right w:w="16" w:type="dxa"/>
            </w:tcMar>
            <w:vAlign w:val="center"/>
          </w:tcPr>
          <w:p w14:paraId="07ADFEB4">
            <w:pPr>
              <w:adjustRightInd w:val="0"/>
              <w:snapToGrid w:val="0"/>
              <w:jc w:val="center"/>
              <w:rPr>
                <w:color w:val="auto"/>
                <w:sz w:val="24"/>
                <w:highlight w:val="none"/>
              </w:rPr>
            </w:pPr>
            <w:r>
              <w:rPr>
                <w:rFonts w:hAnsi="宋体"/>
                <w:color w:val="auto"/>
                <w:sz w:val="24"/>
                <w:highlight w:val="none"/>
              </w:rPr>
              <w:t>施工工期</w:t>
            </w:r>
          </w:p>
        </w:tc>
        <w:tc>
          <w:tcPr>
            <w:tcW w:w="3412" w:type="dxa"/>
            <w:vAlign w:val="center"/>
          </w:tcPr>
          <w:p w14:paraId="66E8B355">
            <w:pPr>
              <w:adjustRightInd w:val="0"/>
              <w:snapToGrid w:val="0"/>
              <w:jc w:val="center"/>
              <w:rPr>
                <w:color w:val="auto"/>
                <w:sz w:val="24"/>
                <w:highlight w:val="none"/>
              </w:rPr>
            </w:pPr>
            <w:r>
              <w:rPr>
                <w:rFonts w:hint="eastAsia"/>
                <w:color w:val="auto"/>
                <w:sz w:val="24"/>
                <w:highlight w:val="none"/>
                <w:lang w:val="en-US" w:eastAsia="zh-CN"/>
              </w:rPr>
              <w:t>6</w:t>
            </w:r>
            <w:r>
              <w:rPr>
                <w:rFonts w:hint="eastAsia"/>
                <w:color w:val="auto"/>
                <w:sz w:val="24"/>
                <w:highlight w:val="none"/>
              </w:rPr>
              <w:t>个月</w:t>
            </w:r>
          </w:p>
        </w:tc>
      </w:tr>
      <w:tr w14:paraId="2F81B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1484" w:type="dxa"/>
            <w:tcMar>
              <w:top w:w="16" w:type="dxa"/>
              <w:left w:w="16" w:type="dxa"/>
              <w:right w:w="16" w:type="dxa"/>
            </w:tcMar>
            <w:vAlign w:val="center"/>
          </w:tcPr>
          <w:p w14:paraId="5F928901">
            <w:pPr>
              <w:adjustRightInd w:val="0"/>
              <w:snapToGrid w:val="0"/>
              <w:jc w:val="center"/>
              <w:rPr>
                <w:rFonts w:hAnsi="宋体"/>
                <w:color w:val="auto"/>
                <w:sz w:val="24"/>
                <w:highlight w:val="none"/>
              </w:rPr>
            </w:pPr>
            <w:r>
              <w:rPr>
                <w:rFonts w:hAnsi="宋体"/>
                <w:color w:val="auto"/>
                <w:sz w:val="24"/>
                <w:highlight w:val="none"/>
              </w:rPr>
              <w:t>是否开工</w:t>
            </w:r>
          </w:p>
          <w:p w14:paraId="1D247DBD">
            <w:pPr>
              <w:adjustRightInd w:val="0"/>
              <w:snapToGrid w:val="0"/>
              <w:jc w:val="center"/>
              <w:rPr>
                <w:color w:val="auto"/>
                <w:sz w:val="24"/>
                <w:highlight w:val="none"/>
              </w:rPr>
            </w:pPr>
            <w:r>
              <w:rPr>
                <w:rFonts w:hAnsi="宋体"/>
                <w:color w:val="auto"/>
                <w:sz w:val="24"/>
                <w:highlight w:val="none"/>
              </w:rPr>
              <w:t>建设</w:t>
            </w:r>
          </w:p>
        </w:tc>
        <w:tc>
          <w:tcPr>
            <w:tcW w:w="2379" w:type="dxa"/>
            <w:gridSpan w:val="2"/>
            <w:vAlign w:val="center"/>
          </w:tcPr>
          <w:p w14:paraId="1BBADBA2">
            <w:pPr>
              <w:adjustRightInd w:val="0"/>
              <w:snapToGrid w:val="0"/>
              <w:rPr>
                <w:color w:val="auto"/>
                <w:sz w:val="24"/>
                <w:highlight w:val="none"/>
              </w:rPr>
            </w:pPr>
            <w:r>
              <w:rPr>
                <w:rFonts w:asciiTheme="minorEastAsia" w:hAnsiTheme="minorEastAsia" w:eastAsiaTheme="minorEastAsia"/>
                <w:color w:val="auto"/>
                <w:sz w:val="24"/>
                <w:highlight w:val="none"/>
              </w:rPr>
              <w:sym w:font="Wingdings" w:char="F0FE"/>
            </w:r>
            <w:r>
              <w:rPr>
                <w:rFonts w:hAnsi="宋体"/>
                <w:color w:val="auto"/>
                <w:sz w:val="24"/>
                <w:highlight w:val="none"/>
              </w:rPr>
              <w:t>否</w:t>
            </w:r>
          </w:p>
          <w:p w14:paraId="0C891BDA">
            <w:pPr>
              <w:adjustRightInd w:val="0"/>
              <w:snapToGrid w:val="0"/>
              <w:rPr>
                <w:color w:val="auto"/>
                <w:sz w:val="24"/>
                <w:highlight w:val="none"/>
              </w:rPr>
            </w:pPr>
            <w:r>
              <w:rPr>
                <w:color w:val="auto"/>
                <w:sz w:val="24"/>
                <w:highlight w:val="none"/>
              </w:rPr>
              <w:sym w:font="Wingdings 2" w:char="00A3"/>
            </w:r>
            <w:r>
              <w:rPr>
                <w:rFonts w:hAnsi="宋体"/>
                <w:color w:val="auto"/>
                <w:sz w:val="24"/>
                <w:highlight w:val="none"/>
              </w:rPr>
              <w:t>是：</w:t>
            </w:r>
            <w:r>
              <w:rPr>
                <w:color w:val="auto"/>
                <w:sz w:val="24"/>
                <w:highlight w:val="none"/>
                <w:u w:val="single"/>
              </w:rPr>
              <w:t xml:space="preserve">             </w:t>
            </w:r>
          </w:p>
        </w:tc>
        <w:tc>
          <w:tcPr>
            <w:tcW w:w="1854" w:type="dxa"/>
            <w:tcMar>
              <w:top w:w="16" w:type="dxa"/>
              <w:left w:w="16" w:type="dxa"/>
              <w:right w:w="16" w:type="dxa"/>
            </w:tcMar>
            <w:vAlign w:val="center"/>
          </w:tcPr>
          <w:p w14:paraId="290F8905">
            <w:pPr>
              <w:adjustRightInd w:val="0"/>
              <w:snapToGrid w:val="0"/>
              <w:jc w:val="center"/>
              <w:rPr>
                <w:color w:val="auto"/>
                <w:spacing w:val="-6"/>
                <w:sz w:val="24"/>
                <w:highlight w:val="none"/>
              </w:rPr>
            </w:pPr>
            <w:r>
              <w:rPr>
                <w:rFonts w:hAnsi="宋体"/>
                <w:color w:val="auto"/>
                <w:spacing w:val="-6"/>
                <w:sz w:val="24"/>
                <w:highlight w:val="none"/>
              </w:rPr>
              <w:t>用地（用海）</w:t>
            </w:r>
          </w:p>
          <w:p w14:paraId="7B51ADCF">
            <w:pPr>
              <w:adjustRightInd w:val="0"/>
              <w:snapToGrid w:val="0"/>
              <w:jc w:val="center"/>
              <w:rPr>
                <w:color w:val="auto"/>
                <w:sz w:val="24"/>
                <w:highlight w:val="none"/>
              </w:rPr>
            </w:pPr>
            <w:r>
              <w:rPr>
                <w:rFonts w:hAnsi="宋体"/>
                <w:color w:val="auto"/>
                <w:spacing w:val="-6"/>
                <w:sz w:val="24"/>
                <w:highlight w:val="none"/>
              </w:rPr>
              <w:t>面积（</w:t>
            </w:r>
            <w:r>
              <w:rPr>
                <w:color w:val="auto"/>
                <w:spacing w:val="-6"/>
                <w:sz w:val="24"/>
                <w:highlight w:val="none"/>
              </w:rPr>
              <w:t>m</w:t>
            </w:r>
            <w:r>
              <w:rPr>
                <w:color w:val="auto"/>
                <w:spacing w:val="-6"/>
                <w:sz w:val="24"/>
                <w:highlight w:val="none"/>
                <w:vertAlign w:val="superscript"/>
              </w:rPr>
              <w:t>2</w:t>
            </w:r>
            <w:r>
              <w:rPr>
                <w:rFonts w:hAnsi="宋体"/>
                <w:color w:val="auto"/>
                <w:spacing w:val="-6"/>
                <w:sz w:val="24"/>
                <w:highlight w:val="none"/>
              </w:rPr>
              <w:t>）</w:t>
            </w:r>
          </w:p>
        </w:tc>
        <w:tc>
          <w:tcPr>
            <w:tcW w:w="3412" w:type="dxa"/>
            <w:vAlign w:val="center"/>
          </w:tcPr>
          <w:p w14:paraId="29E2A66D">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859.48</w:t>
            </w:r>
            <w:r>
              <w:rPr>
                <w:rFonts w:hint="eastAsia"/>
                <w:color w:val="auto"/>
                <w:sz w:val="24"/>
                <w:highlight w:val="none"/>
                <w:vertAlign w:val="baseline"/>
                <w:lang w:val="en-US" w:eastAsia="zh-CN"/>
              </w:rPr>
              <w:t>（</w:t>
            </w:r>
            <w:r>
              <w:rPr>
                <w:rFonts w:hint="eastAsia"/>
                <w:color w:val="auto"/>
                <w:sz w:val="24"/>
                <w:highlight w:val="none"/>
                <w:lang w:val="en-US" w:eastAsia="zh-CN"/>
              </w:rPr>
              <w:t>在原大山生活垃圾填埋场用地内建设，不新增用地</w:t>
            </w:r>
            <w:r>
              <w:rPr>
                <w:rFonts w:hint="eastAsia"/>
                <w:color w:val="auto"/>
                <w:sz w:val="24"/>
                <w:highlight w:val="none"/>
                <w:vertAlign w:val="baseline"/>
                <w:lang w:val="en-US" w:eastAsia="zh-CN"/>
              </w:rPr>
              <w:t>）</w:t>
            </w:r>
          </w:p>
        </w:tc>
      </w:tr>
      <w:tr w14:paraId="7D8DA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dxa"/>
            <w:vAlign w:val="center"/>
          </w:tcPr>
          <w:p w14:paraId="6B48ED6A">
            <w:pPr>
              <w:autoSpaceDE w:val="0"/>
              <w:autoSpaceDN w:val="0"/>
              <w:adjustRightInd w:val="0"/>
              <w:snapToGrid w:val="0"/>
              <w:jc w:val="center"/>
              <w:rPr>
                <w:color w:val="auto"/>
                <w:kern w:val="0"/>
                <w:sz w:val="24"/>
                <w:highlight w:val="none"/>
              </w:rPr>
            </w:pPr>
            <w:r>
              <w:rPr>
                <w:rFonts w:hAnsi="宋体"/>
                <w:color w:val="auto"/>
                <w:kern w:val="0"/>
                <w:sz w:val="24"/>
                <w:highlight w:val="none"/>
              </w:rPr>
              <w:t>专项评价设置情况</w:t>
            </w:r>
          </w:p>
        </w:tc>
        <w:tc>
          <w:tcPr>
            <w:tcW w:w="7645" w:type="dxa"/>
            <w:gridSpan w:val="4"/>
            <w:vAlign w:val="center"/>
          </w:tcPr>
          <w:p w14:paraId="7D9257FF">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根据《建设项目环境影响报告表编制技术指南（污染影响类）（试行）》，专项设置原则及本项目专项设置情况如下：</w:t>
            </w:r>
          </w:p>
          <w:p w14:paraId="37D2263D">
            <w:pPr>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表1-1 专项设置原则及本项目专项设置情况一览表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2690"/>
              <w:gridCol w:w="2980"/>
              <w:gridCol w:w="1033"/>
            </w:tblGrid>
            <w:tr w14:paraId="05D3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5" w:type="pct"/>
                  <w:noWrap w:val="0"/>
                  <w:vAlign w:val="center"/>
                </w:tcPr>
                <w:p w14:paraId="5B5939FF">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专项评价类别</w:t>
                  </w:r>
                </w:p>
              </w:tc>
              <w:tc>
                <w:tcPr>
                  <w:tcW w:w="1764" w:type="pct"/>
                  <w:noWrap w:val="0"/>
                  <w:vAlign w:val="center"/>
                </w:tcPr>
                <w:p w14:paraId="1A55C5A9">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设置原则</w:t>
                  </w:r>
                </w:p>
              </w:tc>
              <w:tc>
                <w:tcPr>
                  <w:tcW w:w="1954" w:type="pct"/>
                  <w:noWrap w:val="0"/>
                  <w:vAlign w:val="center"/>
                </w:tcPr>
                <w:p w14:paraId="07DF73AB">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本项目情况</w:t>
                  </w:r>
                </w:p>
              </w:tc>
              <w:tc>
                <w:tcPr>
                  <w:tcW w:w="674" w:type="pct"/>
                  <w:noWrap w:val="0"/>
                  <w:vAlign w:val="center"/>
                </w:tcPr>
                <w:p w14:paraId="0E197144">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本项目是否设置专项</w:t>
                  </w:r>
                </w:p>
              </w:tc>
            </w:tr>
            <w:tr w14:paraId="1DC9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605" w:type="pct"/>
                  <w:noWrap w:val="0"/>
                  <w:vAlign w:val="center"/>
                </w:tcPr>
                <w:p w14:paraId="7891F4C0">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cs="Times New Roman"/>
                      <w:color w:val="auto"/>
                      <w:kern w:val="0"/>
                      <w:szCs w:val="21"/>
                      <w:highlight w:val="none"/>
                      <w:vertAlign w:val="baseline"/>
                      <w:lang w:val="en-US" w:eastAsia="zh-CN"/>
                    </w:rPr>
                    <w:t>大</w:t>
                  </w:r>
                  <w:r>
                    <w:rPr>
                      <w:rFonts w:hint="default" w:ascii="Times New Roman" w:hAnsi="Times New Roman" w:eastAsia="宋体" w:cs="Times New Roman"/>
                      <w:color w:val="auto"/>
                      <w:kern w:val="0"/>
                      <w:szCs w:val="21"/>
                      <w:highlight w:val="none"/>
                      <w:vertAlign w:val="baseline"/>
                      <w:lang w:val="en-US" w:eastAsia="zh-CN"/>
                    </w:rPr>
                    <w:t>气</w:t>
                  </w:r>
                </w:p>
              </w:tc>
              <w:tc>
                <w:tcPr>
                  <w:tcW w:w="1764" w:type="pct"/>
                  <w:noWrap w:val="0"/>
                  <w:vAlign w:val="center"/>
                </w:tcPr>
                <w:p w14:paraId="71744A75">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排放废气含有毒有害污染物</w:t>
                  </w:r>
                  <w:r>
                    <w:rPr>
                      <w:rFonts w:hint="default" w:ascii="Times New Roman" w:hAnsi="Times New Roman" w:eastAsia="宋体" w:cs="Times New Roman"/>
                      <w:color w:val="auto"/>
                      <w:kern w:val="0"/>
                      <w:szCs w:val="21"/>
                      <w:highlight w:val="none"/>
                      <w:vertAlign w:val="superscript"/>
                      <w:lang w:val="en-US" w:eastAsia="zh-CN"/>
                    </w:rPr>
                    <w:t>1</w:t>
                  </w:r>
                  <w:r>
                    <w:rPr>
                      <w:rFonts w:hint="default" w:ascii="Times New Roman" w:hAnsi="Times New Roman" w:eastAsia="宋体" w:cs="Times New Roman"/>
                      <w:color w:val="auto"/>
                      <w:kern w:val="0"/>
                      <w:szCs w:val="21"/>
                      <w:highlight w:val="none"/>
                      <w:vertAlign w:val="baseline"/>
                      <w:lang w:val="en-US" w:eastAsia="zh-CN"/>
                    </w:rPr>
                    <w:t>、二噁英、苯并[a]芘、氰化物、氯气且厂界外500米范围内有环境空气保护目标</w:t>
                  </w:r>
                  <w:r>
                    <w:rPr>
                      <w:rFonts w:hint="default" w:ascii="Times New Roman" w:hAnsi="Times New Roman" w:eastAsia="宋体" w:cs="Times New Roman"/>
                      <w:color w:val="auto"/>
                      <w:kern w:val="0"/>
                      <w:szCs w:val="21"/>
                      <w:highlight w:val="none"/>
                      <w:vertAlign w:val="superscript"/>
                      <w:lang w:val="en-US" w:eastAsia="zh-CN"/>
                    </w:rPr>
                    <w:t>2</w:t>
                  </w:r>
                  <w:r>
                    <w:rPr>
                      <w:rFonts w:hint="default" w:ascii="Times New Roman" w:hAnsi="Times New Roman" w:eastAsia="宋体" w:cs="Times New Roman"/>
                      <w:color w:val="auto"/>
                      <w:kern w:val="0"/>
                      <w:szCs w:val="21"/>
                      <w:highlight w:val="none"/>
                      <w:vertAlign w:val="baseline"/>
                      <w:lang w:val="en-US" w:eastAsia="zh-CN"/>
                    </w:rPr>
                    <w:t>的建设项目</w:t>
                  </w:r>
                </w:p>
              </w:tc>
              <w:tc>
                <w:tcPr>
                  <w:tcW w:w="1954" w:type="pct"/>
                  <w:noWrap w:val="0"/>
                  <w:vAlign w:val="center"/>
                </w:tcPr>
                <w:p w14:paraId="16DCEA15">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本项目不涉及《有毒有害大气污染物名录》的污染物、二噁英、苯并[a]芘、氰化物、氯气</w:t>
                  </w:r>
                </w:p>
              </w:tc>
              <w:tc>
                <w:tcPr>
                  <w:tcW w:w="674" w:type="pct"/>
                  <w:noWrap w:val="0"/>
                  <w:vAlign w:val="center"/>
                </w:tcPr>
                <w:p w14:paraId="14D712CD">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否</w:t>
                  </w:r>
                </w:p>
              </w:tc>
            </w:tr>
            <w:tr w14:paraId="592D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5" w:type="pct"/>
                  <w:noWrap w:val="0"/>
                  <w:vAlign w:val="center"/>
                </w:tcPr>
                <w:p w14:paraId="39713479">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地表水</w:t>
                  </w:r>
                </w:p>
              </w:tc>
              <w:tc>
                <w:tcPr>
                  <w:tcW w:w="1764" w:type="pct"/>
                  <w:noWrap w:val="0"/>
                  <w:vAlign w:val="center"/>
                </w:tcPr>
                <w:p w14:paraId="5017EA33">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新增工业废水直排建设项目（槽罐车外送污水处理厂的除外）；新增废水直排的污水集中处理厂</w:t>
                  </w:r>
                </w:p>
              </w:tc>
              <w:tc>
                <w:tcPr>
                  <w:tcW w:w="1954" w:type="pct"/>
                  <w:noWrap w:val="0"/>
                  <w:vAlign w:val="center"/>
                </w:tcPr>
                <w:p w14:paraId="67F1CCE5">
                  <w:pPr>
                    <w:rPr>
                      <w:rFonts w:hint="default" w:ascii="Times New Roman" w:hAnsi="Times New Roman" w:eastAsia="宋体" w:cs="Times New Roman"/>
                      <w:color w:val="auto"/>
                      <w:kern w:val="0"/>
                      <w:szCs w:val="21"/>
                      <w:highlight w:val="none"/>
                      <w:vertAlign w:val="baseline"/>
                      <w:lang w:val="en-US" w:eastAsia="zh-CN"/>
                    </w:rPr>
                  </w:pPr>
                  <w:r>
                    <w:rPr>
                      <w:rFonts w:hint="eastAsia" w:cs="Times New Roman"/>
                      <w:color w:val="auto"/>
                      <w:sz w:val="21"/>
                      <w:szCs w:val="21"/>
                      <w:highlight w:val="none"/>
                      <w:lang w:eastAsia="zh-CN"/>
                    </w:rPr>
                    <w:t>本</w:t>
                  </w:r>
                  <w:r>
                    <w:rPr>
                      <w:rFonts w:hint="default" w:ascii="Times New Roman" w:hAnsi="Times New Roman" w:cs="Times New Roman"/>
                      <w:color w:val="auto"/>
                      <w:sz w:val="21"/>
                      <w:szCs w:val="21"/>
                      <w:highlight w:val="none"/>
                    </w:rPr>
                    <w:t>项目</w:t>
                  </w:r>
                  <w:r>
                    <w:rPr>
                      <w:rFonts w:hint="eastAsia" w:cs="Times New Roman"/>
                      <w:color w:val="auto"/>
                      <w:sz w:val="21"/>
                      <w:szCs w:val="21"/>
                      <w:highlight w:val="none"/>
                      <w:lang w:val="en-US" w:eastAsia="zh-CN"/>
                    </w:rPr>
                    <w:t>渗滤液全量化处理站处理</w:t>
                  </w:r>
                  <w:r>
                    <w:rPr>
                      <w:rFonts w:hint="eastAsia" w:cs="Times New Roman"/>
                      <w:color w:val="auto"/>
                      <w:sz w:val="21"/>
                      <w:szCs w:val="21"/>
                      <w:highlight w:val="none"/>
                      <w:lang w:eastAsia="zh-CN"/>
                    </w:rPr>
                    <w:t>的尾水</w:t>
                  </w:r>
                  <w:r>
                    <w:rPr>
                      <w:rFonts w:hint="eastAsia" w:cs="Times New Roman"/>
                      <w:color w:val="auto"/>
                      <w:sz w:val="21"/>
                      <w:szCs w:val="21"/>
                      <w:highlight w:val="none"/>
                      <w:lang w:val="en-US" w:eastAsia="zh-CN"/>
                    </w:rPr>
                    <w:t>回用于填埋场区内绿化浇灌，不直接排放。</w:t>
                  </w:r>
                </w:p>
              </w:tc>
              <w:tc>
                <w:tcPr>
                  <w:tcW w:w="674" w:type="pct"/>
                  <w:noWrap w:val="0"/>
                  <w:vAlign w:val="center"/>
                </w:tcPr>
                <w:p w14:paraId="53CA0FA4">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否</w:t>
                  </w:r>
                </w:p>
              </w:tc>
            </w:tr>
            <w:tr w14:paraId="1E73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5" w:type="pct"/>
                  <w:noWrap w:val="0"/>
                  <w:vAlign w:val="center"/>
                </w:tcPr>
                <w:p w14:paraId="30513CE3">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环境风险</w:t>
                  </w:r>
                </w:p>
              </w:tc>
              <w:tc>
                <w:tcPr>
                  <w:tcW w:w="1764" w:type="pct"/>
                  <w:noWrap w:val="0"/>
                  <w:vAlign w:val="center"/>
                </w:tcPr>
                <w:p w14:paraId="33510D97">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Cs w:val="21"/>
                      <w:highlight w:val="none"/>
                      <w:vertAlign w:val="superscript"/>
                      <w:lang w:val="en-US" w:eastAsia="zh-CN"/>
                    </w:rPr>
                    <w:t>3</w:t>
                  </w:r>
                  <w:r>
                    <w:rPr>
                      <w:rFonts w:hint="default" w:ascii="Times New Roman" w:hAnsi="Times New Roman" w:eastAsia="宋体" w:cs="Times New Roman"/>
                      <w:color w:val="auto"/>
                      <w:kern w:val="0"/>
                      <w:szCs w:val="21"/>
                      <w:highlight w:val="none"/>
                      <w:vertAlign w:val="baseline"/>
                      <w:lang w:val="en-US" w:eastAsia="zh-CN"/>
                    </w:rPr>
                    <w:t>的建设项目</w:t>
                  </w:r>
                </w:p>
              </w:tc>
              <w:tc>
                <w:tcPr>
                  <w:tcW w:w="1954" w:type="pct"/>
                  <w:noWrap w:val="0"/>
                  <w:vAlign w:val="center"/>
                </w:tcPr>
                <w:p w14:paraId="3F513015">
                  <w:pPr>
                    <w:autoSpaceDE w:val="0"/>
                    <w:autoSpaceDN w:val="0"/>
                    <w:adjustRightInd w:val="0"/>
                    <w:snapToGrid w:val="0"/>
                    <w:jc w:val="left"/>
                    <w:rPr>
                      <w:rFonts w:hint="default" w:ascii="Times New Roman" w:hAnsi="Times New Roman" w:eastAsia="宋体" w:cs="Times New Roman"/>
                      <w:color w:val="auto"/>
                      <w:kern w:val="0"/>
                      <w:szCs w:val="21"/>
                      <w:highlight w:val="none"/>
                      <w:vertAlign w:val="baseline"/>
                      <w:lang w:val="en-US" w:eastAsia="zh-CN"/>
                    </w:rPr>
                  </w:pPr>
                  <w:r>
                    <w:rPr>
                      <w:rFonts w:hint="eastAsia" w:cs="Times New Roman"/>
                      <w:color w:val="auto"/>
                      <w:kern w:val="0"/>
                      <w:szCs w:val="21"/>
                      <w:highlight w:val="none"/>
                      <w:vertAlign w:val="baseline"/>
                      <w:lang w:val="en-US" w:eastAsia="zh-CN"/>
                    </w:rPr>
                    <w:t>本</w:t>
                  </w:r>
                  <w:r>
                    <w:rPr>
                      <w:rFonts w:hint="default" w:ascii="Times New Roman" w:hAnsi="Times New Roman" w:eastAsia="宋体" w:cs="Times New Roman"/>
                      <w:color w:val="auto"/>
                      <w:kern w:val="0"/>
                      <w:szCs w:val="21"/>
                      <w:highlight w:val="none"/>
                      <w:vertAlign w:val="baseline"/>
                      <w:lang w:val="en-US" w:eastAsia="zh-CN"/>
                    </w:rPr>
                    <w:t>项目有毒有害和易燃易爆危险物质</w:t>
                  </w:r>
                  <w:r>
                    <w:rPr>
                      <w:rFonts w:hint="eastAsia" w:cs="Times New Roman"/>
                      <w:color w:val="auto"/>
                      <w:kern w:val="0"/>
                      <w:szCs w:val="21"/>
                      <w:highlight w:val="none"/>
                      <w:vertAlign w:val="baseline"/>
                      <w:lang w:val="en-US" w:eastAsia="zh-CN"/>
                    </w:rPr>
                    <w:t>的</w:t>
                  </w:r>
                  <w:r>
                    <w:rPr>
                      <w:rFonts w:hint="default" w:ascii="Times New Roman" w:hAnsi="Times New Roman" w:eastAsia="宋体" w:cs="Times New Roman"/>
                      <w:color w:val="auto"/>
                      <w:kern w:val="0"/>
                      <w:szCs w:val="21"/>
                      <w:highlight w:val="none"/>
                      <w:vertAlign w:val="baseline"/>
                      <w:lang w:val="en-US" w:eastAsia="zh-CN"/>
                    </w:rPr>
                    <w:t>存储</w:t>
                  </w:r>
                  <w:r>
                    <w:rPr>
                      <w:rFonts w:hint="eastAsia" w:cs="Times New Roman"/>
                      <w:color w:val="auto"/>
                      <w:kern w:val="0"/>
                      <w:szCs w:val="21"/>
                      <w:highlight w:val="none"/>
                      <w:vertAlign w:val="baseline"/>
                      <w:lang w:val="en-US" w:eastAsia="zh-CN"/>
                    </w:rPr>
                    <w:t>量超过了临界量</w:t>
                  </w:r>
                </w:p>
              </w:tc>
              <w:tc>
                <w:tcPr>
                  <w:tcW w:w="674" w:type="pct"/>
                  <w:noWrap w:val="0"/>
                  <w:vAlign w:val="center"/>
                </w:tcPr>
                <w:p w14:paraId="5EE75E53">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eastAsia" w:cs="Times New Roman"/>
                      <w:color w:val="auto"/>
                      <w:kern w:val="0"/>
                      <w:szCs w:val="21"/>
                      <w:highlight w:val="none"/>
                      <w:vertAlign w:val="baseline"/>
                      <w:lang w:val="en-US" w:eastAsia="zh-CN"/>
                    </w:rPr>
                    <w:t>是</w:t>
                  </w:r>
                </w:p>
              </w:tc>
            </w:tr>
            <w:tr w14:paraId="66D1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5" w:type="pct"/>
                  <w:noWrap w:val="0"/>
                  <w:vAlign w:val="center"/>
                </w:tcPr>
                <w:p w14:paraId="2DF7AED3">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生态</w:t>
                  </w:r>
                </w:p>
              </w:tc>
              <w:tc>
                <w:tcPr>
                  <w:tcW w:w="1764" w:type="pct"/>
                  <w:noWrap w:val="0"/>
                  <w:vAlign w:val="center"/>
                </w:tcPr>
                <w:p w14:paraId="389F6E3C">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取水口下游500米范围内有重要水生生物的自然产卵场、索饵场、越冬场和洄游通道的新增河道取水的污染类建设项目</w:t>
                  </w:r>
                </w:p>
              </w:tc>
              <w:tc>
                <w:tcPr>
                  <w:tcW w:w="1954" w:type="pct"/>
                  <w:noWrap w:val="0"/>
                  <w:vAlign w:val="center"/>
                </w:tcPr>
                <w:p w14:paraId="0CEA1041">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项目不涉及</w:t>
                  </w:r>
                </w:p>
              </w:tc>
              <w:tc>
                <w:tcPr>
                  <w:tcW w:w="674" w:type="pct"/>
                  <w:noWrap w:val="0"/>
                  <w:vAlign w:val="center"/>
                </w:tcPr>
                <w:p w14:paraId="7E73991E">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否</w:t>
                  </w:r>
                </w:p>
              </w:tc>
            </w:tr>
            <w:tr w14:paraId="417C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noWrap w:val="0"/>
                  <w:vAlign w:val="center"/>
                </w:tcPr>
                <w:p w14:paraId="2BB885D2">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海洋</w:t>
                  </w:r>
                </w:p>
              </w:tc>
              <w:tc>
                <w:tcPr>
                  <w:tcW w:w="1764" w:type="pct"/>
                  <w:noWrap w:val="0"/>
                  <w:vAlign w:val="center"/>
                </w:tcPr>
                <w:p w14:paraId="2114CC5F">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直接向海排放污染物的海洋工程建设项目</w:t>
                  </w:r>
                </w:p>
              </w:tc>
              <w:tc>
                <w:tcPr>
                  <w:tcW w:w="1954" w:type="pct"/>
                  <w:noWrap w:val="0"/>
                  <w:vAlign w:val="center"/>
                </w:tcPr>
                <w:p w14:paraId="406DC424">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项目不涉及</w:t>
                  </w:r>
                </w:p>
              </w:tc>
              <w:tc>
                <w:tcPr>
                  <w:tcW w:w="674" w:type="pct"/>
                  <w:noWrap w:val="0"/>
                  <w:vAlign w:val="center"/>
                </w:tcPr>
                <w:p w14:paraId="0210CCA3">
                  <w:pPr>
                    <w:autoSpaceDE w:val="0"/>
                    <w:autoSpaceDN w:val="0"/>
                    <w:adjustRightInd w:val="0"/>
                    <w:snapToGrid w:val="0"/>
                    <w:jc w:val="center"/>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否</w:t>
                  </w:r>
                </w:p>
              </w:tc>
            </w:tr>
            <w:tr w14:paraId="656E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12D1E933">
                  <w:pPr>
                    <w:autoSpaceDE w:val="0"/>
                    <w:autoSpaceDN w:val="0"/>
                    <w:adjustRightInd w:val="0"/>
                    <w:snapToGrid w:val="0"/>
                    <w:jc w:val="left"/>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注：1.废气中有毒有害污染物指纳入《有毒有害大气污染物名录》的污染物（不包括无排放标准的污染物）。</w:t>
                  </w:r>
                </w:p>
                <w:p w14:paraId="7F5C773F">
                  <w:pPr>
                    <w:numPr>
                      <w:ilvl w:val="0"/>
                      <w:numId w:val="0"/>
                    </w:numPr>
                    <w:autoSpaceDE w:val="0"/>
                    <w:autoSpaceDN w:val="0"/>
                    <w:adjustRightInd w:val="0"/>
                    <w:snapToGrid w:val="0"/>
                    <w:jc w:val="left"/>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cs="Times New Roman"/>
                      <w:color w:val="auto"/>
                      <w:kern w:val="0"/>
                      <w:szCs w:val="21"/>
                      <w:highlight w:val="none"/>
                      <w:vertAlign w:val="baseline"/>
                      <w:lang w:val="en-US" w:eastAsia="zh-CN"/>
                    </w:rPr>
                    <w:t>2.</w:t>
                  </w:r>
                  <w:r>
                    <w:rPr>
                      <w:rFonts w:hint="default" w:ascii="Times New Roman" w:hAnsi="Times New Roman" w:eastAsia="宋体" w:cs="Times New Roman"/>
                      <w:color w:val="auto"/>
                      <w:kern w:val="0"/>
                      <w:szCs w:val="21"/>
                      <w:highlight w:val="none"/>
                      <w:vertAlign w:val="baseline"/>
                      <w:lang w:val="en-US" w:eastAsia="zh-CN"/>
                    </w:rPr>
                    <w:t>环境空气保护目标指自然保护区、风景名胜区、居住区、文化区和农村地区中人群较集中的区域。</w:t>
                  </w:r>
                </w:p>
                <w:p w14:paraId="01D96D63">
                  <w:pPr>
                    <w:numPr>
                      <w:ilvl w:val="0"/>
                      <w:numId w:val="0"/>
                    </w:numPr>
                    <w:autoSpaceDE w:val="0"/>
                    <w:autoSpaceDN w:val="0"/>
                    <w:adjustRightInd w:val="0"/>
                    <w:snapToGrid w:val="0"/>
                    <w:jc w:val="left"/>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eastAsia="宋体" w:cs="Times New Roman"/>
                      <w:color w:val="auto"/>
                      <w:kern w:val="0"/>
                      <w:szCs w:val="21"/>
                      <w:highlight w:val="none"/>
                      <w:vertAlign w:val="baseline"/>
                      <w:lang w:val="en-US" w:eastAsia="zh-CN"/>
                    </w:rPr>
                    <w:t>3.临界量及其计算方法可参考《建设项目环境风险评价技术导则》（HJ 169）附录B、附录C。</w:t>
                  </w:r>
                </w:p>
              </w:tc>
            </w:tr>
          </w:tbl>
          <w:p w14:paraId="758DF2D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color w:val="auto"/>
                <w:kern w:val="0"/>
                <w:sz w:val="24"/>
                <w:highlight w:val="none"/>
              </w:rPr>
            </w:pPr>
            <w:r>
              <w:rPr>
                <w:rFonts w:hint="eastAsia"/>
                <w:color w:val="auto"/>
                <w:kern w:val="0"/>
                <w:sz w:val="24"/>
                <w:highlight w:val="none"/>
                <w:lang w:val="en-US" w:eastAsia="zh-CN"/>
              </w:rPr>
              <w:t>结合上表分析，本项目设置环境风险专项评价。</w:t>
            </w:r>
          </w:p>
        </w:tc>
      </w:tr>
      <w:tr w14:paraId="7BAB9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484" w:type="dxa"/>
            <w:vAlign w:val="center"/>
          </w:tcPr>
          <w:p w14:paraId="21BEBDF8">
            <w:pPr>
              <w:autoSpaceDE w:val="0"/>
              <w:autoSpaceDN w:val="0"/>
              <w:adjustRightInd w:val="0"/>
              <w:snapToGrid w:val="0"/>
              <w:jc w:val="center"/>
              <w:rPr>
                <w:color w:val="auto"/>
                <w:kern w:val="0"/>
                <w:sz w:val="24"/>
                <w:highlight w:val="none"/>
              </w:rPr>
            </w:pPr>
            <w:r>
              <w:rPr>
                <w:rFonts w:hAnsi="宋体"/>
                <w:color w:val="auto"/>
                <w:sz w:val="24"/>
                <w:highlight w:val="none"/>
              </w:rPr>
              <w:t>规划情况</w:t>
            </w:r>
          </w:p>
        </w:tc>
        <w:tc>
          <w:tcPr>
            <w:tcW w:w="7645" w:type="dxa"/>
            <w:gridSpan w:val="4"/>
            <w:vAlign w:val="center"/>
          </w:tcPr>
          <w:p w14:paraId="6E5CE593">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eastAsia="宋体"/>
                <w:color w:val="auto"/>
                <w:kern w:val="0"/>
                <w:sz w:val="24"/>
                <w:highlight w:val="none"/>
                <w:lang w:eastAsia="zh-CN"/>
              </w:rPr>
            </w:pPr>
            <w:r>
              <w:rPr>
                <w:rFonts w:hint="eastAsia" w:cs="Times New Roman"/>
                <w:b/>
                <w:bCs/>
                <w:color w:val="auto"/>
                <w:sz w:val="24"/>
                <w:szCs w:val="24"/>
                <w:highlight w:val="none"/>
                <w:lang w:val="en-US" w:eastAsia="zh-CN"/>
              </w:rPr>
              <w:t>无</w:t>
            </w:r>
          </w:p>
        </w:tc>
      </w:tr>
      <w:tr w14:paraId="1D863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484" w:type="dxa"/>
            <w:vAlign w:val="center"/>
          </w:tcPr>
          <w:p w14:paraId="108025C5">
            <w:pPr>
              <w:adjustRightInd w:val="0"/>
              <w:snapToGrid w:val="0"/>
              <w:jc w:val="center"/>
              <w:rPr>
                <w:color w:val="auto"/>
                <w:sz w:val="24"/>
                <w:highlight w:val="none"/>
              </w:rPr>
            </w:pPr>
            <w:r>
              <w:rPr>
                <w:rFonts w:hAnsi="宋体"/>
                <w:color w:val="auto"/>
                <w:sz w:val="24"/>
                <w:highlight w:val="none"/>
              </w:rPr>
              <w:t>规划环境影响评价情况</w:t>
            </w:r>
          </w:p>
        </w:tc>
        <w:tc>
          <w:tcPr>
            <w:tcW w:w="7645" w:type="dxa"/>
            <w:gridSpan w:val="4"/>
            <w:vAlign w:val="center"/>
          </w:tcPr>
          <w:p w14:paraId="3A7B34DB">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eastAsia="宋体"/>
                <w:color w:val="auto"/>
                <w:kern w:val="0"/>
                <w:sz w:val="24"/>
                <w:highlight w:val="none"/>
                <w:lang w:val="en-US" w:eastAsia="zh-CN"/>
              </w:rPr>
            </w:pPr>
            <w:r>
              <w:rPr>
                <w:rFonts w:hint="eastAsia"/>
                <w:b/>
                <w:bCs/>
                <w:color w:val="auto"/>
                <w:kern w:val="0"/>
                <w:sz w:val="24"/>
                <w:highlight w:val="none"/>
                <w:lang w:eastAsia="zh-CN"/>
              </w:rPr>
              <w:t>无</w:t>
            </w:r>
          </w:p>
        </w:tc>
      </w:tr>
      <w:tr w14:paraId="646E2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4" w:type="dxa"/>
            <w:vAlign w:val="center"/>
          </w:tcPr>
          <w:p w14:paraId="3CD4C977">
            <w:pPr>
              <w:autoSpaceDE w:val="0"/>
              <w:autoSpaceDN w:val="0"/>
              <w:adjustRightInd w:val="0"/>
              <w:snapToGrid w:val="0"/>
              <w:jc w:val="center"/>
              <w:rPr>
                <w:color w:val="auto"/>
                <w:kern w:val="0"/>
                <w:sz w:val="24"/>
                <w:highlight w:val="none"/>
              </w:rPr>
            </w:pPr>
            <w:r>
              <w:rPr>
                <w:rFonts w:hAnsi="宋体"/>
                <w:color w:val="auto"/>
                <w:kern w:val="0"/>
                <w:sz w:val="24"/>
                <w:highlight w:val="none"/>
              </w:rPr>
              <w:t>规划及规划环境影响评价符合性分析</w:t>
            </w:r>
          </w:p>
        </w:tc>
        <w:tc>
          <w:tcPr>
            <w:tcW w:w="7645" w:type="dxa"/>
            <w:gridSpan w:val="4"/>
            <w:vAlign w:val="center"/>
          </w:tcPr>
          <w:p w14:paraId="383D80B9">
            <w:pPr>
              <w:keepNext w:val="0"/>
              <w:keepLines w:val="0"/>
              <w:pageBreakBefore w:val="0"/>
              <w:widowControl w:val="0"/>
              <w:kinsoku/>
              <w:wordWrap/>
              <w:overflowPunct/>
              <w:topLinePunct w:val="0"/>
              <w:bidi w:val="0"/>
              <w:adjustRightInd w:val="0"/>
              <w:snapToGrid w:val="0"/>
              <w:spacing w:line="240" w:lineRule="auto"/>
              <w:textAlignment w:val="auto"/>
              <w:rPr>
                <w:rFonts w:hint="eastAsia" w:eastAsia="宋体"/>
                <w:color w:val="auto"/>
                <w:sz w:val="24"/>
                <w:highlight w:val="none"/>
                <w:lang w:eastAsia="zh-CN"/>
              </w:rPr>
            </w:pPr>
            <w:r>
              <w:rPr>
                <w:rFonts w:hint="eastAsia"/>
                <w:b/>
                <w:bCs/>
                <w:color w:val="auto"/>
                <w:sz w:val="24"/>
                <w:highlight w:val="none"/>
                <w:lang w:eastAsia="zh-CN"/>
              </w:rPr>
              <w:t>无</w:t>
            </w:r>
          </w:p>
        </w:tc>
      </w:tr>
      <w:tr w14:paraId="20271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4" w:type="dxa"/>
            <w:vAlign w:val="center"/>
          </w:tcPr>
          <w:p w14:paraId="4786AF24">
            <w:pPr>
              <w:autoSpaceDE w:val="0"/>
              <w:autoSpaceDN w:val="0"/>
              <w:adjustRightInd w:val="0"/>
              <w:snapToGrid w:val="0"/>
              <w:jc w:val="center"/>
              <w:rPr>
                <w:color w:val="auto"/>
                <w:kern w:val="0"/>
                <w:sz w:val="24"/>
                <w:highlight w:val="none"/>
              </w:rPr>
            </w:pPr>
            <w:r>
              <w:rPr>
                <w:rFonts w:hAnsi="宋体"/>
                <w:color w:val="auto"/>
                <w:kern w:val="0"/>
                <w:sz w:val="24"/>
                <w:highlight w:val="none"/>
              </w:rPr>
              <w:t>其他符合性分析</w:t>
            </w:r>
          </w:p>
        </w:tc>
        <w:tc>
          <w:tcPr>
            <w:tcW w:w="7645" w:type="dxa"/>
            <w:gridSpan w:val="4"/>
            <w:vAlign w:val="center"/>
          </w:tcPr>
          <w:p w14:paraId="05DD8ED3">
            <w:pPr>
              <w:autoSpaceDE w:val="0"/>
              <w:autoSpaceDN w:val="0"/>
              <w:adjustRightInd w:val="0"/>
              <w:snapToGrid w:val="0"/>
              <w:spacing w:line="360" w:lineRule="auto"/>
              <w:jc w:val="left"/>
              <w:rPr>
                <w:b/>
                <w:color w:val="auto"/>
                <w:kern w:val="0"/>
                <w:sz w:val="24"/>
                <w:highlight w:val="none"/>
              </w:rPr>
            </w:pPr>
            <w:r>
              <w:rPr>
                <w:b/>
                <w:color w:val="auto"/>
                <w:kern w:val="0"/>
                <w:sz w:val="24"/>
                <w:highlight w:val="none"/>
              </w:rPr>
              <w:t>（一）产业政策符合性分析</w:t>
            </w:r>
          </w:p>
          <w:p w14:paraId="1CF804F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b w:val="0"/>
                <w:bCs/>
                <w:color w:val="auto"/>
                <w:kern w:val="0"/>
                <w:sz w:val="24"/>
                <w:highlight w:val="none"/>
              </w:rPr>
            </w:pPr>
            <w:r>
              <w:rPr>
                <w:rFonts w:hint="default"/>
                <w:b w:val="0"/>
                <w:bCs/>
                <w:color w:val="auto"/>
                <w:kern w:val="0"/>
                <w:sz w:val="24"/>
                <w:highlight w:val="none"/>
              </w:rPr>
              <w:t>对照国家《产业结构调整指导目录（20</w:t>
            </w:r>
            <w:r>
              <w:rPr>
                <w:rFonts w:hint="eastAsia"/>
                <w:b w:val="0"/>
                <w:bCs/>
                <w:color w:val="auto"/>
                <w:kern w:val="0"/>
                <w:sz w:val="24"/>
                <w:highlight w:val="none"/>
                <w:lang w:val="en-US" w:eastAsia="zh-CN"/>
              </w:rPr>
              <w:t>24</w:t>
            </w:r>
            <w:r>
              <w:rPr>
                <w:rFonts w:hint="default"/>
                <w:b w:val="0"/>
                <w:bCs/>
                <w:color w:val="auto"/>
                <w:kern w:val="0"/>
                <w:sz w:val="24"/>
                <w:highlight w:val="none"/>
              </w:rPr>
              <w:t>年本）</w:t>
            </w:r>
            <w:r>
              <w:rPr>
                <w:rFonts w:hint="eastAsia"/>
                <w:b w:val="0"/>
                <w:bCs/>
                <w:color w:val="auto"/>
                <w:kern w:val="0"/>
                <w:sz w:val="24"/>
                <w:highlight w:val="none"/>
                <w:lang w:eastAsia="zh-CN"/>
              </w:rPr>
              <w:t>》</w:t>
            </w:r>
            <w:r>
              <w:rPr>
                <w:rFonts w:hint="default"/>
                <w:b w:val="0"/>
                <w:bCs/>
                <w:color w:val="auto"/>
                <w:kern w:val="0"/>
                <w:sz w:val="24"/>
                <w:highlight w:val="none"/>
              </w:rPr>
              <w:t>，本项目为</w:t>
            </w:r>
            <w:r>
              <w:rPr>
                <w:rFonts w:hint="default"/>
                <w:b w:val="0"/>
                <w:bCs/>
                <w:color w:val="auto"/>
                <w:kern w:val="0"/>
                <w:sz w:val="24"/>
                <w:highlight w:val="none"/>
                <w:lang w:eastAsia="zh-CN"/>
              </w:rPr>
              <w:t>污水处理及其再生利用</w:t>
            </w:r>
            <w:r>
              <w:rPr>
                <w:rFonts w:hint="default"/>
                <w:b w:val="0"/>
                <w:bCs/>
                <w:color w:val="auto"/>
                <w:kern w:val="0"/>
                <w:sz w:val="24"/>
                <w:highlight w:val="none"/>
              </w:rPr>
              <w:t>，</w:t>
            </w:r>
            <w:r>
              <w:rPr>
                <w:rFonts w:hint="eastAsia"/>
                <w:b w:val="0"/>
                <w:bCs/>
                <w:color w:val="auto"/>
                <w:kern w:val="0"/>
                <w:sz w:val="24"/>
                <w:highlight w:val="none"/>
                <w:lang w:val="en-US" w:eastAsia="zh-CN"/>
              </w:rPr>
              <w:t>不属于限制类和淘汰类项目</w:t>
            </w:r>
            <w:r>
              <w:rPr>
                <w:rFonts w:hint="default"/>
                <w:b w:val="0"/>
                <w:bCs/>
                <w:color w:val="auto"/>
                <w:kern w:val="0"/>
                <w:sz w:val="24"/>
                <w:highlight w:val="none"/>
              </w:rPr>
              <w:t>，符合国家</w:t>
            </w:r>
            <w:r>
              <w:rPr>
                <w:rFonts w:hint="default"/>
                <w:b w:val="0"/>
                <w:bCs/>
                <w:color w:val="auto"/>
                <w:kern w:val="0"/>
                <w:sz w:val="24"/>
                <w:highlight w:val="none"/>
                <w:lang w:eastAsia="zh-CN"/>
              </w:rPr>
              <w:t>和地方</w:t>
            </w:r>
            <w:r>
              <w:rPr>
                <w:rFonts w:hint="default"/>
                <w:b w:val="0"/>
                <w:bCs/>
                <w:color w:val="auto"/>
                <w:kern w:val="0"/>
                <w:sz w:val="24"/>
                <w:highlight w:val="none"/>
              </w:rPr>
              <w:t>现行相关产业政策的要求。项目于202</w:t>
            </w:r>
            <w:r>
              <w:rPr>
                <w:rFonts w:hint="eastAsia"/>
                <w:b w:val="0"/>
                <w:bCs/>
                <w:color w:val="auto"/>
                <w:kern w:val="0"/>
                <w:sz w:val="24"/>
                <w:highlight w:val="none"/>
                <w:lang w:val="en-US" w:eastAsia="zh-CN"/>
              </w:rPr>
              <w:t>4</w:t>
            </w:r>
            <w:r>
              <w:rPr>
                <w:rFonts w:hint="default"/>
                <w:b w:val="0"/>
                <w:bCs/>
                <w:color w:val="auto"/>
                <w:kern w:val="0"/>
                <w:sz w:val="24"/>
                <w:highlight w:val="none"/>
              </w:rPr>
              <w:t>年</w:t>
            </w:r>
            <w:r>
              <w:rPr>
                <w:rFonts w:hint="eastAsia"/>
                <w:b w:val="0"/>
                <w:bCs/>
                <w:color w:val="auto"/>
                <w:kern w:val="0"/>
                <w:sz w:val="24"/>
                <w:highlight w:val="none"/>
                <w:lang w:val="en-US" w:eastAsia="zh-CN"/>
              </w:rPr>
              <w:t>8</w:t>
            </w:r>
            <w:r>
              <w:rPr>
                <w:rFonts w:hint="default"/>
                <w:b w:val="0"/>
                <w:bCs/>
                <w:color w:val="auto"/>
                <w:kern w:val="0"/>
                <w:sz w:val="24"/>
                <w:highlight w:val="none"/>
              </w:rPr>
              <w:t>月</w:t>
            </w:r>
            <w:r>
              <w:rPr>
                <w:rFonts w:hint="eastAsia"/>
                <w:b w:val="0"/>
                <w:bCs/>
                <w:color w:val="auto"/>
                <w:kern w:val="0"/>
                <w:sz w:val="24"/>
                <w:highlight w:val="none"/>
                <w:lang w:val="en-US" w:eastAsia="zh-CN"/>
              </w:rPr>
              <w:t>8</w:t>
            </w:r>
            <w:r>
              <w:rPr>
                <w:rFonts w:hint="default"/>
                <w:b w:val="0"/>
                <w:bCs/>
                <w:color w:val="auto"/>
                <w:kern w:val="0"/>
                <w:sz w:val="24"/>
                <w:highlight w:val="none"/>
              </w:rPr>
              <w:t>日取得了</w:t>
            </w:r>
            <w:r>
              <w:rPr>
                <w:rFonts w:hint="eastAsia"/>
                <w:b w:val="0"/>
                <w:bCs/>
                <w:color w:val="auto"/>
                <w:kern w:val="0"/>
                <w:sz w:val="24"/>
                <w:highlight w:val="none"/>
                <w:lang w:val="en-US" w:eastAsia="zh-CN"/>
              </w:rPr>
              <w:t>澄江市</w:t>
            </w:r>
            <w:r>
              <w:rPr>
                <w:rFonts w:hint="default"/>
                <w:b w:val="0"/>
                <w:bCs/>
                <w:color w:val="auto"/>
                <w:kern w:val="0"/>
                <w:sz w:val="24"/>
                <w:highlight w:val="none"/>
              </w:rPr>
              <w:t>发展和改革局</w:t>
            </w:r>
            <w:r>
              <w:rPr>
                <w:rFonts w:hint="eastAsia"/>
                <w:b w:val="0"/>
                <w:bCs/>
                <w:color w:val="auto"/>
                <w:kern w:val="0"/>
                <w:sz w:val="24"/>
                <w:highlight w:val="none"/>
                <w:lang w:val="en-US" w:eastAsia="zh-CN"/>
              </w:rPr>
              <w:t>关于项目可行性研究报告的批复（澄发改发</w:t>
            </w:r>
            <w:r>
              <w:rPr>
                <w:rFonts w:hint="eastAsia"/>
                <w:color w:val="auto"/>
                <w:sz w:val="24"/>
                <w:highlight w:val="none"/>
                <w:lang w:val="en-US" w:eastAsia="zh-CN"/>
              </w:rPr>
              <w:t>[2024]41号</w:t>
            </w:r>
            <w:r>
              <w:rPr>
                <w:rFonts w:hint="eastAsia" w:eastAsia="宋体"/>
                <w:color w:val="auto"/>
                <w:sz w:val="24"/>
                <w:highlight w:val="none"/>
                <w:lang w:val="en-US" w:eastAsia="zh-CN"/>
              </w:rPr>
              <w:t xml:space="preserve"> </w:t>
            </w:r>
            <w:r>
              <w:rPr>
                <w:rFonts w:hint="eastAsia"/>
                <w:b w:val="0"/>
                <w:bCs/>
                <w:color w:val="auto"/>
                <w:kern w:val="0"/>
                <w:sz w:val="24"/>
                <w:highlight w:val="none"/>
                <w:lang w:val="en-US" w:eastAsia="zh-CN"/>
              </w:rPr>
              <w:t>）</w:t>
            </w:r>
            <w:r>
              <w:rPr>
                <w:rFonts w:hint="default"/>
                <w:b w:val="0"/>
                <w:bCs/>
                <w:color w:val="auto"/>
                <w:kern w:val="0"/>
                <w:sz w:val="24"/>
                <w:highlight w:val="none"/>
              </w:rPr>
              <w:t>，项目代码为：</w:t>
            </w:r>
            <w:r>
              <w:rPr>
                <w:rFonts w:hint="eastAsia"/>
                <w:color w:val="auto"/>
                <w:sz w:val="24"/>
                <w:highlight w:val="none"/>
                <w:lang w:val="en-US" w:eastAsia="zh-CN"/>
              </w:rPr>
              <w:t>2403-530422-04-01-462027</w:t>
            </w:r>
            <w:r>
              <w:rPr>
                <w:rFonts w:hint="default"/>
                <w:b w:val="0"/>
                <w:bCs/>
                <w:color w:val="auto"/>
                <w:kern w:val="0"/>
                <w:sz w:val="24"/>
                <w:highlight w:val="none"/>
              </w:rPr>
              <w:t>（详见附件</w:t>
            </w:r>
            <w:r>
              <w:rPr>
                <w:rFonts w:hint="default"/>
                <w:b w:val="0"/>
                <w:bCs/>
                <w:color w:val="auto"/>
                <w:kern w:val="0"/>
                <w:sz w:val="24"/>
                <w:highlight w:val="none"/>
                <w:lang w:val="en-US" w:eastAsia="zh-CN"/>
              </w:rPr>
              <w:t>2</w:t>
            </w:r>
            <w:r>
              <w:rPr>
                <w:rFonts w:hint="default"/>
                <w:b w:val="0"/>
                <w:bCs/>
                <w:color w:val="auto"/>
                <w:kern w:val="0"/>
                <w:sz w:val="24"/>
                <w:highlight w:val="none"/>
              </w:rPr>
              <w:t>），因此项目建设符合国家现行的产业政策。</w:t>
            </w:r>
          </w:p>
          <w:p w14:paraId="6BC44FA7">
            <w:pPr>
              <w:autoSpaceDE w:val="0"/>
              <w:autoSpaceDN w:val="0"/>
              <w:adjustRightInd w:val="0"/>
              <w:snapToGrid w:val="0"/>
              <w:spacing w:line="360" w:lineRule="auto"/>
              <w:jc w:val="left"/>
              <w:rPr>
                <w:b/>
                <w:bCs/>
                <w:color w:val="auto"/>
                <w:kern w:val="0"/>
                <w:sz w:val="24"/>
                <w:highlight w:val="none"/>
              </w:rPr>
            </w:pPr>
            <w:r>
              <w:rPr>
                <w:rFonts w:hint="eastAsia" w:ascii="Times New Roman" w:hAnsi="Times New Roman" w:cs="Times New Roman"/>
                <w:b/>
                <w:bCs/>
                <w:color w:val="auto"/>
                <w:kern w:val="0"/>
                <w:sz w:val="24"/>
                <w:highlight w:val="none"/>
                <w:lang w:eastAsia="zh-CN"/>
              </w:rPr>
              <w:t>（</w:t>
            </w:r>
            <w:r>
              <w:rPr>
                <w:rFonts w:hint="eastAsia" w:cs="Times New Roman"/>
                <w:b/>
                <w:bCs/>
                <w:color w:val="auto"/>
                <w:kern w:val="0"/>
                <w:sz w:val="24"/>
                <w:highlight w:val="none"/>
                <w:lang w:eastAsia="zh-CN"/>
              </w:rPr>
              <w:t>二</w:t>
            </w:r>
            <w:r>
              <w:rPr>
                <w:rFonts w:hint="eastAsia" w:ascii="Times New Roman" w:hAnsi="Times New Roman" w:cs="Times New Roman"/>
                <w:b/>
                <w:bCs/>
                <w:color w:val="auto"/>
                <w:kern w:val="0"/>
                <w:sz w:val="24"/>
                <w:highlight w:val="none"/>
                <w:lang w:eastAsia="zh-CN"/>
              </w:rPr>
              <w:t>）</w:t>
            </w:r>
            <w:r>
              <w:rPr>
                <w:b/>
                <w:color w:val="auto"/>
                <w:kern w:val="0"/>
                <w:sz w:val="24"/>
                <w:highlight w:val="none"/>
              </w:rPr>
              <w:t>建设项目与所在地“三线一单”</w:t>
            </w:r>
            <w:r>
              <w:rPr>
                <w:b/>
                <w:bCs/>
                <w:color w:val="auto"/>
                <w:kern w:val="0"/>
                <w:sz w:val="24"/>
                <w:highlight w:val="none"/>
              </w:rPr>
              <w:t>符合性分析</w:t>
            </w:r>
          </w:p>
          <w:p w14:paraId="07E20311">
            <w:pPr>
              <w:keepNext w:val="0"/>
              <w:keepLines w:val="0"/>
              <w:widowControl/>
              <w:suppressLineNumbers w:val="0"/>
              <w:adjustRightInd/>
              <w:spacing w:before="0" w:beforeAutospacing="0" w:after="0" w:afterAutospacing="0" w:line="360" w:lineRule="auto"/>
              <w:ind w:left="0" w:right="0" w:firstLine="480"/>
              <w:jc w:val="left"/>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根据2021年12月6日玉溪市人民政府发布的《玉溪市“三线一单”生态环境分 区管控实施意见》（玉政发〔2021〕15号）、2024年6月7日玉溪市生态环境局发布 的《玉溪市生态环境分区管控动态更新调整方案（2023年）》（玉市环〔2024〕40号），本项目属于</w:t>
            </w:r>
            <w:r>
              <w:rPr>
                <w:rFonts w:hint="eastAsia" w:ascii="Times New Roman" w:hAnsi="Times New Roman" w:cs="Times New Roman"/>
                <w:color w:val="auto"/>
                <w:sz w:val="24"/>
                <w:szCs w:val="24"/>
                <w:highlight w:val="none"/>
                <w:lang w:val="en-US" w:eastAsia="zh-CN" w:bidi="ar"/>
              </w:rPr>
              <w:t>澄江市一般管控单元</w:t>
            </w:r>
            <w:r>
              <w:rPr>
                <w:rFonts w:hint="default" w:ascii="Times New Roman" w:hAnsi="Times New Roman" w:cs="Times New Roman"/>
                <w:color w:val="auto"/>
                <w:sz w:val="24"/>
                <w:szCs w:val="24"/>
                <w:highlight w:val="none"/>
                <w:lang w:bidi="ar"/>
              </w:rPr>
              <w:t>，经对照分析，项目符合所在地“三线一单”中与本项目有关的相关要求。</w:t>
            </w:r>
          </w:p>
          <w:p w14:paraId="6133A947">
            <w:pPr>
              <w:keepNext w:val="0"/>
              <w:keepLines w:val="0"/>
              <w:suppressLineNumbers w:val="0"/>
              <w:adjustRightInd w:val="0"/>
              <w:snapToGrid w:val="0"/>
              <w:spacing w:before="0" w:beforeAutospacing="0" w:after="0" w:afterAutospacing="0" w:line="360" w:lineRule="auto"/>
              <w:ind w:left="0" w:right="0"/>
              <w:jc w:val="center"/>
              <w:rPr>
                <w:rFonts w:hint="default"/>
                <w:b/>
                <w:color w:val="auto"/>
                <w:sz w:val="24"/>
                <w:szCs w:val="24"/>
                <w:highlight w:val="none"/>
              </w:rPr>
            </w:pPr>
            <w:r>
              <w:rPr>
                <w:rFonts w:hint="eastAsia" w:ascii="Times New Roman" w:hAnsi="Times New Roman"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项目与</w:t>
            </w:r>
            <w:r>
              <w:rPr>
                <w:rFonts w:hint="eastAsia" w:ascii="Times New Roman" w:hAnsi="Times New Roman" w:cs="Times New Roman"/>
                <w:b/>
                <w:bCs/>
                <w:color w:val="auto"/>
                <w:sz w:val="24"/>
                <w:szCs w:val="24"/>
                <w:highlight w:val="none"/>
                <w:lang w:val="en-US" w:eastAsia="zh-CN"/>
              </w:rPr>
              <w:t>所在地</w:t>
            </w:r>
            <w:r>
              <w:rPr>
                <w:rFonts w:hint="default" w:ascii="Times New Roman" w:hAnsi="Times New Roman" w:cs="Times New Roman"/>
                <w:b/>
                <w:bCs/>
                <w:color w:val="auto"/>
                <w:sz w:val="24"/>
                <w:szCs w:val="24"/>
                <w:highlight w:val="none"/>
              </w:rPr>
              <w:t>“三线一单”符合性分</w:t>
            </w:r>
            <w:r>
              <w:rPr>
                <w:rFonts w:hint="default"/>
                <w:b/>
                <w:color w:val="auto"/>
                <w:sz w:val="24"/>
                <w:szCs w:val="24"/>
                <w:highlight w:val="none"/>
              </w:rPr>
              <w:t>析</w:t>
            </w:r>
          </w:p>
          <w:tbl>
            <w:tblPr>
              <w:tblStyle w:val="30"/>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18"/>
              <w:gridCol w:w="487"/>
              <w:gridCol w:w="2984"/>
              <w:gridCol w:w="2682"/>
              <w:gridCol w:w="532"/>
            </w:tblGrid>
            <w:tr w14:paraId="1F4B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noWrap w:val="0"/>
                  <w:vAlign w:val="center"/>
                </w:tcPr>
                <w:p w14:paraId="0F86E6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类别</w:t>
                  </w:r>
                </w:p>
              </w:tc>
              <w:tc>
                <w:tcPr>
                  <w:tcW w:w="2374" w:type="pct"/>
                  <w:gridSpan w:val="3"/>
                  <w:noWrap w:val="0"/>
                  <w:vAlign w:val="center"/>
                </w:tcPr>
                <w:p w14:paraId="334B5C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内容要求</w:t>
                  </w:r>
                </w:p>
              </w:tc>
              <w:tc>
                <w:tcPr>
                  <w:tcW w:w="1774" w:type="pct"/>
                  <w:noWrap w:val="0"/>
                  <w:vAlign w:val="center"/>
                </w:tcPr>
                <w:p w14:paraId="464880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项目情况</w:t>
                  </w:r>
                </w:p>
              </w:tc>
              <w:tc>
                <w:tcPr>
                  <w:tcW w:w="349" w:type="pct"/>
                  <w:noWrap w:val="0"/>
                  <w:vAlign w:val="center"/>
                </w:tcPr>
                <w:p w14:paraId="69757E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符合性</w:t>
                  </w:r>
                </w:p>
              </w:tc>
            </w:tr>
            <w:tr w14:paraId="79AC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 w:type="pct"/>
                  <w:noWrap w:val="0"/>
                  <w:vAlign w:val="center"/>
                </w:tcPr>
                <w:p w14:paraId="3CA807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生态保护红线和一般生态空间</w:t>
                  </w:r>
                </w:p>
              </w:tc>
              <w:tc>
                <w:tcPr>
                  <w:tcW w:w="2374" w:type="pct"/>
                  <w:gridSpan w:val="3"/>
                  <w:noWrap w:val="0"/>
                  <w:vAlign w:val="center"/>
                </w:tcPr>
                <w:p w14:paraId="785DC9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highlight w:val="none"/>
                    </w:rPr>
                  </w:pPr>
                  <w:r>
                    <w:rPr>
                      <w:rFonts w:hint="default"/>
                      <w:color w:val="auto"/>
                      <w:sz w:val="21"/>
                      <w:szCs w:val="21"/>
                      <w:highlight w:val="none"/>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774" w:type="pct"/>
                  <w:noWrap w:val="0"/>
                  <w:vAlign w:val="center"/>
                </w:tcPr>
                <w:p w14:paraId="2AA3A1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eastAsia="宋体"/>
                      <w:color w:val="auto"/>
                      <w:sz w:val="21"/>
                      <w:szCs w:val="21"/>
                      <w:highlight w:val="none"/>
                      <w:lang w:val="en-US" w:eastAsia="zh-CN"/>
                    </w:rPr>
                  </w:pPr>
                  <w:r>
                    <w:rPr>
                      <w:rFonts w:hint="default"/>
                      <w:color w:val="auto"/>
                      <w:sz w:val="21"/>
                      <w:szCs w:val="21"/>
                      <w:highlight w:val="none"/>
                    </w:rPr>
                    <w:t>项目位于</w:t>
                  </w:r>
                  <w:r>
                    <w:rPr>
                      <w:rFonts w:hint="default"/>
                      <w:color w:val="auto"/>
                      <w:sz w:val="21"/>
                      <w:szCs w:val="21"/>
                      <w:highlight w:val="none"/>
                      <w:lang w:val="en-US" w:eastAsia="zh-CN"/>
                    </w:rPr>
                    <w:t>澄江市九村镇七江村委会大山村双水塘大山生活垃圾填埋场内</w:t>
                  </w:r>
                  <w:r>
                    <w:rPr>
                      <w:rFonts w:hint="default"/>
                      <w:color w:val="auto"/>
                      <w:sz w:val="21"/>
                      <w:szCs w:val="21"/>
                      <w:highlight w:val="none"/>
                    </w:rPr>
                    <w:t>，位于</w:t>
                  </w:r>
                  <w:r>
                    <w:rPr>
                      <w:rFonts w:hint="default"/>
                      <w:color w:val="auto"/>
                      <w:sz w:val="21"/>
                      <w:szCs w:val="21"/>
                      <w:highlight w:val="none"/>
                      <w:lang w:val="en-US" w:eastAsia="zh-CN"/>
                    </w:rPr>
                    <w:t>澄江市一般管控单元</w:t>
                  </w:r>
                  <w:r>
                    <w:rPr>
                      <w:rFonts w:hint="default"/>
                      <w:color w:val="auto"/>
                      <w:sz w:val="21"/>
                      <w:szCs w:val="21"/>
                      <w:highlight w:val="none"/>
                    </w:rPr>
                    <w:t>。</w:t>
                  </w:r>
                  <w:r>
                    <w:rPr>
                      <w:rFonts w:hint="eastAsia" w:ascii="Times New Roman" w:hAnsi="Times New Roman" w:eastAsia="宋体" w:cs="Times New Roman"/>
                      <w:color w:val="auto"/>
                      <w:kern w:val="0"/>
                      <w:szCs w:val="21"/>
                      <w:highlight w:val="none"/>
                    </w:rPr>
                    <w:t>根据</w:t>
                  </w:r>
                  <w:r>
                    <w:rPr>
                      <w:rFonts w:hint="eastAsia" w:ascii="Times New Roman" w:hAnsi="Times New Roman" w:eastAsia="宋体" w:cs="Times New Roman"/>
                      <w:color w:val="auto"/>
                      <w:kern w:val="0"/>
                      <w:szCs w:val="21"/>
                      <w:highlight w:val="none"/>
                      <w:lang w:val="en-US" w:eastAsia="zh-CN"/>
                    </w:rPr>
                    <w:t>项目三区三线</w:t>
                  </w:r>
                  <w:r>
                    <w:rPr>
                      <w:rFonts w:hint="eastAsia" w:ascii="Times New Roman" w:hAnsi="Times New Roman" w:eastAsia="宋体" w:cs="Times New Roman"/>
                      <w:color w:val="auto"/>
                      <w:kern w:val="0"/>
                      <w:szCs w:val="21"/>
                      <w:highlight w:val="none"/>
                    </w:rPr>
                    <w:t>查询结果，本项目</w:t>
                  </w:r>
                  <w:r>
                    <w:rPr>
                      <w:rFonts w:hint="eastAsia" w:ascii="Times New Roman" w:hAnsi="Times New Roman" w:eastAsia="宋体" w:cs="Times New Roman"/>
                      <w:color w:val="auto"/>
                      <w:kern w:val="0"/>
                      <w:szCs w:val="21"/>
                      <w:highlight w:val="none"/>
                      <w:lang w:val="en-US" w:eastAsia="zh-CN"/>
                    </w:rPr>
                    <w:t>不在城镇开发边界范围内，不涉及永久基本农田，不涉及生态保护红线</w:t>
                  </w:r>
                  <w:r>
                    <w:rPr>
                      <w:rFonts w:hint="eastAsia" w:ascii="Times New Roman" w:hAnsi="Times New Roman" w:eastAsia="宋体" w:cs="Times New Roman"/>
                      <w:color w:val="auto"/>
                      <w:kern w:val="0"/>
                      <w:szCs w:val="21"/>
                      <w:highlight w:val="none"/>
                    </w:rPr>
                    <w:t>。</w:t>
                  </w:r>
                  <w:r>
                    <w:rPr>
                      <w:rFonts w:hint="eastAsia" w:cs="Times New Roman"/>
                      <w:color w:val="auto"/>
                      <w:kern w:val="0"/>
                      <w:szCs w:val="21"/>
                      <w:highlight w:val="none"/>
                      <w:lang w:val="en-US" w:eastAsia="zh-CN"/>
                    </w:rPr>
                    <w:t>且项目不涉及</w:t>
                  </w:r>
                  <w:r>
                    <w:rPr>
                      <w:rFonts w:hint="default"/>
                      <w:color w:val="auto"/>
                      <w:sz w:val="21"/>
                      <w:szCs w:val="21"/>
                      <w:highlight w:val="none"/>
                    </w:rPr>
                    <w:t>未划入生态保护红线的自然保护地、饮用水水源保护区、重要湿地、基本草原、生态公益林、天然林等生态功能重要、生态环境敏感区</w:t>
                  </w:r>
                  <w:r>
                    <w:rPr>
                      <w:rFonts w:hint="eastAsia"/>
                      <w:color w:val="auto"/>
                      <w:sz w:val="21"/>
                      <w:szCs w:val="21"/>
                      <w:highlight w:val="none"/>
                      <w:lang w:val="en-US" w:eastAsia="zh-CN"/>
                    </w:rPr>
                    <w:t>等一般生态空间。</w:t>
                  </w:r>
                </w:p>
              </w:tc>
              <w:tc>
                <w:tcPr>
                  <w:tcW w:w="349" w:type="pct"/>
                  <w:noWrap w:val="0"/>
                  <w:vAlign w:val="center"/>
                </w:tcPr>
                <w:p w14:paraId="1C1F02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符合</w:t>
                  </w:r>
                </w:p>
              </w:tc>
            </w:tr>
            <w:tr w14:paraId="4BB2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restart"/>
                  <w:noWrap w:val="0"/>
                  <w:vAlign w:val="center"/>
                </w:tcPr>
                <w:p w14:paraId="278E1F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环境质量底线</w:t>
                  </w:r>
                </w:p>
              </w:tc>
              <w:tc>
                <w:tcPr>
                  <w:tcW w:w="400" w:type="pct"/>
                  <w:gridSpan w:val="2"/>
                  <w:noWrap w:val="0"/>
                  <w:vAlign w:val="center"/>
                </w:tcPr>
                <w:p w14:paraId="325386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水环境质量底线</w:t>
                  </w:r>
                </w:p>
              </w:tc>
              <w:tc>
                <w:tcPr>
                  <w:tcW w:w="1974" w:type="pct"/>
                  <w:noWrap w:val="0"/>
                  <w:vAlign w:val="center"/>
                </w:tcPr>
                <w:p w14:paraId="4E3E59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highlight w:val="none"/>
                    </w:rPr>
                  </w:pPr>
                  <w:r>
                    <w:rPr>
                      <w:rFonts w:hint="default"/>
                      <w:color w:val="auto"/>
                      <w:sz w:val="21"/>
                      <w:szCs w:val="21"/>
                      <w:highlight w:val="none"/>
                    </w:rPr>
                    <w:t>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1774" w:type="pct"/>
                  <w:noWrap w:val="0"/>
                  <w:vAlign w:val="center"/>
                </w:tcPr>
                <w:p w14:paraId="69CEE9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highlight w:val="none"/>
                    </w:rPr>
                  </w:pPr>
                  <w:r>
                    <w:rPr>
                      <w:rFonts w:hint="default"/>
                      <w:color w:val="auto"/>
                      <w:sz w:val="21"/>
                      <w:szCs w:val="21"/>
                      <w:highlight w:val="none"/>
                    </w:rPr>
                    <w:t>项目</w:t>
                  </w:r>
                  <w:r>
                    <w:rPr>
                      <w:rFonts w:hint="default"/>
                      <w:color w:val="auto"/>
                      <w:sz w:val="21"/>
                      <w:szCs w:val="21"/>
                      <w:highlight w:val="none"/>
                      <w:lang w:val="en-US" w:eastAsia="zh-CN"/>
                    </w:rPr>
                    <w:t>处理后的尾水</w:t>
                  </w:r>
                  <w:r>
                    <w:rPr>
                      <w:rFonts w:hint="eastAsia" w:cs="Times New Roman"/>
                      <w:color w:val="auto"/>
                      <w:sz w:val="21"/>
                      <w:szCs w:val="21"/>
                      <w:highlight w:val="none"/>
                      <w:lang w:val="en-US" w:eastAsia="zh-CN"/>
                    </w:rPr>
                    <w:t>回用于填埋场区内绿化浇灌，不外排</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本项目周边地表水体主要有南盘江，属于南盘江流域，根据《2024年玉溪市生态环境状况公报》，本项目下游汇口电站（清水河）省控断面2024年水质类别为Ⅲ类，满足水环境功能区划要求。</w:t>
                  </w:r>
                  <w:r>
                    <w:rPr>
                      <w:rFonts w:hint="default"/>
                      <w:color w:val="auto"/>
                      <w:sz w:val="21"/>
                      <w:szCs w:val="21"/>
                      <w:highlight w:val="none"/>
                    </w:rPr>
                    <w:t>项目</w:t>
                  </w:r>
                  <w:r>
                    <w:rPr>
                      <w:rFonts w:hint="eastAsia"/>
                      <w:color w:val="auto"/>
                      <w:sz w:val="21"/>
                      <w:szCs w:val="21"/>
                      <w:highlight w:val="none"/>
                      <w:lang w:val="en-US" w:eastAsia="zh-CN"/>
                    </w:rPr>
                    <w:t>的建设</w:t>
                  </w:r>
                  <w:r>
                    <w:rPr>
                      <w:rFonts w:hint="default"/>
                      <w:color w:val="auto"/>
                      <w:sz w:val="21"/>
                      <w:szCs w:val="21"/>
                      <w:highlight w:val="none"/>
                    </w:rPr>
                    <w:t>不会对区域水环境质量现状造成影响。</w:t>
                  </w:r>
                </w:p>
              </w:tc>
              <w:tc>
                <w:tcPr>
                  <w:tcW w:w="349" w:type="pct"/>
                  <w:noWrap w:val="0"/>
                  <w:vAlign w:val="center"/>
                </w:tcPr>
                <w:p w14:paraId="4D4CD5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符合</w:t>
                  </w:r>
                </w:p>
              </w:tc>
            </w:tr>
            <w:tr w14:paraId="404F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3C7F20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400" w:type="pct"/>
                  <w:gridSpan w:val="2"/>
                  <w:noWrap w:val="0"/>
                  <w:vAlign w:val="center"/>
                </w:tcPr>
                <w:p w14:paraId="52EF03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大气环境质量底线</w:t>
                  </w:r>
                </w:p>
              </w:tc>
              <w:tc>
                <w:tcPr>
                  <w:tcW w:w="1974" w:type="pct"/>
                  <w:noWrap w:val="0"/>
                  <w:vAlign w:val="center"/>
                </w:tcPr>
                <w:p w14:paraId="4FCDC7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highlight w:val="none"/>
                    </w:rPr>
                  </w:pPr>
                  <w:r>
                    <w:rPr>
                      <w:rFonts w:hint="default"/>
                      <w:color w:val="auto"/>
                      <w:sz w:val="21"/>
                      <w:szCs w:val="21"/>
                      <w:highlight w:val="none"/>
                    </w:rPr>
                    <w:t>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1774" w:type="pct"/>
                  <w:noWrap w:val="0"/>
                  <w:vAlign w:val="center"/>
                </w:tcPr>
                <w:p w14:paraId="748C28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highlight w:val="none"/>
                    </w:rPr>
                  </w:pPr>
                  <w:bookmarkStart w:id="8" w:name="_Toc12042"/>
                  <w:r>
                    <w:rPr>
                      <w:rFonts w:hint="default" w:ascii="Times New Roman" w:hAnsi="Times New Roman" w:cs="Times New Roman"/>
                      <w:color w:val="auto"/>
                      <w:sz w:val="21"/>
                      <w:szCs w:val="21"/>
                      <w:highlight w:val="none"/>
                      <w:lang w:val="en-US" w:eastAsia="zh-CN"/>
                    </w:rPr>
                    <w:t>项目所在地环境空气质量能达到国家二级标准。</w:t>
                  </w:r>
                  <w:bookmarkEnd w:id="8"/>
                  <w:r>
                    <w:rPr>
                      <w:rFonts w:hint="eastAsia" w:ascii="Times New Roman" w:hAnsi="Times New Roman" w:cs="Times New Roman"/>
                      <w:color w:val="auto"/>
                      <w:sz w:val="21"/>
                      <w:szCs w:val="21"/>
                      <w:highlight w:val="none"/>
                      <w:lang w:val="en-US" w:eastAsia="zh-CN"/>
                    </w:rPr>
                    <w:t>项目渗滤液处理过程中产生的恶臭气体采用</w:t>
                  </w:r>
                  <w:r>
                    <w:rPr>
                      <w:rFonts w:hint="eastAsia" w:cs="Times New Roman"/>
                      <w:color w:val="auto"/>
                      <w:sz w:val="21"/>
                      <w:szCs w:val="21"/>
                      <w:highlight w:val="none"/>
                      <w:lang w:val="en-US" w:eastAsia="zh-CN"/>
                    </w:rPr>
                    <w:t>负压管道收集+</w:t>
                  </w:r>
                  <w:r>
                    <w:rPr>
                      <w:rFonts w:hint="eastAsia" w:ascii="Times New Roman" w:hAnsi="Times New Roman" w:cs="Times New Roman"/>
                      <w:color w:val="auto"/>
                      <w:sz w:val="21"/>
                      <w:szCs w:val="21"/>
                      <w:highlight w:val="none"/>
                      <w:lang w:val="en-US" w:eastAsia="zh-CN"/>
                    </w:rPr>
                    <w:t>化学洗涤</w:t>
                  </w:r>
                  <w:r>
                    <w:rPr>
                      <w:rFonts w:hint="eastAsia" w:ascii="Times New Roman" w:cs="Times New Roman" w:eastAsiaTheme="minorEastAsia"/>
                      <w:color w:val="auto"/>
                      <w:sz w:val="21"/>
                      <w:szCs w:val="21"/>
                      <w:highlight w:val="none"/>
                      <w:lang w:val="en-US" w:eastAsia="zh-CN"/>
                    </w:rPr>
                    <w:t>塔处理后外排</w:t>
                  </w:r>
                  <w:r>
                    <w:rPr>
                      <w:rFonts w:hint="eastAsia" w:ascii="Times New Roman" w:cs="Times New Roman"/>
                      <w:color w:val="auto"/>
                      <w:sz w:val="21"/>
                      <w:szCs w:val="21"/>
                      <w:highlight w:val="none"/>
                      <w:vertAlign w:val="baseline"/>
                      <w:lang w:val="en-US" w:eastAsia="zh-CN"/>
                    </w:rPr>
                    <w:t>，采取的废气治理技术为可行技术，</w:t>
                  </w:r>
                  <w:r>
                    <w:rPr>
                      <w:rFonts w:hint="default" w:ascii="Times New Roman" w:hAnsi="Times New Roman" w:eastAsia="宋体" w:cs="Times New Roman"/>
                      <w:color w:val="auto"/>
                      <w:sz w:val="21"/>
                      <w:szCs w:val="21"/>
                      <w:highlight w:val="none"/>
                      <w:vertAlign w:val="baseline"/>
                      <w:lang w:val="en-US" w:eastAsia="zh-CN"/>
                    </w:rPr>
                    <w:t>能够保证废气达标排放</w:t>
                  </w:r>
                  <w:r>
                    <w:rPr>
                      <w:color w:val="auto"/>
                      <w:sz w:val="21"/>
                      <w:szCs w:val="21"/>
                      <w:highlight w:val="none"/>
                    </w:rPr>
                    <w:t>，不会对区域大气环境质量造成影响</w:t>
                  </w:r>
                  <w:r>
                    <w:rPr>
                      <w:rFonts w:hint="default" w:ascii="Times New Roman" w:hAnsi="Times New Roman" w:cs="Times New Roman"/>
                      <w:color w:val="auto"/>
                      <w:sz w:val="21"/>
                      <w:szCs w:val="21"/>
                      <w:highlight w:val="none"/>
                      <w:lang w:val="en-US" w:eastAsia="zh-CN"/>
                    </w:rPr>
                    <w:t>。</w:t>
                  </w:r>
                </w:p>
              </w:tc>
              <w:tc>
                <w:tcPr>
                  <w:tcW w:w="349" w:type="pct"/>
                  <w:noWrap w:val="0"/>
                  <w:vAlign w:val="center"/>
                </w:tcPr>
                <w:p w14:paraId="584EC9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符合</w:t>
                  </w:r>
                </w:p>
              </w:tc>
            </w:tr>
            <w:tr w14:paraId="6C18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6D0F30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400" w:type="pct"/>
                  <w:gridSpan w:val="2"/>
                  <w:noWrap w:val="0"/>
                  <w:vAlign w:val="center"/>
                </w:tcPr>
                <w:p w14:paraId="76698D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土壤环境风险防控底线</w:t>
                  </w:r>
                </w:p>
              </w:tc>
              <w:tc>
                <w:tcPr>
                  <w:tcW w:w="1974" w:type="pct"/>
                  <w:noWrap w:val="0"/>
                  <w:vAlign w:val="center"/>
                </w:tcPr>
                <w:p w14:paraId="258DC6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highlight w:val="none"/>
                    </w:rPr>
                  </w:pPr>
                  <w:r>
                    <w:rPr>
                      <w:rFonts w:hint="default"/>
                      <w:color w:val="auto"/>
                      <w:sz w:val="21"/>
                      <w:szCs w:val="21"/>
                      <w:highlight w:val="none"/>
                    </w:rPr>
                    <w:t>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774" w:type="pct"/>
                  <w:noWrap w:val="0"/>
                  <w:vAlign w:val="center"/>
                </w:tcPr>
                <w:p w14:paraId="2CECC4EC">
                  <w:pPr>
                    <w:numPr>
                      <w:ilvl w:val="0"/>
                      <w:numId w:val="0"/>
                    </w:numPr>
                    <w:rPr>
                      <w:rFonts w:hint="default"/>
                      <w:color w:val="auto"/>
                      <w:sz w:val="21"/>
                      <w:szCs w:val="21"/>
                      <w:highlight w:val="none"/>
                    </w:rPr>
                  </w:pPr>
                  <w:r>
                    <w:rPr>
                      <w:rFonts w:hint="default"/>
                      <w:color w:val="auto"/>
                      <w:sz w:val="21"/>
                      <w:szCs w:val="21"/>
                      <w:highlight w:val="none"/>
                    </w:rPr>
                    <w:t>项目位于</w:t>
                  </w:r>
                  <w:r>
                    <w:rPr>
                      <w:rFonts w:hint="eastAsia"/>
                      <w:color w:val="auto"/>
                      <w:highlight w:val="none"/>
                      <w:lang w:val="en-US" w:eastAsia="zh-CN"/>
                    </w:rPr>
                    <w:t>澄江市九村镇七江村委会大山村双水塘大山生活垃圾填埋场内</w:t>
                  </w:r>
                  <w:r>
                    <w:rPr>
                      <w:rFonts w:hint="default"/>
                      <w:color w:val="auto"/>
                      <w:sz w:val="21"/>
                      <w:szCs w:val="21"/>
                      <w:highlight w:val="none"/>
                    </w:rPr>
                    <w:t>，不占用基本农田</w:t>
                  </w:r>
                  <w:r>
                    <w:rPr>
                      <w:rFonts w:hint="eastAsia"/>
                      <w:color w:val="auto"/>
                      <w:sz w:val="21"/>
                      <w:szCs w:val="21"/>
                      <w:highlight w:val="none"/>
                      <w:lang w:eastAsia="zh-CN"/>
                    </w:rPr>
                    <w:t>。</w:t>
                  </w:r>
                  <w:r>
                    <w:rPr>
                      <w:rFonts w:hint="eastAsia"/>
                      <w:color w:val="auto"/>
                      <w:sz w:val="21"/>
                      <w:szCs w:val="21"/>
                      <w:highlight w:val="none"/>
                      <w:lang w:val="en-US" w:eastAsia="zh-CN"/>
                    </w:rPr>
                    <w:t>根据现状监测，项目占地范围内各监测单位监测因子均低于《土壤环境质量 建设用地土壤污染风险管控标准（试行）》（GB 36600-2018）中第二类用地筛选值。本项目按照分区防控的要求，实施分区防渗，采取土壤污染防治措施后，对土壤环境影响很小</w:t>
                  </w:r>
                  <w:r>
                    <w:rPr>
                      <w:rFonts w:hint="default"/>
                      <w:color w:val="auto"/>
                      <w:sz w:val="21"/>
                      <w:szCs w:val="21"/>
                      <w:highlight w:val="none"/>
                    </w:rPr>
                    <w:t>。</w:t>
                  </w:r>
                </w:p>
              </w:tc>
              <w:tc>
                <w:tcPr>
                  <w:tcW w:w="349" w:type="pct"/>
                  <w:noWrap w:val="0"/>
                  <w:vAlign w:val="center"/>
                </w:tcPr>
                <w:p w14:paraId="1B9D69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符合</w:t>
                  </w:r>
                </w:p>
              </w:tc>
            </w:tr>
            <w:tr w14:paraId="369B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noWrap w:val="0"/>
                  <w:vAlign w:val="center"/>
                </w:tcPr>
                <w:p w14:paraId="30FD53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资源利用上线</w:t>
                  </w:r>
                </w:p>
              </w:tc>
              <w:tc>
                <w:tcPr>
                  <w:tcW w:w="2374" w:type="pct"/>
                  <w:gridSpan w:val="3"/>
                  <w:noWrap w:val="0"/>
                  <w:vAlign w:val="center"/>
                </w:tcPr>
                <w:p w14:paraId="3E9322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highlight w:val="none"/>
                    </w:rPr>
                  </w:pPr>
                  <w:r>
                    <w:rPr>
                      <w:rFonts w:hint="default"/>
                      <w:color w:val="auto"/>
                      <w:sz w:val="21"/>
                      <w:szCs w:val="21"/>
                      <w:highlight w:val="none"/>
                    </w:rPr>
                    <w:t>强化资源能源节约集约利用，持续提升资源能源利用效率，水资源、土地资源、能源消耗等达到或优于省下达的总量和强度控制目标。</w:t>
                  </w:r>
                </w:p>
              </w:tc>
              <w:tc>
                <w:tcPr>
                  <w:tcW w:w="1774" w:type="pct"/>
                  <w:noWrap w:val="0"/>
                  <w:vAlign w:val="center"/>
                </w:tcPr>
                <w:p w14:paraId="4FFED1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highlight w:val="none"/>
                    </w:rPr>
                  </w:pPr>
                  <w:r>
                    <w:rPr>
                      <w:rFonts w:hint="default"/>
                      <w:color w:val="auto"/>
                      <w:sz w:val="21"/>
                      <w:szCs w:val="21"/>
                      <w:highlight w:val="none"/>
                    </w:rPr>
                    <w:t>项目</w:t>
                  </w:r>
                  <w:r>
                    <w:rPr>
                      <w:rFonts w:hint="eastAsia"/>
                      <w:color w:val="auto"/>
                      <w:sz w:val="21"/>
                      <w:szCs w:val="21"/>
                      <w:highlight w:val="none"/>
                      <w:lang w:val="en-US" w:eastAsia="zh-CN"/>
                    </w:rPr>
                    <w:t>为生活垃圾渗滤液处理站项目，运营过程中消耗资源为</w:t>
                  </w:r>
                  <w:r>
                    <w:rPr>
                      <w:rFonts w:hint="default"/>
                      <w:color w:val="auto"/>
                      <w:sz w:val="21"/>
                      <w:szCs w:val="21"/>
                      <w:highlight w:val="none"/>
                    </w:rPr>
                    <w:t>电能，消耗量在区域资源利用总量占比较小，符合资源利用上限要求。</w:t>
                  </w:r>
                </w:p>
              </w:tc>
              <w:tc>
                <w:tcPr>
                  <w:tcW w:w="349" w:type="pct"/>
                  <w:noWrap w:val="0"/>
                  <w:vAlign w:val="center"/>
                </w:tcPr>
                <w:p w14:paraId="3BA1C7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符合</w:t>
                  </w:r>
                </w:p>
              </w:tc>
            </w:tr>
            <w:tr w14:paraId="46B6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4BA45F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rPr>
                    <w:t>总体要求</w:t>
                  </w:r>
                </w:p>
              </w:tc>
            </w:tr>
            <w:tr w14:paraId="7497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restart"/>
                  <w:noWrap w:val="0"/>
                  <w:vAlign w:val="center"/>
                </w:tcPr>
                <w:p w14:paraId="4F605B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空间布局约束</w:t>
                  </w:r>
                </w:p>
              </w:tc>
              <w:tc>
                <w:tcPr>
                  <w:tcW w:w="2374" w:type="pct"/>
                  <w:gridSpan w:val="3"/>
                  <w:noWrap w:val="0"/>
                  <w:vAlign w:val="center"/>
                </w:tcPr>
                <w:p w14:paraId="718C294C">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tc>
              <w:tc>
                <w:tcPr>
                  <w:tcW w:w="1774" w:type="pct"/>
                  <w:noWrap w:val="0"/>
                  <w:vAlign w:val="center"/>
                </w:tcPr>
                <w:p w14:paraId="511206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eastAsia" w:eastAsia="宋体"/>
                      <w:color w:val="auto"/>
                      <w:sz w:val="21"/>
                      <w:szCs w:val="21"/>
                      <w:highlight w:val="none"/>
                      <w:lang w:val="en-US" w:eastAsia="zh-CN"/>
                    </w:rPr>
                  </w:pPr>
                  <w:r>
                    <w:rPr>
                      <w:rFonts w:hint="default"/>
                      <w:color w:val="auto"/>
                      <w:sz w:val="21"/>
                      <w:szCs w:val="21"/>
                      <w:highlight w:val="none"/>
                    </w:rPr>
                    <w:t>本项目为</w:t>
                  </w:r>
                  <w:r>
                    <w:rPr>
                      <w:rFonts w:hint="default"/>
                      <w:color w:val="auto"/>
                      <w:sz w:val="21"/>
                      <w:szCs w:val="21"/>
                      <w:highlight w:val="none"/>
                      <w:lang w:eastAsia="zh-CN"/>
                    </w:rPr>
                    <w:t>污水处理及其再生利用</w:t>
                  </w:r>
                  <w:r>
                    <w:rPr>
                      <w:rFonts w:hint="default"/>
                      <w:color w:val="auto"/>
                      <w:sz w:val="21"/>
                      <w:szCs w:val="21"/>
                      <w:highlight w:val="none"/>
                    </w:rPr>
                    <w:t>，对照国家《产业结构调整指导目录（20</w:t>
                  </w:r>
                  <w:r>
                    <w:rPr>
                      <w:rFonts w:hint="default"/>
                      <w:color w:val="auto"/>
                      <w:sz w:val="21"/>
                      <w:szCs w:val="21"/>
                      <w:highlight w:val="none"/>
                      <w:lang w:val="en-US" w:eastAsia="zh-CN"/>
                    </w:rPr>
                    <w:t>24</w:t>
                  </w:r>
                  <w:r>
                    <w:rPr>
                      <w:rFonts w:hint="default"/>
                      <w:color w:val="auto"/>
                      <w:sz w:val="21"/>
                      <w:szCs w:val="21"/>
                      <w:highlight w:val="none"/>
                    </w:rPr>
                    <w:t>年本）</w:t>
                  </w:r>
                  <w:r>
                    <w:rPr>
                      <w:rFonts w:hint="default"/>
                      <w:color w:val="auto"/>
                      <w:sz w:val="21"/>
                      <w:szCs w:val="21"/>
                      <w:highlight w:val="none"/>
                      <w:lang w:eastAsia="zh-CN"/>
                    </w:rPr>
                    <w:t>》</w:t>
                  </w:r>
                  <w:r>
                    <w:rPr>
                      <w:rFonts w:hint="default"/>
                      <w:color w:val="auto"/>
                      <w:sz w:val="21"/>
                      <w:szCs w:val="21"/>
                      <w:highlight w:val="none"/>
                    </w:rPr>
                    <w:t>，</w:t>
                  </w:r>
                  <w:r>
                    <w:rPr>
                      <w:rFonts w:hint="default"/>
                      <w:color w:val="auto"/>
                      <w:sz w:val="21"/>
                      <w:szCs w:val="21"/>
                      <w:highlight w:val="none"/>
                      <w:lang w:val="en-US" w:eastAsia="zh-CN"/>
                    </w:rPr>
                    <w:t>不属于限制类和淘汰类项目</w:t>
                  </w:r>
                  <w:r>
                    <w:rPr>
                      <w:rFonts w:hint="default"/>
                      <w:color w:val="auto"/>
                      <w:sz w:val="21"/>
                      <w:szCs w:val="21"/>
                      <w:highlight w:val="none"/>
                    </w:rPr>
                    <w:t>，符合国家</w:t>
                  </w:r>
                  <w:r>
                    <w:rPr>
                      <w:rFonts w:hint="default"/>
                      <w:color w:val="auto"/>
                      <w:sz w:val="21"/>
                      <w:szCs w:val="21"/>
                      <w:highlight w:val="none"/>
                      <w:lang w:eastAsia="zh-CN"/>
                    </w:rPr>
                    <w:t>和地方</w:t>
                  </w:r>
                  <w:r>
                    <w:rPr>
                      <w:rFonts w:hint="default"/>
                      <w:color w:val="auto"/>
                      <w:sz w:val="21"/>
                      <w:szCs w:val="21"/>
                      <w:highlight w:val="none"/>
                    </w:rPr>
                    <w:t>现行相关产业政策的要求</w:t>
                  </w:r>
                  <w:r>
                    <w:rPr>
                      <w:rFonts w:hint="eastAsia"/>
                      <w:color w:val="auto"/>
                      <w:sz w:val="21"/>
                      <w:szCs w:val="21"/>
                      <w:highlight w:val="none"/>
                      <w:lang w:eastAsia="zh-CN"/>
                    </w:rPr>
                    <w:t>。</w:t>
                  </w:r>
                  <w:r>
                    <w:rPr>
                      <w:rFonts w:hint="eastAsia"/>
                      <w:color w:val="auto"/>
                      <w:sz w:val="21"/>
                      <w:szCs w:val="21"/>
                      <w:highlight w:val="none"/>
                      <w:lang w:val="en-US" w:eastAsia="zh-CN"/>
                    </w:rPr>
                    <w:t>本项目不属于</w:t>
                  </w:r>
                  <w:r>
                    <w:rPr>
                      <w:rFonts w:hint="default" w:ascii="Times New Roman" w:hAnsi="Times New Roman" w:eastAsia="宋体" w:cs="Times New Roman"/>
                      <w:b w:val="0"/>
                      <w:bCs/>
                      <w:color w:val="auto"/>
                      <w:sz w:val="21"/>
                      <w:szCs w:val="21"/>
                      <w:highlight w:val="none"/>
                    </w:rPr>
                    <w:t>高耗能、高排放、低水平项目</w:t>
                  </w:r>
                  <w:r>
                    <w:rPr>
                      <w:rFonts w:hint="eastAsia" w:ascii="Times New Roman" w:hAnsi="Times New Roman" w:eastAsia="宋体" w:cs="Times New Roman"/>
                      <w:b w:val="0"/>
                      <w:bCs/>
                      <w:color w:val="auto"/>
                      <w:sz w:val="21"/>
                      <w:szCs w:val="21"/>
                      <w:highlight w:val="none"/>
                      <w:lang w:eastAsia="zh-CN"/>
                    </w:rPr>
                    <w:t>。</w:t>
                  </w:r>
                </w:p>
              </w:tc>
              <w:tc>
                <w:tcPr>
                  <w:tcW w:w="349" w:type="pct"/>
                  <w:noWrap w:val="0"/>
                  <w:vAlign w:val="center"/>
                </w:tcPr>
                <w:p w14:paraId="79C412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3483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6E6CCE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noWrap w:val="0"/>
                  <w:vAlign w:val="center"/>
                </w:tcPr>
                <w:p w14:paraId="641D4671">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2.加强河湖水域岸线空间管控，严格落实九大高原湖泊（抚仙湖、星云湖、杞麓湖）“两线三区”相关管控要求。加快推动重点区域、重点流域落后和过剩产能退出。依法加快城市建成区重污染企业搬迁改造或关闭退出。</w:t>
                  </w:r>
                </w:p>
              </w:tc>
              <w:tc>
                <w:tcPr>
                  <w:tcW w:w="1774" w:type="pct"/>
                  <w:noWrap w:val="0"/>
                  <w:vAlign w:val="center"/>
                </w:tcPr>
                <w:p w14:paraId="5769C1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highlight w:val="none"/>
                    </w:rPr>
                  </w:pPr>
                  <w:r>
                    <w:rPr>
                      <w:rFonts w:cs="Times New Roman"/>
                      <w:b w:val="0"/>
                      <w:bCs/>
                      <w:color w:val="auto"/>
                      <w:sz w:val="21"/>
                      <w:szCs w:val="21"/>
                      <w:highlight w:val="none"/>
                    </w:rPr>
                    <w:t>本项目不位于抚仙湖水域岸线；项目不属于落后产能。</w:t>
                  </w:r>
                </w:p>
              </w:tc>
              <w:tc>
                <w:tcPr>
                  <w:tcW w:w="349" w:type="pct"/>
                  <w:noWrap w:val="0"/>
                  <w:vAlign w:val="center"/>
                </w:tcPr>
                <w:p w14:paraId="090C36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13E8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566CEC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noWrap w:val="0"/>
                  <w:vAlign w:val="center"/>
                </w:tcPr>
                <w:p w14:paraId="23949E94">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774" w:type="pct"/>
                  <w:noWrap w:val="0"/>
                  <w:vAlign w:val="center"/>
                </w:tcPr>
                <w:p w14:paraId="15776D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本项目不涉及</w:t>
                  </w:r>
                </w:p>
              </w:tc>
              <w:tc>
                <w:tcPr>
                  <w:tcW w:w="349" w:type="pct"/>
                  <w:noWrap w:val="0"/>
                  <w:vAlign w:val="center"/>
                </w:tcPr>
                <w:p w14:paraId="5996B8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778C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6738BB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noWrap w:val="0"/>
                  <w:vAlign w:val="center"/>
                </w:tcPr>
                <w:p w14:paraId="086B642C">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4.禁止在九大高原湖泊（抚仙湖、星云湖、杞麓湖）流域内新建、改建、扩建污染环境、高耗水、高耗能、破坏生态平衡和自然景观的项目。</w:t>
                  </w:r>
                </w:p>
              </w:tc>
              <w:tc>
                <w:tcPr>
                  <w:tcW w:w="1774" w:type="pct"/>
                  <w:noWrap w:val="0"/>
                  <w:vAlign w:val="center"/>
                </w:tcPr>
                <w:p w14:paraId="2F65E9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highlight w:val="none"/>
                    </w:rPr>
                  </w:pPr>
                  <w:r>
                    <w:rPr>
                      <w:rFonts w:hint="default"/>
                      <w:color w:val="auto"/>
                      <w:sz w:val="21"/>
                      <w:szCs w:val="21"/>
                      <w:highlight w:val="none"/>
                      <w:lang w:val="en-US" w:eastAsia="zh-CN"/>
                    </w:rPr>
                    <w:t>根据《玉溪市人民政府关于抚仙湖、星云湖、杞麓湖生态保护核心区生态保护缓冲区绿色发展区划定公告》，本项目不在抚仙湖保护区范围内（详见附图</w:t>
                  </w:r>
                  <w:r>
                    <w:rPr>
                      <w:rFonts w:hint="eastAsia"/>
                      <w:color w:val="auto"/>
                      <w:sz w:val="21"/>
                      <w:szCs w:val="21"/>
                      <w:highlight w:val="none"/>
                      <w:lang w:val="en-US" w:eastAsia="zh-CN"/>
                    </w:rPr>
                    <w:t>9</w:t>
                  </w:r>
                  <w:r>
                    <w:rPr>
                      <w:rFonts w:hint="default"/>
                      <w:color w:val="auto"/>
                      <w:sz w:val="21"/>
                      <w:szCs w:val="21"/>
                      <w:highlight w:val="none"/>
                      <w:lang w:val="en-US" w:eastAsia="zh-CN"/>
                    </w:rPr>
                    <w:t>）</w:t>
                  </w:r>
                  <w:r>
                    <w:rPr>
                      <w:rFonts w:hint="eastAsia"/>
                      <w:color w:val="auto"/>
                      <w:sz w:val="21"/>
                      <w:szCs w:val="21"/>
                      <w:highlight w:val="none"/>
                      <w:lang w:val="en-US" w:eastAsia="zh-CN"/>
                    </w:rPr>
                    <w:t>。</w:t>
                  </w:r>
                </w:p>
              </w:tc>
              <w:tc>
                <w:tcPr>
                  <w:tcW w:w="349" w:type="pct"/>
                  <w:noWrap w:val="0"/>
                  <w:vAlign w:val="center"/>
                </w:tcPr>
                <w:p w14:paraId="07049B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33FC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203154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noWrap w:val="0"/>
                  <w:vAlign w:val="center"/>
                </w:tcPr>
                <w:p w14:paraId="20CBE9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5.落实云南省碳达峰碳中和相关要求，处理好发展和减排、整体和局部、长远目标和短期目标、政府和市场的关系，坚定不移走生态优先、绿色低碳的高质量发展道路。</w:t>
                  </w:r>
                </w:p>
              </w:tc>
              <w:tc>
                <w:tcPr>
                  <w:tcW w:w="1774" w:type="pct"/>
                  <w:noWrap w:val="0"/>
                  <w:vAlign w:val="center"/>
                </w:tcPr>
                <w:p w14:paraId="382265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本项目不涉及</w:t>
                  </w:r>
                </w:p>
              </w:tc>
              <w:tc>
                <w:tcPr>
                  <w:tcW w:w="349" w:type="pct"/>
                  <w:noWrap w:val="0"/>
                  <w:vAlign w:val="center"/>
                </w:tcPr>
                <w:p w14:paraId="2943FF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w:t>
                  </w:r>
                </w:p>
              </w:tc>
            </w:tr>
            <w:tr w14:paraId="7C3E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restart"/>
                  <w:noWrap w:val="0"/>
                  <w:vAlign w:val="center"/>
                </w:tcPr>
                <w:p w14:paraId="05C6F7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污染物排放管控</w:t>
                  </w:r>
                </w:p>
              </w:tc>
              <w:tc>
                <w:tcPr>
                  <w:tcW w:w="2374" w:type="pct"/>
                  <w:gridSpan w:val="3"/>
                  <w:shd w:val="clear" w:color="auto" w:fill="auto"/>
                  <w:noWrap w:val="0"/>
                  <w:vAlign w:val="center"/>
                </w:tcPr>
                <w:p w14:paraId="7098E2E6">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14"/>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1.严格落实强制性清洁生产审核要求，引导重点行业实施清洁生产改造，到2025年底，重点行业企业基本达到国内清洁生产先进水平。</w:t>
                  </w:r>
                </w:p>
              </w:tc>
              <w:tc>
                <w:tcPr>
                  <w:tcW w:w="1774" w:type="pct"/>
                  <w:shd w:val="clear" w:color="auto" w:fill="auto"/>
                  <w:noWrap w:val="0"/>
                  <w:vAlign w:val="center"/>
                </w:tcPr>
                <w:p w14:paraId="489EABA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pacing w:val="14"/>
                      <w:kern w:val="2"/>
                      <w:sz w:val="21"/>
                      <w:szCs w:val="21"/>
                      <w:highlight w:val="none"/>
                      <w:lang w:val="en-US" w:eastAsia="zh-CN" w:bidi="ar-SA"/>
                    </w:rPr>
                  </w:pPr>
                  <w:r>
                    <w:rPr>
                      <w:rFonts w:hint="eastAsia"/>
                      <w:color w:val="auto"/>
                      <w:sz w:val="21"/>
                      <w:szCs w:val="21"/>
                      <w:highlight w:val="none"/>
                      <w:lang w:val="en-US" w:eastAsia="zh-CN"/>
                    </w:rPr>
                    <w:t>本项目不涉及</w:t>
                  </w:r>
                </w:p>
              </w:tc>
              <w:tc>
                <w:tcPr>
                  <w:tcW w:w="349" w:type="pct"/>
                  <w:noWrap w:val="0"/>
                  <w:vAlign w:val="center"/>
                </w:tcPr>
                <w:p w14:paraId="520DF4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w:t>
                  </w:r>
                </w:p>
              </w:tc>
            </w:tr>
            <w:tr w14:paraId="7C64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34124D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shd w:val="clear" w:color="auto" w:fill="auto"/>
                  <w:noWrap w:val="0"/>
                  <w:vAlign w:val="center"/>
                </w:tcPr>
                <w:p w14:paraId="51C24B40">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14"/>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tc>
              <w:tc>
                <w:tcPr>
                  <w:tcW w:w="1774" w:type="pct"/>
                  <w:shd w:val="clear" w:color="auto" w:fill="auto"/>
                  <w:noWrap w:val="0"/>
                  <w:vAlign w:val="center"/>
                </w:tcPr>
                <w:p w14:paraId="56597AC3">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14"/>
                      <w:kern w:val="0"/>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本</w:t>
                  </w:r>
                  <w:r>
                    <w:rPr>
                      <w:rFonts w:hint="default" w:ascii="Times New Roman" w:hAnsi="Times New Roman" w:eastAsia="宋体" w:cs="Times New Roman"/>
                      <w:b w:val="0"/>
                      <w:bCs w:val="0"/>
                      <w:color w:val="auto"/>
                      <w:sz w:val="21"/>
                      <w:szCs w:val="21"/>
                      <w:highlight w:val="none"/>
                      <w:lang w:val="en-US" w:eastAsia="zh-CN"/>
                    </w:rPr>
                    <w:t>项目</w:t>
                  </w:r>
                  <w:r>
                    <w:rPr>
                      <w:rFonts w:hint="eastAsia" w:ascii="Times New Roman" w:hAnsi="Times New Roman" w:eastAsia="宋体" w:cs="Times New Roman"/>
                      <w:b w:val="0"/>
                      <w:bCs w:val="0"/>
                      <w:color w:val="auto"/>
                      <w:sz w:val="21"/>
                      <w:szCs w:val="21"/>
                      <w:highlight w:val="none"/>
                      <w:lang w:val="en-US" w:eastAsia="zh-CN"/>
                    </w:rPr>
                    <w:t>属于南盘江流域，项目的建设将完善大山生活垃圾填埋场雨污分流系统，能够保证大山生活垃圾填埋场渗滤液出水水质稳定达标，产生的渗滤液浓缩液得到有效处置，对减轻南盘江流域及澄江市环境污染起着积极作用</w:t>
                  </w:r>
                  <w:r>
                    <w:rPr>
                      <w:rFonts w:hint="default" w:ascii="Times New Roman" w:hAnsi="Times New Roman" w:eastAsia="宋体" w:cs="Times New Roman"/>
                      <w:b w:val="0"/>
                      <w:bCs w:val="0"/>
                      <w:color w:val="auto"/>
                      <w:sz w:val="21"/>
                      <w:szCs w:val="21"/>
                      <w:highlight w:val="none"/>
                      <w:lang w:val="en-US" w:eastAsia="zh-CN"/>
                    </w:rPr>
                    <w:t>，不会对</w:t>
                  </w:r>
                  <w:r>
                    <w:rPr>
                      <w:rFonts w:hint="default" w:ascii="Times New Roman" w:hAnsi="Times New Roman" w:eastAsia="宋体" w:cs="Times New Roman"/>
                      <w:b w:val="0"/>
                      <w:bCs w:val="0"/>
                      <w:color w:val="auto"/>
                      <w:kern w:val="0"/>
                      <w:sz w:val="21"/>
                      <w:szCs w:val="21"/>
                      <w:highlight w:val="none"/>
                      <w:lang w:val="en-US" w:eastAsia="zh-CN" w:bidi="ar"/>
                    </w:rPr>
                    <w:t>“三湖”及“两江”及周边地表水环境造成影响。</w:t>
                  </w:r>
                </w:p>
              </w:tc>
              <w:tc>
                <w:tcPr>
                  <w:tcW w:w="349" w:type="pct"/>
                  <w:noWrap w:val="0"/>
                  <w:vAlign w:val="center"/>
                </w:tcPr>
                <w:p w14:paraId="585737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7E63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5D543C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shd w:val="clear" w:color="auto" w:fill="auto"/>
                  <w:noWrap w:val="0"/>
                  <w:vAlign w:val="center"/>
                </w:tcPr>
                <w:p w14:paraId="6457B1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3.严格保护城乡饮用水水源地，整治饮用水水源保护区内的污染源，确保饮水安全。</w:t>
                  </w:r>
                </w:p>
              </w:tc>
              <w:tc>
                <w:tcPr>
                  <w:tcW w:w="1774" w:type="pct"/>
                  <w:shd w:val="clear" w:color="auto" w:fill="auto"/>
                  <w:noWrap w:val="0"/>
                  <w:vAlign w:val="center"/>
                </w:tcPr>
                <w:p w14:paraId="783703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olor w:val="auto"/>
                      <w:sz w:val="21"/>
                      <w:szCs w:val="21"/>
                      <w:highlight w:val="none"/>
                      <w:lang w:val="en-US" w:eastAsia="zh-CN"/>
                    </w:rPr>
                    <w:t>本项目不涉及</w:t>
                  </w:r>
                </w:p>
              </w:tc>
              <w:tc>
                <w:tcPr>
                  <w:tcW w:w="349" w:type="pct"/>
                  <w:noWrap w:val="0"/>
                  <w:vAlign w:val="center"/>
                </w:tcPr>
                <w:p w14:paraId="1647AC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w:t>
                  </w:r>
                </w:p>
              </w:tc>
            </w:tr>
            <w:tr w14:paraId="171B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3E823A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shd w:val="clear" w:color="auto" w:fill="auto"/>
                  <w:noWrap w:val="0"/>
                  <w:vAlign w:val="center"/>
                </w:tcPr>
                <w:p w14:paraId="0342CA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tc>
              <w:tc>
                <w:tcPr>
                  <w:tcW w:w="1774" w:type="pct"/>
                  <w:shd w:val="clear" w:color="auto" w:fill="auto"/>
                  <w:noWrap w:val="0"/>
                  <w:vAlign w:val="center"/>
                </w:tcPr>
                <w:p w14:paraId="40246FCF">
                  <w:pPr>
                    <w:keepNext w:val="0"/>
                    <w:keepLines w:val="0"/>
                    <w:suppressLineNumbers w:val="0"/>
                    <w:autoSpaceDE w:val="0"/>
                    <w:autoSpaceDN w:val="0"/>
                    <w:adjustRightInd w:val="0"/>
                    <w:snapToGrid w:val="0"/>
                    <w:spacing w:before="0" w:beforeAutospacing="0" w:after="0" w:afterAutospacing="0"/>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本</w:t>
                  </w:r>
                  <w:r>
                    <w:rPr>
                      <w:rFonts w:hint="eastAsia" w:ascii="Times New Roman" w:hAnsi="Times New Roman" w:cs="Times New Roman"/>
                      <w:color w:val="auto"/>
                      <w:sz w:val="21"/>
                      <w:szCs w:val="21"/>
                      <w:highlight w:val="none"/>
                      <w:lang w:val="en-US" w:eastAsia="zh-CN"/>
                    </w:rPr>
                    <w:t>项目渗滤液处理过程中产生的恶臭气体采用</w:t>
                  </w:r>
                  <w:r>
                    <w:rPr>
                      <w:rFonts w:hint="eastAsia" w:cs="Times New Roman"/>
                      <w:color w:val="auto"/>
                      <w:sz w:val="21"/>
                      <w:szCs w:val="21"/>
                      <w:highlight w:val="none"/>
                      <w:lang w:val="en-US" w:eastAsia="zh-CN"/>
                    </w:rPr>
                    <w:t>负压管道收集+</w:t>
                  </w:r>
                  <w:r>
                    <w:rPr>
                      <w:rFonts w:hint="eastAsia" w:ascii="Times New Roman" w:hAnsi="Times New Roman" w:cs="Times New Roman"/>
                      <w:color w:val="auto"/>
                      <w:sz w:val="21"/>
                      <w:szCs w:val="21"/>
                      <w:highlight w:val="none"/>
                      <w:lang w:val="en-US" w:eastAsia="zh-CN"/>
                    </w:rPr>
                    <w:t>化学洗涤</w:t>
                  </w:r>
                  <w:r>
                    <w:rPr>
                      <w:rFonts w:hint="eastAsia" w:ascii="Times New Roman" w:cs="Times New Roman" w:eastAsiaTheme="minorEastAsia"/>
                      <w:color w:val="auto"/>
                      <w:sz w:val="21"/>
                      <w:szCs w:val="21"/>
                      <w:highlight w:val="none"/>
                      <w:lang w:val="en-US" w:eastAsia="zh-CN"/>
                    </w:rPr>
                    <w:t>塔处理后外排</w:t>
                  </w:r>
                  <w:r>
                    <w:rPr>
                      <w:rFonts w:hint="eastAsia" w:ascii="Times New Roman" w:cs="Times New Roman"/>
                      <w:color w:val="auto"/>
                      <w:sz w:val="21"/>
                      <w:szCs w:val="21"/>
                      <w:highlight w:val="none"/>
                      <w:vertAlign w:val="baseline"/>
                      <w:lang w:val="en-US" w:eastAsia="zh-CN"/>
                    </w:rPr>
                    <w:t>，采取的废气治理技术为可行技术，</w:t>
                  </w:r>
                  <w:r>
                    <w:rPr>
                      <w:rFonts w:hint="default" w:ascii="Times New Roman" w:hAnsi="Times New Roman" w:eastAsia="宋体" w:cs="Times New Roman"/>
                      <w:color w:val="auto"/>
                      <w:sz w:val="21"/>
                      <w:szCs w:val="21"/>
                      <w:highlight w:val="none"/>
                      <w:vertAlign w:val="baseline"/>
                      <w:lang w:val="en-US" w:eastAsia="zh-CN"/>
                    </w:rPr>
                    <w:t>能够保证废气达标排放</w:t>
                  </w:r>
                  <w:r>
                    <w:rPr>
                      <w:color w:val="auto"/>
                      <w:sz w:val="21"/>
                      <w:szCs w:val="21"/>
                      <w:highlight w:val="none"/>
                    </w:rPr>
                    <w:t>，不会对区域大气环境质量造成影响</w:t>
                  </w:r>
                  <w:r>
                    <w:rPr>
                      <w:rFonts w:hint="default" w:ascii="Times New Roman" w:hAnsi="Times New Roman" w:cs="Times New Roman"/>
                      <w:color w:val="auto"/>
                      <w:sz w:val="21"/>
                      <w:szCs w:val="21"/>
                      <w:highlight w:val="none"/>
                      <w:lang w:val="en-US" w:eastAsia="zh-CN"/>
                    </w:rPr>
                    <w:t>。</w:t>
                  </w:r>
                </w:p>
              </w:tc>
              <w:tc>
                <w:tcPr>
                  <w:tcW w:w="349" w:type="pct"/>
                  <w:noWrap w:val="0"/>
                  <w:vAlign w:val="center"/>
                </w:tcPr>
                <w:p w14:paraId="1049E8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0710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22F195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shd w:val="clear" w:color="auto" w:fill="auto"/>
                  <w:noWrap w:val="0"/>
                  <w:vAlign w:val="center"/>
                </w:tcPr>
                <w:p w14:paraId="4DB8FF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5.加大环境污染物减排力度，到2025年，实现氮氧化物减排1224吨，挥发性有机物减排1393吨，化学需氧量减排2461吨，氨氮减排230吨。</w:t>
                  </w:r>
                </w:p>
              </w:tc>
              <w:tc>
                <w:tcPr>
                  <w:tcW w:w="1774" w:type="pct"/>
                  <w:shd w:val="clear" w:color="auto" w:fill="auto"/>
                  <w:noWrap w:val="0"/>
                  <w:vAlign w:val="center"/>
                </w:tcPr>
                <w:p w14:paraId="0AC7210B">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项目渗滤液处理过程中产生的恶臭气体采用负压管道收集+化学洗涤塔处理后外排，采取的废气治理技术为可行技术，能够保证废气达标排放，不会对区域大气环境质量造成影响。</w:t>
                  </w:r>
                </w:p>
                <w:p w14:paraId="63BF84CC">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14"/>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项目处理后的尾水</w:t>
                  </w:r>
                  <w:r>
                    <w:rPr>
                      <w:rFonts w:hint="eastAsia" w:ascii="Times New Roman" w:hAnsi="Times New Roman" w:eastAsia="宋体" w:cs="Times New Roman"/>
                      <w:b w:val="0"/>
                      <w:bCs/>
                      <w:color w:val="auto"/>
                      <w:sz w:val="21"/>
                      <w:szCs w:val="21"/>
                      <w:highlight w:val="none"/>
                      <w:lang w:val="en-US" w:eastAsia="zh-CN"/>
                    </w:rPr>
                    <w:t>回用于</w:t>
                  </w:r>
                  <w:r>
                    <w:rPr>
                      <w:rFonts w:hint="default" w:ascii="Times New Roman" w:hAnsi="Times New Roman" w:eastAsia="宋体" w:cs="Times New Roman"/>
                      <w:b w:val="0"/>
                      <w:bCs/>
                      <w:color w:val="auto"/>
                      <w:sz w:val="21"/>
                      <w:szCs w:val="21"/>
                      <w:highlight w:val="none"/>
                      <w:lang w:val="en-US" w:eastAsia="zh-CN"/>
                    </w:rPr>
                    <w:t>填埋场区内绿化浇灌，不外排。</w:t>
                  </w:r>
                </w:p>
              </w:tc>
              <w:tc>
                <w:tcPr>
                  <w:tcW w:w="349" w:type="pct"/>
                  <w:noWrap w:val="0"/>
                  <w:vAlign w:val="center"/>
                </w:tcPr>
                <w:p w14:paraId="696125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48A3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5B421C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shd w:val="clear" w:color="auto" w:fill="auto"/>
                  <w:noWrap w:val="0"/>
                  <w:vAlign w:val="center"/>
                </w:tcPr>
                <w:p w14:paraId="1669AD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tc>
              <w:tc>
                <w:tcPr>
                  <w:tcW w:w="1774" w:type="pct"/>
                  <w:shd w:val="clear" w:color="auto" w:fill="auto"/>
                  <w:noWrap w:val="0"/>
                  <w:vAlign w:val="center"/>
                </w:tcPr>
                <w:p w14:paraId="66300DD3">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14"/>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本项目不涉及</w:t>
                  </w:r>
                </w:p>
              </w:tc>
              <w:tc>
                <w:tcPr>
                  <w:tcW w:w="349" w:type="pct"/>
                  <w:noWrap w:val="0"/>
                  <w:vAlign w:val="center"/>
                </w:tcPr>
                <w:p w14:paraId="46DD61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39C7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343A6D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shd w:val="clear" w:color="auto" w:fill="auto"/>
                  <w:noWrap w:val="0"/>
                  <w:vAlign w:val="center"/>
                </w:tcPr>
                <w:p w14:paraId="668026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tc>
              <w:tc>
                <w:tcPr>
                  <w:tcW w:w="1774" w:type="pct"/>
                  <w:shd w:val="clear" w:color="auto" w:fill="auto"/>
                  <w:noWrap w:val="0"/>
                  <w:vAlign w:val="center"/>
                </w:tcPr>
                <w:p w14:paraId="773AF977">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14"/>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项目产生的固体废物均通过建立污染环境防治责任制度进行管理，按照国家规定建立工业固体废物管理台账。</w:t>
                  </w:r>
                  <w:r>
                    <w:rPr>
                      <w:rFonts w:hint="default" w:ascii="Times New Roman" w:hAnsi="Times New Roman" w:eastAsia="宋体" w:cs="Times New Roman"/>
                      <w:b w:val="0"/>
                      <w:bCs/>
                      <w:color w:val="auto"/>
                      <w:sz w:val="21"/>
                      <w:szCs w:val="21"/>
                      <w:highlight w:val="none"/>
                      <w:lang w:val="en-US" w:eastAsia="zh-CN"/>
                    </w:rPr>
                    <w:t>产生的固体废物均得到100%处置。</w:t>
                  </w:r>
                </w:p>
              </w:tc>
              <w:tc>
                <w:tcPr>
                  <w:tcW w:w="349" w:type="pct"/>
                  <w:noWrap w:val="0"/>
                  <w:vAlign w:val="center"/>
                </w:tcPr>
                <w:p w14:paraId="6D209F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6733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6CAF16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shd w:val="clear" w:color="auto" w:fill="auto"/>
                  <w:noWrap w:val="0"/>
                  <w:vAlign w:val="center"/>
                </w:tcPr>
                <w:p w14:paraId="43F075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8.到2025年，中心城区细颗粒物（PM2.5）平均浓度控制在21微克/立方米以内，城市空气质量优良天数比率达到98.5%以上，坚决防范重度及以上污染天气发生，全市地表水国控断面优良水体比例达80%，消除城市黑臭水体，消除劣Ⅴ类水体。</w:t>
                  </w:r>
                </w:p>
              </w:tc>
              <w:tc>
                <w:tcPr>
                  <w:tcW w:w="1774" w:type="pct"/>
                  <w:shd w:val="clear" w:color="auto" w:fill="auto"/>
                  <w:noWrap w:val="0"/>
                  <w:vAlign w:val="center"/>
                </w:tcPr>
                <w:p w14:paraId="0CEBE254">
                  <w:pPr>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项目在施工和运营期间采取了严格的环境保护措施，包括废气治理、废水</w:t>
                  </w:r>
                  <w:r>
                    <w:rPr>
                      <w:rFonts w:hint="default" w:ascii="Times New Roman" w:hAnsi="Times New Roman" w:eastAsia="宋体" w:cs="Times New Roman"/>
                      <w:color w:val="auto"/>
                      <w:kern w:val="0"/>
                      <w:sz w:val="21"/>
                      <w:szCs w:val="21"/>
                      <w:highlight w:val="none"/>
                      <w:lang w:val="en-US" w:eastAsia="zh-CN" w:bidi="ar"/>
                    </w:rPr>
                    <w:t>处理</w:t>
                  </w:r>
                  <w:r>
                    <w:rPr>
                      <w:rFonts w:hint="default" w:ascii="Times New Roman" w:hAnsi="Times New Roman" w:eastAsia="宋体" w:cs="Times New Roman"/>
                      <w:color w:val="auto"/>
                      <w:kern w:val="0"/>
                      <w:sz w:val="21"/>
                      <w:szCs w:val="21"/>
                      <w:highlight w:val="none"/>
                      <w:lang w:bidi="ar"/>
                    </w:rPr>
                    <w:t>、固体废物回收利用等，有效控制了污染物的排放。</w:t>
                  </w:r>
                  <w:r>
                    <w:rPr>
                      <w:rFonts w:hint="default" w:ascii="Times New Roman" w:hAnsi="Times New Roman" w:eastAsia="宋体" w:cs="Times New Roman"/>
                      <w:b w:val="0"/>
                      <w:bCs/>
                      <w:color w:val="auto"/>
                      <w:sz w:val="21"/>
                      <w:szCs w:val="21"/>
                      <w:highlight w:val="none"/>
                      <w:lang w:val="en-US" w:eastAsia="zh-CN"/>
                    </w:rPr>
                    <w:t>项目处理后的尾水</w:t>
                  </w:r>
                  <w:r>
                    <w:rPr>
                      <w:rFonts w:hint="eastAsia" w:ascii="Times New Roman" w:hAnsi="Times New Roman" w:eastAsia="宋体" w:cs="Times New Roman"/>
                      <w:b w:val="0"/>
                      <w:bCs/>
                      <w:color w:val="auto"/>
                      <w:sz w:val="21"/>
                      <w:szCs w:val="21"/>
                      <w:highlight w:val="none"/>
                      <w:lang w:val="en-US" w:eastAsia="zh-CN"/>
                    </w:rPr>
                    <w:t>回用于</w:t>
                  </w:r>
                  <w:r>
                    <w:rPr>
                      <w:rFonts w:hint="default" w:ascii="Times New Roman" w:hAnsi="Times New Roman" w:eastAsia="宋体" w:cs="Times New Roman"/>
                      <w:b w:val="0"/>
                      <w:bCs/>
                      <w:color w:val="auto"/>
                      <w:sz w:val="21"/>
                      <w:szCs w:val="21"/>
                      <w:highlight w:val="none"/>
                      <w:lang w:val="en-US" w:eastAsia="zh-CN"/>
                    </w:rPr>
                    <w:t>填埋场区内绿化浇灌，不外排</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不会对区域水环境质量现状造成影响</w:t>
                  </w:r>
                  <w:r>
                    <w:rPr>
                      <w:rFonts w:hint="default" w:ascii="Times New Roman" w:hAnsi="Times New Roman" w:eastAsia="宋体" w:cs="Times New Roman"/>
                      <w:color w:val="auto"/>
                      <w:kern w:val="0"/>
                      <w:sz w:val="21"/>
                      <w:szCs w:val="21"/>
                      <w:highlight w:val="none"/>
                      <w:lang w:val="en-US" w:eastAsia="zh-CN" w:bidi="ar"/>
                    </w:rPr>
                    <w:t>。</w:t>
                  </w:r>
                </w:p>
              </w:tc>
              <w:tc>
                <w:tcPr>
                  <w:tcW w:w="349" w:type="pct"/>
                  <w:noWrap w:val="0"/>
                  <w:vAlign w:val="center"/>
                </w:tcPr>
                <w:p w14:paraId="0AF753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7715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restart"/>
                  <w:noWrap w:val="0"/>
                  <w:vAlign w:val="center"/>
                </w:tcPr>
                <w:p w14:paraId="206900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t>环境风险防控</w:t>
                  </w:r>
                </w:p>
              </w:tc>
              <w:tc>
                <w:tcPr>
                  <w:tcW w:w="2374" w:type="pct"/>
                  <w:gridSpan w:val="3"/>
                  <w:noWrap w:val="0"/>
                  <w:vAlign w:val="center"/>
                </w:tcPr>
                <w:p w14:paraId="6CC50254">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1.强化与其他滇中城市的大气、水污染防治联防联控协作机制，加强区域内重污染天气和跨界水体风险应急联动。</w:t>
                  </w:r>
                </w:p>
              </w:tc>
              <w:tc>
                <w:tcPr>
                  <w:tcW w:w="1774" w:type="pct"/>
                  <w:noWrap w:val="0"/>
                  <w:vAlign w:val="center"/>
                </w:tcPr>
                <w:p w14:paraId="604C57E7">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项目建成后，企业将积极配合环保主管部门与其他滇中城市的大气污染防治联防联控协作，加强区域内重污染天气和跨界水体风险应急联动。</w:t>
                  </w:r>
                </w:p>
              </w:tc>
              <w:tc>
                <w:tcPr>
                  <w:tcW w:w="349" w:type="pct"/>
                  <w:noWrap w:val="0"/>
                  <w:vAlign w:val="center"/>
                </w:tcPr>
                <w:p w14:paraId="5AECEC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2BB2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3844FE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noWrap w:val="0"/>
                  <w:vAlign w:val="center"/>
                </w:tcPr>
                <w:p w14:paraId="04A3B4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774" w:type="pct"/>
                  <w:noWrap w:val="0"/>
                  <w:vAlign w:val="center"/>
                </w:tcPr>
                <w:p w14:paraId="69A4E9BE">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left"/>
                    <w:textAlignment w:val="auto"/>
                    <w:rPr>
                      <w:rFonts w:hint="default"/>
                      <w:color w:val="auto"/>
                      <w:sz w:val="21"/>
                      <w:szCs w:val="21"/>
                      <w:highlight w:val="none"/>
                    </w:rPr>
                  </w:pPr>
                  <w:r>
                    <w:rPr>
                      <w:rFonts w:hint="eastAsia" w:ascii="Times New Roman" w:hAnsi="Times New Roman" w:eastAsia="宋体"/>
                      <w:bCs/>
                      <w:color w:val="auto"/>
                      <w:szCs w:val="21"/>
                      <w:highlight w:val="none"/>
                      <w:lang w:val="en-US" w:eastAsia="zh-CN"/>
                    </w:rPr>
                    <w:t>目前，大山生活垃圾填埋场已于2024年2月19日发布了《澄江市九村镇大山生活垃圾填埋场突发环境事件应急预案（2024年版）》，备案编号：530422-2024-008-L，本次全量化处理站</w:t>
                  </w:r>
                  <w:r>
                    <w:rPr>
                      <w:rFonts w:ascii="Times New Roman" w:hAnsi="Times New Roman" w:eastAsia="宋体"/>
                      <w:bCs/>
                      <w:color w:val="auto"/>
                      <w:szCs w:val="21"/>
                      <w:highlight w:val="none"/>
                    </w:rPr>
                    <w:t>建成后，将及时</w:t>
                  </w:r>
                  <w:r>
                    <w:rPr>
                      <w:rFonts w:hint="eastAsia" w:ascii="Times New Roman" w:hAnsi="Times New Roman" w:eastAsia="宋体"/>
                      <w:bCs/>
                      <w:color w:val="auto"/>
                      <w:szCs w:val="21"/>
                      <w:highlight w:val="none"/>
                      <w:lang w:val="en-US" w:eastAsia="zh-CN"/>
                    </w:rPr>
                    <w:t>修编</w:t>
                  </w:r>
                  <w:r>
                    <w:rPr>
                      <w:rFonts w:ascii="Times New Roman" w:hAnsi="Times New Roman" w:eastAsia="宋体"/>
                      <w:bCs/>
                      <w:color w:val="auto"/>
                      <w:szCs w:val="21"/>
                      <w:highlight w:val="none"/>
                    </w:rPr>
                    <w:t>突发环境事件应急预案并定期进行演练。</w:t>
                  </w:r>
                </w:p>
              </w:tc>
              <w:tc>
                <w:tcPr>
                  <w:tcW w:w="349" w:type="pct"/>
                  <w:noWrap w:val="0"/>
                  <w:vAlign w:val="center"/>
                </w:tcPr>
                <w:p w14:paraId="1914B5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1D03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restart"/>
                  <w:noWrap w:val="0"/>
                  <w:vAlign w:val="center"/>
                </w:tcPr>
                <w:p w14:paraId="5AF694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t>资源开发利用效率</w:t>
                  </w:r>
                </w:p>
              </w:tc>
              <w:tc>
                <w:tcPr>
                  <w:tcW w:w="2374" w:type="pct"/>
                  <w:gridSpan w:val="3"/>
                  <w:noWrap w:val="0"/>
                  <w:vAlign w:val="center"/>
                </w:tcPr>
                <w:p w14:paraId="43753DAC">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1.降低水、土地、能源、矿产资源消耗强度，强化约束性指标管理。</w:t>
                  </w:r>
                </w:p>
              </w:tc>
              <w:tc>
                <w:tcPr>
                  <w:tcW w:w="1774" w:type="pct"/>
                  <w:noWrap w:val="0"/>
                  <w:vAlign w:val="center"/>
                </w:tcPr>
                <w:p w14:paraId="5957D36D">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color w:val="auto"/>
                      <w:sz w:val="21"/>
                      <w:szCs w:val="21"/>
                      <w:highlight w:val="none"/>
                      <w:lang w:val="en-US"/>
                    </w:rPr>
                  </w:pPr>
                  <w:r>
                    <w:rPr>
                      <w:rFonts w:hint="default" w:ascii="Times New Roman" w:hAnsi="Times New Roman" w:eastAsia="宋体" w:cs="Times New Roman"/>
                      <w:b w:val="0"/>
                      <w:bCs/>
                      <w:color w:val="auto"/>
                      <w:kern w:val="2"/>
                      <w:sz w:val="21"/>
                      <w:szCs w:val="21"/>
                      <w:highlight w:val="none"/>
                      <w:lang w:val="en-US" w:eastAsia="zh-CN" w:bidi="ar-SA"/>
                    </w:rPr>
                    <w:t>本项目</w:t>
                  </w:r>
                  <w:r>
                    <w:rPr>
                      <w:rFonts w:hint="eastAsia" w:ascii="Times New Roman" w:hAnsi="Times New Roman" w:eastAsia="宋体" w:cs="Times New Roman"/>
                      <w:b w:val="0"/>
                      <w:bCs/>
                      <w:color w:val="auto"/>
                      <w:kern w:val="2"/>
                      <w:sz w:val="21"/>
                      <w:szCs w:val="21"/>
                      <w:highlight w:val="none"/>
                      <w:lang w:val="en-US" w:eastAsia="zh-CN" w:bidi="ar-SA"/>
                    </w:rPr>
                    <w:t>在大山生活垃圾填埋场现有用地内建设，不新增用地</w:t>
                  </w:r>
                </w:p>
              </w:tc>
              <w:tc>
                <w:tcPr>
                  <w:tcW w:w="349" w:type="pct"/>
                  <w:noWrap w:val="0"/>
                  <w:vAlign w:val="center"/>
                </w:tcPr>
                <w:p w14:paraId="4E2B6F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0F15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3D9DC6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noWrap w:val="0"/>
                  <w:vAlign w:val="center"/>
                </w:tcPr>
                <w:p w14:paraId="0B9B9AC1">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2.实行最严格的水资源管理制度，严格用水总量、强度指标管理，严格取水管控，建立重点监控取水单位名录，强化重点监控取水单位管理。全市年用水总量、万元工业增加值用水量降幅等指标达到省考核要求。</w:t>
                  </w:r>
                </w:p>
              </w:tc>
              <w:tc>
                <w:tcPr>
                  <w:tcW w:w="1774" w:type="pct"/>
                  <w:noWrap w:val="0"/>
                  <w:vAlign w:val="center"/>
                </w:tcPr>
                <w:p w14:paraId="36107F04">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SA"/>
                    </w:rPr>
                    <w:t>本项目不属于重点监控取水单位，用水量不触及资源利用上线，符合资源利用上线要求。</w:t>
                  </w:r>
                </w:p>
              </w:tc>
              <w:tc>
                <w:tcPr>
                  <w:tcW w:w="349" w:type="pct"/>
                  <w:noWrap w:val="0"/>
                  <w:vAlign w:val="center"/>
                </w:tcPr>
                <w:p w14:paraId="04D24F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5B6C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410793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noWrap w:val="0"/>
                  <w:vAlign w:val="center"/>
                </w:tcPr>
                <w:p w14:paraId="71FD4380">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3.坚持最严格的耕地保护制度，守住耕地保护红线。坚持节约用地，严格执行耕地占补平衡等制度，提高土地投资强度和单位面积产出水平。</w:t>
                  </w:r>
                </w:p>
              </w:tc>
              <w:tc>
                <w:tcPr>
                  <w:tcW w:w="1774" w:type="pct"/>
                  <w:noWrap w:val="0"/>
                  <w:vAlign w:val="center"/>
                </w:tcPr>
                <w:p w14:paraId="20EBA38A">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本项目用地范围不涉及占用永久基本农田。</w:t>
                  </w:r>
                </w:p>
              </w:tc>
              <w:tc>
                <w:tcPr>
                  <w:tcW w:w="349" w:type="pct"/>
                  <w:noWrap w:val="0"/>
                  <w:vAlign w:val="center"/>
                </w:tcPr>
                <w:p w14:paraId="6D4553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7BCF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05C9BA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noWrap w:val="0"/>
                  <w:vAlign w:val="center"/>
                </w:tcPr>
                <w:p w14:paraId="0181EDF1">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4.全市单位GDP二氧化碳排放累计下降率完成云南省下达的指标；单位GDP能耗持续下降，到2025年，全市单位GDP能耗累计下降率14%。</w:t>
                  </w:r>
                </w:p>
              </w:tc>
              <w:tc>
                <w:tcPr>
                  <w:tcW w:w="1774" w:type="pct"/>
                  <w:noWrap w:val="0"/>
                  <w:vAlign w:val="center"/>
                </w:tcPr>
                <w:p w14:paraId="46D59BDE">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49" w:type="pct"/>
                  <w:noWrap w:val="0"/>
                  <w:vAlign w:val="center"/>
                </w:tcPr>
                <w:p w14:paraId="7D19AC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4DB1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noWrap w:val="0"/>
                  <w:vAlign w:val="center"/>
                </w:tcPr>
                <w:p w14:paraId="0815F5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rPr>
                  </w:pPr>
                </w:p>
              </w:tc>
              <w:tc>
                <w:tcPr>
                  <w:tcW w:w="2374" w:type="pct"/>
                  <w:gridSpan w:val="3"/>
                  <w:noWrap w:val="0"/>
                  <w:vAlign w:val="center"/>
                </w:tcPr>
                <w:p w14:paraId="668313EF">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5.高污染燃料禁燃区按照《高污染燃料目录》及当地有关禁燃区管理规定执行。</w:t>
                  </w:r>
                </w:p>
              </w:tc>
              <w:tc>
                <w:tcPr>
                  <w:tcW w:w="1774" w:type="pct"/>
                  <w:noWrap w:val="0"/>
                  <w:vAlign w:val="center"/>
                </w:tcPr>
                <w:p w14:paraId="0C8A133C">
                  <w:pPr>
                    <w:pStyle w:val="6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49" w:type="pct"/>
                  <w:noWrap w:val="0"/>
                  <w:vAlign w:val="center"/>
                </w:tcPr>
                <w:p w14:paraId="698778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513B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5A946C1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olor w:val="auto"/>
                      <w:sz w:val="21"/>
                      <w:szCs w:val="21"/>
                      <w:highlight w:val="none"/>
                    </w:rPr>
                  </w:pPr>
                  <w:r>
                    <w:rPr>
                      <w:rFonts w:hint="eastAsia" w:ascii="Times New Roman" w:hAnsi="Times New Roman" w:eastAsia="宋体" w:cs="Times New Roman"/>
                      <w:b/>
                      <w:bCs/>
                      <w:color w:val="auto"/>
                      <w:kern w:val="0"/>
                      <w:sz w:val="21"/>
                      <w:szCs w:val="21"/>
                      <w:highlight w:val="none"/>
                      <w:lang w:val="en-US" w:eastAsia="zh-CN"/>
                    </w:rPr>
                    <w:t>澄江市</w:t>
                  </w:r>
                  <w:r>
                    <w:rPr>
                      <w:rFonts w:hint="default" w:ascii="Times New Roman" w:hAnsi="Times New Roman" w:eastAsia="宋体" w:cs="Times New Roman"/>
                      <w:b/>
                      <w:bCs/>
                      <w:color w:val="auto"/>
                      <w:kern w:val="0"/>
                      <w:sz w:val="21"/>
                      <w:szCs w:val="21"/>
                      <w:highlight w:val="none"/>
                      <w:lang w:val="en-US" w:eastAsia="zh-CN"/>
                    </w:rPr>
                    <w:t>一般管控单元</w:t>
                  </w:r>
                </w:p>
              </w:tc>
            </w:tr>
            <w:tr w14:paraId="34ED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gridSpan w:val="2"/>
                  <w:noWrap w:val="0"/>
                  <w:vAlign w:val="center"/>
                </w:tcPr>
                <w:p w14:paraId="7ACAA9C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kern w:val="0"/>
                      <w:sz w:val="21"/>
                      <w:szCs w:val="21"/>
                      <w:highlight w:val="none"/>
                    </w:rPr>
                    <w:t>空间布局约束</w:t>
                  </w:r>
                </w:p>
              </w:tc>
              <w:tc>
                <w:tcPr>
                  <w:tcW w:w="2296" w:type="pct"/>
                  <w:gridSpan w:val="2"/>
                  <w:noWrap w:val="0"/>
                  <w:vAlign w:val="center"/>
                </w:tcPr>
                <w:p w14:paraId="3553F34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落</w:t>
                  </w:r>
                  <w:r>
                    <w:rPr>
                      <w:rFonts w:hint="default" w:ascii="Times New Roman" w:hAnsi="Times New Roman" w:eastAsia="宋体" w:cs="Times New Roman"/>
                      <w:color w:val="auto"/>
                      <w:kern w:val="0"/>
                      <w:sz w:val="21"/>
                      <w:szCs w:val="21"/>
                      <w:highlight w:val="none"/>
                    </w:rPr>
                    <w:t>实生态环境保护基本要求，项目建设和运行应满足产业准入、污染物削减、污染物排放标准等管理规定和国家法律法规要求。</w:t>
                  </w:r>
                </w:p>
              </w:tc>
              <w:tc>
                <w:tcPr>
                  <w:tcW w:w="1774" w:type="pct"/>
                  <w:noWrap w:val="0"/>
                  <w:vAlign w:val="center"/>
                </w:tcPr>
                <w:p w14:paraId="2F5DC7C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color w:val="auto"/>
                      <w:sz w:val="21"/>
                      <w:szCs w:val="21"/>
                      <w:highlight w:val="none"/>
                    </w:rPr>
                  </w:pPr>
                  <w:r>
                    <w:rPr>
                      <w:rFonts w:hint="default" w:ascii="Times New Roman" w:hAnsi="Times New Roman" w:eastAsia="宋体" w:cs="Times New Roman"/>
                      <w:color w:val="auto"/>
                      <w:kern w:val="0"/>
                      <w:sz w:val="21"/>
                      <w:szCs w:val="21"/>
                      <w:highlight w:val="none"/>
                    </w:rPr>
                    <w:t>项目</w:t>
                  </w:r>
                  <w:r>
                    <w:rPr>
                      <w:rFonts w:hint="eastAsia" w:ascii="Times New Roman" w:hAnsi="Times New Roman" w:eastAsia="宋体" w:cs="Times New Roman"/>
                      <w:color w:val="auto"/>
                      <w:kern w:val="0"/>
                      <w:sz w:val="21"/>
                      <w:szCs w:val="21"/>
                      <w:highlight w:val="none"/>
                      <w:lang w:val="en-US" w:eastAsia="zh-CN"/>
                    </w:rPr>
                    <w:t>属于</w:t>
                  </w:r>
                  <w:r>
                    <w:rPr>
                      <w:rFonts w:hint="eastAsia" w:cs="Times New Roman"/>
                      <w:color w:val="auto"/>
                      <w:kern w:val="0"/>
                      <w:sz w:val="21"/>
                      <w:szCs w:val="21"/>
                      <w:highlight w:val="none"/>
                      <w:lang w:val="en-US" w:eastAsia="zh-CN"/>
                    </w:rPr>
                    <w:t>污水处理及其再生利用</w:t>
                  </w:r>
                  <w:r>
                    <w:rPr>
                      <w:rFonts w:hint="eastAsia" w:ascii="Times New Roman" w:hAnsi="Times New Roman" w:eastAsia="宋体" w:cs="Times New Roman"/>
                      <w:color w:val="auto"/>
                      <w:kern w:val="0"/>
                      <w:sz w:val="21"/>
                      <w:szCs w:val="21"/>
                      <w:highlight w:val="none"/>
                      <w:lang w:val="en-US" w:eastAsia="zh-CN"/>
                    </w:rPr>
                    <w:t>，对照</w:t>
                  </w:r>
                  <w:r>
                    <w:rPr>
                      <w:rFonts w:hint="eastAsia" w:ascii="Times New Roman" w:hAnsi="Times New Roman" w:cs="Times New Roman"/>
                      <w:color w:val="auto"/>
                      <w:sz w:val="21"/>
                      <w:szCs w:val="21"/>
                      <w:highlight w:val="none"/>
                      <w:lang w:val="en-US" w:eastAsia="zh-CN"/>
                    </w:rPr>
                    <w:t>《产业结构调整指导目录》（2024年本），项目</w:t>
                  </w:r>
                  <w:r>
                    <w:rPr>
                      <w:rFonts w:hint="default" w:ascii="Times New Roman" w:hAnsi="Times New Roman" w:cs="Times New Roman"/>
                      <w:color w:val="auto"/>
                      <w:sz w:val="21"/>
                      <w:szCs w:val="21"/>
                      <w:highlight w:val="none"/>
                      <w:lang w:val="en-US" w:eastAsia="zh-CN"/>
                    </w:rPr>
                    <w:t>符合国家产业政策</w:t>
                  </w:r>
                  <w:r>
                    <w:rPr>
                      <w:rFonts w:hint="eastAsia"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项目建成后产生</w:t>
                  </w:r>
                  <w:r>
                    <w:rPr>
                      <w:rFonts w:hint="eastAsia" w:cs="Times New Roman"/>
                      <w:color w:val="auto"/>
                      <w:kern w:val="0"/>
                      <w:sz w:val="21"/>
                      <w:szCs w:val="21"/>
                      <w:highlight w:val="none"/>
                      <w:lang w:val="en-US" w:eastAsia="zh-CN"/>
                    </w:rPr>
                    <w:t>的恶臭气体通过化学洗涤塔处理后排放，全量化处理站处理后的尾水</w:t>
                  </w:r>
                  <w:r>
                    <w:rPr>
                      <w:rFonts w:hint="eastAsia" w:ascii="Times New Roman" w:hAnsi="Times New Roman" w:eastAsia="宋体" w:cs="Times New Roman"/>
                      <w:b w:val="0"/>
                      <w:bCs/>
                      <w:color w:val="auto"/>
                      <w:sz w:val="21"/>
                      <w:szCs w:val="21"/>
                      <w:highlight w:val="none"/>
                      <w:lang w:val="en-US" w:eastAsia="zh-CN"/>
                    </w:rPr>
                    <w:t>回用于</w:t>
                  </w:r>
                  <w:r>
                    <w:rPr>
                      <w:rFonts w:hint="eastAsia" w:cs="Times New Roman"/>
                      <w:color w:val="auto"/>
                      <w:kern w:val="0"/>
                      <w:sz w:val="21"/>
                      <w:szCs w:val="21"/>
                      <w:highlight w:val="none"/>
                      <w:lang w:val="en-US" w:eastAsia="zh-CN"/>
                    </w:rPr>
                    <w:t>填埋区绿化浇灌，废水不外排；员工生活产生的生活垃圾集中收集运至二期填埋区填埋处理，封场后运至附近九村镇垃圾堆放点处置</w:t>
                  </w:r>
                  <w:r>
                    <w:rPr>
                      <w:rFonts w:hint="eastAsia" w:ascii="Times New Roman" w:hAnsi="Times New Roman" w:eastAsia="宋体" w:cs="Times New Roman"/>
                      <w:color w:val="auto"/>
                      <w:kern w:val="0"/>
                      <w:sz w:val="21"/>
                      <w:szCs w:val="21"/>
                      <w:highlight w:val="none"/>
                    </w:rPr>
                    <w:t>。</w:t>
                  </w:r>
                  <w:r>
                    <w:rPr>
                      <w:rFonts w:hint="default" w:ascii="Times New Roman" w:hAnsi="Times New Roman" w:cs="Times New Roman"/>
                      <w:color w:val="auto"/>
                      <w:sz w:val="21"/>
                      <w:szCs w:val="21"/>
                      <w:highlight w:val="none"/>
                      <w:lang w:val="en-US" w:eastAsia="zh-CN"/>
                    </w:rPr>
                    <w:t>项目建设和运行满足产业准入、总量控制、排放标准等管理规定。</w:t>
                  </w:r>
                </w:p>
              </w:tc>
              <w:tc>
                <w:tcPr>
                  <w:tcW w:w="349" w:type="pct"/>
                  <w:noWrap w:val="0"/>
                  <w:vAlign w:val="center"/>
                </w:tcPr>
                <w:p w14:paraId="0209DC6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bl>
          <w:p w14:paraId="0C6AA0F7">
            <w:pPr>
              <w:keepNext w:val="0"/>
              <w:keepLines w:val="0"/>
              <w:suppressLineNumbers w:val="0"/>
              <w:adjustRightInd/>
              <w:spacing w:before="0" w:beforeAutospacing="0" w:after="0" w:afterAutospacing="0" w:line="360" w:lineRule="auto"/>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经对照分析，项目符合所在地“三线一单”中与本项目有关的相关要求。</w:t>
            </w:r>
          </w:p>
          <w:p w14:paraId="0B265704">
            <w:pPr>
              <w:autoSpaceDE w:val="0"/>
              <w:autoSpaceDN w:val="0"/>
              <w:adjustRightInd w:val="0"/>
              <w:snapToGrid w:val="0"/>
              <w:spacing w:line="360" w:lineRule="auto"/>
              <w:jc w:val="left"/>
              <w:rPr>
                <w:b/>
                <w:color w:val="auto"/>
                <w:kern w:val="0"/>
                <w:sz w:val="24"/>
                <w:highlight w:val="none"/>
              </w:rPr>
            </w:pPr>
            <w:r>
              <w:rPr>
                <w:b/>
                <w:color w:val="auto"/>
                <w:kern w:val="0"/>
                <w:sz w:val="24"/>
                <w:highlight w:val="none"/>
              </w:rPr>
              <w:t>（</w:t>
            </w:r>
            <w:r>
              <w:rPr>
                <w:rFonts w:hint="eastAsia"/>
                <w:b/>
                <w:color w:val="auto"/>
                <w:kern w:val="0"/>
                <w:sz w:val="24"/>
                <w:highlight w:val="none"/>
                <w:lang w:eastAsia="zh-CN"/>
              </w:rPr>
              <w:t>三</w:t>
            </w:r>
            <w:r>
              <w:rPr>
                <w:b/>
                <w:color w:val="auto"/>
                <w:kern w:val="0"/>
                <w:sz w:val="24"/>
                <w:highlight w:val="none"/>
              </w:rPr>
              <w:t>）</w:t>
            </w:r>
            <w:r>
              <w:rPr>
                <w:rFonts w:hint="eastAsia"/>
                <w:b/>
                <w:color w:val="auto"/>
                <w:kern w:val="0"/>
                <w:sz w:val="24"/>
                <w:highlight w:val="none"/>
              </w:rPr>
              <w:t>建设项目与相关生态环境保护法律法规政策、生态环境保护规划符合性分析</w:t>
            </w:r>
          </w:p>
          <w:p w14:paraId="5721B7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cs="Times New Roman"/>
                <w:b/>
                <w:bCs/>
                <w:color w:val="auto"/>
                <w:kern w:val="0"/>
                <w:sz w:val="24"/>
                <w:szCs w:val="24"/>
                <w:highlight w:val="none"/>
                <w:lang w:val="en-US" w:eastAsia="zh-CN"/>
              </w:rPr>
            </w:pPr>
            <w:r>
              <w:rPr>
                <w:rFonts w:hint="eastAsia"/>
                <w:b/>
                <w:color w:val="auto"/>
                <w:kern w:val="0"/>
                <w:sz w:val="24"/>
                <w:highlight w:val="none"/>
                <w:lang w:val="en-US" w:eastAsia="zh-CN"/>
              </w:rPr>
              <w:t>1、</w:t>
            </w:r>
            <w:r>
              <w:rPr>
                <w:rFonts w:hint="eastAsia" w:cs="Times New Roman"/>
                <w:b/>
                <w:bCs/>
                <w:color w:val="auto"/>
                <w:kern w:val="0"/>
                <w:sz w:val="24"/>
                <w:szCs w:val="24"/>
                <w:highlight w:val="none"/>
                <w:lang w:val="en-US" w:eastAsia="zh-CN"/>
              </w:rPr>
              <w:t>与《中华人民共和国大气污染防治法》（2018年10月26日修订）符合性分析</w:t>
            </w:r>
          </w:p>
          <w:p w14:paraId="3340647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val="0"/>
                <w:color w:val="auto"/>
                <w:spacing w:val="0"/>
                <w:kern w:val="2"/>
                <w:sz w:val="21"/>
                <w:szCs w:val="21"/>
                <w:highlight w:val="none"/>
                <w:lang w:val="zh-CN"/>
              </w:rPr>
            </w:pPr>
            <w:r>
              <w:rPr>
                <w:rFonts w:hint="default" w:ascii="Times New Roman" w:hAnsi="Times New Roman" w:eastAsia="宋体" w:cs="Times New Roman"/>
                <w:b/>
                <w:bCs/>
                <w:color w:val="auto"/>
                <w:spacing w:val="0"/>
                <w:kern w:val="2"/>
                <w:sz w:val="24"/>
                <w:szCs w:val="24"/>
                <w:highlight w:val="none"/>
                <w:lang w:val="zh-CN"/>
              </w:rPr>
              <w:t>表1</w:t>
            </w:r>
            <w:r>
              <w:rPr>
                <w:rFonts w:hint="eastAsia" w:ascii="Times New Roman" w:hAnsi="Times New Roman" w:cs="Times New Roman"/>
                <w:b/>
                <w:bCs/>
                <w:color w:val="auto"/>
                <w:spacing w:val="0"/>
                <w:kern w:val="2"/>
                <w:sz w:val="24"/>
                <w:szCs w:val="24"/>
                <w:highlight w:val="none"/>
                <w:lang w:val="en-US" w:eastAsia="zh-CN"/>
              </w:rPr>
              <w:t>-</w:t>
            </w:r>
            <w:r>
              <w:rPr>
                <w:rFonts w:hint="eastAsia" w:cs="Times New Roman"/>
                <w:b/>
                <w:bCs/>
                <w:color w:val="auto"/>
                <w:spacing w:val="0"/>
                <w:kern w:val="2"/>
                <w:sz w:val="24"/>
                <w:szCs w:val="24"/>
                <w:highlight w:val="none"/>
                <w:lang w:val="en-US" w:eastAsia="zh-CN"/>
              </w:rPr>
              <w:t>3</w:t>
            </w:r>
            <w:r>
              <w:rPr>
                <w:rFonts w:hint="default" w:ascii="Times New Roman" w:hAnsi="Times New Roman" w:eastAsia="宋体" w:cs="Times New Roman"/>
                <w:b/>
                <w:bCs/>
                <w:color w:val="auto"/>
                <w:spacing w:val="0"/>
                <w:kern w:val="2"/>
                <w:sz w:val="24"/>
                <w:szCs w:val="24"/>
                <w:highlight w:val="none"/>
              </w:rPr>
              <w:t xml:space="preserve"> </w:t>
            </w:r>
            <w:r>
              <w:rPr>
                <w:rFonts w:hint="default" w:ascii="Times New Roman" w:hAnsi="Times New Roman" w:eastAsia="宋体" w:cs="Times New Roman"/>
                <w:b/>
                <w:bCs/>
                <w:color w:val="auto"/>
                <w:spacing w:val="0"/>
                <w:kern w:val="2"/>
                <w:sz w:val="24"/>
                <w:szCs w:val="24"/>
                <w:highlight w:val="none"/>
                <w:lang w:val="zh-CN"/>
              </w:rPr>
              <w:t xml:space="preserve"> 本项目与</w:t>
            </w:r>
            <w:r>
              <w:rPr>
                <w:rFonts w:hint="eastAsia" w:cs="Times New Roman"/>
                <w:b/>
                <w:bCs/>
                <w:color w:val="auto"/>
                <w:kern w:val="0"/>
                <w:sz w:val="24"/>
                <w:szCs w:val="24"/>
                <w:highlight w:val="none"/>
                <w:lang w:val="en-US" w:eastAsia="zh-CN"/>
              </w:rPr>
              <w:t>《中华人民共和国大气污染防治法》</w:t>
            </w:r>
            <w:r>
              <w:rPr>
                <w:rFonts w:hint="default" w:ascii="Times New Roman" w:hAnsi="Times New Roman" w:eastAsia="宋体" w:cs="Times New Roman"/>
                <w:b/>
                <w:bCs/>
                <w:color w:val="auto"/>
                <w:spacing w:val="0"/>
                <w:kern w:val="2"/>
                <w:sz w:val="24"/>
                <w:szCs w:val="24"/>
                <w:highlight w:val="none"/>
                <w:lang w:val="zh-CN"/>
              </w:rPr>
              <w:t>相符性</w:t>
            </w:r>
            <w:r>
              <w:rPr>
                <w:rFonts w:hint="eastAsia" w:ascii="Times New Roman" w:hAnsi="Times New Roman" w:cs="Times New Roman"/>
                <w:b/>
                <w:bCs/>
                <w:color w:val="auto"/>
                <w:spacing w:val="0"/>
                <w:kern w:val="2"/>
                <w:sz w:val="24"/>
                <w:szCs w:val="24"/>
                <w:highlight w:val="none"/>
                <w:lang w:val="zh-CN"/>
              </w:rPr>
              <w:t>分析</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7"/>
              <w:gridCol w:w="3198"/>
              <w:gridCol w:w="751"/>
            </w:tblGrid>
            <w:tr w14:paraId="7CAA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1" w:type="pct"/>
                  <w:shd w:val="clear" w:color="auto" w:fill="auto"/>
                  <w:vAlign w:val="center"/>
                </w:tcPr>
                <w:p w14:paraId="6C802153">
                  <w:pPr>
                    <w:keepNext w:val="0"/>
                    <w:keepLines w:val="0"/>
                    <w:widowControl/>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相关规定</w:t>
                  </w:r>
                </w:p>
              </w:tc>
              <w:tc>
                <w:tcPr>
                  <w:tcW w:w="2096" w:type="pct"/>
                  <w:shd w:val="clear" w:color="auto" w:fill="auto"/>
                  <w:vAlign w:val="center"/>
                </w:tcPr>
                <w:p w14:paraId="1B089114">
                  <w:pPr>
                    <w:keepNext w:val="0"/>
                    <w:keepLines w:val="0"/>
                    <w:widowControl/>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本项目情况</w:t>
                  </w:r>
                </w:p>
              </w:tc>
              <w:tc>
                <w:tcPr>
                  <w:tcW w:w="492" w:type="pct"/>
                  <w:shd w:val="clear" w:color="auto" w:fill="auto"/>
                  <w:vAlign w:val="center"/>
                </w:tcPr>
                <w:p w14:paraId="0A9ECAE1">
                  <w:pPr>
                    <w:keepNext w:val="0"/>
                    <w:keepLines w:val="0"/>
                    <w:widowControl/>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相符性</w:t>
                  </w:r>
                </w:p>
              </w:tc>
            </w:tr>
            <w:tr w14:paraId="3519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411" w:type="pct"/>
                  <w:vAlign w:val="center"/>
                </w:tcPr>
                <w:p w14:paraId="091417E9">
                  <w:pPr>
                    <w:keepNext w:val="0"/>
                    <w:keepLines w:val="0"/>
                    <w:widowControl/>
                    <w:suppressLineNumbers w:val="0"/>
                    <w:jc w:val="left"/>
                    <w:rPr>
                      <w:rFonts w:hint="default"/>
                      <w:color w:val="auto"/>
                      <w:szCs w:val="21"/>
                      <w:highlight w:val="none"/>
                    </w:rPr>
                  </w:pPr>
                  <w:r>
                    <w:rPr>
                      <w:rFonts w:hint="eastAsia" w:ascii="宋体" w:hAnsi="宋体" w:eastAsia="宋体" w:cs="宋体"/>
                      <w:color w:val="auto"/>
                      <w:kern w:val="0"/>
                      <w:sz w:val="21"/>
                      <w:szCs w:val="21"/>
                      <w:highlight w:val="none"/>
                      <w:lang w:val="en-US" w:eastAsia="zh-CN" w:bidi="ar"/>
                    </w:rPr>
                    <w:t>第二十四条 企业事业单位和其他生产经营者应当按照国家有关规定和监测规范，对其排放的工业废气和本法第七十八条规定名录中所列有毒有害大气污染物进行监测，并保存原始监测记录。</w:t>
                  </w:r>
                </w:p>
              </w:tc>
              <w:tc>
                <w:tcPr>
                  <w:tcW w:w="2096" w:type="pct"/>
                  <w:vAlign w:val="center"/>
                </w:tcPr>
                <w:p w14:paraId="1C060B74">
                  <w:pPr>
                    <w:keepNext w:val="0"/>
                    <w:keepLines w:val="0"/>
                    <w:widowControl/>
                    <w:suppressLineNumbers w:val="0"/>
                    <w:spacing w:before="0" w:beforeAutospacing="0" w:after="0" w:afterAutospacing="0"/>
                    <w:ind w:left="0" w:right="0"/>
                    <w:rPr>
                      <w:rFonts w:hint="eastAsia" w:eastAsia="宋体"/>
                      <w:color w:val="auto"/>
                      <w:szCs w:val="21"/>
                      <w:highlight w:val="none"/>
                      <w:lang w:val="en-US" w:eastAsia="zh-CN"/>
                    </w:rPr>
                  </w:pPr>
                  <w:r>
                    <w:rPr>
                      <w:rFonts w:hint="eastAsia" w:eastAsia="宋体"/>
                      <w:color w:val="auto"/>
                      <w:szCs w:val="21"/>
                      <w:highlight w:val="none"/>
                      <w:lang w:val="en-US" w:eastAsia="zh-CN"/>
                    </w:rPr>
                    <w:t>本次评价要求建设单位按要求进行例行监测，并保存原始监测记录。</w:t>
                  </w:r>
                </w:p>
              </w:tc>
              <w:tc>
                <w:tcPr>
                  <w:tcW w:w="492" w:type="pct"/>
                  <w:vAlign w:val="center"/>
                </w:tcPr>
                <w:p w14:paraId="7F76FA7F">
                  <w:pPr>
                    <w:keepNext w:val="0"/>
                    <w:keepLines w:val="0"/>
                    <w:widowControl/>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14:paraId="0683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6" w:type="dxa"/>
                  <w:vAlign w:val="center"/>
                </w:tcPr>
                <w:p w14:paraId="59EB0A5A">
                  <w:pPr>
                    <w:keepNext w:val="0"/>
                    <w:keepLines w:val="0"/>
                    <w:widowControl/>
                    <w:suppressLineNumbers w:val="0"/>
                    <w:spacing w:before="0" w:beforeAutospacing="0" w:after="0" w:afterAutospacing="0" w:line="240" w:lineRule="auto"/>
                    <w:ind w:left="0" w:right="0"/>
                    <w:jc w:val="center"/>
                    <w:rPr>
                      <w:rFonts w:hint="default"/>
                      <w:color w:val="auto"/>
                      <w:szCs w:val="21"/>
                      <w:highlight w:val="none"/>
                    </w:rPr>
                  </w:pPr>
                  <w:r>
                    <w:rPr>
                      <w:rFonts w:hint="default"/>
                      <w:color w:val="auto"/>
                      <w:szCs w:val="21"/>
                      <w:highlight w:val="none"/>
                      <w:lang w:val="en-US" w:eastAsia="zh-CN"/>
                    </w:rPr>
                    <w:t>第八十条 企业事业单位和其他生产经营者在生产经营活动中产生恶臭气体的，应当科学选址，设置合理的防护距离，并安装净化装置或者采取其他措施，防止排放恶臭气体。</w:t>
                  </w:r>
                </w:p>
              </w:tc>
              <w:tc>
                <w:tcPr>
                  <w:tcW w:w="3301" w:type="dxa"/>
                  <w:vAlign w:val="center"/>
                </w:tcPr>
                <w:p w14:paraId="18AC9B0A">
                  <w:pPr>
                    <w:keepNext w:val="0"/>
                    <w:keepLines w:val="0"/>
                    <w:widowControl/>
                    <w:suppressLineNumbers w:val="0"/>
                    <w:spacing w:before="0" w:beforeAutospacing="0" w:after="0" w:afterAutospacing="0" w:line="240" w:lineRule="auto"/>
                    <w:ind w:left="0" w:right="0"/>
                    <w:jc w:val="left"/>
                    <w:rPr>
                      <w:rFonts w:hint="eastAsia"/>
                      <w:color w:val="auto"/>
                      <w:szCs w:val="21"/>
                      <w:highlight w:val="none"/>
                      <w:lang w:val="en-US" w:eastAsia="zh-CN"/>
                    </w:rPr>
                  </w:pPr>
                  <w:r>
                    <w:rPr>
                      <w:rFonts w:hint="eastAsia"/>
                      <w:color w:val="auto"/>
                      <w:szCs w:val="21"/>
                      <w:highlight w:val="none"/>
                      <w:lang w:val="en-US" w:eastAsia="zh-CN"/>
                    </w:rPr>
                    <w:t>项目渗滤液处理过程中产生的恶臭气体</w:t>
                  </w:r>
                  <w:r>
                    <w:rPr>
                      <w:rFonts w:hint="eastAsia" w:ascii="Times New Roman" w:hAnsi="Times New Roman" w:cs="Times New Roman"/>
                      <w:color w:val="auto"/>
                      <w:sz w:val="21"/>
                      <w:szCs w:val="21"/>
                      <w:highlight w:val="none"/>
                      <w:lang w:val="en-US" w:eastAsia="zh-CN"/>
                    </w:rPr>
                    <w:t>采用</w:t>
                  </w:r>
                  <w:r>
                    <w:rPr>
                      <w:rFonts w:hint="eastAsia" w:cs="Times New Roman"/>
                      <w:color w:val="auto"/>
                      <w:sz w:val="21"/>
                      <w:szCs w:val="21"/>
                      <w:highlight w:val="none"/>
                      <w:lang w:val="en-US" w:eastAsia="zh-CN"/>
                    </w:rPr>
                    <w:t>负压管道收集+</w:t>
                  </w:r>
                  <w:r>
                    <w:rPr>
                      <w:rFonts w:hint="eastAsia" w:ascii="Times New Roman" w:hAnsi="Times New Roman" w:cs="Times New Roman"/>
                      <w:color w:val="auto"/>
                      <w:sz w:val="21"/>
                      <w:szCs w:val="21"/>
                      <w:highlight w:val="none"/>
                      <w:lang w:val="en-US" w:eastAsia="zh-CN"/>
                    </w:rPr>
                    <w:t>化学洗涤</w:t>
                  </w:r>
                  <w:r>
                    <w:rPr>
                      <w:rFonts w:hint="eastAsia" w:ascii="Times New Roman" w:cs="Times New Roman" w:eastAsiaTheme="minorEastAsia"/>
                      <w:color w:val="auto"/>
                      <w:sz w:val="21"/>
                      <w:szCs w:val="21"/>
                      <w:highlight w:val="none"/>
                      <w:lang w:val="en-US" w:eastAsia="zh-CN"/>
                    </w:rPr>
                    <w:t>塔处理后外排</w:t>
                  </w:r>
                  <w:r>
                    <w:rPr>
                      <w:rFonts w:hint="eastAsia"/>
                      <w:color w:val="auto"/>
                      <w:szCs w:val="21"/>
                      <w:highlight w:val="none"/>
                      <w:lang w:val="en-US" w:eastAsia="zh-CN"/>
                    </w:rPr>
                    <w:t>，采取的废气治理技术为可行技术，能够保证废气达标排放，不会对区域大气环境质量造成影响。</w:t>
                  </w:r>
                </w:p>
              </w:tc>
              <w:tc>
                <w:tcPr>
                  <w:tcW w:w="492" w:type="pct"/>
                  <w:vAlign w:val="center"/>
                </w:tcPr>
                <w:p w14:paraId="35FE62A4">
                  <w:pPr>
                    <w:keepNext w:val="0"/>
                    <w:keepLines w:val="0"/>
                    <w:widowControl/>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符合</w:t>
                  </w:r>
                </w:p>
              </w:tc>
            </w:tr>
          </w:tbl>
          <w:p w14:paraId="76D4807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b/>
                <w:color w:val="auto"/>
                <w:kern w:val="0"/>
                <w:sz w:val="24"/>
                <w:highlight w:val="none"/>
                <w:lang w:eastAsia="zh-CN"/>
              </w:rPr>
            </w:pPr>
            <w:bookmarkStart w:id="9" w:name="_Toc15800"/>
            <w:r>
              <w:rPr>
                <w:rFonts w:hint="default" w:ascii="Times New Roman" w:hAnsi="Times New Roman" w:eastAsia="宋体" w:cs="Times New Roman"/>
                <w:color w:val="auto"/>
                <w:sz w:val="24"/>
                <w:szCs w:val="24"/>
                <w:highlight w:val="none"/>
                <w:lang w:val="en-US" w:eastAsia="zh-CN"/>
              </w:rPr>
              <w:t>综上，本项目符合《中华人民共和国</w:t>
            </w:r>
            <w:r>
              <w:rPr>
                <w:rFonts w:hint="eastAsia" w:cs="Times New Roman"/>
                <w:color w:val="auto"/>
                <w:sz w:val="24"/>
                <w:szCs w:val="24"/>
                <w:highlight w:val="none"/>
                <w:lang w:val="en-US" w:eastAsia="zh-CN"/>
              </w:rPr>
              <w:t>大气污染防治法</w:t>
            </w:r>
            <w:r>
              <w:rPr>
                <w:rFonts w:hint="default" w:ascii="Times New Roman" w:hAnsi="Times New Roman" w:eastAsia="宋体" w:cs="Times New Roman"/>
                <w:color w:val="auto"/>
                <w:sz w:val="24"/>
                <w:szCs w:val="24"/>
                <w:highlight w:val="none"/>
                <w:lang w:val="en-US" w:eastAsia="zh-CN"/>
              </w:rPr>
              <w:t>》相关规定。</w:t>
            </w:r>
          </w:p>
          <w:bookmarkEnd w:id="9"/>
          <w:p w14:paraId="7B65E2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cs="Times New Roman"/>
                <w:b/>
                <w:bCs/>
                <w:color w:val="auto"/>
                <w:kern w:val="0"/>
                <w:sz w:val="24"/>
                <w:szCs w:val="24"/>
                <w:highlight w:val="none"/>
                <w:lang w:val="en-US" w:eastAsia="zh-CN"/>
              </w:rPr>
            </w:pPr>
            <w:r>
              <w:rPr>
                <w:rFonts w:hint="eastAsia"/>
                <w:b/>
                <w:bCs/>
                <w:color w:val="auto"/>
                <w:kern w:val="0"/>
                <w:sz w:val="24"/>
                <w:highlight w:val="none"/>
                <w:lang w:val="en-US" w:eastAsia="zh-CN"/>
              </w:rPr>
              <w:t>2、</w:t>
            </w:r>
            <w:r>
              <w:rPr>
                <w:rFonts w:hint="eastAsia" w:cs="Times New Roman"/>
                <w:b/>
                <w:bCs/>
                <w:color w:val="auto"/>
                <w:kern w:val="0"/>
                <w:sz w:val="24"/>
                <w:szCs w:val="24"/>
                <w:highlight w:val="none"/>
                <w:lang w:val="en-US" w:eastAsia="zh-CN"/>
              </w:rPr>
              <w:t>与《中华人民共和国水污染防治法》（2018年1月1日起施行）符合性分析</w:t>
            </w:r>
          </w:p>
          <w:p w14:paraId="35F54AD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val="0"/>
                <w:color w:val="auto"/>
                <w:spacing w:val="0"/>
                <w:kern w:val="2"/>
                <w:sz w:val="21"/>
                <w:szCs w:val="21"/>
                <w:highlight w:val="none"/>
                <w:lang w:val="zh-CN"/>
              </w:rPr>
            </w:pPr>
            <w:r>
              <w:rPr>
                <w:rFonts w:hint="default" w:ascii="Times New Roman" w:hAnsi="Times New Roman" w:eastAsia="宋体" w:cs="Times New Roman"/>
                <w:b/>
                <w:bCs/>
                <w:color w:val="auto"/>
                <w:spacing w:val="0"/>
                <w:kern w:val="2"/>
                <w:sz w:val="24"/>
                <w:szCs w:val="24"/>
                <w:highlight w:val="none"/>
                <w:lang w:val="zh-CN"/>
              </w:rPr>
              <w:t>表1</w:t>
            </w:r>
            <w:r>
              <w:rPr>
                <w:rFonts w:hint="eastAsia" w:ascii="Times New Roman" w:hAnsi="Times New Roman" w:cs="Times New Roman"/>
                <w:b/>
                <w:bCs/>
                <w:color w:val="auto"/>
                <w:spacing w:val="0"/>
                <w:kern w:val="2"/>
                <w:sz w:val="24"/>
                <w:szCs w:val="24"/>
                <w:highlight w:val="none"/>
                <w:lang w:val="en-US" w:eastAsia="zh-CN"/>
              </w:rPr>
              <w:t>-</w:t>
            </w:r>
            <w:r>
              <w:rPr>
                <w:rFonts w:hint="eastAsia" w:cs="Times New Roman"/>
                <w:b/>
                <w:bCs/>
                <w:color w:val="auto"/>
                <w:spacing w:val="0"/>
                <w:kern w:val="2"/>
                <w:sz w:val="24"/>
                <w:szCs w:val="24"/>
                <w:highlight w:val="none"/>
                <w:lang w:val="en-US" w:eastAsia="zh-CN"/>
              </w:rPr>
              <w:t xml:space="preserve">4  </w:t>
            </w:r>
            <w:r>
              <w:rPr>
                <w:rFonts w:hint="default" w:ascii="Times New Roman" w:hAnsi="Times New Roman" w:eastAsia="宋体" w:cs="Times New Roman"/>
                <w:b/>
                <w:bCs/>
                <w:color w:val="auto"/>
                <w:spacing w:val="0"/>
                <w:kern w:val="2"/>
                <w:sz w:val="24"/>
                <w:szCs w:val="24"/>
                <w:highlight w:val="none"/>
                <w:lang w:val="zh-CN"/>
              </w:rPr>
              <w:t xml:space="preserve"> 本项目与</w:t>
            </w:r>
            <w:r>
              <w:rPr>
                <w:rFonts w:hint="eastAsia" w:cs="Times New Roman"/>
                <w:b/>
                <w:bCs/>
                <w:color w:val="auto"/>
                <w:kern w:val="0"/>
                <w:sz w:val="24"/>
                <w:szCs w:val="24"/>
                <w:highlight w:val="none"/>
                <w:lang w:val="en-US" w:eastAsia="zh-CN"/>
              </w:rPr>
              <w:t>《中华人民共和国水污染防治法》</w:t>
            </w:r>
            <w:r>
              <w:rPr>
                <w:rFonts w:hint="default" w:ascii="Times New Roman" w:hAnsi="Times New Roman" w:eastAsia="宋体" w:cs="Times New Roman"/>
                <w:b/>
                <w:bCs/>
                <w:color w:val="auto"/>
                <w:spacing w:val="0"/>
                <w:kern w:val="2"/>
                <w:sz w:val="24"/>
                <w:szCs w:val="24"/>
                <w:highlight w:val="none"/>
                <w:lang w:val="zh-CN"/>
              </w:rPr>
              <w:t>相符性</w:t>
            </w:r>
            <w:r>
              <w:rPr>
                <w:rFonts w:hint="eastAsia" w:ascii="Times New Roman" w:hAnsi="Times New Roman" w:cs="Times New Roman"/>
                <w:b/>
                <w:bCs/>
                <w:color w:val="auto"/>
                <w:spacing w:val="0"/>
                <w:kern w:val="2"/>
                <w:sz w:val="24"/>
                <w:szCs w:val="24"/>
                <w:highlight w:val="none"/>
                <w:lang w:val="zh-CN"/>
              </w:rPr>
              <w:t>分析</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7"/>
              <w:gridCol w:w="3197"/>
              <w:gridCol w:w="750"/>
            </w:tblGrid>
            <w:tr w14:paraId="4032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1" w:type="pct"/>
                  <w:shd w:val="clear" w:color="auto" w:fill="auto"/>
                  <w:vAlign w:val="center"/>
                </w:tcPr>
                <w:p w14:paraId="04A3A25F">
                  <w:pPr>
                    <w:keepNext w:val="0"/>
                    <w:keepLines w:val="0"/>
                    <w:widowControl/>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相关规定</w:t>
                  </w:r>
                </w:p>
              </w:tc>
              <w:tc>
                <w:tcPr>
                  <w:tcW w:w="2096" w:type="pct"/>
                  <w:shd w:val="clear" w:color="auto" w:fill="auto"/>
                  <w:vAlign w:val="center"/>
                </w:tcPr>
                <w:p w14:paraId="61CF5552">
                  <w:pPr>
                    <w:keepNext w:val="0"/>
                    <w:keepLines w:val="0"/>
                    <w:widowControl/>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本项目情况</w:t>
                  </w:r>
                </w:p>
              </w:tc>
              <w:tc>
                <w:tcPr>
                  <w:tcW w:w="492" w:type="pct"/>
                  <w:shd w:val="clear" w:color="auto" w:fill="auto"/>
                  <w:vAlign w:val="center"/>
                </w:tcPr>
                <w:p w14:paraId="1BED364A">
                  <w:pPr>
                    <w:keepNext w:val="0"/>
                    <w:keepLines w:val="0"/>
                    <w:widowControl/>
                    <w:suppressLineNumbers w:val="0"/>
                    <w:spacing w:before="0" w:beforeAutospacing="0" w:after="0" w:afterAutospacing="0"/>
                    <w:ind w:left="0" w:right="0"/>
                    <w:jc w:val="center"/>
                    <w:rPr>
                      <w:rFonts w:hint="default"/>
                      <w:b/>
                      <w:bCs/>
                      <w:color w:val="auto"/>
                      <w:szCs w:val="21"/>
                      <w:highlight w:val="none"/>
                    </w:rPr>
                  </w:pPr>
                  <w:r>
                    <w:rPr>
                      <w:rFonts w:hint="default"/>
                      <w:b/>
                      <w:bCs/>
                      <w:color w:val="auto"/>
                      <w:szCs w:val="21"/>
                      <w:highlight w:val="none"/>
                    </w:rPr>
                    <w:t>相符性</w:t>
                  </w:r>
                </w:p>
              </w:tc>
            </w:tr>
            <w:tr w14:paraId="6DAF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411" w:type="pct"/>
                  <w:vAlign w:val="center"/>
                </w:tcPr>
                <w:p w14:paraId="7E648A4A">
                  <w:pPr>
                    <w:keepNext w:val="0"/>
                    <w:keepLines w:val="0"/>
                    <w:widowControl/>
                    <w:suppressLineNumbers w:val="0"/>
                    <w:jc w:val="left"/>
                    <w:rPr>
                      <w:rFonts w:hint="default"/>
                      <w:color w:val="auto"/>
                      <w:szCs w:val="21"/>
                      <w:highlight w:val="none"/>
                    </w:rPr>
                  </w:pPr>
                  <w:r>
                    <w:rPr>
                      <w:rFonts w:hint="eastAsia"/>
                      <w:color w:val="auto"/>
                      <w:szCs w:val="21"/>
                      <w:highlight w:val="none"/>
                      <w:lang w:val="en-US" w:eastAsia="zh-CN"/>
                    </w:rPr>
                    <w:t xml:space="preserve">第十条 </w:t>
                  </w:r>
                  <w:r>
                    <w:rPr>
                      <w:rFonts w:hint="default"/>
                      <w:color w:val="auto"/>
                      <w:szCs w:val="21"/>
                      <w:highlight w:val="none"/>
                    </w:rPr>
                    <w:t>排放水污染物，不得超过国家或者地方规定的水污染物排放标准和重点水污染物排放总量控制指标。</w:t>
                  </w:r>
                </w:p>
              </w:tc>
              <w:tc>
                <w:tcPr>
                  <w:tcW w:w="2096" w:type="pct"/>
                  <w:vAlign w:val="center"/>
                </w:tcPr>
                <w:p w14:paraId="213495C6">
                  <w:pPr>
                    <w:keepNext w:val="0"/>
                    <w:keepLines w:val="0"/>
                    <w:widowControl/>
                    <w:suppressLineNumbers w:val="0"/>
                    <w:spacing w:before="0" w:beforeAutospacing="0" w:after="0" w:afterAutospacing="0"/>
                    <w:ind w:left="0" w:right="0"/>
                    <w:rPr>
                      <w:rFonts w:hint="default" w:eastAsia="宋体"/>
                      <w:color w:val="auto"/>
                      <w:szCs w:val="21"/>
                      <w:highlight w:val="none"/>
                      <w:lang w:val="en-US" w:eastAsia="zh-CN"/>
                    </w:rPr>
                  </w:pPr>
                  <w:r>
                    <w:rPr>
                      <w:rFonts w:hint="eastAsia" w:eastAsia="宋体"/>
                      <w:color w:val="auto"/>
                      <w:szCs w:val="21"/>
                      <w:highlight w:val="none"/>
                      <w:lang w:val="en-US" w:eastAsia="zh-CN"/>
                    </w:rPr>
                    <w:t>本</w:t>
                  </w:r>
                  <w:r>
                    <w:rPr>
                      <w:rFonts w:hint="eastAsia"/>
                      <w:color w:val="auto"/>
                      <w:szCs w:val="21"/>
                      <w:highlight w:val="none"/>
                      <w:lang w:val="en-US" w:eastAsia="zh-CN"/>
                    </w:rPr>
                    <w:t>项目全量化处理站设计</w:t>
                  </w:r>
                  <w:r>
                    <w:rPr>
                      <w:rFonts w:hint="eastAsia" w:eastAsia="宋体"/>
                      <w:color w:val="auto"/>
                      <w:szCs w:val="21"/>
                      <w:highlight w:val="none"/>
                      <w:lang w:val="en-US" w:eastAsia="zh-CN"/>
                    </w:rPr>
                    <w:t>排放标准低于《城镇污水处理厂污染物排放标准》（GB18918-2002）中的一级A标准及《城市污水再生利用 城市杂用水水质》（GB/T18920-2020）中城市绿化水质标准</w:t>
                  </w:r>
                  <w:r>
                    <w:rPr>
                      <w:rFonts w:hint="eastAsia"/>
                      <w:color w:val="auto"/>
                      <w:szCs w:val="21"/>
                      <w:highlight w:val="none"/>
                      <w:lang w:val="en-US" w:eastAsia="zh-CN"/>
                    </w:rPr>
                    <w:t>，不超过</w:t>
                  </w:r>
                  <w:r>
                    <w:rPr>
                      <w:rFonts w:hint="default"/>
                      <w:color w:val="auto"/>
                      <w:szCs w:val="21"/>
                      <w:highlight w:val="none"/>
                    </w:rPr>
                    <w:t>国家规定的水污染物排放标准</w:t>
                  </w:r>
                  <w:r>
                    <w:rPr>
                      <w:rFonts w:hint="eastAsia"/>
                      <w:color w:val="auto"/>
                      <w:szCs w:val="21"/>
                      <w:highlight w:val="none"/>
                      <w:lang w:eastAsia="zh-CN"/>
                    </w:rPr>
                    <w:t>；</w:t>
                  </w:r>
                  <w:r>
                    <w:rPr>
                      <w:rFonts w:hint="eastAsia"/>
                      <w:color w:val="auto"/>
                      <w:szCs w:val="21"/>
                      <w:highlight w:val="none"/>
                      <w:lang w:val="en-US" w:eastAsia="zh-CN"/>
                    </w:rPr>
                    <w:t>项目处理后尾水全部</w:t>
                  </w:r>
                  <w:r>
                    <w:rPr>
                      <w:rFonts w:hint="eastAsia" w:cs="Times New Roman"/>
                      <w:color w:val="auto"/>
                      <w:kern w:val="2"/>
                      <w:sz w:val="21"/>
                      <w:szCs w:val="21"/>
                      <w:highlight w:val="none"/>
                      <w:lang w:val="en-US" w:eastAsia="zh-CN" w:bidi="ar-SA"/>
                    </w:rPr>
                    <w:t>回用于</w:t>
                  </w:r>
                  <w:r>
                    <w:rPr>
                      <w:rFonts w:hint="eastAsia"/>
                      <w:color w:val="auto"/>
                      <w:szCs w:val="21"/>
                      <w:highlight w:val="none"/>
                      <w:lang w:val="en-US" w:eastAsia="zh-CN"/>
                    </w:rPr>
                    <w:t>大山生活垃圾填埋场区绿化灌溉，不外排。</w:t>
                  </w:r>
                </w:p>
              </w:tc>
              <w:tc>
                <w:tcPr>
                  <w:tcW w:w="492" w:type="pct"/>
                  <w:vAlign w:val="center"/>
                </w:tcPr>
                <w:p w14:paraId="3709784A">
                  <w:pPr>
                    <w:keepNext w:val="0"/>
                    <w:keepLines w:val="0"/>
                    <w:widowControl/>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符合</w:t>
                  </w:r>
                </w:p>
              </w:tc>
            </w:tr>
            <w:tr w14:paraId="0231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411" w:type="pct"/>
                  <w:vAlign w:val="center"/>
                </w:tcPr>
                <w:p w14:paraId="6A2678F6">
                  <w:pPr>
                    <w:keepNext w:val="0"/>
                    <w:keepLines w:val="0"/>
                    <w:widowControl/>
                    <w:suppressLineNumbers w:val="0"/>
                    <w:jc w:val="left"/>
                    <w:rPr>
                      <w:rFonts w:hint="eastAsia"/>
                      <w:color w:val="auto"/>
                      <w:szCs w:val="21"/>
                      <w:highlight w:val="none"/>
                      <w:lang w:val="en-US" w:eastAsia="zh-CN"/>
                    </w:rPr>
                  </w:pPr>
                  <w:r>
                    <w:rPr>
                      <w:rFonts w:hint="eastAsia"/>
                      <w:color w:val="auto"/>
                      <w:szCs w:val="21"/>
                      <w:highlight w:val="none"/>
                      <w:lang w:val="en-US" w:eastAsia="zh-CN"/>
                    </w:rPr>
                    <w:t>第十九条  新建、改建、扩建直接或者间接向水体排放污染物的建设项目和其他水上设施，应当依法进行环境影响评价。</w:t>
                  </w:r>
                </w:p>
              </w:tc>
              <w:tc>
                <w:tcPr>
                  <w:tcW w:w="2096" w:type="pct"/>
                  <w:vAlign w:val="center"/>
                </w:tcPr>
                <w:p w14:paraId="2AD09EF4">
                  <w:pPr>
                    <w:keepNext w:val="0"/>
                    <w:keepLines w:val="0"/>
                    <w:widowControl/>
                    <w:suppressLineNumbers w:val="0"/>
                    <w:spacing w:before="0" w:beforeAutospacing="0" w:after="0" w:afterAutospacing="0"/>
                    <w:ind w:left="0" w:right="0"/>
                    <w:rPr>
                      <w:rFonts w:hint="default" w:eastAsia="宋体"/>
                      <w:color w:val="auto"/>
                      <w:szCs w:val="21"/>
                      <w:highlight w:val="none"/>
                      <w:lang w:val="en-US" w:eastAsia="zh-CN"/>
                    </w:rPr>
                  </w:pPr>
                  <w:r>
                    <w:rPr>
                      <w:rFonts w:hint="eastAsia"/>
                      <w:color w:val="auto"/>
                      <w:szCs w:val="21"/>
                      <w:highlight w:val="none"/>
                      <w:lang w:val="en-US" w:eastAsia="zh-CN"/>
                    </w:rPr>
                    <w:t>本项目全量化处理站处理后尾水全部</w:t>
                  </w:r>
                  <w:r>
                    <w:rPr>
                      <w:rFonts w:hint="eastAsia" w:cs="Times New Roman"/>
                      <w:color w:val="auto"/>
                      <w:kern w:val="2"/>
                      <w:sz w:val="21"/>
                      <w:szCs w:val="21"/>
                      <w:highlight w:val="none"/>
                      <w:lang w:val="en-US" w:eastAsia="zh-CN" w:bidi="ar-SA"/>
                    </w:rPr>
                    <w:t>回用于</w:t>
                  </w:r>
                  <w:r>
                    <w:rPr>
                      <w:rFonts w:hint="eastAsia"/>
                      <w:color w:val="auto"/>
                      <w:szCs w:val="21"/>
                      <w:highlight w:val="none"/>
                      <w:lang w:val="en-US" w:eastAsia="zh-CN"/>
                    </w:rPr>
                    <w:t>大山生活垃圾填埋场区绿化灌溉，不外排，正在办理环境影响评价手续。</w:t>
                  </w:r>
                </w:p>
              </w:tc>
              <w:tc>
                <w:tcPr>
                  <w:tcW w:w="492" w:type="pct"/>
                  <w:vAlign w:val="center"/>
                </w:tcPr>
                <w:p w14:paraId="065AE9B0">
                  <w:pPr>
                    <w:keepNext w:val="0"/>
                    <w:keepLines w:val="0"/>
                    <w:widowControl/>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符合</w:t>
                  </w:r>
                </w:p>
              </w:tc>
            </w:tr>
            <w:tr w14:paraId="1DE5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1" w:type="pct"/>
                  <w:vAlign w:val="center"/>
                </w:tcPr>
                <w:p w14:paraId="0257570F">
                  <w:pPr>
                    <w:keepNext w:val="0"/>
                    <w:keepLines w:val="0"/>
                    <w:widowControl/>
                    <w:suppressLineNumbers w:val="0"/>
                    <w:spacing w:before="0" w:beforeAutospacing="0" w:after="0" w:afterAutospacing="0" w:line="240" w:lineRule="auto"/>
                    <w:ind w:left="0" w:right="0"/>
                    <w:jc w:val="center"/>
                    <w:rPr>
                      <w:rFonts w:hint="default"/>
                      <w:color w:val="auto"/>
                      <w:szCs w:val="21"/>
                      <w:highlight w:val="none"/>
                    </w:rPr>
                  </w:pPr>
                  <w:r>
                    <w:rPr>
                      <w:rFonts w:hint="default"/>
                      <w:color w:val="auto"/>
                      <w:szCs w:val="21"/>
                      <w:highlight w:val="none"/>
                    </w:rPr>
                    <w:t>　第二十一条  直接或者间接向水体排放工业废水和医疗污水以及其他按照规定应当取得排污许可证方可排放的废水、污水的企业事业单位和其他生产经营者，应当取得排污许可证；排污许可证应当明确排放水污染物的种类、浓度、总量和排放去向等要求。</w:t>
                  </w:r>
                </w:p>
              </w:tc>
              <w:tc>
                <w:tcPr>
                  <w:tcW w:w="2096" w:type="pct"/>
                  <w:vAlign w:val="center"/>
                </w:tcPr>
                <w:p w14:paraId="311D91A3">
                  <w:pPr>
                    <w:keepNext w:val="0"/>
                    <w:keepLines w:val="0"/>
                    <w:widowControl/>
                    <w:suppressLineNumbers w:val="0"/>
                    <w:spacing w:before="0" w:beforeAutospacing="0" w:after="0" w:afterAutospacing="0" w:line="240" w:lineRule="auto"/>
                    <w:ind w:left="0" w:right="0"/>
                    <w:jc w:val="left"/>
                    <w:rPr>
                      <w:rFonts w:hint="default"/>
                      <w:color w:val="auto"/>
                      <w:szCs w:val="21"/>
                      <w:highlight w:val="none"/>
                      <w:lang w:val="en-US" w:eastAsia="zh-CN"/>
                    </w:rPr>
                  </w:pPr>
                  <w:r>
                    <w:rPr>
                      <w:rFonts w:hint="eastAsia"/>
                      <w:color w:val="auto"/>
                      <w:szCs w:val="21"/>
                      <w:highlight w:val="none"/>
                      <w:lang w:val="en-US" w:eastAsia="zh-CN"/>
                    </w:rPr>
                    <w:t>本项目全量化处理站处理后尾水全部</w:t>
                  </w:r>
                  <w:r>
                    <w:rPr>
                      <w:rFonts w:hint="eastAsia" w:cs="Times New Roman"/>
                      <w:color w:val="auto"/>
                      <w:kern w:val="2"/>
                      <w:sz w:val="21"/>
                      <w:szCs w:val="21"/>
                      <w:highlight w:val="none"/>
                      <w:lang w:val="en-US" w:eastAsia="zh-CN" w:bidi="ar-SA"/>
                    </w:rPr>
                    <w:t>回用于</w:t>
                  </w:r>
                  <w:r>
                    <w:rPr>
                      <w:rFonts w:hint="eastAsia"/>
                      <w:color w:val="auto"/>
                      <w:szCs w:val="21"/>
                      <w:highlight w:val="none"/>
                      <w:lang w:val="en-US" w:eastAsia="zh-CN"/>
                    </w:rPr>
                    <w:t>大山生活垃圾填埋场区绿化灌溉，不外排。目前，大山生活垃圾填埋场已于2023年9月6日取得了排污许可证，证书编号11530422015184439E001V，本次全量化处理站环评手续办理完成后将对现有排污许可证进行变更。</w:t>
                  </w:r>
                </w:p>
              </w:tc>
              <w:tc>
                <w:tcPr>
                  <w:tcW w:w="492" w:type="pct"/>
                  <w:vAlign w:val="center"/>
                </w:tcPr>
                <w:p w14:paraId="1CDDE41C">
                  <w:pPr>
                    <w:keepNext w:val="0"/>
                    <w:keepLines w:val="0"/>
                    <w:widowControl/>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符合</w:t>
                  </w:r>
                </w:p>
              </w:tc>
            </w:tr>
            <w:tr w14:paraId="6EEF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1" w:type="pct"/>
                  <w:vAlign w:val="center"/>
                </w:tcPr>
                <w:p w14:paraId="32A94D4F">
                  <w:pPr>
                    <w:keepNext w:val="0"/>
                    <w:keepLines w:val="0"/>
                    <w:widowControl/>
                    <w:suppressLineNumbers w:val="0"/>
                    <w:spacing w:before="0" w:beforeAutospacing="0" w:after="0" w:afterAutospacing="0" w:line="240" w:lineRule="auto"/>
                    <w:ind w:left="0" w:right="0"/>
                    <w:jc w:val="center"/>
                    <w:rPr>
                      <w:rFonts w:hint="default"/>
                      <w:color w:val="auto"/>
                      <w:szCs w:val="21"/>
                      <w:highlight w:val="none"/>
                    </w:rPr>
                  </w:pPr>
                  <w:r>
                    <w:rPr>
                      <w:rFonts w:hint="default"/>
                      <w:color w:val="auto"/>
                      <w:szCs w:val="21"/>
                      <w:highlight w:val="none"/>
                    </w:rPr>
                    <w:t>　第二十三条  实行排污许可管理的企业事业单位和其他生产经营者应当按照国家有关规定和监测规范，对所排放的水污染物自行监测，并保存原始监测记录。重点排污单位还应当安装水污染物排放自动监测设备，与环境保护主管部门的监控设备联网，并保证监测设备正常运行。</w:t>
                  </w:r>
                </w:p>
              </w:tc>
              <w:tc>
                <w:tcPr>
                  <w:tcW w:w="2096" w:type="pct"/>
                  <w:vAlign w:val="center"/>
                </w:tcPr>
                <w:p w14:paraId="5CC8E87D">
                  <w:pPr>
                    <w:keepNext w:val="0"/>
                    <w:keepLines w:val="0"/>
                    <w:widowControl/>
                    <w:suppressLineNumbers w:val="0"/>
                    <w:spacing w:before="0" w:beforeAutospacing="0" w:after="0" w:afterAutospacing="0" w:line="240" w:lineRule="auto"/>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本项目根据《排污许可证申请与核发技术规范 环境卫生管理业》（HJ 1106—2020）表7中的相关要求，提出了废水自行监测要求。项目建设后将对</w:t>
                  </w:r>
                  <w:r>
                    <w:rPr>
                      <w:rFonts w:hint="default"/>
                      <w:color w:val="auto"/>
                      <w:szCs w:val="21"/>
                      <w:highlight w:val="none"/>
                    </w:rPr>
                    <w:t>所排放的水污染物</w:t>
                  </w:r>
                  <w:r>
                    <w:rPr>
                      <w:rFonts w:hint="eastAsia"/>
                      <w:color w:val="auto"/>
                      <w:szCs w:val="21"/>
                      <w:highlight w:val="none"/>
                      <w:lang w:val="en-US" w:eastAsia="zh-CN"/>
                    </w:rPr>
                    <w:t>开展</w:t>
                  </w:r>
                  <w:r>
                    <w:rPr>
                      <w:rFonts w:hint="default"/>
                      <w:color w:val="auto"/>
                      <w:szCs w:val="21"/>
                      <w:highlight w:val="none"/>
                    </w:rPr>
                    <w:t>自行监测，并保存原始监测记录</w:t>
                  </w:r>
                  <w:r>
                    <w:rPr>
                      <w:rFonts w:hint="eastAsia"/>
                      <w:color w:val="auto"/>
                      <w:szCs w:val="21"/>
                      <w:highlight w:val="none"/>
                      <w:lang w:eastAsia="zh-CN"/>
                    </w:rPr>
                    <w:t>。</w:t>
                  </w:r>
                  <w:r>
                    <w:rPr>
                      <w:rFonts w:hint="eastAsia"/>
                      <w:color w:val="auto"/>
                      <w:szCs w:val="21"/>
                      <w:highlight w:val="none"/>
                      <w:lang w:val="en-US" w:eastAsia="zh-CN"/>
                    </w:rPr>
                    <w:t>项目建有一套</w:t>
                  </w:r>
                  <w:r>
                    <w:rPr>
                      <w:rFonts w:hint="default"/>
                      <w:color w:val="auto"/>
                      <w:szCs w:val="21"/>
                      <w:highlight w:val="none"/>
                    </w:rPr>
                    <w:t>水污染物排放自动监测设备，</w:t>
                  </w:r>
                  <w:r>
                    <w:rPr>
                      <w:rFonts w:hint="eastAsia"/>
                      <w:color w:val="auto"/>
                      <w:szCs w:val="21"/>
                      <w:highlight w:val="none"/>
                      <w:lang w:val="en-US" w:eastAsia="zh-CN"/>
                    </w:rPr>
                    <w:t>建成后将与</w:t>
                  </w:r>
                  <w:r>
                    <w:rPr>
                      <w:rFonts w:hint="default"/>
                      <w:color w:val="auto"/>
                      <w:szCs w:val="21"/>
                      <w:highlight w:val="none"/>
                    </w:rPr>
                    <w:t>环境保护主管部门的监控设备联网</w:t>
                  </w:r>
                  <w:r>
                    <w:rPr>
                      <w:rFonts w:hint="eastAsia"/>
                      <w:color w:val="auto"/>
                      <w:szCs w:val="21"/>
                      <w:highlight w:val="none"/>
                      <w:lang w:eastAsia="zh-CN"/>
                    </w:rPr>
                    <w:t>。</w:t>
                  </w:r>
                </w:p>
              </w:tc>
              <w:tc>
                <w:tcPr>
                  <w:tcW w:w="492" w:type="pct"/>
                  <w:vAlign w:val="center"/>
                </w:tcPr>
                <w:p w14:paraId="41FB0515">
                  <w:pPr>
                    <w:keepNext w:val="0"/>
                    <w:keepLines w:val="0"/>
                    <w:widowControl/>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符合</w:t>
                  </w:r>
                </w:p>
              </w:tc>
            </w:tr>
            <w:tr w14:paraId="05DF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1" w:type="pct"/>
                  <w:vAlign w:val="center"/>
                </w:tcPr>
                <w:p w14:paraId="44B469E9">
                  <w:pPr>
                    <w:keepNext w:val="0"/>
                    <w:keepLines w:val="0"/>
                    <w:widowControl/>
                    <w:suppressLineNumbers w:val="0"/>
                    <w:spacing w:before="0" w:beforeAutospacing="0" w:after="0" w:afterAutospacing="0" w:line="240" w:lineRule="auto"/>
                    <w:ind w:left="0" w:right="0"/>
                    <w:jc w:val="center"/>
                    <w:rPr>
                      <w:rFonts w:hint="default"/>
                      <w:color w:val="auto"/>
                      <w:szCs w:val="21"/>
                      <w:highlight w:val="none"/>
                    </w:rPr>
                  </w:pPr>
                  <w:r>
                    <w:rPr>
                      <w:rFonts w:hint="default"/>
                      <w:color w:val="auto"/>
                      <w:szCs w:val="21"/>
                      <w:highlight w:val="none"/>
                    </w:rPr>
                    <w:t>第七十七条  可能发生水污染事故的企业事业单位，应当制定有关水污染事故的应急方案，做好应急准备，并定期进行演练。</w:t>
                  </w:r>
                </w:p>
              </w:tc>
              <w:tc>
                <w:tcPr>
                  <w:tcW w:w="2096" w:type="pct"/>
                  <w:vAlign w:val="center"/>
                </w:tcPr>
                <w:p w14:paraId="115C18BE">
                  <w:pPr>
                    <w:keepNext w:val="0"/>
                    <w:keepLines w:val="0"/>
                    <w:widowControl/>
                    <w:suppressLineNumbers w:val="0"/>
                    <w:spacing w:before="0" w:beforeAutospacing="0" w:after="0" w:afterAutospacing="0" w:line="240" w:lineRule="auto"/>
                    <w:ind w:left="0" w:right="0"/>
                    <w:jc w:val="center"/>
                    <w:rPr>
                      <w:rFonts w:hint="eastAsia"/>
                      <w:color w:val="auto"/>
                      <w:szCs w:val="21"/>
                      <w:highlight w:val="none"/>
                      <w:lang w:val="en-US" w:eastAsia="zh-CN"/>
                    </w:rPr>
                  </w:pPr>
                  <w:r>
                    <w:rPr>
                      <w:rFonts w:hint="eastAsia" w:ascii="Times New Roman" w:hAnsi="Times New Roman" w:eastAsia="宋体"/>
                      <w:bCs/>
                      <w:color w:val="auto"/>
                      <w:szCs w:val="21"/>
                      <w:highlight w:val="none"/>
                      <w:lang w:val="en-US" w:eastAsia="zh-CN"/>
                    </w:rPr>
                    <w:t>目前，大山生活垃圾填埋场已于2024年2月19日发布了《澄江市九村镇大山生活垃圾填埋场突发环境事件应急预案（2024年版）》，备案编号：530422-2024-008-L，本次全量化处理站</w:t>
                  </w:r>
                  <w:r>
                    <w:rPr>
                      <w:rFonts w:ascii="Times New Roman" w:hAnsi="Times New Roman" w:eastAsia="宋体"/>
                      <w:bCs/>
                      <w:color w:val="auto"/>
                      <w:szCs w:val="21"/>
                      <w:highlight w:val="none"/>
                    </w:rPr>
                    <w:t>建成后，将及时</w:t>
                  </w:r>
                  <w:r>
                    <w:rPr>
                      <w:rFonts w:hint="eastAsia" w:ascii="Times New Roman" w:hAnsi="Times New Roman" w:eastAsia="宋体"/>
                      <w:bCs/>
                      <w:color w:val="auto"/>
                      <w:szCs w:val="21"/>
                      <w:highlight w:val="none"/>
                      <w:lang w:val="en-US" w:eastAsia="zh-CN"/>
                    </w:rPr>
                    <w:t>修编</w:t>
                  </w:r>
                  <w:r>
                    <w:rPr>
                      <w:rFonts w:ascii="Times New Roman" w:hAnsi="Times New Roman" w:eastAsia="宋体"/>
                      <w:bCs/>
                      <w:color w:val="auto"/>
                      <w:szCs w:val="21"/>
                      <w:highlight w:val="none"/>
                    </w:rPr>
                    <w:t>突发环境事件应急预案并定期进行演练。</w:t>
                  </w:r>
                </w:p>
              </w:tc>
              <w:tc>
                <w:tcPr>
                  <w:tcW w:w="492" w:type="pct"/>
                  <w:vAlign w:val="center"/>
                </w:tcPr>
                <w:p w14:paraId="7D576A1D">
                  <w:pPr>
                    <w:keepNext w:val="0"/>
                    <w:keepLines w:val="0"/>
                    <w:widowControl/>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符合</w:t>
                  </w:r>
                </w:p>
              </w:tc>
            </w:tr>
          </w:tbl>
          <w:p w14:paraId="36EA92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kern w:val="0"/>
                <w:sz w:val="24"/>
                <w:highlight w:val="none"/>
                <w:lang w:val="en-US" w:eastAsia="zh-CN"/>
              </w:rPr>
            </w:pPr>
            <w:r>
              <w:rPr>
                <w:rFonts w:hint="default" w:ascii="Times New Roman" w:hAnsi="Times New Roman" w:eastAsia="宋体" w:cs="Times New Roman"/>
                <w:color w:val="auto"/>
                <w:sz w:val="24"/>
                <w:szCs w:val="24"/>
                <w:highlight w:val="none"/>
                <w:lang w:val="en-US" w:eastAsia="zh-CN"/>
              </w:rPr>
              <w:t>综上，本项目符合《中华人民共和国</w:t>
            </w:r>
            <w:r>
              <w:rPr>
                <w:rFonts w:hint="eastAsia" w:cs="Times New Roman"/>
                <w:color w:val="auto"/>
                <w:sz w:val="24"/>
                <w:szCs w:val="24"/>
                <w:highlight w:val="none"/>
                <w:lang w:val="en-US" w:eastAsia="zh-CN"/>
              </w:rPr>
              <w:t>水污染防治法</w:t>
            </w:r>
            <w:r>
              <w:rPr>
                <w:rFonts w:hint="default" w:ascii="Times New Roman" w:hAnsi="Times New Roman" w:eastAsia="宋体" w:cs="Times New Roman"/>
                <w:color w:val="auto"/>
                <w:sz w:val="24"/>
                <w:szCs w:val="24"/>
                <w:highlight w:val="none"/>
                <w:lang w:val="en-US" w:eastAsia="zh-CN"/>
              </w:rPr>
              <w:t>》相关规定。</w:t>
            </w:r>
          </w:p>
          <w:p w14:paraId="1F8113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left"/>
              <w:textAlignment w:val="auto"/>
              <w:rPr>
                <w:rFonts w:hint="default" w:cs="Times New Roman"/>
                <w:b/>
                <w:bCs/>
                <w:color w:val="auto"/>
                <w:sz w:val="24"/>
                <w:szCs w:val="24"/>
                <w:highlight w:val="none"/>
                <w:lang w:val="en-US" w:eastAsia="zh-CN"/>
              </w:rPr>
            </w:pPr>
            <w:r>
              <w:rPr>
                <w:rFonts w:hint="eastAsia"/>
                <w:b/>
                <w:bCs/>
                <w:color w:val="auto"/>
                <w:kern w:val="0"/>
                <w:sz w:val="24"/>
                <w:highlight w:val="none"/>
                <w:lang w:val="en-US" w:eastAsia="zh-CN"/>
              </w:rPr>
              <w:t>3、</w:t>
            </w:r>
            <w:r>
              <w:rPr>
                <w:rFonts w:hint="eastAsia" w:cs="Times New Roman"/>
                <w:b/>
                <w:bCs/>
                <w:color w:val="auto"/>
                <w:sz w:val="24"/>
                <w:szCs w:val="24"/>
                <w:highlight w:val="none"/>
                <w:lang w:val="en-US" w:eastAsia="zh-CN"/>
              </w:rPr>
              <w:t>《云南省长江经济带发展负面清单指南实施细则》符合性分析</w:t>
            </w:r>
          </w:p>
          <w:p w14:paraId="5A19E2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highlight w:val="none"/>
              </w:rPr>
            </w:pPr>
            <w:r>
              <w:rPr>
                <w:rFonts w:hint="eastAsia" w:ascii="Times New Roman" w:hAnsi="Times New Roman" w:cs="Times New Roman"/>
                <w:color w:val="auto"/>
                <w:sz w:val="24"/>
                <w:szCs w:val="24"/>
                <w:highlight w:val="none"/>
                <w:lang w:val="en-US" w:eastAsia="zh-CN" w:bidi="ar"/>
              </w:rPr>
              <w:t>本项目</w:t>
            </w:r>
            <w:r>
              <w:rPr>
                <w:rFonts w:hint="default" w:ascii="Times New Roman" w:hAnsi="Times New Roman" w:cs="Times New Roman"/>
                <w:color w:val="auto"/>
                <w:sz w:val="24"/>
                <w:szCs w:val="24"/>
                <w:highlight w:val="none"/>
                <w:lang w:bidi="ar"/>
              </w:rPr>
              <w:t>与《云南省长江经济带发展负面清单指南实施细则（试行）》的相符性分析详见表</w:t>
            </w:r>
            <w:r>
              <w:rPr>
                <w:rFonts w:hint="eastAsia" w:cs="Times New Roman"/>
                <w:color w:val="auto"/>
                <w:sz w:val="24"/>
                <w:szCs w:val="24"/>
                <w:highlight w:val="none"/>
                <w:lang w:val="en-US" w:eastAsia="zh-CN" w:bidi="ar"/>
              </w:rPr>
              <w:t>1-5</w:t>
            </w:r>
            <w:r>
              <w:rPr>
                <w:rFonts w:hint="default" w:ascii="Times New Roman" w:hAnsi="Times New Roman" w:cs="Times New Roman"/>
                <w:color w:val="auto"/>
                <w:sz w:val="24"/>
                <w:szCs w:val="24"/>
                <w:highlight w:val="none"/>
                <w:lang w:bidi="ar"/>
              </w:rPr>
              <w:t>。</w:t>
            </w:r>
          </w:p>
          <w:p w14:paraId="2B020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 xml:space="preserve">1-5 </w:t>
            </w:r>
            <w:r>
              <w:rPr>
                <w:rFonts w:hint="default" w:ascii="Times New Roman" w:hAnsi="Times New Roman" w:cs="Times New Roman"/>
                <w:b/>
                <w:bCs/>
                <w:color w:val="auto"/>
                <w:sz w:val="24"/>
                <w:szCs w:val="24"/>
                <w:highlight w:val="none"/>
              </w:rPr>
              <w:t>本项目与《云南省长江经济带发展负面清单指南实施细则（试行，2022年版）》符合性分析对照表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1"/>
              <w:gridCol w:w="1770"/>
              <w:gridCol w:w="865"/>
            </w:tblGrid>
            <w:tr w14:paraId="14D8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71" w:type="pct"/>
                  <w:noWrap w:val="0"/>
                  <w:vAlign w:val="center"/>
                </w:tcPr>
                <w:p w14:paraId="2E89BF8A">
                  <w:pPr>
                    <w:pStyle w:val="68"/>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tc>
              <w:tc>
                <w:tcPr>
                  <w:tcW w:w="1160" w:type="pct"/>
                  <w:noWrap w:val="0"/>
                  <w:vAlign w:val="center"/>
                </w:tcPr>
                <w:p w14:paraId="30934001">
                  <w:pPr>
                    <w:pStyle w:val="68"/>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本项目内容</w:t>
                  </w:r>
                </w:p>
              </w:tc>
              <w:tc>
                <w:tcPr>
                  <w:tcW w:w="567" w:type="pct"/>
                  <w:noWrap w:val="0"/>
                  <w:vAlign w:val="center"/>
                </w:tcPr>
                <w:p w14:paraId="0314D20A">
                  <w:pPr>
                    <w:pStyle w:val="68"/>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相符性分析</w:t>
                  </w:r>
                </w:p>
              </w:tc>
            </w:tr>
            <w:tr w14:paraId="6E90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261EFF2B">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一、禁止新建、改建和扩建不符合《全国内河航道与港口布局规划》等全国港口规划和《昭通市港口码头岸线规划（金沙江段 2019 年—2035年）》、《景洪港总体规划（2019—2035年）》等州（市）级以上港口布局规划以及港口总体规划的码头项目。</w:t>
                  </w:r>
                </w:p>
              </w:tc>
              <w:tc>
                <w:tcPr>
                  <w:tcW w:w="1160" w:type="pct"/>
                  <w:noWrap w:val="0"/>
                  <w:vAlign w:val="center"/>
                </w:tcPr>
                <w:p w14:paraId="593C6E47">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项目不属于港口、码头项目</w:t>
                  </w:r>
                  <w:r>
                    <w:rPr>
                      <w:rFonts w:hint="eastAsia" w:cs="Times New Roman"/>
                      <w:color w:val="auto"/>
                      <w:sz w:val="21"/>
                      <w:szCs w:val="21"/>
                      <w:highlight w:val="none"/>
                      <w:lang w:eastAsia="zh-CN"/>
                    </w:rPr>
                    <w:t>。</w:t>
                  </w:r>
                </w:p>
              </w:tc>
              <w:tc>
                <w:tcPr>
                  <w:tcW w:w="567" w:type="pct"/>
                  <w:noWrap w:val="0"/>
                  <w:vAlign w:val="center"/>
                </w:tcPr>
                <w:p w14:paraId="0AFDEC04">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2F57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71" w:type="pct"/>
                  <w:noWrap w:val="0"/>
                  <w:vAlign w:val="center"/>
                </w:tcPr>
                <w:p w14:paraId="04C38F77">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160" w:type="pct"/>
                  <w:noWrap w:val="0"/>
                  <w:vAlign w:val="center"/>
                </w:tcPr>
                <w:p w14:paraId="1BF3342C">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项目选址不涉及占用自然保护区</w:t>
                  </w:r>
                  <w:r>
                    <w:rPr>
                      <w:rFonts w:hint="eastAsia" w:cs="Times New Roman"/>
                      <w:color w:val="auto"/>
                      <w:sz w:val="21"/>
                      <w:szCs w:val="21"/>
                      <w:highlight w:val="none"/>
                      <w:lang w:eastAsia="zh-CN"/>
                    </w:rPr>
                    <w:t>。</w:t>
                  </w:r>
                </w:p>
              </w:tc>
              <w:tc>
                <w:tcPr>
                  <w:tcW w:w="567" w:type="pct"/>
                  <w:noWrap w:val="0"/>
                  <w:vAlign w:val="center"/>
                </w:tcPr>
                <w:p w14:paraId="7D6D1581">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11A0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4AC9EAF3">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160" w:type="pct"/>
                  <w:noWrap w:val="0"/>
                  <w:vAlign w:val="center"/>
                </w:tcPr>
                <w:p w14:paraId="672D3A8E">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项目占地范围不涉及占用自然保护区以及风景名胜区</w:t>
                  </w:r>
                  <w:r>
                    <w:rPr>
                      <w:rFonts w:hint="eastAsia" w:cs="Times New Roman"/>
                      <w:color w:val="auto"/>
                      <w:sz w:val="21"/>
                      <w:szCs w:val="21"/>
                      <w:highlight w:val="none"/>
                      <w:lang w:eastAsia="zh-CN"/>
                    </w:rPr>
                    <w:t>。</w:t>
                  </w:r>
                </w:p>
              </w:tc>
              <w:tc>
                <w:tcPr>
                  <w:tcW w:w="567" w:type="pct"/>
                  <w:noWrap w:val="0"/>
                  <w:vAlign w:val="center"/>
                </w:tcPr>
                <w:p w14:paraId="49248099">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4640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098CE2FF">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160" w:type="pct"/>
                  <w:noWrap w:val="0"/>
                  <w:vAlign w:val="center"/>
                </w:tcPr>
                <w:p w14:paraId="3A785DDF">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项目占地范围内不涉及饮用水水源一级保护区的岸线和河段以及饮用水水源二级保护区的岸线和河段</w:t>
                  </w:r>
                  <w:r>
                    <w:rPr>
                      <w:rFonts w:hint="eastAsia" w:cs="Times New Roman"/>
                      <w:color w:val="auto"/>
                      <w:sz w:val="21"/>
                      <w:szCs w:val="21"/>
                      <w:highlight w:val="none"/>
                      <w:lang w:eastAsia="zh-CN"/>
                    </w:rPr>
                    <w:t>。</w:t>
                  </w:r>
                </w:p>
              </w:tc>
              <w:tc>
                <w:tcPr>
                  <w:tcW w:w="567" w:type="pct"/>
                  <w:noWrap w:val="0"/>
                  <w:vAlign w:val="center"/>
                </w:tcPr>
                <w:p w14:paraId="20E28BF1">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2321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734E4A41">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160" w:type="pct"/>
                  <w:noWrap w:val="0"/>
                  <w:vAlign w:val="center"/>
                </w:tcPr>
                <w:p w14:paraId="7A97811B">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项目占地范围内不涉及水产种质资源保护区的岸线和河段、国家湿地公园</w:t>
                  </w:r>
                  <w:r>
                    <w:rPr>
                      <w:rFonts w:hint="eastAsia" w:cs="Times New Roman"/>
                      <w:color w:val="auto"/>
                      <w:sz w:val="21"/>
                      <w:szCs w:val="21"/>
                      <w:highlight w:val="none"/>
                      <w:lang w:eastAsia="zh-CN"/>
                    </w:rPr>
                    <w:t>。</w:t>
                  </w:r>
                </w:p>
              </w:tc>
              <w:tc>
                <w:tcPr>
                  <w:tcW w:w="567" w:type="pct"/>
                  <w:noWrap w:val="0"/>
                  <w:vAlign w:val="center"/>
                </w:tcPr>
                <w:p w14:paraId="5997D95D">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0CA6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4B271FBF">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160" w:type="pct"/>
                  <w:noWrap w:val="0"/>
                  <w:vAlign w:val="center"/>
                </w:tcPr>
                <w:p w14:paraId="65172B75">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项目占地不涉及长江流域河湖岸线，项目</w:t>
                  </w:r>
                  <w:r>
                    <w:rPr>
                      <w:rFonts w:hint="eastAsia" w:cs="Times New Roman"/>
                      <w:color w:val="auto"/>
                      <w:sz w:val="21"/>
                      <w:szCs w:val="21"/>
                      <w:highlight w:val="none"/>
                      <w:lang w:val="en-US" w:eastAsia="zh-CN"/>
                    </w:rPr>
                    <w:t>不涉及</w:t>
                  </w:r>
                  <w:r>
                    <w:rPr>
                      <w:rFonts w:hint="default" w:ascii="Times New Roman" w:hAnsi="Times New Roman" w:eastAsia="宋体" w:cs="Times New Roman"/>
                      <w:color w:val="auto"/>
                      <w:sz w:val="21"/>
                      <w:szCs w:val="21"/>
                      <w:highlight w:val="none"/>
                    </w:rPr>
                    <w:t>九大高原湖泊保护区</w:t>
                  </w:r>
                  <w:r>
                    <w:rPr>
                      <w:rFonts w:hint="eastAsia" w:cs="Times New Roman"/>
                      <w:color w:val="auto"/>
                      <w:sz w:val="21"/>
                      <w:szCs w:val="21"/>
                      <w:highlight w:val="none"/>
                      <w:lang w:eastAsia="zh-CN"/>
                    </w:rPr>
                    <w:t>。</w:t>
                  </w:r>
                </w:p>
              </w:tc>
              <w:tc>
                <w:tcPr>
                  <w:tcW w:w="567" w:type="pct"/>
                  <w:noWrap w:val="0"/>
                  <w:vAlign w:val="center"/>
                </w:tcPr>
                <w:p w14:paraId="5AC23D3D">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5A83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33DBE03A">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七、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160" w:type="pct"/>
                  <w:noWrap w:val="0"/>
                  <w:vAlign w:val="center"/>
                </w:tcPr>
                <w:p w14:paraId="28E53D1E">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项目位于</w:t>
                  </w:r>
                  <w:r>
                    <w:rPr>
                      <w:rFonts w:hint="eastAsia" w:cs="Times New Roman"/>
                      <w:color w:val="auto"/>
                      <w:sz w:val="21"/>
                      <w:szCs w:val="21"/>
                      <w:highlight w:val="none"/>
                      <w:lang w:val="en-US" w:eastAsia="zh-CN"/>
                    </w:rPr>
                    <w:t>南盘江</w:t>
                  </w:r>
                  <w:r>
                    <w:rPr>
                      <w:rFonts w:hint="default" w:ascii="Times New Roman" w:hAnsi="Times New Roman" w:eastAsia="宋体" w:cs="Times New Roman"/>
                      <w:color w:val="auto"/>
                      <w:sz w:val="21"/>
                      <w:szCs w:val="21"/>
                      <w:highlight w:val="none"/>
                    </w:rPr>
                    <w:t>流域，不涉及占用金沙江干流、长江一级支流，不在金沙江、长江一级支流；项目不设排污口</w:t>
                  </w:r>
                  <w:r>
                    <w:rPr>
                      <w:rFonts w:hint="eastAsia" w:cs="Times New Roman"/>
                      <w:color w:val="auto"/>
                      <w:sz w:val="21"/>
                      <w:szCs w:val="21"/>
                      <w:highlight w:val="none"/>
                      <w:lang w:eastAsia="zh-CN"/>
                    </w:rPr>
                    <w:t>。</w:t>
                  </w:r>
                </w:p>
              </w:tc>
              <w:tc>
                <w:tcPr>
                  <w:tcW w:w="567" w:type="pct"/>
                  <w:noWrap w:val="0"/>
                  <w:vAlign w:val="center"/>
                </w:tcPr>
                <w:p w14:paraId="725B81EF">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75F8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1DF4FA4E">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八、禁止在金沙江干流、长江一级支流、水生生物保护区和长江流域禁捕水域开展天然渔业资源生产性捕捞。</w:t>
                  </w:r>
                </w:p>
              </w:tc>
              <w:tc>
                <w:tcPr>
                  <w:tcW w:w="1160" w:type="pct"/>
                  <w:noWrap w:val="0"/>
                  <w:vAlign w:val="center"/>
                </w:tcPr>
                <w:p w14:paraId="48FA758F">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项目不在金沙江干流、长江一级支流、水生生物保护区和长江流域</w:t>
                  </w:r>
                  <w:r>
                    <w:rPr>
                      <w:rFonts w:hint="eastAsia" w:cs="Times New Roman"/>
                      <w:color w:val="auto"/>
                      <w:sz w:val="21"/>
                      <w:szCs w:val="21"/>
                      <w:highlight w:val="none"/>
                      <w:lang w:eastAsia="zh-CN"/>
                    </w:rPr>
                    <w:t>。</w:t>
                  </w:r>
                </w:p>
              </w:tc>
              <w:tc>
                <w:tcPr>
                  <w:tcW w:w="567" w:type="pct"/>
                  <w:noWrap w:val="0"/>
                  <w:vAlign w:val="center"/>
                </w:tcPr>
                <w:p w14:paraId="011DEB3A">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647B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11AB32DC">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九、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160" w:type="pct"/>
                  <w:noWrap w:val="0"/>
                  <w:vAlign w:val="center"/>
                </w:tcPr>
                <w:p w14:paraId="3A1DD13C">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项目不涉及金沙江干流、长江一级支流和九大高原湖泊，且本项目不属于尾矿库、冶炼渣库和磷石膏库项目</w:t>
                  </w:r>
                  <w:r>
                    <w:rPr>
                      <w:rFonts w:hint="eastAsia" w:cs="Times New Roman"/>
                      <w:color w:val="auto"/>
                      <w:sz w:val="21"/>
                      <w:szCs w:val="21"/>
                      <w:highlight w:val="none"/>
                      <w:lang w:eastAsia="zh-CN"/>
                    </w:rPr>
                    <w:t>。</w:t>
                  </w:r>
                </w:p>
              </w:tc>
              <w:tc>
                <w:tcPr>
                  <w:tcW w:w="567" w:type="pct"/>
                  <w:noWrap w:val="0"/>
                  <w:vAlign w:val="center"/>
                </w:tcPr>
                <w:p w14:paraId="39C711AE">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6EF6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05011B42">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十、禁止在合规园区外新建、扩建钢铁、石化、化工、焦化、建材、有色、制浆造纸行业中的高污染项目。</w:t>
                  </w:r>
                </w:p>
              </w:tc>
              <w:tc>
                <w:tcPr>
                  <w:tcW w:w="1160" w:type="pct"/>
                  <w:noWrap w:val="0"/>
                  <w:vAlign w:val="center"/>
                </w:tcPr>
                <w:p w14:paraId="120F5109">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项目不属于钢铁、石化、化工、焦化、建材、有色、制浆造纸行业中的高污染项目</w:t>
                  </w:r>
                  <w:r>
                    <w:rPr>
                      <w:rFonts w:hint="eastAsia" w:cs="Times New Roman"/>
                      <w:color w:val="auto"/>
                      <w:sz w:val="21"/>
                      <w:szCs w:val="21"/>
                      <w:highlight w:val="none"/>
                      <w:lang w:eastAsia="zh-CN"/>
                    </w:rPr>
                    <w:t>。</w:t>
                  </w:r>
                </w:p>
              </w:tc>
              <w:tc>
                <w:tcPr>
                  <w:tcW w:w="567" w:type="pct"/>
                  <w:noWrap w:val="0"/>
                  <w:vAlign w:val="center"/>
                </w:tcPr>
                <w:p w14:paraId="4302CA30">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0107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40013ECB">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十一、禁止新建、扩建不符合国家石化、现代煤化工等产业布局规划的项目。禁止列入《云南省城镇人口密集区危险化学品生产企业搬迁改造名单》的搬迁改造企业在原址新建、扩建危险化学品生产项目。</w:t>
                  </w:r>
                </w:p>
              </w:tc>
              <w:tc>
                <w:tcPr>
                  <w:tcW w:w="1160" w:type="pct"/>
                  <w:noWrap w:val="0"/>
                  <w:vAlign w:val="center"/>
                </w:tcPr>
                <w:p w14:paraId="56A84615">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项目不在《云南省城镇人口密集区危险化学品生产企业搬迁改造名单》内</w:t>
                  </w:r>
                  <w:r>
                    <w:rPr>
                      <w:rFonts w:hint="eastAsia" w:cs="Times New Roman"/>
                      <w:color w:val="auto"/>
                      <w:sz w:val="21"/>
                      <w:szCs w:val="21"/>
                      <w:highlight w:val="none"/>
                      <w:lang w:eastAsia="zh-CN"/>
                    </w:rPr>
                    <w:t>。</w:t>
                  </w:r>
                </w:p>
              </w:tc>
              <w:tc>
                <w:tcPr>
                  <w:tcW w:w="567" w:type="pct"/>
                  <w:noWrap w:val="0"/>
                  <w:vAlign w:val="center"/>
                </w:tcPr>
                <w:p w14:paraId="3EFD9C0D">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r w14:paraId="5C18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1" w:type="pct"/>
                  <w:noWrap w:val="0"/>
                  <w:vAlign w:val="center"/>
                </w:tcPr>
                <w:p w14:paraId="5C798E47">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十二、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160" w:type="pct"/>
                  <w:noWrap w:val="0"/>
                  <w:vAlign w:val="center"/>
                </w:tcPr>
                <w:p w14:paraId="13B1FAA4">
                  <w:pPr>
                    <w:pStyle w:val="110"/>
                    <w:keepNext w:val="0"/>
                    <w:keepLines w:val="0"/>
                    <w:pageBreakBefore w:val="0"/>
                    <w:widowControl w:val="0"/>
                    <w:suppressLineNumbers w:val="0"/>
                    <w:kinsoku/>
                    <w:wordWrap/>
                    <w:topLinePunct w:val="0"/>
                    <w:autoSpaceDE/>
                    <w:autoSpaceDN/>
                    <w:bidi w:val="0"/>
                    <w:adjustRightInd/>
                    <w:spacing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项目不属于钢铁、石化、化工、焦化、建材、有色、制浆造纸等高污染项目，项目属于鼓励类项目，不属于重点高耗能行业“限制类”</w:t>
                  </w:r>
                  <w:r>
                    <w:rPr>
                      <w:rFonts w:hint="eastAsia" w:cs="Times New Roman"/>
                      <w:color w:val="auto"/>
                      <w:sz w:val="21"/>
                      <w:szCs w:val="21"/>
                      <w:highlight w:val="none"/>
                      <w:lang w:eastAsia="zh-CN"/>
                    </w:rPr>
                    <w:t>。</w:t>
                  </w:r>
                </w:p>
              </w:tc>
              <w:tc>
                <w:tcPr>
                  <w:tcW w:w="567" w:type="pct"/>
                  <w:noWrap w:val="0"/>
                  <w:vAlign w:val="center"/>
                </w:tcPr>
                <w:p w14:paraId="4D3A4505">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tc>
            </w:tr>
          </w:tbl>
          <w:p w14:paraId="0F80BE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rPr>
            </w:pPr>
            <w:r>
              <w:rPr>
                <w:rFonts w:hint="default"/>
                <w:color w:val="auto"/>
                <w:sz w:val="24"/>
                <w:szCs w:val="24"/>
                <w:highlight w:val="none"/>
              </w:rPr>
              <w:t>从上表可看出，项目占地范围不涉及金沙江、长江一级支流范围，项目建设内容不涉及</w:t>
            </w:r>
            <w:r>
              <w:rPr>
                <w:rFonts w:hint="eastAsia"/>
                <w:color w:val="auto"/>
                <w:sz w:val="24"/>
                <w:szCs w:val="24"/>
                <w:highlight w:val="none"/>
              </w:rPr>
              <w:t>“</w:t>
            </w:r>
            <w:r>
              <w:rPr>
                <w:rFonts w:hint="default"/>
                <w:color w:val="auto"/>
                <w:sz w:val="24"/>
                <w:szCs w:val="24"/>
                <w:highlight w:val="none"/>
              </w:rPr>
              <w:t>长江经济带发展负面清单指南</w:t>
            </w:r>
            <w:r>
              <w:rPr>
                <w:rFonts w:hint="eastAsia"/>
                <w:color w:val="auto"/>
                <w:sz w:val="24"/>
                <w:szCs w:val="24"/>
                <w:highlight w:val="none"/>
              </w:rPr>
              <w:t>（</w:t>
            </w:r>
            <w:r>
              <w:rPr>
                <w:rFonts w:hint="default"/>
                <w:color w:val="auto"/>
                <w:sz w:val="24"/>
                <w:szCs w:val="24"/>
                <w:highlight w:val="none"/>
              </w:rPr>
              <w:t>试行）</w:t>
            </w:r>
            <w:r>
              <w:rPr>
                <w:rFonts w:hint="eastAsia"/>
                <w:color w:val="auto"/>
                <w:sz w:val="24"/>
                <w:szCs w:val="24"/>
                <w:highlight w:val="none"/>
              </w:rPr>
              <w:t>”</w:t>
            </w:r>
            <w:r>
              <w:rPr>
                <w:rFonts w:hint="default"/>
                <w:color w:val="auto"/>
                <w:sz w:val="24"/>
                <w:szCs w:val="24"/>
                <w:highlight w:val="none"/>
              </w:rPr>
              <w:t>中的禁止建设内容。</w:t>
            </w:r>
          </w:p>
          <w:p w14:paraId="579B1E37">
            <w:pPr>
              <w:autoSpaceDE w:val="0"/>
              <w:autoSpaceDN w:val="0"/>
              <w:spacing w:line="360" w:lineRule="auto"/>
              <w:jc w:val="left"/>
              <w:rPr>
                <w:rFonts w:hint="default"/>
                <w:b/>
                <w:bCs/>
                <w:color w:val="auto"/>
                <w:kern w:val="0"/>
                <w:sz w:val="24"/>
                <w:highlight w:val="none"/>
                <w:lang w:val="en-US" w:eastAsia="zh-CN"/>
              </w:rPr>
            </w:pPr>
            <w:r>
              <w:rPr>
                <w:rFonts w:hint="eastAsia"/>
                <w:b/>
                <w:bCs/>
                <w:color w:val="auto"/>
                <w:sz w:val="24"/>
                <w:szCs w:val="24"/>
                <w:highlight w:val="none"/>
                <w:lang w:val="en-US" w:eastAsia="zh-CN"/>
              </w:rPr>
              <w:t>4、</w:t>
            </w:r>
            <w:r>
              <w:rPr>
                <w:rFonts w:hint="eastAsia"/>
                <w:b/>
                <w:bCs/>
                <w:color w:val="auto"/>
                <w:kern w:val="0"/>
                <w:sz w:val="24"/>
                <w:highlight w:val="none"/>
                <w:lang w:val="en-US" w:eastAsia="zh-CN"/>
              </w:rPr>
              <w:t>与《云南省大气污染防治条例》的符合性分析</w:t>
            </w:r>
          </w:p>
          <w:p w14:paraId="75CAD83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b w:val="0"/>
                <w:bCs w:val="0"/>
                <w:color w:val="auto"/>
                <w:kern w:val="0"/>
                <w:sz w:val="24"/>
                <w:highlight w:val="none"/>
                <w:lang w:val="en-US" w:eastAsia="zh-CN"/>
              </w:rPr>
            </w:pPr>
            <w:r>
              <w:rPr>
                <w:rFonts w:hint="eastAsia"/>
                <w:b w:val="0"/>
                <w:bCs w:val="0"/>
                <w:color w:val="auto"/>
                <w:kern w:val="0"/>
                <w:sz w:val="24"/>
                <w:highlight w:val="none"/>
                <w:lang w:val="en-US" w:eastAsia="zh-CN"/>
              </w:rPr>
              <w:t>2018年11月29日云南省第十三届人民代表大会常务委员会第七次会议通过《云南省大气污染防治条例》，自2019年1月1日起施行。条例中与项目相关的要求如下。</w:t>
            </w:r>
          </w:p>
          <w:p w14:paraId="1E7BAB77">
            <w:pPr>
              <w:autoSpaceDE w:val="0"/>
              <w:autoSpaceDN w:val="0"/>
              <w:adjustRightInd w:val="0"/>
              <w:snapToGrid w:val="0"/>
              <w:spacing w:line="360" w:lineRule="auto"/>
              <w:jc w:val="center"/>
              <w:rPr>
                <w:b/>
                <w:bCs/>
                <w:color w:val="auto"/>
                <w:kern w:val="0"/>
                <w:sz w:val="24"/>
                <w:highlight w:val="none"/>
              </w:rPr>
            </w:pPr>
            <w:r>
              <w:rPr>
                <w:rFonts w:hint="eastAsia"/>
                <w:b/>
                <w:bCs/>
                <w:color w:val="auto"/>
                <w:kern w:val="0"/>
                <w:sz w:val="24"/>
                <w:highlight w:val="none"/>
              </w:rPr>
              <w:t>表1-</w:t>
            </w:r>
            <w:r>
              <w:rPr>
                <w:rFonts w:hint="eastAsia"/>
                <w:b/>
                <w:bCs/>
                <w:color w:val="auto"/>
                <w:kern w:val="0"/>
                <w:sz w:val="24"/>
                <w:highlight w:val="none"/>
                <w:lang w:val="en-US" w:eastAsia="zh-CN"/>
              </w:rPr>
              <w:t xml:space="preserve">6  </w:t>
            </w:r>
            <w:r>
              <w:rPr>
                <w:rFonts w:hint="eastAsia"/>
                <w:b/>
                <w:bCs/>
                <w:color w:val="auto"/>
                <w:kern w:val="0"/>
                <w:sz w:val="24"/>
                <w:highlight w:val="none"/>
              </w:rPr>
              <w:t>项目与</w:t>
            </w:r>
            <w:r>
              <w:rPr>
                <w:rFonts w:hint="eastAsia"/>
                <w:b/>
                <w:bCs/>
                <w:color w:val="auto"/>
                <w:kern w:val="0"/>
                <w:sz w:val="24"/>
                <w:highlight w:val="none"/>
                <w:lang w:val="en-US" w:eastAsia="zh-CN"/>
              </w:rPr>
              <w:t>《云南省大气污染防治条例》</w:t>
            </w:r>
            <w:r>
              <w:rPr>
                <w:rFonts w:hint="eastAsia"/>
                <w:b/>
                <w:bCs/>
                <w:color w:val="auto"/>
                <w:kern w:val="0"/>
                <w:sz w:val="24"/>
                <w:highlight w:val="none"/>
              </w:rPr>
              <w:t>的符合性分析</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2"/>
              <w:gridCol w:w="2941"/>
              <w:gridCol w:w="763"/>
            </w:tblGrid>
            <w:tr w14:paraId="657E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pct"/>
                  <w:vAlign w:val="center"/>
                </w:tcPr>
                <w:p w14:paraId="012E6A2F">
                  <w:pPr>
                    <w:autoSpaceDE w:val="0"/>
                    <w:autoSpaceDN w:val="0"/>
                    <w:adjustRightInd w:val="0"/>
                    <w:snapToGrid w:val="0"/>
                    <w:jc w:val="center"/>
                    <w:rPr>
                      <w:b/>
                      <w:bCs/>
                      <w:color w:val="auto"/>
                      <w:kern w:val="0"/>
                      <w:szCs w:val="21"/>
                      <w:highlight w:val="none"/>
                    </w:rPr>
                  </w:pPr>
                  <w:r>
                    <w:rPr>
                      <w:rFonts w:hint="eastAsia"/>
                      <w:b/>
                      <w:bCs/>
                      <w:color w:val="auto"/>
                      <w:kern w:val="0"/>
                      <w:szCs w:val="21"/>
                      <w:highlight w:val="none"/>
                    </w:rPr>
                    <w:t>文件内容</w:t>
                  </w:r>
                </w:p>
              </w:tc>
              <w:tc>
                <w:tcPr>
                  <w:tcW w:w="1928" w:type="pct"/>
                  <w:vAlign w:val="center"/>
                </w:tcPr>
                <w:p w14:paraId="7EB812C2">
                  <w:pPr>
                    <w:autoSpaceDE w:val="0"/>
                    <w:autoSpaceDN w:val="0"/>
                    <w:adjustRightInd w:val="0"/>
                    <w:snapToGrid w:val="0"/>
                    <w:jc w:val="center"/>
                    <w:rPr>
                      <w:b/>
                      <w:bCs/>
                      <w:color w:val="auto"/>
                      <w:kern w:val="0"/>
                      <w:szCs w:val="21"/>
                      <w:highlight w:val="none"/>
                    </w:rPr>
                  </w:pPr>
                  <w:r>
                    <w:rPr>
                      <w:rFonts w:hint="eastAsia"/>
                      <w:b/>
                      <w:bCs/>
                      <w:color w:val="auto"/>
                      <w:kern w:val="0"/>
                      <w:szCs w:val="21"/>
                      <w:highlight w:val="none"/>
                    </w:rPr>
                    <w:t>相符性分析</w:t>
                  </w:r>
                </w:p>
              </w:tc>
              <w:tc>
                <w:tcPr>
                  <w:tcW w:w="498" w:type="pct"/>
                  <w:vAlign w:val="center"/>
                </w:tcPr>
                <w:p w14:paraId="5BCF3104">
                  <w:pPr>
                    <w:autoSpaceDE w:val="0"/>
                    <w:autoSpaceDN w:val="0"/>
                    <w:adjustRightInd w:val="0"/>
                    <w:snapToGrid w:val="0"/>
                    <w:jc w:val="center"/>
                    <w:rPr>
                      <w:b/>
                      <w:bCs/>
                      <w:color w:val="auto"/>
                      <w:kern w:val="0"/>
                      <w:szCs w:val="21"/>
                      <w:highlight w:val="none"/>
                    </w:rPr>
                  </w:pPr>
                  <w:r>
                    <w:rPr>
                      <w:rFonts w:hint="eastAsia"/>
                      <w:b/>
                      <w:bCs/>
                      <w:color w:val="auto"/>
                      <w:kern w:val="0"/>
                      <w:szCs w:val="21"/>
                      <w:highlight w:val="none"/>
                    </w:rPr>
                    <w:t>符合性</w:t>
                  </w:r>
                </w:p>
              </w:tc>
            </w:tr>
            <w:tr w14:paraId="4465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pct"/>
                  <w:vAlign w:val="center"/>
                </w:tcPr>
                <w:p w14:paraId="3812589B">
                  <w:pPr>
                    <w:autoSpaceDE w:val="0"/>
                    <w:autoSpaceDN w:val="0"/>
                    <w:adjustRightInd w:val="0"/>
                    <w:snapToGrid w:val="0"/>
                    <w:jc w:val="center"/>
                    <w:rPr>
                      <w:rFonts w:hint="eastAsia"/>
                      <w:b w:val="0"/>
                      <w:bCs w:val="0"/>
                      <w:color w:val="auto"/>
                      <w:kern w:val="0"/>
                      <w:szCs w:val="21"/>
                      <w:highlight w:val="none"/>
                    </w:rPr>
                  </w:pPr>
                  <w:r>
                    <w:rPr>
                      <w:rFonts w:hint="eastAsia"/>
                      <w:b w:val="0"/>
                      <w:bCs w:val="0"/>
                      <w:color w:val="auto"/>
                      <w:kern w:val="0"/>
                      <w:szCs w:val="21"/>
                      <w:highlight w:val="none"/>
                    </w:rPr>
                    <w:t> 第九条  按照国家有关规定依法实行排污许可管理的单位，应当取得排污许可证，并按照排污许可证的规定排放大气污染物，禁止无排污许可证或者不按照排污许可证的规定排放大气污染物。</w:t>
                  </w:r>
                </w:p>
              </w:tc>
              <w:tc>
                <w:tcPr>
                  <w:tcW w:w="1928" w:type="pct"/>
                  <w:vAlign w:val="center"/>
                </w:tcPr>
                <w:p w14:paraId="4CA71673">
                  <w:pPr>
                    <w:autoSpaceDE w:val="0"/>
                    <w:autoSpaceDN w:val="0"/>
                    <w:adjustRightInd w:val="0"/>
                    <w:snapToGrid w:val="0"/>
                    <w:jc w:val="center"/>
                    <w:rPr>
                      <w:rFonts w:hint="default"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大山生活垃圾填埋场已于2023年9月6日取得了排污许可证，证书编号11530422015184439E001V。本项目建成后将依法对排污许可证进行变更申请。</w:t>
                  </w:r>
                </w:p>
              </w:tc>
              <w:tc>
                <w:tcPr>
                  <w:tcW w:w="498" w:type="pct"/>
                  <w:vAlign w:val="center"/>
                </w:tcPr>
                <w:p w14:paraId="371030B5">
                  <w:pPr>
                    <w:autoSpaceDE w:val="0"/>
                    <w:autoSpaceDN w:val="0"/>
                    <w:adjustRightInd w:val="0"/>
                    <w:snapToGrid w:val="0"/>
                    <w:jc w:val="center"/>
                    <w:rPr>
                      <w:rFonts w:hint="eastAsia"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符合</w:t>
                  </w:r>
                </w:p>
              </w:tc>
            </w:tr>
            <w:tr w14:paraId="2DB4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pct"/>
                  <w:vAlign w:val="center"/>
                </w:tcPr>
                <w:p w14:paraId="7BBFA6F3">
                  <w:pPr>
                    <w:autoSpaceDE w:val="0"/>
                    <w:autoSpaceDN w:val="0"/>
                    <w:adjustRightInd w:val="0"/>
                    <w:snapToGrid w:val="0"/>
                    <w:jc w:val="left"/>
                    <w:rPr>
                      <w:rFonts w:hint="eastAsia"/>
                      <w:b w:val="0"/>
                      <w:bCs w:val="0"/>
                      <w:color w:val="auto"/>
                      <w:kern w:val="0"/>
                      <w:szCs w:val="21"/>
                      <w:highlight w:val="none"/>
                    </w:rPr>
                  </w:pPr>
                  <w:r>
                    <w:rPr>
                      <w:rFonts w:hint="eastAsia"/>
                      <w:b w:val="0"/>
                      <w:bCs w:val="0"/>
                      <w:color w:val="auto"/>
                      <w:kern w:val="0"/>
                      <w:szCs w:val="21"/>
                      <w:highlight w:val="none"/>
                    </w:rPr>
                    <w:t>第十四条  向大气排放污染物的企业事业单位和其他生产经营者应当按照有关规定设置大气污染物排放口。</w:t>
                  </w:r>
                </w:p>
                <w:p w14:paraId="4671C0B2">
                  <w:pPr>
                    <w:autoSpaceDE w:val="0"/>
                    <w:autoSpaceDN w:val="0"/>
                    <w:adjustRightInd w:val="0"/>
                    <w:snapToGrid w:val="0"/>
                    <w:jc w:val="left"/>
                    <w:rPr>
                      <w:rFonts w:hint="eastAsia"/>
                      <w:b w:val="0"/>
                      <w:bCs w:val="0"/>
                      <w:color w:val="auto"/>
                      <w:kern w:val="0"/>
                      <w:szCs w:val="21"/>
                      <w:highlight w:val="none"/>
                    </w:rPr>
                  </w:pPr>
                  <w:r>
                    <w:rPr>
                      <w:rFonts w:hint="eastAsia"/>
                      <w:b w:val="0"/>
                      <w:bCs w:val="0"/>
                      <w:color w:val="auto"/>
                      <w:kern w:val="0"/>
                      <w:szCs w:val="21"/>
                      <w:highlight w:val="none"/>
                    </w:rPr>
                    <w:t>    根据国家规定开展自行监测的排污单位应当对监测数据的真实性、准确性负责，自行监测的原始记录保存期限不得少于3年。</w:t>
                  </w:r>
                </w:p>
              </w:tc>
              <w:tc>
                <w:tcPr>
                  <w:tcW w:w="1928" w:type="pct"/>
                  <w:vAlign w:val="center"/>
                </w:tcPr>
                <w:p w14:paraId="3353C1D6">
                  <w:pPr>
                    <w:autoSpaceDE w:val="0"/>
                    <w:autoSpaceDN w:val="0"/>
                    <w:adjustRightInd w:val="0"/>
                    <w:snapToGrid w:val="0"/>
                    <w:jc w:val="center"/>
                    <w:rPr>
                      <w:rFonts w:hint="default"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本项目恶臭除臭系统化学洗涤塔设有1个废气排放口，项目建成后将按照排污许可自行监测要求及本次环评提出的自行监测计划开展自行监测。将对</w:t>
                  </w:r>
                  <w:r>
                    <w:rPr>
                      <w:rFonts w:hint="eastAsia"/>
                      <w:b w:val="0"/>
                      <w:bCs w:val="0"/>
                      <w:color w:val="auto"/>
                      <w:kern w:val="0"/>
                      <w:szCs w:val="21"/>
                      <w:highlight w:val="none"/>
                    </w:rPr>
                    <w:t>原始</w:t>
                  </w:r>
                  <w:r>
                    <w:rPr>
                      <w:rFonts w:hint="eastAsia"/>
                      <w:b w:val="0"/>
                      <w:bCs w:val="0"/>
                      <w:color w:val="auto"/>
                      <w:kern w:val="0"/>
                      <w:szCs w:val="21"/>
                      <w:highlight w:val="none"/>
                      <w:lang w:val="en-US" w:eastAsia="zh-CN"/>
                    </w:rPr>
                    <w:t>自行监测</w:t>
                  </w:r>
                  <w:r>
                    <w:rPr>
                      <w:rFonts w:hint="eastAsia"/>
                      <w:b w:val="0"/>
                      <w:bCs w:val="0"/>
                      <w:color w:val="auto"/>
                      <w:kern w:val="0"/>
                      <w:szCs w:val="21"/>
                      <w:highlight w:val="none"/>
                    </w:rPr>
                    <w:t>记录</w:t>
                  </w:r>
                  <w:r>
                    <w:rPr>
                      <w:rFonts w:hint="eastAsia"/>
                      <w:b w:val="0"/>
                      <w:bCs w:val="0"/>
                      <w:color w:val="auto"/>
                      <w:kern w:val="0"/>
                      <w:szCs w:val="21"/>
                      <w:highlight w:val="none"/>
                      <w:lang w:val="en-US" w:eastAsia="zh-CN"/>
                    </w:rPr>
                    <w:t>进行保存</w:t>
                  </w:r>
                  <w:r>
                    <w:rPr>
                      <w:rFonts w:hint="eastAsia"/>
                      <w:b w:val="0"/>
                      <w:bCs w:val="0"/>
                      <w:color w:val="auto"/>
                      <w:kern w:val="0"/>
                      <w:szCs w:val="21"/>
                      <w:highlight w:val="none"/>
                    </w:rPr>
                    <w:t>。</w:t>
                  </w:r>
                </w:p>
              </w:tc>
              <w:tc>
                <w:tcPr>
                  <w:tcW w:w="498" w:type="pct"/>
                  <w:vAlign w:val="center"/>
                </w:tcPr>
                <w:p w14:paraId="38BABF31">
                  <w:pPr>
                    <w:autoSpaceDE w:val="0"/>
                    <w:autoSpaceDN w:val="0"/>
                    <w:adjustRightInd w:val="0"/>
                    <w:snapToGrid w:val="0"/>
                    <w:jc w:val="center"/>
                    <w:rPr>
                      <w:rFonts w:hint="eastAsia"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符合</w:t>
                  </w:r>
                </w:p>
              </w:tc>
            </w:tr>
            <w:tr w14:paraId="5637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pct"/>
                  <w:vAlign w:val="center"/>
                </w:tcPr>
                <w:p w14:paraId="7BA7DC8E">
                  <w:pPr>
                    <w:autoSpaceDE w:val="0"/>
                    <w:autoSpaceDN w:val="0"/>
                    <w:adjustRightInd w:val="0"/>
                    <w:snapToGrid w:val="0"/>
                    <w:jc w:val="left"/>
                    <w:rPr>
                      <w:rFonts w:hint="eastAsia"/>
                      <w:b w:val="0"/>
                      <w:bCs w:val="0"/>
                      <w:color w:val="auto"/>
                      <w:kern w:val="0"/>
                      <w:szCs w:val="21"/>
                      <w:highlight w:val="none"/>
                    </w:rPr>
                  </w:pPr>
                  <w:r>
                    <w:rPr>
                      <w:rFonts w:hint="eastAsia"/>
                      <w:b w:val="0"/>
                      <w:bCs w:val="0"/>
                      <w:color w:val="auto"/>
                      <w:kern w:val="0"/>
                      <w:szCs w:val="21"/>
                      <w:highlight w:val="none"/>
                    </w:rPr>
                    <w:t>第三十七条  企业事业单位和其他生产经营者在生产经营活动中产生恶臭气体的，应当安装净化装置或者采取其他措施防止恶臭气体排放。</w:t>
                  </w:r>
                </w:p>
                <w:p w14:paraId="47FF5420">
                  <w:pPr>
                    <w:autoSpaceDE w:val="0"/>
                    <w:autoSpaceDN w:val="0"/>
                    <w:adjustRightInd w:val="0"/>
                    <w:snapToGrid w:val="0"/>
                    <w:jc w:val="left"/>
                    <w:rPr>
                      <w:rFonts w:hint="eastAsia"/>
                      <w:b w:val="0"/>
                      <w:bCs w:val="0"/>
                      <w:color w:val="auto"/>
                      <w:kern w:val="0"/>
                      <w:szCs w:val="21"/>
                      <w:highlight w:val="none"/>
                    </w:rPr>
                  </w:pPr>
                  <w:r>
                    <w:rPr>
                      <w:rFonts w:hint="eastAsia"/>
                      <w:b w:val="0"/>
                      <w:bCs w:val="0"/>
                      <w:color w:val="auto"/>
                      <w:kern w:val="0"/>
                      <w:szCs w:val="21"/>
                      <w:highlight w:val="none"/>
                    </w:rPr>
                    <w:t>    垃圾处理场、垃圾中转站、污水处理厂、橡胶制品生产、生物发酵、规模化畜禽养殖、屠宰等产生恶臭气体的单位应当科学选址，与机关、学校、医院、居民住宅区等人口集中地区和其他依法需要特殊保护的区域保持符合规定的防护距离。</w:t>
                  </w:r>
                </w:p>
              </w:tc>
              <w:tc>
                <w:tcPr>
                  <w:tcW w:w="1928" w:type="pct"/>
                  <w:vAlign w:val="center"/>
                </w:tcPr>
                <w:p w14:paraId="7AE65047">
                  <w:pPr>
                    <w:autoSpaceDE w:val="0"/>
                    <w:autoSpaceDN w:val="0"/>
                    <w:adjustRightInd w:val="0"/>
                    <w:snapToGrid w:val="0"/>
                    <w:jc w:val="center"/>
                    <w:rPr>
                      <w:rFonts w:hint="default"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本项目全量化处理站运行过程产生的恶臭采取负压管道收集+化学洗涤塔进行处理，确保对周边环境不造成影响。根据《澄江县九村镇大山垃圾填埋场项目现状环境评价报告》，大山生活垃圾填埋场防护距离为填埋场边界及污水处理站边界外500m，根据现场踏勘，本项目周边500m范围内无环境保护目标，距离周边居民区较远</w:t>
                  </w:r>
                  <w:r>
                    <w:rPr>
                      <w:rFonts w:hint="eastAsia"/>
                      <w:color w:val="auto"/>
                      <w:szCs w:val="21"/>
                      <w:highlight w:val="none"/>
                      <w:lang w:val="en-US" w:eastAsia="zh-CN"/>
                    </w:rPr>
                    <w:t>。</w:t>
                  </w:r>
                </w:p>
              </w:tc>
              <w:tc>
                <w:tcPr>
                  <w:tcW w:w="498" w:type="pct"/>
                  <w:vAlign w:val="center"/>
                </w:tcPr>
                <w:p w14:paraId="361C7E94">
                  <w:pPr>
                    <w:autoSpaceDE w:val="0"/>
                    <w:autoSpaceDN w:val="0"/>
                    <w:adjustRightInd w:val="0"/>
                    <w:snapToGrid w:val="0"/>
                    <w:jc w:val="center"/>
                    <w:rPr>
                      <w:rFonts w:hint="eastAsia"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符合</w:t>
                  </w:r>
                </w:p>
              </w:tc>
            </w:tr>
            <w:tr w14:paraId="2868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7F78DB80">
                  <w:pPr>
                    <w:autoSpaceDE w:val="0"/>
                    <w:autoSpaceDN w:val="0"/>
                    <w:adjustRightInd w:val="0"/>
                    <w:snapToGrid w:val="0"/>
                    <w:jc w:val="left"/>
                    <w:rPr>
                      <w:color w:val="auto"/>
                      <w:kern w:val="0"/>
                      <w:szCs w:val="21"/>
                      <w:highlight w:val="none"/>
                    </w:rPr>
                  </w:pPr>
                  <w:r>
                    <w:rPr>
                      <w:b/>
                      <w:color w:val="auto"/>
                      <w:szCs w:val="21"/>
                      <w:highlight w:val="none"/>
                    </w:rPr>
                    <w:t>备注：其它与项目无关项未列入</w:t>
                  </w:r>
                  <w:r>
                    <w:rPr>
                      <w:rFonts w:hint="eastAsia"/>
                      <w:b/>
                      <w:color w:val="auto"/>
                      <w:szCs w:val="21"/>
                      <w:highlight w:val="none"/>
                    </w:rPr>
                    <w:t>。</w:t>
                  </w:r>
                </w:p>
              </w:tc>
            </w:tr>
          </w:tbl>
          <w:p w14:paraId="3820F263">
            <w:pPr>
              <w:spacing w:line="360" w:lineRule="auto"/>
              <w:ind w:firstLine="480" w:firstLineChars="200"/>
              <w:rPr>
                <w:color w:val="auto"/>
                <w:sz w:val="24"/>
                <w:highlight w:val="none"/>
              </w:rPr>
            </w:pPr>
            <w:r>
              <w:rPr>
                <w:color w:val="auto"/>
                <w:sz w:val="24"/>
                <w:highlight w:val="none"/>
              </w:rPr>
              <w:t>根据上表</w:t>
            </w:r>
            <w:r>
              <w:rPr>
                <w:rFonts w:hint="eastAsia"/>
                <w:color w:val="auto"/>
                <w:sz w:val="24"/>
                <w:highlight w:val="none"/>
                <w:lang w:val="en-US" w:eastAsia="zh-CN"/>
              </w:rPr>
              <w:t>可知</w:t>
            </w:r>
            <w:r>
              <w:rPr>
                <w:color w:val="auto"/>
                <w:sz w:val="24"/>
                <w:highlight w:val="none"/>
              </w:rPr>
              <w:t>，项目</w:t>
            </w:r>
            <w:r>
              <w:rPr>
                <w:rFonts w:hint="eastAsia"/>
                <w:color w:val="auto"/>
                <w:sz w:val="24"/>
                <w:highlight w:val="none"/>
              </w:rPr>
              <w:t>与</w:t>
            </w:r>
            <w:r>
              <w:rPr>
                <w:rFonts w:hint="eastAsia"/>
                <w:color w:val="auto"/>
                <w:sz w:val="24"/>
                <w:highlight w:val="none"/>
                <w:lang w:val="en-US" w:eastAsia="zh-CN"/>
              </w:rPr>
              <w:t>《云南省大气污染防治条例》中</w:t>
            </w:r>
            <w:r>
              <w:rPr>
                <w:color w:val="auto"/>
                <w:sz w:val="24"/>
                <w:highlight w:val="none"/>
              </w:rPr>
              <w:t>相关要求</w:t>
            </w:r>
            <w:r>
              <w:rPr>
                <w:rFonts w:hint="eastAsia"/>
                <w:color w:val="auto"/>
                <w:sz w:val="24"/>
                <w:highlight w:val="none"/>
                <w:lang w:val="en-US" w:eastAsia="zh-CN"/>
              </w:rPr>
              <w:t>相符</w:t>
            </w:r>
            <w:r>
              <w:rPr>
                <w:color w:val="auto"/>
                <w:sz w:val="24"/>
                <w:highlight w:val="none"/>
              </w:rPr>
              <w:t>。</w:t>
            </w:r>
          </w:p>
          <w:p w14:paraId="6B905E40">
            <w:pPr>
              <w:autoSpaceDE w:val="0"/>
              <w:autoSpaceDN w:val="0"/>
              <w:adjustRightInd w:val="0"/>
              <w:snapToGrid w:val="0"/>
              <w:spacing w:line="360" w:lineRule="auto"/>
              <w:jc w:val="left"/>
              <w:rPr>
                <w:b/>
                <w:bCs/>
                <w:color w:val="auto"/>
                <w:kern w:val="0"/>
                <w:sz w:val="24"/>
                <w:highlight w:val="none"/>
              </w:rPr>
            </w:pPr>
            <w:r>
              <w:rPr>
                <w:rFonts w:hint="eastAsia"/>
                <w:b/>
                <w:bCs/>
                <w:color w:val="auto"/>
                <w:sz w:val="24"/>
                <w:szCs w:val="24"/>
                <w:highlight w:val="none"/>
                <w:lang w:val="en-US" w:eastAsia="zh-CN"/>
              </w:rPr>
              <w:t>5、</w:t>
            </w:r>
            <w:r>
              <w:rPr>
                <w:rFonts w:hint="eastAsia"/>
                <w:b/>
                <w:bCs/>
                <w:color w:val="auto"/>
                <w:kern w:val="0"/>
                <w:sz w:val="24"/>
                <w:highlight w:val="none"/>
              </w:rPr>
              <w:t>与《</w:t>
            </w:r>
            <w:r>
              <w:rPr>
                <w:rFonts w:hint="eastAsia"/>
                <w:b/>
                <w:bCs/>
                <w:color w:val="auto"/>
                <w:kern w:val="0"/>
                <w:sz w:val="24"/>
                <w:highlight w:val="none"/>
                <w:lang w:val="en-US" w:eastAsia="zh-CN"/>
              </w:rPr>
              <w:t>云南省</w:t>
            </w:r>
            <w:r>
              <w:rPr>
                <w:rFonts w:hint="eastAsia"/>
                <w:b/>
                <w:bCs/>
                <w:color w:val="auto"/>
                <w:kern w:val="0"/>
                <w:sz w:val="24"/>
                <w:highlight w:val="none"/>
              </w:rPr>
              <w:t>空气质量持续改善行动</w:t>
            </w:r>
            <w:r>
              <w:rPr>
                <w:rFonts w:hint="eastAsia"/>
                <w:b/>
                <w:bCs/>
                <w:color w:val="auto"/>
                <w:kern w:val="0"/>
                <w:sz w:val="24"/>
                <w:highlight w:val="none"/>
                <w:lang w:val="en-US" w:eastAsia="zh-CN"/>
              </w:rPr>
              <w:t>实施方案</w:t>
            </w:r>
            <w:r>
              <w:rPr>
                <w:rFonts w:hint="eastAsia"/>
                <w:b/>
                <w:bCs/>
                <w:color w:val="auto"/>
                <w:kern w:val="0"/>
                <w:sz w:val="24"/>
                <w:highlight w:val="none"/>
              </w:rPr>
              <w:t>》（云政发〔2024〕14号）的符合性分析</w:t>
            </w:r>
          </w:p>
          <w:p w14:paraId="799DC3F2">
            <w:pPr>
              <w:autoSpaceDE w:val="0"/>
              <w:autoSpaceDN w:val="0"/>
              <w:adjustRightInd w:val="0"/>
              <w:snapToGrid w:val="0"/>
              <w:spacing w:line="360" w:lineRule="auto"/>
              <w:jc w:val="center"/>
              <w:rPr>
                <w:b/>
                <w:bCs/>
                <w:color w:val="auto"/>
                <w:kern w:val="0"/>
                <w:sz w:val="24"/>
                <w:highlight w:val="none"/>
              </w:rPr>
            </w:pPr>
            <w:r>
              <w:rPr>
                <w:rFonts w:hint="eastAsia"/>
                <w:b/>
                <w:bCs/>
                <w:color w:val="auto"/>
                <w:kern w:val="0"/>
                <w:sz w:val="24"/>
                <w:highlight w:val="none"/>
              </w:rPr>
              <w:t>表1-</w:t>
            </w:r>
            <w:r>
              <w:rPr>
                <w:rFonts w:hint="eastAsia"/>
                <w:b/>
                <w:bCs/>
                <w:color w:val="auto"/>
                <w:kern w:val="0"/>
                <w:sz w:val="24"/>
                <w:highlight w:val="none"/>
                <w:lang w:val="en-US" w:eastAsia="zh-CN"/>
              </w:rPr>
              <w:t xml:space="preserve">7 </w:t>
            </w:r>
            <w:r>
              <w:rPr>
                <w:rFonts w:hint="eastAsia"/>
                <w:b/>
                <w:bCs/>
                <w:color w:val="auto"/>
                <w:kern w:val="0"/>
                <w:sz w:val="24"/>
                <w:highlight w:val="none"/>
              </w:rPr>
              <w:t xml:space="preserve"> 项目与《</w:t>
            </w:r>
            <w:r>
              <w:rPr>
                <w:rFonts w:hint="eastAsia"/>
                <w:b/>
                <w:bCs/>
                <w:color w:val="auto"/>
                <w:kern w:val="0"/>
                <w:sz w:val="24"/>
                <w:highlight w:val="none"/>
                <w:lang w:val="en-US" w:eastAsia="zh-CN"/>
              </w:rPr>
              <w:t>云南省</w:t>
            </w:r>
            <w:r>
              <w:rPr>
                <w:rFonts w:hint="eastAsia"/>
                <w:b/>
                <w:bCs/>
                <w:color w:val="auto"/>
                <w:kern w:val="0"/>
                <w:sz w:val="24"/>
                <w:highlight w:val="none"/>
              </w:rPr>
              <w:t>空气质量持续改善行动</w:t>
            </w:r>
            <w:r>
              <w:rPr>
                <w:rFonts w:hint="eastAsia"/>
                <w:b/>
                <w:bCs/>
                <w:color w:val="auto"/>
                <w:kern w:val="0"/>
                <w:sz w:val="24"/>
                <w:highlight w:val="none"/>
                <w:lang w:val="en-US" w:eastAsia="zh-CN"/>
              </w:rPr>
              <w:t>实施方案</w:t>
            </w:r>
            <w:r>
              <w:rPr>
                <w:rFonts w:hint="eastAsia"/>
                <w:b/>
                <w:bCs/>
                <w:color w:val="auto"/>
                <w:kern w:val="0"/>
                <w:sz w:val="24"/>
                <w:highlight w:val="none"/>
              </w:rPr>
              <w:t>》的符合性分析</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4"/>
              <w:gridCol w:w="2992"/>
              <w:gridCol w:w="763"/>
            </w:tblGrid>
            <w:tr w14:paraId="1512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9" w:type="dxa"/>
                  <w:vAlign w:val="center"/>
                </w:tcPr>
                <w:p w14:paraId="2CD15F3B">
                  <w:pPr>
                    <w:autoSpaceDE w:val="0"/>
                    <w:autoSpaceDN w:val="0"/>
                    <w:adjustRightInd w:val="0"/>
                    <w:snapToGrid w:val="0"/>
                    <w:jc w:val="center"/>
                    <w:rPr>
                      <w:b/>
                      <w:bCs/>
                      <w:color w:val="auto"/>
                      <w:kern w:val="0"/>
                      <w:szCs w:val="21"/>
                      <w:highlight w:val="none"/>
                    </w:rPr>
                  </w:pPr>
                  <w:r>
                    <w:rPr>
                      <w:rFonts w:hint="eastAsia"/>
                      <w:b/>
                      <w:bCs/>
                      <w:color w:val="auto"/>
                      <w:kern w:val="0"/>
                      <w:szCs w:val="21"/>
                      <w:highlight w:val="none"/>
                    </w:rPr>
                    <w:t>文件内容</w:t>
                  </w:r>
                </w:p>
              </w:tc>
              <w:tc>
                <w:tcPr>
                  <w:tcW w:w="3045" w:type="dxa"/>
                  <w:vAlign w:val="center"/>
                </w:tcPr>
                <w:p w14:paraId="7D9E8CDA">
                  <w:pPr>
                    <w:autoSpaceDE w:val="0"/>
                    <w:autoSpaceDN w:val="0"/>
                    <w:adjustRightInd w:val="0"/>
                    <w:snapToGrid w:val="0"/>
                    <w:jc w:val="center"/>
                    <w:rPr>
                      <w:b/>
                      <w:bCs/>
                      <w:color w:val="auto"/>
                      <w:kern w:val="0"/>
                      <w:szCs w:val="21"/>
                      <w:highlight w:val="none"/>
                    </w:rPr>
                  </w:pPr>
                  <w:r>
                    <w:rPr>
                      <w:rFonts w:hint="eastAsia"/>
                      <w:b/>
                      <w:bCs/>
                      <w:color w:val="auto"/>
                      <w:kern w:val="0"/>
                      <w:szCs w:val="21"/>
                      <w:highlight w:val="none"/>
                    </w:rPr>
                    <w:t>相符性分析</w:t>
                  </w:r>
                </w:p>
              </w:tc>
              <w:tc>
                <w:tcPr>
                  <w:tcW w:w="783" w:type="dxa"/>
                  <w:vAlign w:val="center"/>
                </w:tcPr>
                <w:p w14:paraId="0103E124">
                  <w:pPr>
                    <w:autoSpaceDE w:val="0"/>
                    <w:autoSpaceDN w:val="0"/>
                    <w:adjustRightInd w:val="0"/>
                    <w:snapToGrid w:val="0"/>
                    <w:jc w:val="center"/>
                    <w:rPr>
                      <w:b/>
                      <w:bCs/>
                      <w:color w:val="auto"/>
                      <w:kern w:val="0"/>
                      <w:szCs w:val="21"/>
                      <w:highlight w:val="none"/>
                    </w:rPr>
                  </w:pPr>
                  <w:r>
                    <w:rPr>
                      <w:rFonts w:hint="eastAsia"/>
                      <w:b/>
                      <w:bCs/>
                      <w:color w:val="auto"/>
                      <w:kern w:val="0"/>
                      <w:szCs w:val="21"/>
                      <w:highlight w:val="none"/>
                    </w:rPr>
                    <w:t>符合性</w:t>
                  </w:r>
                </w:p>
              </w:tc>
            </w:tr>
            <w:tr w14:paraId="4434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9" w:type="dxa"/>
                  <w:vAlign w:val="center"/>
                </w:tcPr>
                <w:p w14:paraId="64D1EDBA">
                  <w:pPr>
                    <w:numPr>
                      <w:ilvl w:val="0"/>
                      <w:numId w:val="2"/>
                    </w:numPr>
                    <w:autoSpaceDE w:val="0"/>
                    <w:autoSpaceDN w:val="0"/>
                    <w:adjustRightInd w:val="0"/>
                    <w:snapToGrid w:val="0"/>
                    <w:jc w:val="both"/>
                    <w:rPr>
                      <w:rFonts w:hint="eastAsia"/>
                      <w:b/>
                      <w:bCs/>
                      <w:color w:val="auto"/>
                      <w:kern w:val="0"/>
                      <w:szCs w:val="21"/>
                      <w:highlight w:val="none"/>
                    </w:rPr>
                  </w:pPr>
                  <w:r>
                    <w:rPr>
                      <w:rFonts w:hint="eastAsia"/>
                      <w:b/>
                      <w:bCs/>
                      <w:color w:val="auto"/>
                      <w:kern w:val="0"/>
                      <w:szCs w:val="21"/>
                      <w:highlight w:val="none"/>
                    </w:rPr>
                    <w:t>优化产业结构</w:t>
                  </w:r>
                </w:p>
                <w:p w14:paraId="76C63770">
                  <w:pPr>
                    <w:numPr>
                      <w:ilvl w:val="0"/>
                      <w:numId w:val="0"/>
                    </w:numPr>
                    <w:autoSpaceDE w:val="0"/>
                    <w:autoSpaceDN w:val="0"/>
                    <w:adjustRightInd w:val="0"/>
                    <w:snapToGrid w:val="0"/>
                    <w:jc w:val="both"/>
                    <w:rPr>
                      <w:rFonts w:hint="eastAsia"/>
                      <w:b/>
                      <w:bCs/>
                      <w:color w:val="auto"/>
                      <w:kern w:val="0"/>
                      <w:szCs w:val="21"/>
                      <w:highlight w:val="none"/>
                    </w:rPr>
                  </w:pPr>
                  <w:r>
                    <w:rPr>
                      <w:rFonts w:hint="eastAsia"/>
                      <w:b w:val="0"/>
                      <w:bCs w:val="0"/>
                      <w:color w:val="auto"/>
                      <w:kern w:val="0"/>
                      <w:szCs w:val="21"/>
                      <w:highlight w:val="none"/>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w:t>
                  </w:r>
                </w:p>
              </w:tc>
              <w:tc>
                <w:tcPr>
                  <w:tcW w:w="3045" w:type="dxa"/>
                  <w:vAlign w:val="center"/>
                </w:tcPr>
                <w:p w14:paraId="7845B61C">
                  <w:pPr>
                    <w:autoSpaceDE w:val="0"/>
                    <w:autoSpaceDN w:val="0"/>
                    <w:adjustRightInd w:val="0"/>
                    <w:snapToGrid w:val="0"/>
                    <w:jc w:val="left"/>
                    <w:rPr>
                      <w:rFonts w:hint="default"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本项目不属于</w:t>
                  </w:r>
                  <w:r>
                    <w:rPr>
                      <w:rFonts w:hint="eastAsia"/>
                      <w:b w:val="0"/>
                      <w:bCs w:val="0"/>
                      <w:color w:val="auto"/>
                      <w:kern w:val="0"/>
                      <w:szCs w:val="21"/>
                      <w:highlight w:val="none"/>
                    </w:rPr>
                    <w:t>“两高一低”项目</w:t>
                  </w:r>
                  <w:r>
                    <w:rPr>
                      <w:rFonts w:hint="eastAsia"/>
                      <w:b w:val="0"/>
                      <w:bCs w:val="0"/>
                      <w:color w:val="auto"/>
                      <w:kern w:val="0"/>
                      <w:szCs w:val="21"/>
                      <w:highlight w:val="none"/>
                      <w:lang w:eastAsia="zh-CN"/>
                    </w:rPr>
                    <w:t>，</w:t>
                  </w:r>
                  <w:r>
                    <w:rPr>
                      <w:rFonts w:hint="eastAsia"/>
                      <w:color w:val="auto"/>
                      <w:kern w:val="0"/>
                      <w:szCs w:val="21"/>
                      <w:highlight w:val="none"/>
                    </w:rPr>
                    <w:t>属于《产业结构调整指导目录（2024年本）》中的</w:t>
                  </w:r>
                  <w:r>
                    <w:rPr>
                      <w:rFonts w:hint="eastAsia"/>
                      <w:color w:val="auto"/>
                      <w:kern w:val="0"/>
                      <w:szCs w:val="21"/>
                      <w:highlight w:val="none"/>
                      <w:lang w:val="en-US" w:eastAsia="zh-CN"/>
                    </w:rPr>
                    <w:t>鼓励</w:t>
                  </w:r>
                  <w:r>
                    <w:rPr>
                      <w:rFonts w:hint="eastAsia"/>
                      <w:color w:val="auto"/>
                      <w:kern w:val="0"/>
                      <w:szCs w:val="21"/>
                      <w:highlight w:val="none"/>
                    </w:rPr>
                    <w:t>类建设项目，符合国家产业政策。根据上文分析，项目建设符合</w:t>
                  </w:r>
                  <w:r>
                    <w:rPr>
                      <w:rFonts w:hint="eastAsia"/>
                      <w:color w:val="auto"/>
                      <w:kern w:val="0"/>
                      <w:szCs w:val="21"/>
                      <w:highlight w:val="none"/>
                      <w:lang w:eastAsia="zh-CN"/>
                    </w:rPr>
                    <w:t>“</w:t>
                  </w:r>
                  <w:r>
                    <w:rPr>
                      <w:rFonts w:hint="eastAsia"/>
                      <w:color w:val="auto"/>
                      <w:kern w:val="0"/>
                      <w:szCs w:val="21"/>
                      <w:highlight w:val="none"/>
                      <w:lang w:val="en-US" w:eastAsia="zh-CN"/>
                    </w:rPr>
                    <w:t>三线一单</w:t>
                  </w:r>
                  <w:r>
                    <w:rPr>
                      <w:rFonts w:hint="eastAsia"/>
                      <w:color w:val="auto"/>
                      <w:kern w:val="0"/>
                      <w:szCs w:val="21"/>
                      <w:highlight w:val="none"/>
                      <w:lang w:eastAsia="zh-CN"/>
                    </w:rPr>
                    <w:t>”生态环境分区管控</w:t>
                  </w:r>
                  <w:r>
                    <w:rPr>
                      <w:rFonts w:hint="eastAsia"/>
                      <w:color w:val="auto"/>
                      <w:kern w:val="0"/>
                      <w:szCs w:val="21"/>
                      <w:highlight w:val="none"/>
                      <w:lang w:val="en-US" w:eastAsia="zh-CN"/>
                    </w:rPr>
                    <w:t>要求</w:t>
                  </w:r>
                  <w:r>
                    <w:rPr>
                      <w:rFonts w:hint="eastAsia"/>
                      <w:color w:val="auto"/>
                      <w:kern w:val="0"/>
                      <w:szCs w:val="21"/>
                      <w:highlight w:val="none"/>
                    </w:rPr>
                    <w:t>。</w:t>
                  </w:r>
                  <w:r>
                    <w:rPr>
                      <w:rFonts w:hint="eastAsia"/>
                      <w:color w:val="auto"/>
                      <w:kern w:val="0"/>
                      <w:szCs w:val="21"/>
                      <w:highlight w:val="none"/>
                      <w:lang w:val="en-US" w:eastAsia="zh-CN"/>
                    </w:rPr>
                    <w:t>项目建成后，出水达到《城镇污水处理厂污染物排放标准》（GB18918-2002）中一级A 标准及《城市污水再生利用 城市杂用水水质》（GB/T18920-2020）中城市绿化水质标准，</w:t>
                  </w:r>
                  <w:r>
                    <w:rPr>
                      <w:rFonts w:hint="eastAsia" w:cs="Times New Roman"/>
                      <w:color w:val="auto"/>
                      <w:kern w:val="2"/>
                      <w:sz w:val="21"/>
                      <w:szCs w:val="21"/>
                      <w:highlight w:val="none"/>
                      <w:lang w:val="en-US" w:eastAsia="zh-CN" w:bidi="ar-SA"/>
                    </w:rPr>
                    <w:t>回用于</w:t>
                  </w:r>
                  <w:r>
                    <w:rPr>
                      <w:rFonts w:hint="eastAsia"/>
                      <w:color w:val="auto"/>
                      <w:kern w:val="0"/>
                      <w:szCs w:val="21"/>
                      <w:highlight w:val="none"/>
                      <w:lang w:val="en-US" w:eastAsia="zh-CN"/>
                    </w:rPr>
                    <w:t>场区绿化灌溉，废水不外排，浓缩液将不再回灌于垃圾填埋场，减少了污染物的排放。</w:t>
                  </w:r>
                </w:p>
              </w:tc>
              <w:tc>
                <w:tcPr>
                  <w:tcW w:w="783" w:type="dxa"/>
                  <w:vAlign w:val="center"/>
                </w:tcPr>
                <w:p w14:paraId="750CE4C8">
                  <w:pPr>
                    <w:autoSpaceDE w:val="0"/>
                    <w:autoSpaceDN w:val="0"/>
                    <w:adjustRightInd w:val="0"/>
                    <w:snapToGrid w:val="0"/>
                    <w:jc w:val="center"/>
                    <w:rPr>
                      <w:rFonts w:hint="eastAsia"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符合</w:t>
                  </w:r>
                </w:p>
              </w:tc>
            </w:tr>
            <w:tr w14:paraId="32DE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9" w:type="dxa"/>
                  <w:vAlign w:val="center"/>
                </w:tcPr>
                <w:p w14:paraId="2777EF30">
                  <w:pPr>
                    <w:numPr>
                      <w:ilvl w:val="0"/>
                      <w:numId w:val="0"/>
                    </w:numPr>
                    <w:autoSpaceDE w:val="0"/>
                    <w:autoSpaceDN w:val="0"/>
                    <w:adjustRightInd w:val="0"/>
                    <w:snapToGrid w:val="0"/>
                    <w:jc w:val="both"/>
                    <w:rPr>
                      <w:rFonts w:hint="eastAsia"/>
                      <w:b/>
                      <w:bCs/>
                      <w:color w:val="auto"/>
                      <w:kern w:val="0"/>
                      <w:szCs w:val="21"/>
                      <w:highlight w:val="none"/>
                    </w:rPr>
                  </w:pPr>
                  <w:r>
                    <w:rPr>
                      <w:rFonts w:hint="eastAsia"/>
                      <w:b/>
                      <w:bCs/>
                      <w:color w:val="auto"/>
                      <w:kern w:val="0"/>
                      <w:szCs w:val="21"/>
                      <w:highlight w:val="none"/>
                      <w:lang w:val="en-US" w:eastAsia="zh-CN"/>
                    </w:rPr>
                    <w:t>六、</w:t>
                  </w:r>
                  <w:r>
                    <w:rPr>
                      <w:rFonts w:hint="eastAsia"/>
                      <w:b/>
                      <w:bCs/>
                      <w:color w:val="auto"/>
                      <w:kern w:val="0"/>
                      <w:szCs w:val="21"/>
                      <w:highlight w:val="none"/>
                    </w:rPr>
                    <w:t>强化多污染物减排</w:t>
                  </w:r>
                </w:p>
                <w:p w14:paraId="519404B0">
                  <w:pPr>
                    <w:numPr>
                      <w:ilvl w:val="0"/>
                      <w:numId w:val="0"/>
                    </w:numPr>
                    <w:autoSpaceDE w:val="0"/>
                    <w:autoSpaceDN w:val="0"/>
                    <w:adjustRightInd w:val="0"/>
                    <w:snapToGrid w:val="0"/>
                    <w:jc w:val="both"/>
                    <w:rPr>
                      <w:rFonts w:hint="eastAsia"/>
                      <w:b w:val="0"/>
                      <w:bCs w:val="0"/>
                      <w:color w:val="auto"/>
                      <w:kern w:val="0"/>
                      <w:szCs w:val="21"/>
                      <w:highlight w:val="none"/>
                    </w:rPr>
                  </w:pPr>
                  <w:r>
                    <w:rPr>
                      <w:rFonts w:hint="eastAsia"/>
                      <w:b w:val="0"/>
                      <w:bCs w:val="0"/>
                      <w:color w:val="auto"/>
                      <w:kern w:val="0"/>
                      <w:szCs w:val="21"/>
                      <w:highlight w:val="none"/>
                    </w:rPr>
                    <w:t>（十九）深入治理餐饮油烟和恶臭异味。严格居民楼附近餐饮服务单位布局管理。拟开设餐饮服务单位的建筑应设计建设专用烟道。加强对恶臭异味扰民问题的排查整治，投诉集中的工业园区、重点企业要安装运行在线监测系统。因地制宜解决人民群众反映集中的露天烧烤、油烟及恶臭异味扰民问题。</w:t>
                  </w:r>
                </w:p>
              </w:tc>
              <w:tc>
                <w:tcPr>
                  <w:tcW w:w="3045" w:type="dxa"/>
                  <w:vAlign w:val="center"/>
                </w:tcPr>
                <w:p w14:paraId="76A32E6E">
                  <w:pPr>
                    <w:autoSpaceDE w:val="0"/>
                    <w:autoSpaceDN w:val="0"/>
                    <w:adjustRightInd w:val="0"/>
                    <w:snapToGrid w:val="0"/>
                    <w:jc w:val="center"/>
                    <w:rPr>
                      <w:rFonts w:hint="default"/>
                      <w:b w:val="0"/>
                      <w:bCs w:val="0"/>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项目渗滤液处理过程中产生的恶臭气体采用负压管道收集+化学洗涤</w:t>
                  </w:r>
                  <w:r>
                    <w:rPr>
                      <w:rFonts w:hint="eastAsia" w:ascii="Times New Roman" w:cs="Times New Roman" w:eastAsiaTheme="minorEastAsia"/>
                      <w:color w:val="auto"/>
                      <w:sz w:val="21"/>
                      <w:szCs w:val="21"/>
                      <w:highlight w:val="none"/>
                      <w:lang w:val="en-US" w:eastAsia="zh-CN"/>
                    </w:rPr>
                    <w:t>塔处理后外排</w:t>
                  </w:r>
                  <w:r>
                    <w:rPr>
                      <w:rFonts w:hint="eastAsia" w:ascii="Times New Roman" w:cs="Times New Roman"/>
                      <w:color w:val="auto"/>
                      <w:sz w:val="21"/>
                      <w:szCs w:val="21"/>
                      <w:highlight w:val="none"/>
                      <w:vertAlign w:val="baseline"/>
                      <w:lang w:val="en-US" w:eastAsia="zh-CN"/>
                    </w:rPr>
                    <w:t>，采取的废气治理技术为可行技术，</w:t>
                  </w:r>
                  <w:r>
                    <w:rPr>
                      <w:rFonts w:hint="default" w:ascii="Times New Roman" w:hAnsi="Times New Roman" w:eastAsia="宋体" w:cs="Times New Roman"/>
                      <w:color w:val="auto"/>
                      <w:sz w:val="21"/>
                      <w:szCs w:val="21"/>
                      <w:highlight w:val="none"/>
                      <w:vertAlign w:val="baseline"/>
                      <w:lang w:val="en-US" w:eastAsia="zh-CN"/>
                    </w:rPr>
                    <w:t>能够保证废气达标排放</w:t>
                  </w:r>
                  <w:r>
                    <w:rPr>
                      <w:color w:val="auto"/>
                      <w:sz w:val="21"/>
                      <w:szCs w:val="21"/>
                      <w:highlight w:val="none"/>
                    </w:rPr>
                    <w:t>，不会对区域大气环境质量造成影响</w:t>
                  </w:r>
                  <w:r>
                    <w:rPr>
                      <w:rFonts w:hint="default" w:ascii="Times New Roman" w:hAnsi="Times New Roman" w:cs="Times New Roman"/>
                      <w:color w:val="auto"/>
                      <w:sz w:val="21"/>
                      <w:szCs w:val="21"/>
                      <w:highlight w:val="none"/>
                      <w:lang w:val="en-US" w:eastAsia="zh-CN"/>
                    </w:rPr>
                    <w:t>。</w:t>
                  </w:r>
                </w:p>
              </w:tc>
              <w:tc>
                <w:tcPr>
                  <w:tcW w:w="783" w:type="dxa"/>
                  <w:vAlign w:val="center"/>
                </w:tcPr>
                <w:p w14:paraId="1BE23E61">
                  <w:pPr>
                    <w:autoSpaceDE w:val="0"/>
                    <w:autoSpaceDN w:val="0"/>
                    <w:adjustRightInd w:val="0"/>
                    <w:snapToGrid w:val="0"/>
                    <w:jc w:val="center"/>
                    <w:rPr>
                      <w:rFonts w:hint="default"/>
                      <w:b w:val="0"/>
                      <w:bCs w:val="0"/>
                      <w:color w:val="auto"/>
                      <w:kern w:val="0"/>
                      <w:szCs w:val="21"/>
                      <w:highlight w:val="none"/>
                      <w:lang w:val="en-US" w:eastAsia="zh-CN"/>
                    </w:rPr>
                  </w:pPr>
                  <w:r>
                    <w:rPr>
                      <w:rFonts w:hint="eastAsia"/>
                      <w:b w:val="0"/>
                      <w:bCs w:val="0"/>
                      <w:color w:val="auto"/>
                      <w:kern w:val="0"/>
                      <w:szCs w:val="21"/>
                      <w:highlight w:val="none"/>
                      <w:lang w:val="en-US" w:eastAsia="zh-CN"/>
                    </w:rPr>
                    <w:t>符合</w:t>
                  </w:r>
                </w:p>
              </w:tc>
            </w:tr>
            <w:tr w14:paraId="37FC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7" w:type="dxa"/>
                  <w:gridSpan w:val="3"/>
                  <w:vAlign w:val="center"/>
                </w:tcPr>
                <w:p w14:paraId="7EF5A880">
                  <w:pPr>
                    <w:autoSpaceDE w:val="0"/>
                    <w:autoSpaceDN w:val="0"/>
                    <w:adjustRightInd w:val="0"/>
                    <w:snapToGrid w:val="0"/>
                    <w:jc w:val="left"/>
                    <w:rPr>
                      <w:color w:val="auto"/>
                      <w:kern w:val="0"/>
                      <w:szCs w:val="21"/>
                      <w:highlight w:val="none"/>
                    </w:rPr>
                  </w:pPr>
                  <w:r>
                    <w:rPr>
                      <w:b/>
                      <w:color w:val="auto"/>
                      <w:szCs w:val="21"/>
                      <w:highlight w:val="none"/>
                    </w:rPr>
                    <w:t>备注：其它与项目无关项未列入</w:t>
                  </w:r>
                  <w:r>
                    <w:rPr>
                      <w:rFonts w:hint="eastAsia"/>
                      <w:b/>
                      <w:color w:val="auto"/>
                      <w:szCs w:val="21"/>
                      <w:highlight w:val="none"/>
                    </w:rPr>
                    <w:t>。</w:t>
                  </w:r>
                </w:p>
              </w:tc>
            </w:tr>
          </w:tbl>
          <w:p w14:paraId="74F231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bCs/>
                <w:color w:val="auto"/>
                <w:sz w:val="24"/>
                <w:szCs w:val="24"/>
                <w:highlight w:val="none"/>
                <w:lang w:val="en-US" w:eastAsia="zh-CN"/>
              </w:rPr>
            </w:pPr>
            <w:r>
              <w:rPr>
                <w:color w:val="auto"/>
                <w:sz w:val="24"/>
                <w:highlight w:val="none"/>
              </w:rPr>
              <w:t>根据上表</w:t>
            </w:r>
            <w:r>
              <w:rPr>
                <w:rFonts w:hint="eastAsia"/>
                <w:color w:val="auto"/>
                <w:sz w:val="24"/>
                <w:highlight w:val="none"/>
                <w:lang w:val="en-US" w:eastAsia="zh-CN"/>
              </w:rPr>
              <w:t>可知</w:t>
            </w:r>
            <w:r>
              <w:rPr>
                <w:color w:val="auto"/>
                <w:sz w:val="24"/>
                <w:highlight w:val="none"/>
              </w:rPr>
              <w:t>，项目</w:t>
            </w:r>
            <w:r>
              <w:rPr>
                <w:rFonts w:hint="eastAsia"/>
                <w:color w:val="auto"/>
                <w:sz w:val="24"/>
                <w:highlight w:val="none"/>
              </w:rPr>
              <w:t>与《</w:t>
            </w:r>
            <w:r>
              <w:rPr>
                <w:rFonts w:hint="eastAsia"/>
                <w:color w:val="auto"/>
                <w:sz w:val="24"/>
                <w:highlight w:val="none"/>
                <w:lang w:val="en-US" w:eastAsia="zh-CN"/>
              </w:rPr>
              <w:t>云南省</w:t>
            </w:r>
            <w:r>
              <w:rPr>
                <w:rFonts w:hint="eastAsia"/>
                <w:color w:val="auto"/>
                <w:sz w:val="24"/>
                <w:highlight w:val="none"/>
              </w:rPr>
              <w:t>空气质量持续改善行动</w:t>
            </w:r>
            <w:r>
              <w:rPr>
                <w:rFonts w:hint="eastAsia"/>
                <w:color w:val="auto"/>
                <w:sz w:val="24"/>
                <w:highlight w:val="none"/>
                <w:lang w:val="en-US" w:eastAsia="zh-CN"/>
              </w:rPr>
              <w:t>实施方案</w:t>
            </w:r>
            <w:r>
              <w:rPr>
                <w:rFonts w:hint="eastAsia"/>
                <w:color w:val="auto"/>
                <w:sz w:val="24"/>
                <w:highlight w:val="none"/>
              </w:rPr>
              <w:t>》（云政发〔2024〕14号）</w:t>
            </w:r>
            <w:r>
              <w:rPr>
                <w:rFonts w:hint="eastAsia"/>
                <w:color w:val="auto"/>
                <w:sz w:val="24"/>
                <w:highlight w:val="none"/>
                <w:lang w:val="en-US" w:eastAsia="zh-CN"/>
              </w:rPr>
              <w:t>中</w:t>
            </w:r>
            <w:r>
              <w:rPr>
                <w:color w:val="auto"/>
                <w:sz w:val="24"/>
                <w:highlight w:val="none"/>
              </w:rPr>
              <w:t>相关要求</w:t>
            </w:r>
            <w:r>
              <w:rPr>
                <w:rFonts w:hint="eastAsia"/>
                <w:color w:val="auto"/>
                <w:sz w:val="24"/>
                <w:highlight w:val="none"/>
                <w:lang w:val="en-US" w:eastAsia="zh-CN"/>
              </w:rPr>
              <w:t>相符</w:t>
            </w:r>
            <w:r>
              <w:rPr>
                <w:color w:val="auto"/>
                <w:sz w:val="24"/>
                <w:highlight w:val="none"/>
              </w:rPr>
              <w:t>。</w:t>
            </w:r>
          </w:p>
          <w:p w14:paraId="6F4E7115">
            <w:pPr>
              <w:autoSpaceDE w:val="0"/>
              <w:autoSpaceDN w:val="0"/>
              <w:adjustRightInd w:val="0"/>
              <w:snapToGrid w:val="0"/>
              <w:spacing w:line="360" w:lineRule="auto"/>
              <w:jc w:val="left"/>
              <w:rPr>
                <w:b/>
                <w:bCs/>
                <w:color w:val="auto"/>
                <w:kern w:val="0"/>
                <w:sz w:val="24"/>
                <w:highlight w:val="none"/>
              </w:rPr>
            </w:pPr>
            <w:r>
              <w:rPr>
                <w:rFonts w:hint="eastAsia"/>
                <w:b/>
                <w:bCs/>
                <w:color w:val="auto"/>
                <w:sz w:val="24"/>
                <w:szCs w:val="24"/>
                <w:highlight w:val="none"/>
                <w:lang w:val="en-US" w:eastAsia="zh-CN"/>
              </w:rPr>
              <w:t>6、</w:t>
            </w:r>
            <w:r>
              <w:rPr>
                <w:rFonts w:hint="eastAsia"/>
                <w:b/>
                <w:bCs/>
                <w:color w:val="auto"/>
                <w:kern w:val="0"/>
                <w:sz w:val="24"/>
                <w:highlight w:val="none"/>
              </w:rPr>
              <w:t>与《</w:t>
            </w:r>
            <w:r>
              <w:rPr>
                <w:rFonts w:hint="eastAsia"/>
                <w:b/>
                <w:bCs/>
                <w:color w:val="auto"/>
                <w:kern w:val="0"/>
                <w:sz w:val="24"/>
                <w:highlight w:val="none"/>
                <w:lang w:val="en-US" w:eastAsia="zh-CN"/>
              </w:rPr>
              <w:t>云南省土壤、地下水污染防治“十四五”规划</w:t>
            </w:r>
            <w:r>
              <w:rPr>
                <w:rFonts w:hint="eastAsia"/>
                <w:b/>
                <w:bCs/>
                <w:color w:val="auto"/>
                <w:kern w:val="0"/>
                <w:sz w:val="24"/>
                <w:highlight w:val="none"/>
              </w:rPr>
              <w:t>》的符合性分析</w:t>
            </w:r>
          </w:p>
          <w:p w14:paraId="3032A0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 xml:space="preserve">2022年7月27日，云南省生态环境厅会同省发改委、省财政厅、省自然资源厅、 住房城乡建设厅、省水利厅、省农业农村厅等部门共同印发了“关于印发《云南省土壤、地下水污染防治“十四五”规划》的通知”(云环通[2022]120号)：①严格建设项目土壤环境影响评价制度。对涉及有毒有害物质可能造成土壤污染的新(改、扩)建项目，依法进行环境影响评价，提出并落实防腐蚀、防渗漏、防遗撒等土壤污染防治具体措施。建设项目配套建设的土壤污染防治设施，应当与主体工程同时设计、同时施工、同时投入使用。②强化土壤污染重点监管单位的环境监管。以有色金属矿和黑色金属矿采选、有色金属和黑色金属冶炼、石油加工、化学原料和化学制品制造、焦化、医药制造、制革、电镀、铅蓄电池制造、印染、危险废物利用及处置等行业中纳入排污许可重点管理的企业事业单位为重点，动态更新土壤污染重点监管单位名录，完善云南省土壤污染重点监管单位综合监管信息化平台，监督土壤污染重点监管单位全面落实土壤污染防治义务。③推动实施绿色化提标改造。鼓励土壤污染重点监管单位因地制宜采用管道化、密闭化改造，重点区域、重点设施设备防腐蚀防渗漏改造，以及物料污水、废气管线架空建设和改造。④落实地下水防渗和监测措施。督促“一企一库”、“两场两区”采取防渗漏措施，按要求建设地下水环境监测井，开展地下水环境自行监测。指导地下水污染防治重点排污单位优先开展地下水污染渗漏排查，针对存在问题的设施，采取污染防渗改造措施。省级生态环境部门组织开展地下水污染防治重点排污单位周边地下水环境监测。 </w:t>
            </w:r>
          </w:p>
          <w:p w14:paraId="293064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由于生活垃圾渗滤液浓度高，水质复杂，若处理设施及现有渗滤液调节池发生泄漏进入项目附近土壤，对地下水、土壤环境质量将造成影响。</w:t>
            </w:r>
            <w:r>
              <w:rPr>
                <w:rFonts w:hint="eastAsia"/>
                <w:color w:val="auto"/>
                <w:sz w:val="24"/>
                <w:highlight w:val="none"/>
              </w:rPr>
              <w:t>根据项目初步设计方案，项目建设对全量化处理站各构筑物采取重点</w:t>
            </w:r>
            <w:r>
              <w:rPr>
                <w:color w:val="auto"/>
                <w:sz w:val="24"/>
                <w:highlight w:val="none"/>
              </w:rPr>
              <w:t>防渗处理，</w:t>
            </w:r>
            <w:r>
              <w:rPr>
                <w:rFonts w:hint="eastAsia"/>
                <w:color w:val="auto"/>
                <w:sz w:val="24"/>
                <w:highlight w:val="none"/>
                <w:lang w:val="en-US" w:eastAsia="zh-CN"/>
              </w:rPr>
              <w:t>现有调节池已采取HDPE膜+混凝土浇筑进行防渗处理，</w:t>
            </w:r>
            <w:r>
              <w:rPr>
                <w:color w:val="auto"/>
                <w:sz w:val="24"/>
                <w:highlight w:val="none"/>
              </w:rPr>
              <w:t>可有效防止废水渗漏，不会通过地表水和地下水的水力联系而进入</w:t>
            </w:r>
            <w:r>
              <w:rPr>
                <w:rFonts w:hint="eastAsia"/>
                <w:color w:val="auto"/>
                <w:sz w:val="24"/>
                <w:highlight w:val="none"/>
                <w:lang w:val="en-US" w:eastAsia="zh-CN"/>
              </w:rPr>
              <w:t>土壤</w:t>
            </w:r>
            <w:r>
              <w:rPr>
                <w:rFonts w:hint="eastAsia"/>
                <w:color w:val="auto"/>
                <w:sz w:val="24"/>
                <w:highlight w:val="none"/>
                <w:lang w:eastAsia="zh-CN"/>
              </w:rPr>
              <w:t>、</w:t>
            </w:r>
            <w:r>
              <w:rPr>
                <w:color w:val="auto"/>
                <w:sz w:val="24"/>
                <w:highlight w:val="none"/>
              </w:rPr>
              <w:t>地下水从而引起地下水水质的变化，对地下水</w:t>
            </w:r>
            <w:r>
              <w:rPr>
                <w:rFonts w:hint="eastAsia"/>
                <w:color w:val="auto"/>
                <w:sz w:val="24"/>
                <w:highlight w:val="none"/>
                <w:lang w:eastAsia="zh-CN"/>
              </w:rPr>
              <w:t>、</w:t>
            </w:r>
            <w:r>
              <w:rPr>
                <w:rFonts w:hint="eastAsia"/>
                <w:color w:val="auto"/>
                <w:sz w:val="24"/>
                <w:highlight w:val="none"/>
                <w:lang w:val="en-US" w:eastAsia="zh-CN"/>
              </w:rPr>
              <w:t>土壤</w:t>
            </w:r>
            <w:r>
              <w:rPr>
                <w:color w:val="auto"/>
                <w:sz w:val="24"/>
                <w:highlight w:val="none"/>
              </w:rPr>
              <w:t>环境影响较小。</w:t>
            </w:r>
            <w:r>
              <w:rPr>
                <w:rFonts w:hint="eastAsia"/>
                <w:color w:val="auto"/>
                <w:sz w:val="24"/>
                <w:highlight w:val="none"/>
                <w:lang w:val="en-US" w:eastAsia="zh-CN"/>
              </w:rPr>
              <w:t xml:space="preserve">本次评价中的“运营期地下水、土壤环境影响和保护措施”章节已针对本项目划分出了重点防渗区、一般防渗区和简单防渗区，同时提出了运营期监测计划，能够有效的防止土壤、地下水受到污染。 </w:t>
            </w:r>
          </w:p>
          <w:p w14:paraId="09F0CE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lang w:val="en-US" w:eastAsia="zh-CN"/>
              </w:rPr>
              <w:t>综上，本次拟建项目的建设符合《云南省土壤、地下水污染防治“十四五”规划》的相关要求。</w:t>
            </w:r>
          </w:p>
          <w:p w14:paraId="4F7550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7、与</w:t>
            </w:r>
            <w:bookmarkStart w:id="10" w:name="_Hlk183098246"/>
            <w:r>
              <w:rPr>
                <w:rFonts w:hint="eastAsia"/>
                <w:b/>
                <w:bCs/>
                <w:color w:val="auto"/>
                <w:sz w:val="24"/>
                <w:szCs w:val="24"/>
                <w:highlight w:val="none"/>
                <w:lang w:val="en-US" w:eastAsia="zh-CN"/>
              </w:rPr>
              <w:t>《云南省工业固体废物和重金属污染防治“十四五”规划》</w:t>
            </w:r>
            <w:bookmarkEnd w:id="10"/>
            <w:r>
              <w:rPr>
                <w:rFonts w:hint="eastAsia"/>
                <w:b/>
                <w:bCs/>
                <w:color w:val="auto"/>
                <w:sz w:val="24"/>
                <w:szCs w:val="24"/>
                <w:highlight w:val="none"/>
                <w:lang w:val="en-US" w:eastAsia="zh-CN"/>
              </w:rPr>
              <w:t>符合性分析</w:t>
            </w:r>
          </w:p>
          <w:p w14:paraId="204D67C7">
            <w:pPr>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规划》提出：到2025年，集中解决一批威胁群众健康和环境安全的突出涉危涉重问题，固体废物和新污染物治理能力明显增强，稳步推进“无废城市”建设，建立健全源头严防、过程严管、后果严惩的危险废物监管体系。重点行业重点重金属污染物排放量比2020年下降7%。基本补齐医疗废物、危险废物收集处理设施短板，危险废物处置能力基本满足省域内实际处置需求，县级以上城市建成区医疗废物无害化处置率达到100%。 </w:t>
            </w:r>
          </w:p>
          <w:p w14:paraId="519389C6">
            <w:pPr>
              <w:spacing w:line="360" w:lineRule="auto"/>
              <w:ind w:firstLine="480" w:firstLineChars="200"/>
              <w:rPr>
                <w:rFonts w:hint="eastAsia"/>
                <w:b w:val="0"/>
                <w:bCs w:val="0"/>
                <w:color w:val="auto"/>
                <w:sz w:val="24"/>
                <w:highlight w:val="none"/>
              </w:rPr>
            </w:pPr>
            <w:r>
              <w:rPr>
                <w:rFonts w:hint="eastAsia"/>
                <w:b w:val="0"/>
                <w:bCs w:val="0"/>
                <w:color w:val="auto"/>
                <w:sz w:val="24"/>
                <w:highlight w:val="none"/>
                <w:lang w:val="en-US" w:eastAsia="zh-CN"/>
              </w:rPr>
              <w:t>本次拟建项目与《云南省工业固体废物和重金属污染防治“十四五”规划》符合性分析详见</w:t>
            </w:r>
            <w:r>
              <w:rPr>
                <w:rFonts w:hint="default" w:ascii="Times New Roman" w:hAnsi="Times New Roman" w:cs="Times New Roman"/>
                <w:b w:val="0"/>
                <w:bCs w:val="0"/>
                <w:color w:val="auto"/>
                <w:sz w:val="24"/>
                <w:highlight w:val="none"/>
                <w:lang w:val="en-US" w:eastAsia="zh-CN"/>
              </w:rPr>
              <w:t>表</w:t>
            </w:r>
            <w:r>
              <w:rPr>
                <w:rFonts w:hint="eastAsia" w:ascii="Times New Roman" w:hAnsi="Times New Roman" w:cs="Times New Roman"/>
                <w:b w:val="0"/>
                <w:bCs w:val="0"/>
                <w:color w:val="auto"/>
                <w:sz w:val="24"/>
                <w:highlight w:val="none"/>
                <w:lang w:val="en-US" w:eastAsia="zh-CN"/>
              </w:rPr>
              <w:t>1-8</w:t>
            </w:r>
            <w:r>
              <w:rPr>
                <w:rFonts w:hint="default" w:ascii="Times New Roman" w:hAnsi="Times New Roman" w:cs="Times New Roman"/>
                <w:b w:val="0"/>
                <w:bCs w:val="0"/>
                <w:color w:val="auto"/>
                <w:sz w:val="24"/>
                <w:highlight w:val="none"/>
                <w:lang w:val="en-US" w:eastAsia="zh-CN"/>
              </w:rPr>
              <w:t>。</w:t>
            </w:r>
          </w:p>
          <w:p w14:paraId="4E4C3F54">
            <w:pPr>
              <w:autoSpaceDE w:val="0"/>
              <w:autoSpaceDN w:val="0"/>
              <w:adjustRightInd w:val="0"/>
              <w:snapToGrid w:val="0"/>
              <w:spacing w:line="360" w:lineRule="auto"/>
              <w:jc w:val="center"/>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表</w:t>
            </w:r>
            <w:r>
              <w:rPr>
                <w:rFonts w:hint="eastAsia" w:ascii="Times New Roman" w:hAnsi="Times New Roman" w:eastAsia="宋体" w:cs="Times New Roman"/>
                <w:b/>
                <w:bCs/>
                <w:color w:val="auto"/>
                <w:kern w:val="0"/>
                <w:sz w:val="24"/>
                <w:highlight w:val="none"/>
                <w:lang w:val="en-US" w:eastAsia="zh-CN"/>
              </w:rPr>
              <w:t>1-8</w:t>
            </w:r>
            <w:r>
              <w:rPr>
                <w:rFonts w:hint="default" w:ascii="Times New Roman" w:hAnsi="Times New Roman" w:eastAsia="宋体" w:cs="Times New Roman"/>
                <w:b/>
                <w:bCs/>
                <w:color w:val="auto"/>
                <w:kern w:val="0"/>
                <w:sz w:val="24"/>
                <w:highlight w:val="none"/>
                <w:lang w:val="en-US" w:eastAsia="zh-CN"/>
              </w:rPr>
              <w:t xml:space="preserve"> 与《云南省工业固体废物和重金属污染防治“十四五”规划》符合性</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652"/>
              <w:gridCol w:w="9"/>
              <w:gridCol w:w="2080"/>
              <w:gridCol w:w="3074"/>
              <w:gridCol w:w="719"/>
            </w:tblGrid>
            <w:tr w14:paraId="6E48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gridSpan w:val="4"/>
                  <w:vAlign w:val="center"/>
                </w:tcPr>
                <w:p w14:paraId="07C38103">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规划相关要</w:t>
                  </w:r>
                </w:p>
              </w:tc>
              <w:tc>
                <w:tcPr>
                  <w:tcW w:w="3074" w:type="dxa"/>
                  <w:vAlign w:val="center"/>
                </w:tcPr>
                <w:p w14:paraId="454BE8C2">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本项目情况</w:t>
                  </w:r>
                </w:p>
              </w:tc>
              <w:tc>
                <w:tcPr>
                  <w:tcW w:w="719" w:type="dxa"/>
                  <w:vAlign w:val="center"/>
                </w:tcPr>
                <w:p w14:paraId="1BAEFA60">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符合性</w:t>
                  </w:r>
                </w:p>
              </w:tc>
            </w:tr>
            <w:tr w14:paraId="547F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Align w:val="center"/>
                </w:tcPr>
                <w:p w14:paraId="06BBF979">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强化工业固体废物源头管控</w:t>
                  </w:r>
                </w:p>
              </w:tc>
              <w:tc>
                <w:tcPr>
                  <w:tcW w:w="652" w:type="dxa"/>
                  <w:vAlign w:val="center"/>
                </w:tcPr>
                <w:p w14:paraId="6F3AC12C">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严格准入管理</w:t>
                  </w:r>
                </w:p>
              </w:tc>
              <w:tc>
                <w:tcPr>
                  <w:tcW w:w="2089" w:type="dxa"/>
                  <w:gridSpan w:val="2"/>
                  <w:vAlign w:val="center"/>
                </w:tcPr>
                <w:p w14:paraId="7BB053D8">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严格控制新建、扩建工业固体废物及危险废物产生量大、区 </w:t>
                  </w:r>
                </w:p>
                <w:p w14:paraId="70468A65">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域内难以有效综合利用、无害化处置能力不足、无配套利用处置设施的建设项目。将固体废物污染环境防治内容纳入环境影响评价文件，落实固体废物污染环境和破坏生态防治措施，将固体废物环境污染防治设施建设资金纳入投资概算。</w:t>
                  </w:r>
                </w:p>
              </w:tc>
              <w:tc>
                <w:tcPr>
                  <w:tcW w:w="3074" w:type="dxa"/>
                  <w:vAlign w:val="center"/>
                </w:tcPr>
                <w:p w14:paraId="15672584">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left"/>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产生的工业固体废物主要为砂滤泥砂、处理站运行过程中产生的消泡剂及阻垢剂包装桶、更换的反渗透膜、废离子交换树脂、固化渣。产生的砂滤泥砂集中收集运至二期填埋区填埋，二期填埋区封场后运至澄江市垃圾焚烧发电厂处理；处理站运行过程中产生的消泡剂及阻垢剂包装桶、更换的反渗透膜、废离子交换树脂由供货厂家进行维护更换处理；</w:t>
                  </w:r>
                  <w:r>
                    <w:rPr>
                      <w:b w:val="0"/>
                      <w:bCs w:val="0"/>
                      <w:color w:val="auto"/>
                      <w:kern w:val="24"/>
                      <w:szCs w:val="21"/>
                      <w:highlight w:val="none"/>
                    </w:rPr>
                    <w:t>待全量化处理设施运行后对固化渣进行固废属性鉴定</w:t>
                  </w:r>
                  <w:r>
                    <w:rPr>
                      <w:rFonts w:hint="eastAsia"/>
                      <w:b w:val="0"/>
                      <w:bCs w:val="0"/>
                      <w:color w:val="auto"/>
                      <w:kern w:val="24"/>
                      <w:szCs w:val="21"/>
                      <w:highlight w:val="none"/>
                      <w:lang w:eastAsia="zh-CN"/>
                    </w:rPr>
                    <w:t>，</w:t>
                  </w:r>
                  <w:r>
                    <w:rPr>
                      <w:b w:val="0"/>
                      <w:bCs w:val="0"/>
                      <w:color w:val="auto"/>
                      <w:kern w:val="24"/>
                      <w:szCs w:val="21"/>
                      <w:highlight w:val="none"/>
                    </w:rPr>
                    <w:t>经鉴定若为一般固体废物，满足《一般工业固体废物贮存和填埋污染控制标准》（GB18599-2020）</w:t>
                  </w:r>
                  <w:r>
                    <w:rPr>
                      <w:rFonts w:hint="eastAsia"/>
                      <w:b w:val="0"/>
                      <w:bCs w:val="0"/>
                      <w:color w:val="auto"/>
                      <w:kern w:val="24"/>
                      <w:szCs w:val="21"/>
                      <w:highlight w:val="none"/>
                      <w:lang w:eastAsia="zh-CN"/>
                    </w:rPr>
                    <w:t>、《</w:t>
                  </w:r>
                  <w:r>
                    <w:rPr>
                      <w:rFonts w:hint="eastAsia"/>
                      <w:b w:val="0"/>
                      <w:bCs w:val="0"/>
                      <w:color w:val="auto"/>
                      <w:kern w:val="24"/>
                      <w:szCs w:val="21"/>
                      <w:highlight w:val="none"/>
                      <w:lang w:val="en-US" w:eastAsia="zh-CN"/>
                    </w:rPr>
                    <w:t>生活垃圾填埋场污染控制标准</w:t>
                  </w:r>
                  <w:r>
                    <w:rPr>
                      <w:rFonts w:hint="eastAsia"/>
                      <w:b w:val="0"/>
                      <w:bCs w:val="0"/>
                      <w:color w:val="auto"/>
                      <w:kern w:val="24"/>
                      <w:szCs w:val="21"/>
                      <w:highlight w:val="none"/>
                      <w:lang w:eastAsia="zh-CN"/>
                    </w:rPr>
                    <w:t>》（</w:t>
                  </w:r>
                  <w:r>
                    <w:rPr>
                      <w:rFonts w:hint="eastAsia"/>
                      <w:b w:val="0"/>
                      <w:bCs w:val="0"/>
                      <w:color w:val="auto"/>
                      <w:kern w:val="24"/>
                      <w:szCs w:val="21"/>
                      <w:highlight w:val="none"/>
                      <w:lang w:val="en-US" w:eastAsia="zh-CN"/>
                    </w:rPr>
                    <w:t>GB16889-2024</w:t>
                  </w:r>
                  <w:r>
                    <w:rPr>
                      <w:rFonts w:hint="eastAsia"/>
                      <w:b w:val="0"/>
                      <w:bCs w:val="0"/>
                      <w:color w:val="auto"/>
                      <w:kern w:val="24"/>
                      <w:szCs w:val="21"/>
                      <w:highlight w:val="none"/>
                      <w:lang w:eastAsia="zh-CN"/>
                    </w:rPr>
                    <w:t>）</w:t>
                  </w:r>
                  <w:r>
                    <w:rPr>
                      <w:b w:val="0"/>
                      <w:bCs w:val="0"/>
                      <w:color w:val="auto"/>
                      <w:kern w:val="24"/>
                      <w:szCs w:val="21"/>
                      <w:highlight w:val="none"/>
                    </w:rPr>
                    <w:t>中填埋入场标准后进行填埋处置；若鉴定为危险废物则暂存于厂区固化渣暂存间内，及时委托有资质的单位进行处置。</w:t>
                  </w:r>
                  <w:r>
                    <w:rPr>
                      <w:rFonts w:hint="eastAsia"/>
                      <w:b w:val="0"/>
                      <w:bCs w:val="0"/>
                      <w:color w:val="auto"/>
                      <w:kern w:val="24"/>
                      <w:szCs w:val="21"/>
                      <w:highlight w:val="none"/>
                      <w:lang w:val="en-US" w:eastAsia="zh-CN"/>
                    </w:rPr>
                    <w:t>项目产生的工业固废均得到合理处置。项目</w:t>
                  </w:r>
                  <w:r>
                    <w:rPr>
                      <w:rFonts w:hint="eastAsia" w:ascii="Times New Roman" w:hAnsi="Times New Roman" w:eastAsia="宋体" w:cs="Times New Roman"/>
                      <w:b w:val="0"/>
                      <w:bCs w:val="0"/>
                      <w:color w:val="auto"/>
                      <w:sz w:val="21"/>
                      <w:szCs w:val="21"/>
                      <w:highlight w:val="none"/>
                      <w:lang w:val="en-US" w:eastAsia="zh-CN"/>
                    </w:rPr>
                    <w:t>固体废物污染环境防治内容已纳入本次环评报告，详见第四章“主要环境影响和保护措施—固体废物”章节。已将将固体废物环境污染防治设施建设资金纳入投资概算，详见表2-6项目环保投资估算一览表。</w:t>
                  </w:r>
                </w:p>
              </w:tc>
              <w:tc>
                <w:tcPr>
                  <w:tcW w:w="719" w:type="dxa"/>
                  <w:vAlign w:val="center"/>
                </w:tcPr>
                <w:p w14:paraId="5454EF9C">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r w14:paraId="6217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restart"/>
                  <w:vAlign w:val="center"/>
                </w:tcPr>
                <w:p w14:paraId="08635269">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推进工业固体废物污染防治</w:t>
                  </w:r>
                </w:p>
                <w:p w14:paraId="2C74EE1F">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61" w:type="dxa"/>
                  <w:gridSpan w:val="2"/>
                  <w:vAlign w:val="center"/>
                </w:tcPr>
                <w:p w14:paraId="6BD29D15">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宋体" w:hAnsi="宋体" w:eastAsia="宋体" w:cs="宋体"/>
                      <w:b w:val="0"/>
                      <w:bCs w:val="0"/>
                      <w:color w:val="auto"/>
                      <w:kern w:val="0"/>
                      <w:sz w:val="20"/>
                      <w:szCs w:val="20"/>
                      <w:highlight w:val="none"/>
                      <w:lang w:val="en-US" w:eastAsia="zh-CN" w:bidi="ar"/>
                    </w:rPr>
                    <w:t>加强环境管理</w:t>
                  </w:r>
                </w:p>
              </w:tc>
              <w:tc>
                <w:tcPr>
                  <w:tcW w:w="2080" w:type="dxa"/>
                  <w:vAlign w:val="center"/>
                </w:tcPr>
                <w:p w14:paraId="12C05ECE">
                  <w:pPr>
                    <w:keepNext w:val="0"/>
                    <w:keepLines w:val="0"/>
                    <w:widowControl/>
                    <w:suppressLineNumbers w:val="0"/>
                    <w:jc w:val="left"/>
                    <w:rPr>
                      <w:rFonts w:hint="default" w:ascii="Times New Roman" w:hAnsi="Times New Roman" w:eastAsia="宋体" w:cs="Times New Roman"/>
                      <w:b w:val="0"/>
                      <w:bCs w:val="0"/>
                      <w:color w:val="auto"/>
                      <w:sz w:val="21"/>
                      <w:szCs w:val="21"/>
                      <w:highlight w:val="none"/>
                      <w:lang w:val="en-US" w:eastAsia="zh-CN"/>
                    </w:rPr>
                  </w:pPr>
                  <w:r>
                    <w:rPr>
                      <w:rFonts w:hint="eastAsia" w:ascii="宋体" w:hAnsi="宋体" w:eastAsia="宋体" w:cs="宋体"/>
                      <w:b w:val="0"/>
                      <w:bCs w:val="0"/>
                      <w:color w:val="auto"/>
                      <w:kern w:val="0"/>
                      <w:sz w:val="20"/>
                      <w:szCs w:val="20"/>
                      <w:highlight w:val="none"/>
                      <w:lang w:val="en-US" w:eastAsia="zh-CN" w:bidi="ar"/>
                    </w:rPr>
                    <w:t>将工业固体废物纳入排污许可证管理，落实管理台账和申报制度，实现可追溯、可查询。</w:t>
                  </w:r>
                </w:p>
              </w:tc>
              <w:tc>
                <w:tcPr>
                  <w:tcW w:w="3074" w:type="dxa"/>
                  <w:vAlign w:val="center"/>
                </w:tcPr>
                <w:p w14:paraId="3A45378F">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本次评价项目在排污前需按《排污许可证管理办法》、排污许可证申请与核发技术规范等要求</w:t>
                  </w:r>
                  <w:r>
                    <w:rPr>
                      <w:rFonts w:hint="eastAsia" w:ascii="Times New Roman" w:hAnsi="Times New Roman" w:eastAsia="宋体" w:cs="Times New Roman"/>
                      <w:b w:val="0"/>
                      <w:bCs w:val="0"/>
                      <w:color w:val="auto"/>
                      <w:sz w:val="21"/>
                      <w:szCs w:val="21"/>
                      <w:highlight w:val="none"/>
                      <w:lang w:val="en-US" w:eastAsia="zh-CN"/>
                    </w:rPr>
                    <w:t>变更</w:t>
                  </w:r>
                  <w:r>
                    <w:rPr>
                      <w:rFonts w:hint="default" w:ascii="Times New Roman" w:hAnsi="Times New Roman" w:eastAsia="宋体" w:cs="Times New Roman"/>
                      <w:b w:val="0"/>
                      <w:bCs w:val="0"/>
                      <w:color w:val="auto"/>
                      <w:sz w:val="21"/>
                      <w:szCs w:val="21"/>
                      <w:highlight w:val="none"/>
                      <w:lang w:val="en-US" w:eastAsia="zh-CN"/>
                    </w:rPr>
                    <w:t>排污许可证，不得无证排污。项目运行后应按取得的排污许可证载明的要求规范记录环境管理台账，需记录的内容包括生产设施及污染防治设施的运行管理信息、监测记录信息及其它环境管理信息等内容。同时应按要求开展自行监测，按时提交执行报告。</w:t>
                  </w:r>
                </w:p>
              </w:tc>
              <w:tc>
                <w:tcPr>
                  <w:tcW w:w="719" w:type="dxa"/>
                  <w:vAlign w:val="center"/>
                </w:tcPr>
                <w:p w14:paraId="42100C4A">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r w14:paraId="37F9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vAlign w:val="center"/>
                </w:tcPr>
                <w:p w14:paraId="489C19F2">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61" w:type="dxa"/>
                  <w:gridSpan w:val="2"/>
                  <w:vAlign w:val="center"/>
                </w:tcPr>
                <w:p w14:paraId="4FF65E56">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宋体" w:hAnsi="宋体" w:eastAsia="宋体" w:cs="宋体"/>
                      <w:b w:val="0"/>
                      <w:bCs w:val="0"/>
                      <w:color w:val="auto"/>
                      <w:kern w:val="0"/>
                      <w:sz w:val="20"/>
                      <w:szCs w:val="20"/>
                      <w:highlight w:val="none"/>
                      <w:lang w:val="en-US" w:eastAsia="zh-CN" w:bidi="ar"/>
                    </w:rPr>
                    <w:t>巩固整治成效</w:t>
                  </w:r>
                </w:p>
              </w:tc>
              <w:tc>
                <w:tcPr>
                  <w:tcW w:w="2080" w:type="dxa"/>
                  <w:vAlign w:val="center"/>
                </w:tcPr>
                <w:p w14:paraId="6CBA449B">
                  <w:pPr>
                    <w:keepNext w:val="0"/>
                    <w:keepLines w:val="0"/>
                    <w:widowControl/>
                    <w:suppressLineNumbers w:val="0"/>
                    <w:jc w:val="left"/>
                    <w:rPr>
                      <w:rFonts w:hint="default" w:ascii="Times New Roman" w:hAnsi="Times New Roman" w:eastAsia="宋体" w:cs="Times New Roman"/>
                      <w:b w:val="0"/>
                      <w:bCs w:val="0"/>
                      <w:color w:val="auto"/>
                      <w:sz w:val="21"/>
                      <w:szCs w:val="21"/>
                      <w:highlight w:val="none"/>
                      <w:lang w:val="en-US" w:eastAsia="zh-CN"/>
                    </w:rPr>
                  </w:pPr>
                  <w:r>
                    <w:rPr>
                      <w:rFonts w:hint="eastAsia" w:ascii="宋体" w:hAnsi="宋体" w:eastAsia="宋体" w:cs="宋体"/>
                      <w:b w:val="0"/>
                      <w:bCs w:val="0"/>
                      <w:color w:val="auto"/>
                      <w:kern w:val="0"/>
                      <w:sz w:val="20"/>
                      <w:szCs w:val="20"/>
                      <w:highlight w:val="none"/>
                      <w:lang w:val="en-US" w:eastAsia="zh-CN" w:bidi="ar"/>
                    </w:rPr>
                    <w:t>持续开展工业固体废物堆场排查整治。巩固工业固体废物堆存场所环境整治成效，加快完善污染防治措施，加强环境监测，防范环境风险。</w:t>
                  </w:r>
                </w:p>
              </w:tc>
              <w:tc>
                <w:tcPr>
                  <w:tcW w:w="3074" w:type="dxa"/>
                  <w:vAlign w:val="center"/>
                </w:tcPr>
                <w:p w14:paraId="62A93BDE">
                  <w:pPr>
                    <w:keepNext w:val="0"/>
                    <w:keepLines w:val="0"/>
                    <w:widowControl/>
                    <w:suppressLineNumbers w:val="0"/>
                    <w:jc w:val="left"/>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产生的工业固体废物主要为砂滤泥砂、处理站运行过程中产生的消泡剂及阻垢剂包装桶、更换的反渗透膜、废离子交换树脂、固化渣。产生的砂滤泥砂集中收集运至二期填埋区填埋，二期填埋区封场后运至澄江市垃圾焚烧发电厂处理；处理站运行过程中产生的消泡剂及阻垢剂包装桶、更换的反渗透膜、废离子交换树脂由供货厂家进行维护更换处理；</w:t>
                  </w:r>
                  <w:r>
                    <w:rPr>
                      <w:b w:val="0"/>
                      <w:bCs w:val="0"/>
                      <w:color w:val="auto"/>
                      <w:kern w:val="24"/>
                      <w:szCs w:val="21"/>
                      <w:highlight w:val="none"/>
                    </w:rPr>
                    <w:t>待全量化处理设施运行后对固化渣进行固废属性鉴定</w:t>
                  </w:r>
                  <w:r>
                    <w:rPr>
                      <w:rFonts w:hint="eastAsia"/>
                      <w:b w:val="0"/>
                      <w:bCs w:val="0"/>
                      <w:color w:val="auto"/>
                      <w:kern w:val="24"/>
                      <w:szCs w:val="21"/>
                      <w:highlight w:val="none"/>
                      <w:lang w:eastAsia="zh-CN"/>
                    </w:rPr>
                    <w:t>，</w:t>
                  </w:r>
                  <w:r>
                    <w:rPr>
                      <w:b w:val="0"/>
                      <w:bCs w:val="0"/>
                      <w:color w:val="auto"/>
                      <w:kern w:val="24"/>
                      <w:szCs w:val="21"/>
                      <w:highlight w:val="none"/>
                    </w:rPr>
                    <w:t>经鉴定若为一般固体废物，满足《一般工业固体废物贮存和填埋污染控制标准》（GB18599-2020）</w:t>
                  </w:r>
                  <w:r>
                    <w:rPr>
                      <w:rFonts w:hint="eastAsia"/>
                      <w:b w:val="0"/>
                      <w:bCs w:val="0"/>
                      <w:color w:val="auto"/>
                      <w:kern w:val="24"/>
                      <w:szCs w:val="21"/>
                      <w:highlight w:val="none"/>
                      <w:lang w:eastAsia="zh-CN"/>
                    </w:rPr>
                    <w:t>、《</w:t>
                  </w:r>
                  <w:r>
                    <w:rPr>
                      <w:rFonts w:hint="eastAsia"/>
                      <w:b w:val="0"/>
                      <w:bCs w:val="0"/>
                      <w:color w:val="auto"/>
                      <w:kern w:val="24"/>
                      <w:szCs w:val="21"/>
                      <w:highlight w:val="none"/>
                      <w:lang w:val="en-US" w:eastAsia="zh-CN"/>
                    </w:rPr>
                    <w:t>生活垃圾填埋场污染控制标准</w:t>
                  </w:r>
                  <w:r>
                    <w:rPr>
                      <w:rFonts w:hint="eastAsia"/>
                      <w:b w:val="0"/>
                      <w:bCs w:val="0"/>
                      <w:color w:val="auto"/>
                      <w:kern w:val="24"/>
                      <w:szCs w:val="21"/>
                      <w:highlight w:val="none"/>
                      <w:lang w:eastAsia="zh-CN"/>
                    </w:rPr>
                    <w:t>》（</w:t>
                  </w:r>
                  <w:r>
                    <w:rPr>
                      <w:rFonts w:hint="eastAsia"/>
                      <w:b w:val="0"/>
                      <w:bCs w:val="0"/>
                      <w:color w:val="auto"/>
                      <w:kern w:val="24"/>
                      <w:szCs w:val="21"/>
                      <w:highlight w:val="none"/>
                      <w:lang w:val="en-US" w:eastAsia="zh-CN"/>
                    </w:rPr>
                    <w:t>GB16889-2024</w:t>
                  </w:r>
                  <w:r>
                    <w:rPr>
                      <w:rFonts w:hint="eastAsia"/>
                      <w:b w:val="0"/>
                      <w:bCs w:val="0"/>
                      <w:color w:val="auto"/>
                      <w:kern w:val="24"/>
                      <w:szCs w:val="21"/>
                      <w:highlight w:val="none"/>
                      <w:lang w:eastAsia="zh-CN"/>
                    </w:rPr>
                    <w:t>）</w:t>
                  </w:r>
                  <w:r>
                    <w:rPr>
                      <w:b w:val="0"/>
                      <w:bCs w:val="0"/>
                      <w:color w:val="auto"/>
                      <w:kern w:val="24"/>
                      <w:szCs w:val="21"/>
                      <w:highlight w:val="none"/>
                    </w:rPr>
                    <w:t>中填埋入场标准后进行填埋处置；若鉴定为危险废物则暂存于厂区固化渣暂存间内，及时委托有资质的单位进行处置。</w:t>
                  </w:r>
                  <w:r>
                    <w:rPr>
                      <w:rFonts w:hint="eastAsia"/>
                      <w:b w:val="0"/>
                      <w:bCs w:val="0"/>
                      <w:color w:val="auto"/>
                      <w:kern w:val="24"/>
                      <w:szCs w:val="21"/>
                      <w:highlight w:val="none"/>
                      <w:lang w:val="en-US" w:eastAsia="zh-CN"/>
                    </w:rPr>
                    <w:t>项目产生的工业固废均得到合理处置。</w:t>
                  </w:r>
                </w:p>
              </w:tc>
              <w:tc>
                <w:tcPr>
                  <w:tcW w:w="719" w:type="dxa"/>
                  <w:vAlign w:val="center"/>
                </w:tcPr>
                <w:p w14:paraId="5C93B548">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r w14:paraId="3350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Align w:val="center"/>
                </w:tcPr>
                <w:p w14:paraId="3583ECEE">
                  <w:pPr>
                    <w:keepNext w:val="0"/>
                    <w:keepLines w:val="0"/>
                    <w:widowControl/>
                    <w:suppressLineNumbers w:val="0"/>
                    <w:jc w:val="center"/>
                    <w:rPr>
                      <w:b w:val="0"/>
                      <w:bCs w:val="0"/>
                      <w:color w:val="auto"/>
                      <w:highlight w:val="none"/>
                    </w:rPr>
                  </w:pPr>
                  <w:r>
                    <w:rPr>
                      <w:rFonts w:hint="eastAsia" w:ascii="宋体" w:hAnsi="宋体" w:eastAsia="宋体" w:cs="宋体"/>
                      <w:b w:val="0"/>
                      <w:bCs w:val="0"/>
                      <w:color w:val="auto"/>
                      <w:kern w:val="0"/>
                      <w:sz w:val="20"/>
                      <w:szCs w:val="20"/>
                      <w:highlight w:val="none"/>
                      <w:lang w:val="en-US" w:eastAsia="zh-CN" w:bidi="ar"/>
                    </w:rPr>
                    <w:t>（五）深入推进重金属污染防治</w:t>
                  </w:r>
                </w:p>
                <w:p w14:paraId="0C76C116">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61" w:type="dxa"/>
                  <w:gridSpan w:val="2"/>
                  <w:vAlign w:val="center"/>
                </w:tcPr>
                <w:p w14:paraId="4EF40C04">
                  <w:pPr>
                    <w:keepNext w:val="0"/>
                    <w:keepLines w:val="0"/>
                    <w:widowControl/>
                    <w:suppressLineNumbers w:val="0"/>
                    <w:jc w:val="center"/>
                    <w:rPr>
                      <w:b w:val="0"/>
                      <w:bCs w:val="0"/>
                      <w:color w:val="auto"/>
                      <w:highlight w:val="none"/>
                    </w:rPr>
                  </w:pPr>
                  <w:r>
                    <w:rPr>
                      <w:rFonts w:hint="eastAsia" w:ascii="宋体" w:hAnsi="宋体" w:eastAsia="宋体" w:cs="宋体"/>
                      <w:b w:val="0"/>
                      <w:bCs w:val="0"/>
                      <w:color w:val="auto"/>
                      <w:kern w:val="0"/>
                      <w:sz w:val="20"/>
                      <w:szCs w:val="20"/>
                      <w:highlight w:val="none"/>
                      <w:lang w:val="en-US" w:eastAsia="zh-CN" w:bidi="ar"/>
                    </w:rPr>
                    <w:t>加强涉重金属行业</w:t>
                  </w:r>
                </w:p>
                <w:p w14:paraId="62F12756">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宋体" w:hAnsi="宋体" w:eastAsia="宋体" w:cs="宋体"/>
                      <w:b w:val="0"/>
                      <w:bCs w:val="0"/>
                      <w:color w:val="auto"/>
                      <w:kern w:val="0"/>
                      <w:sz w:val="20"/>
                      <w:szCs w:val="20"/>
                      <w:highlight w:val="none"/>
                      <w:lang w:val="en-US" w:eastAsia="zh-CN" w:bidi="ar"/>
                    </w:rPr>
                    <w:t>环境治理</w:t>
                  </w:r>
                </w:p>
              </w:tc>
              <w:tc>
                <w:tcPr>
                  <w:tcW w:w="2080" w:type="dxa"/>
                  <w:vAlign w:val="center"/>
                </w:tcPr>
                <w:p w14:paraId="5B1BF660">
                  <w:pPr>
                    <w:keepNext w:val="0"/>
                    <w:keepLines w:val="0"/>
                    <w:widowControl/>
                    <w:suppressLineNumbers w:val="0"/>
                    <w:jc w:val="left"/>
                    <w:rPr>
                      <w:rFonts w:hint="default" w:ascii="Times New Roman" w:hAnsi="Times New Roman" w:eastAsia="宋体" w:cs="Times New Roman"/>
                      <w:b w:val="0"/>
                      <w:bCs w:val="0"/>
                      <w:color w:val="auto"/>
                      <w:sz w:val="21"/>
                      <w:szCs w:val="21"/>
                      <w:highlight w:val="none"/>
                      <w:lang w:val="en-US" w:eastAsia="zh-CN"/>
                    </w:rPr>
                  </w:pPr>
                  <w:r>
                    <w:rPr>
                      <w:rFonts w:hint="eastAsia" w:ascii="宋体" w:hAnsi="宋体" w:eastAsia="宋体" w:cs="宋体"/>
                      <w:b w:val="0"/>
                      <w:bCs w:val="0"/>
                      <w:color w:val="auto"/>
                      <w:kern w:val="0"/>
                      <w:sz w:val="20"/>
                      <w:szCs w:val="20"/>
                      <w:highlight w:val="none"/>
                      <w:lang w:val="en-US" w:eastAsia="zh-CN" w:bidi="ar"/>
                    </w:rPr>
                    <w:t>采用洒水、旋风等落后、简易除尘治理工艺的重有色金属矿采选企业，应加强废气收集，实施过滤除尘等颗粒物治理升级改造工程。</w:t>
                  </w:r>
                </w:p>
              </w:tc>
              <w:tc>
                <w:tcPr>
                  <w:tcW w:w="3074" w:type="dxa"/>
                  <w:vAlign w:val="center"/>
                </w:tcPr>
                <w:p w14:paraId="3E378AEF">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本项目废气中不涉及重金属排放</w:t>
                  </w:r>
                </w:p>
              </w:tc>
              <w:tc>
                <w:tcPr>
                  <w:tcW w:w="719" w:type="dxa"/>
                  <w:vAlign w:val="center"/>
                </w:tcPr>
                <w:p w14:paraId="3DFF81EE">
                  <w:pPr>
                    <w:pStyle w:val="110"/>
                    <w:keepNext w:val="0"/>
                    <w:keepLines w:val="0"/>
                    <w:pageBreakBefore w:val="0"/>
                    <w:widowControl w:val="0"/>
                    <w:kinsoku/>
                    <w:wordWrap/>
                    <w:topLinePunct w:val="0"/>
                    <w:autoSpaceDE/>
                    <w:autoSpaceDN/>
                    <w:bidi w:val="0"/>
                    <w:adjustRightInd/>
                    <w:spacing w:after="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bl>
          <w:p w14:paraId="2D2092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highlight w:val="none"/>
                <w:lang w:val="en-US" w:eastAsia="zh-CN"/>
              </w:rPr>
              <w:t>根据对照分析，</w:t>
            </w:r>
            <w:r>
              <w:rPr>
                <w:rFonts w:hint="eastAsia"/>
                <w:b w:val="0"/>
                <w:bCs w:val="0"/>
                <w:color w:val="auto"/>
                <w:sz w:val="24"/>
                <w:highlight w:val="none"/>
              </w:rPr>
              <w:t>项目的建设符合《云南省工业固体废物和重金属污染防治“十四五”规划》的</w:t>
            </w:r>
            <w:r>
              <w:rPr>
                <w:rFonts w:hint="eastAsia"/>
                <w:b w:val="0"/>
                <w:bCs w:val="0"/>
                <w:color w:val="auto"/>
                <w:sz w:val="24"/>
                <w:highlight w:val="none"/>
                <w:lang w:val="en-US" w:eastAsia="zh-CN"/>
              </w:rPr>
              <w:t>相关</w:t>
            </w:r>
            <w:r>
              <w:rPr>
                <w:rFonts w:hint="eastAsia"/>
                <w:b w:val="0"/>
                <w:bCs w:val="0"/>
                <w:color w:val="auto"/>
                <w:sz w:val="24"/>
                <w:highlight w:val="none"/>
              </w:rPr>
              <w:t>要求</w:t>
            </w:r>
            <w:r>
              <w:rPr>
                <w:rFonts w:hint="eastAsia"/>
                <w:b w:val="0"/>
                <w:bCs w:val="0"/>
                <w:color w:val="auto"/>
                <w:highlight w:val="none"/>
                <w:lang w:eastAsia="zh-CN"/>
              </w:rPr>
              <w:t>。</w:t>
            </w:r>
          </w:p>
          <w:p w14:paraId="21370FF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8、与《生活垃圾填埋场渗滤液处理工程技术规范（试行)》（HJ564-2010）符合性分析</w:t>
            </w:r>
          </w:p>
          <w:p w14:paraId="3E46B7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 xml:space="preserve">根据《生活垃圾填埋场渗滤液处理工程技术规范（试行)》(HJ564-2010)有关规定：生活垃圾填埋场渗滤液处理厂(站)[以下简称“渗滤液处理厂(站)"的设计和建设，除应遵守本技术规范外，还应符合国家现行的相关强制性标准的规定。应根据生活垃圾填埋场的建设规模、填埋容量、填埋年限、填埋作业方式、占地面积、自然地理情况和气象等条件确定渗滤液处理厂(站)的处理规模和处理工艺。在填埋区与渗滤液处理设施间必须设置渗滤液调节池。处理技术方案的选择应保证出水符合环境影响评价报告书批复文件的要求，并应达到GB16889和有关地方排放标准的规定。当渗滤液处理工艺过程中产生污泥时，应对污泥进行适当处理。纳滤和反渗透产生的浓缩液应进行处理，可采用蒸发、焚烧等方法。 </w:t>
            </w:r>
          </w:p>
          <w:p w14:paraId="247445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本项目的处理规模和处理工艺根据生活垃圾填埋场的建设规模、填埋容量、填埋年限、填埋作业方式、占地面积、自然地理情况和气象等条件确定，项目将垃圾填埋场的渗滤液</w:t>
            </w:r>
            <w:r>
              <w:rPr>
                <w:rFonts w:hint="eastAsia"/>
                <w:color w:val="auto"/>
                <w:sz w:val="24"/>
                <w:szCs w:val="24"/>
                <w:highlight w:val="none"/>
                <w:lang w:val="en-US" w:eastAsia="zh-CN"/>
              </w:rPr>
              <w:t>引入</w:t>
            </w:r>
            <w:r>
              <w:rPr>
                <w:rFonts w:hint="eastAsia" w:eastAsia="宋体"/>
                <w:color w:val="auto"/>
                <w:sz w:val="24"/>
                <w:szCs w:val="24"/>
                <w:highlight w:val="none"/>
                <w:lang w:val="en-US" w:eastAsia="zh-CN"/>
              </w:rPr>
              <w:t>调节池，通过用泵</w:t>
            </w:r>
            <w:r>
              <w:rPr>
                <w:rFonts w:hint="eastAsia"/>
                <w:color w:val="auto"/>
                <w:sz w:val="24"/>
                <w:szCs w:val="24"/>
                <w:highlight w:val="none"/>
                <w:lang w:val="en-US" w:eastAsia="zh-CN"/>
              </w:rPr>
              <w:t>引到</w:t>
            </w:r>
            <w:r>
              <w:rPr>
                <w:rFonts w:hint="eastAsia" w:eastAsia="宋体"/>
                <w:color w:val="auto"/>
                <w:sz w:val="24"/>
                <w:szCs w:val="24"/>
                <w:highlight w:val="none"/>
                <w:lang w:val="en-US" w:eastAsia="zh-CN"/>
              </w:rPr>
              <w:t>本项目的原水罐中，项目员工生活污水与原水罐中原水一起进入本项目</w:t>
            </w:r>
            <w:r>
              <w:rPr>
                <w:rFonts w:hint="eastAsia"/>
                <w:color w:val="auto"/>
                <w:sz w:val="24"/>
                <w:szCs w:val="24"/>
                <w:highlight w:val="none"/>
                <w:lang w:val="en-US" w:eastAsia="zh-CN"/>
              </w:rPr>
              <w:t>渗滤液全量化</w:t>
            </w:r>
            <w:r>
              <w:rPr>
                <w:rFonts w:hint="eastAsia" w:eastAsia="宋体"/>
                <w:color w:val="auto"/>
                <w:sz w:val="24"/>
                <w:szCs w:val="24"/>
                <w:highlight w:val="none"/>
                <w:lang w:val="en-US" w:eastAsia="zh-CN"/>
              </w:rPr>
              <w:t>处理站</w:t>
            </w:r>
            <w:r>
              <w:rPr>
                <w:rFonts w:hint="eastAsia"/>
                <w:color w:val="auto"/>
                <w:sz w:val="24"/>
                <w:szCs w:val="24"/>
                <w:highlight w:val="none"/>
                <w:lang w:val="en-US" w:eastAsia="zh-CN"/>
              </w:rPr>
              <w:t>处理，</w:t>
            </w:r>
            <w:r>
              <w:rPr>
                <w:rFonts w:hint="eastAsia" w:eastAsia="宋体"/>
                <w:color w:val="auto"/>
                <w:sz w:val="24"/>
                <w:szCs w:val="24"/>
                <w:highlight w:val="none"/>
                <w:lang w:val="en-US" w:eastAsia="zh-CN"/>
              </w:rPr>
              <w:t>处理后出水达到《城镇污水处理厂污染物排放标准》 （GB18918-2002）中一级 A 的排放要求，同时满足</w:t>
            </w:r>
            <w:r>
              <w:rPr>
                <w:rFonts w:hint="eastAsia" w:ascii="Times New Roman" w:hAnsi="Times New Roman" w:eastAsia="宋体" w:cs="Times New Roman"/>
                <w:b w:val="0"/>
                <w:bCs/>
                <w:color w:val="auto"/>
                <w:sz w:val="24"/>
                <w:highlight w:val="none"/>
                <w:lang w:eastAsia="zh-CN"/>
              </w:rPr>
              <w:t>《城市污水再生利用</w:t>
            </w:r>
            <w:r>
              <w:rPr>
                <w:rFonts w:hint="eastAsia" w:ascii="Times New Roman" w:hAnsi="Times New Roman" w:eastAsia="宋体" w:cs="Times New Roman"/>
                <w:b w:val="0"/>
                <w:bCs/>
                <w:color w:val="auto"/>
                <w:sz w:val="24"/>
                <w:highlight w:val="none"/>
                <w:lang w:val="en-US" w:eastAsia="zh-CN"/>
              </w:rPr>
              <w:t xml:space="preserve"> 城市杂用水水质</w:t>
            </w:r>
            <w:r>
              <w:rPr>
                <w:rFonts w:hint="eastAsia"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GB/T18920-2020</w:t>
            </w:r>
            <w:r>
              <w:rPr>
                <w:rFonts w:hint="eastAsia" w:ascii="Times New Roman" w:hAnsi="Times New Roman" w:eastAsia="宋体" w:cs="Times New Roman"/>
                <w:b w:val="0"/>
                <w:bCs/>
                <w:color w:val="auto"/>
                <w:sz w:val="24"/>
                <w:highlight w:val="none"/>
                <w:lang w:eastAsia="zh-CN"/>
              </w:rPr>
              <w:t>）中城市绿化水质标准</w:t>
            </w:r>
            <w:r>
              <w:rPr>
                <w:rFonts w:hint="eastAsia" w:ascii="Times New Roman" w:hAnsi="Times New Roman" w:eastAsia="宋体" w:cs="Times New Roman"/>
                <w:b w:val="0"/>
                <w:bCs/>
                <w:color w:val="auto"/>
                <w:sz w:val="24"/>
                <w:highlight w:val="none"/>
                <w:lang w:val="en-US" w:eastAsia="zh-CN"/>
              </w:rPr>
              <w:t>要求，</w:t>
            </w:r>
            <w:r>
              <w:rPr>
                <w:rFonts w:hint="eastAsia" w:eastAsia="宋体"/>
                <w:color w:val="auto"/>
                <w:sz w:val="24"/>
                <w:szCs w:val="24"/>
                <w:highlight w:val="none"/>
                <w:lang w:val="en-US" w:eastAsia="zh-CN"/>
              </w:rPr>
              <w:t>用于绿化用水。项目</w:t>
            </w:r>
            <w:r>
              <w:rPr>
                <w:rFonts w:hint="eastAsia"/>
                <w:color w:val="auto"/>
                <w:sz w:val="24"/>
                <w:szCs w:val="24"/>
                <w:highlight w:val="none"/>
                <w:lang w:val="en-US" w:eastAsia="zh-CN"/>
              </w:rPr>
              <w:t>浓缩液采用低温真空蒸发处理，蒸发母液固化处理后委托有资质的单位进行处置</w:t>
            </w:r>
            <w:r>
              <w:rPr>
                <w:rFonts w:hint="eastAsia" w:eastAsia="宋体"/>
                <w:color w:val="auto"/>
                <w:sz w:val="24"/>
                <w:szCs w:val="24"/>
                <w:highlight w:val="none"/>
                <w:lang w:val="en-US" w:eastAsia="zh-CN"/>
              </w:rPr>
              <w:t xml:space="preserve">。 </w:t>
            </w:r>
          </w:p>
          <w:p w14:paraId="06DA8D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综上</w:t>
            </w:r>
            <w:r>
              <w:rPr>
                <w:rFonts w:hint="eastAsia"/>
                <w:color w:val="auto"/>
                <w:sz w:val="24"/>
                <w:szCs w:val="24"/>
                <w:highlight w:val="none"/>
                <w:lang w:val="en-US" w:eastAsia="zh-CN"/>
              </w:rPr>
              <w:t>分析，</w:t>
            </w:r>
            <w:r>
              <w:rPr>
                <w:rFonts w:hint="eastAsia" w:eastAsia="宋体"/>
                <w:color w:val="auto"/>
                <w:sz w:val="24"/>
                <w:szCs w:val="24"/>
                <w:highlight w:val="none"/>
                <w:lang w:val="en-US" w:eastAsia="zh-CN"/>
              </w:rPr>
              <w:t>项目的建设符合《生活垃圾填埋场渗滤液处理工程技术规范(试行)》(HJ564-2010）中的相关要求。</w:t>
            </w:r>
          </w:p>
          <w:p w14:paraId="44D4BB93">
            <w:pPr>
              <w:adjustRightInd w:val="0"/>
              <w:snapToGrid w:val="0"/>
              <w:spacing w:line="360" w:lineRule="auto"/>
              <w:rPr>
                <w:rFonts w:hint="eastAsia" w:ascii="Times New Roman" w:hAnsi="Times New Roman" w:eastAsia="宋体" w:cs="Times New Roman"/>
                <w:b/>
                <w:bCs/>
                <w:color w:val="auto"/>
                <w:sz w:val="24"/>
                <w:szCs w:val="24"/>
                <w:highlight w:val="none"/>
                <w:lang w:eastAsia="zh-CN"/>
              </w:rPr>
            </w:pPr>
            <w:r>
              <w:rPr>
                <w:rFonts w:hint="eastAsia"/>
                <w:b/>
                <w:color w:val="auto"/>
                <w:kern w:val="0"/>
                <w:sz w:val="24"/>
                <w:highlight w:val="none"/>
                <w:lang w:val="en-US" w:eastAsia="zh-CN"/>
              </w:rPr>
              <w:t>（四）</w:t>
            </w:r>
            <w:r>
              <w:rPr>
                <w:rFonts w:hint="eastAsia" w:cs="Times New Roman"/>
                <w:b/>
                <w:bCs/>
                <w:color w:val="auto"/>
                <w:sz w:val="24"/>
                <w:szCs w:val="24"/>
                <w:highlight w:val="none"/>
                <w:lang w:eastAsia="zh-CN"/>
              </w:rPr>
              <w:t>项目选址合理性分析</w:t>
            </w:r>
          </w:p>
          <w:p w14:paraId="66F08C5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auto"/>
                <w:kern w:val="0"/>
                <w:sz w:val="24"/>
                <w:highlight w:val="none"/>
                <w:lang w:val="en-US" w:eastAsia="zh-CN"/>
              </w:rPr>
            </w:pPr>
            <w:bookmarkStart w:id="11" w:name="_Hlk54100710"/>
            <w:r>
              <w:rPr>
                <w:rFonts w:ascii="Times New Roman" w:hAnsi="Times New Roman" w:cs="Times New Roman"/>
                <w:color w:val="auto"/>
                <w:sz w:val="24"/>
                <w:highlight w:val="none"/>
              </w:rPr>
              <w:t>本项目</w:t>
            </w:r>
            <w:bookmarkEnd w:id="11"/>
            <w:r>
              <w:rPr>
                <w:rFonts w:hint="eastAsia" w:cs="Times New Roman"/>
                <w:color w:val="auto"/>
                <w:sz w:val="24"/>
                <w:highlight w:val="none"/>
                <w:lang w:val="en-US" w:eastAsia="zh-CN"/>
              </w:rPr>
              <w:t>在原大山生活垃圾填埋场内进行建设，大山生活垃圾填埋场已于1999年获得合法审批</w:t>
            </w:r>
            <w:r>
              <w:rPr>
                <w:rFonts w:hint="eastAsia" w:cs="Times New Roman"/>
                <w:color w:val="auto"/>
                <w:sz w:val="24"/>
                <w:szCs w:val="22"/>
                <w:highlight w:val="none"/>
                <w:lang w:eastAsia="zh-CN"/>
              </w:rPr>
              <w:t>，</w:t>
            </w:r>
            <w:r>
              <w:rPr>
                <w:rFonts w:hint="eastAsia" w:cs="Times New Roman"/>
                <w:color w:val="auto"/>
                <w:sz w:val="24"/>
                <w:szCs w:val="22"/>
                <w:highlight w:val="none"/>
                <w:lang w:val="en-US" w:eastAsia="zh-CN"/>
              </w:rPr>
              <w:t>已取得不动产权证，土地证书为云（2021）澄江市不动产权第 0001986号，权利类型为国有建设用地使用权，权利性质为划拨，用途为公共设施用地。项目的建设未超出原审批的用地红线范围</w:t>
            </w:r>
            <w:r>
              <w:rPr>
                <w:rFonts w:hint="eastAsia" w:cs="Times New Roman"/>
                <w:color w:val="auto"/>
                <w:sz w:val="24"/>
                <w:szCs w:val="22"/>
                <w:highlight w:val="none"/>
                <w:lang w:eastAsia="zh-CN"/>
              </w:rPr>
              <w:t>，选址</w:t>
            </w:r>
            <w:r>
              <w:rPr>
                <w:rFonts w:ascii="Times New Roman" w:hAnsi="Times New Roman" w:cs="Times New Roman"/>
                <w:color w:val="auto"/>
                <w:sz w:val="24"/>
                <w:szCs w:val="24"/>
                <w:highlight w:val="none"/>
              </w:rPr>
              <w:t>周边无文物保护、风景名胜等环境敏感目标</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根据《澄江县九村镇大山垃圾填埋场项目现状环境评价报告》，大山生活垃圾填埋场防护距离为填埋场边界及污水处理站边界外500m，根据现场踏勘，本项目周边500m范围内无环境保护目标，距离周边居民区较远，</w:t>
            </w:r>
            <w:r>
              <w:rPr>
                <w:rFonts w:ascii="Times New Roman" w:hAnsi="Times New Roman" w:cs="Times New Roman"/>
                <w:color w:val="auto"/>
                <w:sz w:val="24"/>
                <w:szCs w:val="24"/>
                <w:highlight w:val="none"/>
              </w:rPr>
              <w:t>项目不在饮用水源保护区内，</w:t>
            </w:r>
            <w:r>
              <w:rPr>
                <w:rFonts w:ascii="Times New Roman" w:hAnsi="Times New Roman" w:cs="Times New Roman"/>
                <w:bCs/>
                <w:color w:val="auto"/>
                <w:sz w:val="24"/>
                <w:szCs w:val="24"/>
                <w:highlight w:val="none"/>
              </w:rPr>
              <w:t>不涉及生态红线范围</w:t>
            </w:r>
            <w:r>
              <w:rPr>
                <w:rFonts w:hint="eastAsia" w:cs="Times New Roman"/>
                <w:color w:val="auto"/>
                <w:sz w:val="24"/>
                <w:szCs w:val="24"/>
                <w:highlight w:val="none"/>
                <w:lang w:eastAsia="zh-CN"/>
              </w:rPr>
              <w:t>，</w:t>
            </w:r>
            <w:r>
              <w:rPr>
                <w:rFonts w:ascii="Times New Roman" w:hAnsi="Times New Roman" w:cs="Times New Roman"/>
                <w:color w:val="auto"/>
                <w:sz w:val="24"/>
                <w:szCs w:val="24"/>
                <w:highlight w:val="none"/>
              </w:rPr>
              <w:t>不存在重大环境制约因素</w:t>
            </w:r>
            <w:r>
              <w:rPr>
                <w:rFonts w:hint="eastAsia" w:cs="Times New Roman"/>
                <w:color w:val="auto"/>
                <w:sz w:val="24"/>
                <w:szCs w:val="24"/>
                <w:highlight w:val="none"/>
                <w:lang w:eastAsia="zh-CN"/>
              </w:rPr>
              <w:t>。</w:t>
            </w:r>
            <w:r>
              <w:rPr>
                <w:rFonts w:ascii="Times New Roman" w:hAnsi="Times New Roman" w:cs="Times New Roman"/>
                <w:color w:val="auto"/>
                <w:sz w:val="24"/>
                <w:szCs w:val="24"/>
                <w:highlight w:val="none"/>
              </w:rPr>
              <w:t>在正常</w:t>
            </w:r>
            <w:r>
              <w:rPr>
                <w:rFonts w:hint="eastAsia" w:cs="Times New Roman"/>
                <w:color w:val="auto"/>
                <w:sz w:val="24"/>
                <w:szCs w:val="24"/>
                <w:highlight w:val="none"/>
                <w:lang w:val="en-US" w:eastAsia="zh-CN"/>
              </w:rPr>
              <w:t>运行过程中</w:t>
            </w:r>
            <w:r>
              <w:rPr>
                <w:rFonts w:ascii="Times New Roman" w:hAnsi="Times New Roman" w:cs="Times New Roman"/>
                <w:color w:val="auto"/>
                <w:sz w:val="24"/>
                <w:szCs w:val="24"/>
                <w:highlight w:val="none"/>
              </w:rPr>
              <w:t>，本工程经采取有效污染</w:t>
            </w:r>
            <w:r>
              <w:rPr>
                <w:rFonts w:hint="eastAsia" w:cs="Times New Roman"/>
                <w:color w:val="auto"/>
                <w:sz w:val="24"/>
                <w:szCs w:val="24"/>
                <w:highlight w:val="none"/>
                <w:lang w:eastAsia="zh-CN"/>
              </w:rPr>
              <w:t>防治措施</w:t>
            </w:r>
            <w:r>
              <w:rPr>
                <w:rFonts w:ascii="Times New Roman" w:hAnsi="Times New Roman" w:cs="Times New Roman"/>
                <w:color w:val="auto"/>
                <w:sz w:val="24"/>
                <w:szCs w:val="24"/>
                <w:highlight w:val="none"/>
              </w:rPr>
              <w:t>，对评价区域环境质量影响很小，区域环境质量不会发生明显的变化，符合该地区环境功能区划的要求。</w:t>
            </w:r>
            <w:r>
              <w:rPr>
                <w:rFonts w:hint="default" w:ascii="Times New Roman" w:hAnsi="Times New Roman" w:cs="Times New Roman"/>
                <w:color w:val="auto"/>
                <w:sz w:val="24"/>
                <w:szCs w:val="24"/>
                <w:highlight w:val="none"/>
              </w:rPr>
              <w:t>综合评述，项目选址合理。</w:t>
            </w:r>
          </w:p>
        </w:tc>
      </w:tr>
    </w:tbl>
    <w:p w14:paraId="77D92F0C">
      <w:pPr>
        <w:spacing w:line="360" w:lineRule="auto"/>
        <w:outlineLvl w:val="9"/>
        <w:rPr>
          <w:rFonts w:eastAsia="黑体"/>
          <w:color w:val="auto"/>
          <w:sz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8D3F4AE">
      <w:pPr>
        <w:pStyle w:val="27"/>
        <w:jc w:val="center"/>
        <w:outlineLvl w:val="0"/>
        <w:rPr>
          <w:rFonts w:ascii="Times New Roman" w:hAnsi="Times New Roman" w:eastAsia="黑体"/>
          <w:snapToGrid w:val="0"/>
          <w:color w:val="auto"/>
          <w:sz w:val="30"/>
          <w:szCs w:val="30"/>
          <w:highlight w:val="none"/>
        </w:rPr>
      </w:pPr>
      <w:bookmarkStart w:id="12" w:name="_Toc18700"/>
      <w:r>
        <w:rPr>
          <w:rFonts w:ascii="Times New Roman" w:hAnsi="黑体" w:eastAsia="黑体"/>
          <w:snapToGrid w:val="0"/>
          <w:color w:val="auto"/>
          <w:sz w:val="30"/>
          <w:szCs w:val="30"/>
          <w:highlight w:val="none"/>
        </w:rPr>
        <w:t>二、建设项目工程分析</w:t>
      </w:r>
      <w:bookmarkEnd w:id="12"/>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634"/>
      </w:tblGrid>
      <w:tr w14:paraId="6D92E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724" w:type="dxa"/>
            <w:vAlign w:val="center"/>
          </w:tcPr>
          <w:p w14:paraId="26C3714C">
            <w:pPr>
              <w:pStyle w:val="27"/>
              <w:adjustRightInd w:val="0"/>
              <w:snapToGrid w:val="0"/>
              <w:spacing w:before="0" w:beforeAutospacing="0" w:after="0" w:afterAutospacing="0"/>
              <w:jc w:val="center"/>
              <w:rPr>
                <w:rFonts w:ascii="Times New Roman" w:hAnsi="Times New Roman"/>
                <w:color w:val="auto"/>
                <w:szCs w:val="24"/>
                <w:highlight w:val="none"/>
              </w:rPr>
            </w:pPr>
            <w:r>
              <w:rPr>
                <w:rFonts w:ascii="Times New Roman"/>
                <w:color w:val="auto"/>
                <w:szCs w:val="24"/>
                <w:highlight w:val="none"/>
              </w:rPr>
              <w:t>建设内容</w:t>
            </w:r>
          </w:p>
        </w:tc>
        <w:tc>
          <w:tcPr>
            <w:tcW w:w="8634" w:type="dxa"/>
          </w:tcPr>
          <w:p w14:paraId="31AA0203">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0"/>
              <w:rPr>
                <w:rFonts w:hint="eastAsia" w:cs="Times New Roman" w:eastAsiaTheme="minorEastAsia"/>
                <w:b/>
                <w:bCs/>
                <w:color w:val="auto"/>
                <w:sz w:val="24"/>
                <w:szCs w:val="24"/>
                <w:highlight w:val="none"/>
                <w:lang w:val="en-US" w:eastAsia="zh-CN"/>
              </w:rPr>
            </w:pPr>
            <w:r>
              <w:rPr>
                <w:rFonts w:hint="eastAsia" w:cs="Times New Roman" w:eastAsiaTheme="minorEastAsia"/>
                <w:b/>
                <w:bCs/>
                <w:color w:val="auto"/>
                <w:sz w:val="24"/>
                <w:szCs w:val="24"/>
                <w:highlight w:val="none"/>
                <w:lang w:val="en-US" w:eastAsia="zh-CN"/>
              </w:rPr>
              <w:t>一、项目由来</w:t>
            </w:r>
          </w:p>
          <w:p w14:paraId="7494CB2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eastAsiaTheme="minorEastAsia"/>
                <w:b/>
                <w:bCs/>
                <w:color w:val="auto"/>
                <w:sz w:val="24"/>
                <w:szCs w:val="24"/>
                <w:highlight w:val="none"/>
                <w:lang w:val="en-US" w:eastAsia="zh-CN"/>
              </w:rPr>
            </w:pPr>
            <w:r>
              <w:rPr>
                <w:rFonts w:hint="eastAsia" w:cs="Times New Roman" w:eastAsiaTheme="minorEastAsia"/>
                <w:b/>
                <w:bCs/>
                <w:color w:val="auto"/>
                <w:sz w:val="24"/>
                <w:szCs w:val="24"/>
                <w:highlight w:val="none"/>
                <w:lang w:val="en-US" w:eastAsia="zh-CN"/>
              </w:rPr>
              <w:t>1、大山生活垃圾填埋场基本概况</w:t>
            </w:r>
          </w:p>
          <w:p w14:paraId="2C98B1D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澄江县九村镇大山垃圾填埋场位于澄江县九村镇双水塘，地理坐标为东经103°00'26"，北纬 24°41'28"，海拔2000m，承载着澄江市各镇（街道）生活垃圾的填埋处理。</w:t>
            </w:r>
          </w:p>
          <w:p w14:paraId="4FC3FC5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大山填埋场于1999年5月取得《关于澄江县垃圾填埋场可行性研究报告（代项目建议书）的批复》（玉市计[1999]46号），并与同年7月取得《关于澄江县城市垃圾生态化填埋处理场初步设计的批复》（玉市环复[1999]2号），批复设计规模近期50t/d，远期100t/d，概算总投资在300万元以内。填埋场设计属于简易型填埋场，占地面积约91亩，长约450米，宽约300米，建成于1999年，1999年建设方委托玉溪市环科院编制项目环境影响报告表，并取得玉溪市环保局审批意见，同意项目建设。</w:t>
            </w:r>
          </w:p>
          <w:p w14:paraId="279F1B3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2016年8月，该填埋场的运营管理单位由原来的凤麓街道环卫站变更为垃圾焚烧处理中心。运行期间，澄江县垃圾焚烧处理中心于2017年11月委托云南湖柏环保科技有限公司编制了《澄江县九村镇大山垃圾填埋场项目现状环境评价报告》，根据现状评价报告，澄江县九村镇大山垃圾填埋场作为澄江县城市生活垃圾焚烧厂一期配套公辅工程将通过ppp模式移交给澄江博世科环境工程有限公司管理。移交期间填埋场建有1座A</w:t>
            </w:r>
            <w:r>
              <w:rPr>
                <w:rFonts w:hint="eastAsia" w:cs="Times New Roman" w:eastAsiaTheme="minorEastAsia"/>
                <w:color w:val="auto"/>
                <w:sz w:val="24"/>
                <w:szCs w:val="24"/>
                <w:highlight w:val="none"/>
                <w:vertAlign w:val="superscript"/>
                <w:lang w:val="en-US" w:eastAsia="zh-CN"/>
              </w:rPr>
              <w:t>2</w:t>
            </w:r>
            <w:r>
              <w:rPr>
                <w:rFonts w:hint="eastAsia" w:cs="Times New Roman" w:eastAsiaTheme="minorEastAsia"/>
                <w:color w:val="auto"/>
                <w:sz w:val="24"/>
                <w:szCs w:val="24"/>
                <w:highlight w:val="none"/>
                <w:lang w:val="en-US" w:eastAsia="zh-CN"/>
              </w:rPr>
              <w:t>/O渗滤液处理站。</w:t>
            </w:r>
          </w:p>
          <w:p w14:paraId="7942CE6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2018年，为解决</w:t>
            </w:r>
            <w:r>
              <w:rPr>
                <w:rFonts w:hint="default" w:cs="Times New Roman" w:eastAsiaTheme="minorEastAsia"/>
                <w:color w:val="auto"/>
                <w:sz w:val="24"/>
                <w:szCs w:val="24"/>
                <w:highlight w:val="none"/>
                <w:lang w:val="en-US" w:eastAsia="zh-CN"/>
              </w:rPr>
              <w:t>澄江县垃圾焚烧厂一期工程设备能耗高，产能低，运行不稳定</w:t>
            </w:r>
            <w:r>
              <w:rPr>
                <w:rFonts w:hint="eastAsia" w:cs="Times New Roman" w:eastAsiaTheme="minorEastAsia"/>
                <w:color w:val="auto"/>
                <w:sz w:val="24"/>
                <w:szCs w:val="24"/>
                <w:highlight w:val="none"/>
                <w:lang w:val="en-US" w:eastAsia="zh-CN"/>
              </w:rPr>
              <w:t>，焚烧厂尾气排放在线检测指标处于超标状态等问题，澄江市人民政府组织提出了焚烧厂改扩建工程应急处理工程方案，在紧邻大山填埋场的北侧进行了应急填埋场的建设，应急填埋场设计库容约12万m³，占地约32亩，应急填埋场工程纳入了《澄江县农村生活污水处理及人居环境提升工程》范围，该工程于2020年10月23日取得了《玉溪市生态环境局澄江分局关于澄江县农村生活污水处理及人居环境提升工程环境影响报告书的批复》（澄环审</w:t>
            </w:r>
            <w:r>
              <w:rPr>
                <w:color w:val="auto"/>
                <w:highlight w:val="none"/>
                <w:lang w:bidi="ar"/>
              </w:rPr>
              <w:t>〔</w:t>
            </w:r>
            <w:r>
              <w:rPr>
                <w:rFonts w:hint="eastAsia" w:cs="Times New Roman" w:eastAsiaTheme="minorEastAsia"/>
                <w:color w:val="auto"/>
                <w:sz w:val="24"/>
                <w:szCs w:val="24"/>
                <w:highlight w:val="none"/>
                <w:lang w:val="en-US" w:eastAsia="zh-CN"/>
              </w:rPr>
              <w:t>2020</w:t>
            </w:r>
            <w:r>
              <w:rPr>
                <w:color w:val="auto"/>
                <w:highlight w:val="none"/>
                <w:lang w:bidi="ar"/>
              </w:rPr>
              <w:t>〕</w:t>
            </w:r>
            <w:r>
              <w:rPr>
                <w:rFonts w:hint="eastAsia" w:cs="Times New Roman" w:eastAsiaTheme="minorEastAsia"/>
                <w:color w:val="auto"/>
                <w:sz w:val="24"/>
                <w:szCs w:val="24"/>
                <w:highlight w:val="none"/>
                <w:lang w:val="en-US" w:eastAsia="zh-CN"/>
              </w:rPr>
              <w:t>14号）。</w:t>
            </w:r>
          </w:p>
          <w:p w14:paraId="1892417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应急填埋场建成后，垃圾填埋场每天处理生活垃圾约180吨/日，针对应急填埋场目前存在的渗滤液和填埋气体收集导排系统存在的问题，澄江市垃圾焚烧处理中心启动了《大山应急填埋场应急改造提升项目》的相关工作，从应急填埋场改造和优化场区附属设施两方面提出具体措施，加强应急填埋场的渗滤液和填埋气体导排设施，新建一座1000m³的渗滤液调节池，并完善管理区及道路工程。</w:t>
            </w:r>
          </w:p>
          <w:p w14:paraId="3DF2C3B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大山生活垃圾填埋场运行至今，填埋场内部分为一期填埋区、二期填埋区、应急填埋区、渗滤液处理站四个功能区，总用地面积75607.91平方米（约为113.41 亩），场地较为平整，场地形状为不规则形状，场地内部有环形道路，由北向南依次布置为二期填埋区、应急填埋区、一期填埋区，渗滤液处理站，其中一期填埋区已封场，管理用房位于入口东侧。</w:t>
            </w:r>
          </w:p>
          <w:p w14:paraId="43DE9620">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eastAsiaTheme="minorEastAsia"/>
                <w:b/>
                <w:bCs/>
                <w:color w:val="auto"/>
                <w:sz w:val="24"/>
                <w:szCs w:val="24"/>
                <w:highlight w:val="none"/>
                <w:lang w:val="en-US" w:eastAsia="zh-CN"/>
              </w:rPr>
            </w:pPr>
            <w:r>
              <w:rPr>
                <w:rFonts w:hint="eastAsia" w:cs="Times New Roman" w:eastAsiaTheme="minorEastAsia"/>
                <w:b/>
                <w:bCs/>
                <w:color w:val="auto"/>
                <w:sz w:val="24"/>
                <w:szCs w:val="24"/>
                <w:highlight w:val="none"/>
                <w:lang w:val="en-US" w:eastAsia="zh-CN"/>
              </w:rPr>
              <w:t>2、大山生活垃圾填埋场运行现状</w:t>
            </w:r>
          </w:p>
          <w:p w14:paraId="76A0BEE9">
            <w:pPr>
              <w:pStyle w:val="100"/>
              <w:snapToGrid w:val="0"/>
              <w:spacing w:line="360" w:lineRule="auto"/>
              <w:ind w:firstLine="480" w:firstLineChars="200"/>
              <w:rPr>
                <w:rFonts w:hint="eastAsia"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根据现场</w:t>
            </w:r>
            <w:r>
              <w:rPr>
                <w:rFonts w:hint="eastAsia" w:cs="Times New Roman"/>
                <w:color w:val="auto"/>
                <w:sz w:val="24"/>
                <w:szCs w:val="24"/>
                <w:highlight w:val="none"/>
                <w:lang w:val="en-US" w:eastAsia="zh-CN"/>
              </w:rPr>
              <w:t>踏勘</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大山生活垃圾填埋场</w:t>
            </w:r>
            <w:r>
              <w:rPr>
                <w:rFonts w:hint="eastAsia" w:ascii="Times New Roman" w:hAnsi="Times New Roman" w:eastAsia="宋体" w:cs="Times New Roman"/>
                <w:color w:val="auto"/>
                <w:sz w:val="24"/>
                <w:szCs w:val="24"/>
                <w:highlight w:val="none"/>
                <w:lang w:val="en-US" w:eastAsia="zh-CN"/>
              </w:rPr>
              <w:t>运营至今，未发生环境投诉事件。</w:t>
            </w:r>
            <w:r>
              <w:rPr>
                <w:rFonts w:hint="eastAsia" w:cs="Times New Roman"/>
                <w:color w:val="auto"/>
                <w:sz w:val="24"/>
                <w:szCs w:val="24"/>
                <w:highlight w:val="none"/>
                <w:lang w:val="en-US" w:eastAsia="zh-CN"/>
              </w:rPr>
              <w:t>根据</w:t>
            </w:r>
            <w:r>
              <w:rPr>
                <w:rFonts w:hint="eastAsia" w:cs="Times New Roman" w:eastAsiaTheme="minorEastAsia"/>
                <w:color w:val="auto"/>
                <w:sz w:val="24"/>
                <w:szCs w:val="24"/>
                <w:highlight w:val="none"/>
                <w:lang w:val="en-US" w:eastAsia="zh-CN"/>
              </w:rPr>
              <w:t>《澄江县九村镇大山垃圾填埋场项目现状环境评价报告》（云南湖柏环保科技有限公司），</w:t>
            </w:r>
            <w:r>
              <w:rPr>
                <w:rFonts w:hint="eastAsia" w:cs="Times New Roman"/>
                <w:color w:val="auto"/>
                <w:sz w:val="24"/>
                <w:szCs w:val="24"/>
                <w:highlight w:val="none"/>
                <w:lang w:val="en-US" w:eastAsia="zh-CN"/>
              </w:rPr>
              <w:t>大山生活垃圾填埋场运行过程中</w:t>
            </w:r>
            <w:r>
              <w:rPr>
                <w:rFonts w:hint="eastAsia" w:cs="Times New Roman" w:eastAsiaTheme="minorEastAsia"/>
                <w:color w:val="auto"/>
                <w:sz w:val="24"/>
                <w:szCs w:val="24"/>
                <w:highlight w:val="none"/>
                <w:lang w:val="en-US" w:eastAsia="zh-CN"/>
              </w:rPr>
              <w:t>执行了原环评对表面粘土捣实作为天然防渗基底的环保措施，由于建设年代久远，相关纸质资料已丢失。通过后期地质勘察资料，项目区原有防渗基底为勘测报告中的②层黏土，经室内试验测定v竖向渗透系数为3.8×10</w:t>
            </w:r>
            <w:r>
              <w:rPr>
                <w:rFonts w:hint="eastAsia" w:cs="Times New Roman" w:eastAsiaTheme="minorEastAsia"/>
                <w:color w:val="auto"/>
                <w:sz w:val="24"/>
                <w:szCs w:val="24"/>
                <w:highlight w:val="none"/>
                <w:vertAlign w:val="superscript"/>
                <w:lang w:val="en-US" w:eastAsia="zh-CN"/>
              </w:rPr>
              <w:t>-8</w:t>
            </w:r>
            <w:r>
              <w:rPr>
                <w:rFonts w:hint="eastAsia" w:cs="Times New Roman" w:eastAsiaTheme="minorEastAsia"/>
                <w:color w:val="auto"/>
                <w:sz w:val="24"/>
                <w:szCs w:val="24"/>
                <w:highlight w:val="none"/>
                <w:lang w:val="en-US" w:eastAsia="zh-CN"/>
              </w:rPr>
              <w:t>cm/s，水平渗透系数为4.4×10</w:t>
            </w:r>
            <w:r>
              <w:rPr>
                <w:rFonts w:hint="eastAsia" w:cs="Times New Roman" w:eastAsiaTheme="minorEastAsia"/>
                <w:color w:val="auto"/>
                <w:sz w:val="24"/>
                <w:szCs w:val="24"/>
                <w:highlight w:val="none"/>
                <w:vertAlign w:val="superscript"/>
                <w:lang w:val="en-US" w:eastAsia="zh-CN"/>
              </w:rPr>
              <w:t>-8</w:t>
            </w:r>
            <w:r>
              <w:rPr>
                <w:rFonts w:hint="eastAsia" w:cs="Times New Roman" w:eastAsiaTheme="minorEastAsia"/>
                <w:color w:val="auto"/>
                <w:sz w:val="24"/>
                <w:szCs w:val="24"/>
                <w:highlight w:val="none"/>
                <w:lang w:val="en-US" w:eastAsia="zh-CN"/>
              </w:rPr>
              <w:t>cm/s。</w:t>
            </w:r>
            <w:r>
              <w:rPr>
                <w:rFonts w:hint="eastAsia" w:eastAsia="宋体" w:cs="Times New Roman"/>
                <w:color w:val="auto"/>
                <w:sz w:val="24"/>
                <w:szCs w:val="24"/>
                <w:highlight w:val="none"/>
                <w:lang w:val="en-US" w:eastAsia="zh-CN"/>
              </w:rPr>
              <w:t>目前填埋场现已不进入新垃圾，填埋场一期已进行封场</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整个填埋场一期封场区四周已建设雨水截留沟，通过雨水导排管排入场外雨水沟渠，二期填埋区建有雨水截洪沟，截洪沟通过雨水管道导排至场外雨水沟渠排放</w:t>
            </w:r>
            <w:r>
              <w:rPr>
                <w:rFonts w:hint="eastAsia" w:cs="Times New Roman" w:eastAsiaTheme="minorEastAsia"/>
                <w:color w:val="auto"/>
                <w:sz w:val="24"/>
                <w:szCs w:val="24"/>
                <w:highlight w:val="none"/>
                <w:lang w:val="en-US" w:eastAsia="zh-CN"/>
              </w:rPr>
              <w:t>。现状垃圾渗滤液收集池已采取HDPE 膜进行防渗处理，设有顶棚防雨措施；建设一个调节池，现状已采取HDPE膜+混凝 土浇筑进行防渗处理，未发现破损现象；建设1个产水收集池，位于一期填埋区场地中部，用于收集渗滤液处理站处理后达标的尾水，现状已采取HDPE膜进行防渗处理，未发现破损现象。</w:t>
            </w:r>
          </w:p>
          <w:p w14:paraId="245DC8C9">
            <w:pPr>
              <w:pStyle w:val="100"/>
              <w:snapToGrid w:val="0"/>
              <w:spacing w:line="360" w:lineRule="auto"/>
              <w:ind w:firstLine="480" w:firstLineChars="200"/>
              <w:rPr>
                <w:rFonts w:hint="default" w:cs="Times New Roman" w:eastAsiaTheme="minorEastAsia"/>
                <w:color w:val="auto"/>
                <w:sz w:val="24"/>
                <w:szCs w:val="24"/>
                <w:highlight w:val="none"/>
                <w:lang w:val="en-US" w:eastAsia="zh-CN"/>
              </w:rPr>
            </w:pPr>
            <w:r>
              <w:rPr>
                <w:rFonts w:hint="eastAsia" w:cs="Times New Roman"/>
                <w:color w:val="auto"/>
                <w:sz w:val="24"/>
                <w:szCs w:val="24"/>
                <w:highlight w:val="none"/>
                <w:lang w:val="en-US" w:eastAsia="zh-CN"/>
              </w:rPr>
              <w:t>现状</w:t>
            </w:r>
            <w:r>
              <w:rPr>
                <w:rFonts w:hint="eastAsia" w:cs="Times New Roman" w:eastAsiaTheme="minorEastAsia"/>
                <w:color w:val="auto"/>
                <w:sz w:val="24"/>
                <w:szCs w:val="24"/>
                <w:highlight w:val="none"/>
                <w:lang w:val="en-US" w:eastAsia="zh-CN"/>
              </w:rPr>
              <w:t>二期填埋区垃圾未做雨污分流，2022年6月15日澄江市生活垃圾焚烧发电厂垃圾池开始接收澄江市市内生活垃圾，填埋场二期垃圾通过开挖倒运的方式拉至垃圾焚烧厂处理，日均约120m³；一二期结合部地形低凹，导致雨水无法自然排出，全部汇集在此，流入渗滤液收集池，形成了渗滤液，导致渗滤液处理成本增加；二期渗滤液导排管由于使用时间较长，垃圾渗滤液通过原已埋渗滤液收集花管的孔洞，流入收集管，时间长了就会流入由垃圾渗滤液所带来的淤泥，此部分淤泥部分流入渗滤液调节池底部，部分存留在渗滤液收集管内，随着时间的推移，慢慢的形成了管道拥堵，存在堵塞现象，管道堵塞，渗滤液无法正常通顺排放，导致二期渗滤液液位较高。根据流入调节池内的流量及填埋区内渗滤液液位较高新的情况来分析，渗滤液导排管存在堵塞情况。二期建设时间较早，未做边坡保护层，垃圾填埋过程中可能被尖锐垃圾损坏，二次开挖垃圾堆体倒运垃圾焚烧，导致垃圾堆体扰动，二期西侧边坡原防渗层有破损现象。</w:t>
            </w:r>
          </w:p>
          <w:p w14:paraId="6A6C8085">
            <w:pPr>
              <w:pStyle w:val="100"/>
              <w:snapToGrid w:val="0"/>
              <w:spacing w:line="360" w:lineRule="auto"/>
              <w:ind w:firstLine="480" w:firstLineChars="200"/>
              <w:rPr>
                <w:rFonts w:hint="eastAsia"/>
                <w:color w:val="auto"/>
                <w:highlight w:val="none"/>
                <w:lang w:val="en-US" w:eastAsia="zh-CN"/>
              </w:rPr>
            </w:pPr>
            <w:r>
              <w:rPr>
                <w:rFonts w:hint="eastAsia" w:cs="Times New Roman"/>
                <w:color w:val="auto"/>
                <w:sz w:val="24"/>
                <w:szCs w:val="24"/>
                <w:highlight w:val="none"/>
                <w:lang w:val="en-US" w:eastAsia="zh-CN"/>
              </w:rPr>
              <w:t>大山生活垃圾填埋场运行至今均未办理过竣工环境保护验收手续，</w:t>
            </w:r>
            <w:r>
              <w:rPr>
                <w:rFonts w:hint="default" w:ascii="Times New Roman" w:hAnsi="Times New Roman" w:cs="Times New Roman"/>
                <w:color w:val="auto"/>
                <w:sz w:val="24"/>
                <w:szCs w:val="24"/>
                <w:highlight w:val="none"/>
                <w:lang w:val="en-US" w:eastAsia="zh-CN"/>
              </w:rPr>
              <w:t>20</w:t>
            </w:r>
            <w:r>
              <w:rPr>
                <w:rFonts w:hint="eastAsia" w:cs="Times New Roman"/>
                <w:color w:val="auto"/>
                <w:sz w:val="24"/>
                <w:szCs w:val="24"/>
                <w:highlight w:val="none"/>
                <w:lang w:val="en-US" w:eastAsia="zh-CN"/>
              </w:rPr>
              <w:t>23</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月6日取得了排污许可证，证书编号</w:t>
            </w:r>
            <w:r>
              <w:rPr>
                <w:rFonts w:hint="eastAsia" w:cs="Times New Roman"/>
                <w:color w:val="auto"/>
                <w:sz w:val="24"/>
                <w:szCs w:val="24"/>
                <w:highlight w:val="none"/>
                <w:lang w:val="en-US" w:eastAsia="zh-CN"/>
              </w:rPr>
              <w:t>11530422015184439E001V</w:t>
            </w:r>
            <w:r>
              <w:rPr>
                <w:rFonts w:hint="default" w:ascii="Times New Roman" w:hAnsi="Times New Roman" w:cs="Times New Roman"/>
                <w:color w:val="auto"/>
                <w:sz w:val="24"/>
                <w:szCs w:val="24"/>
                <w:highlight w:val="none"/>
                <w:lang w:val="en-US" w:eastAsia="zh-CN"/>
              </w:rPr>
              <w:t>，每个季度均开展自行监测，</w:t>
            </w:r>
            <w:r>
              <w:rPr>
                <w:rFonts w:hint="eastAsia" w:cs="Times New Roman"/>
                <w:color w:val="auto"/>
                <w:sz w:val="24"/>
                <w:szCs w:val="24"/>
                <w:highlight w:val="none"/>
                <w:lang w:val="en-US" w:eastAsia="zh-CN"/>
              </w:rPr>
              <w:t>至今均</w:t>
            </w:r>
            <w:r>
              <w:rPr>
                <w:rFonts w:hint="default" w:ascii="Times New Roman" w:hAnsi="Times New Roman" w:cs="Times New Roman"/>
                <w:color w:val="auto"/>
                <w:sz w:val="24"/>
                <w:szCs w:val="24"/>
                <w:highlight w:val="none"/>
                <w:lang w:val="en-US" w:eastAsia="zh-CN"/>
              </w:rPr>
              <w:t>填报了年度排污许可执行报告。</w:t>
            </w:r>
            <w:r>
              <w:rPr>
                <w:rFonts w:hint="eastAsia" w:cs="Times New Roman"/>
                <w:color w:val="auto"/>
                <w:sz w:val="24"/>
                <w:szCs w:val="24"/>
                <w:highlight w:val="none"/>
                <w:lang w:val="en-US" w:eastAsia="zh-CN"/>
              </w:rPr>
              <w:t>现状渗滤液处理站运营单位为厦门嘉戎技术股份有限公司。根据建设单位提供资料，项目于2024年2月19日发布了《澄江市九村镇大山生活垃圾填埋场突发环境事件应急预案（2024年版）》，备案编号：530422-2024-008-L。</w:t>
            </w:r>
          </w:p>
          <w:p w14:paraId="77BF0713">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eastAsiaTheme="minorEastAsia"/>
                <w:b/>
                <w:bCs/>
                <w:color w:val="auto"/>
                <w:sz w:val="24"/>
                <w:szCs w:val="24"/>
                <w:highlight w:val="none"/>
                <w:lang w:val="en-US" w:eastAsia="zh-CN"/>
              </w:rPr>
            </w:pPr>
            <w:r>
              <w:rPr>
                <w:rFonts w:hint="eastAsia" w:cs="Times New Roman" w:eastAsiaTheme="minorEastAsia"/>
                <w:b/>
                <w:bCs/>
                <w:color w:val="auto"/>
                <w:sz w:val="24"/>
                <w:szCs w:val="24"/>
                <w:highlight w:val="none"/>
                <w:lang w:val="en-US" w:eastAsia="zh-CN"/>
              </w:rPr>
              <w:t>3、大山生活垃圾填埋场渗滤液处理设备现状</w:t>
            </w:r>
          </w:p>
          <w:p w14:paraId="34A4C9D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大山生活垃圾填埋场原环评治理措施采用过滤坝过滤，在经过两级生物氧化塘处理，后于2017年现状环评期间配套建设有一座A</w:t>
            </w:r>
            <w:r>
              <w:rPr>
                <w:rFonts w:hint="eastAsia" w:cs="Times New Roman" w:eastAsiaTheme="minorEastAsia"/>
                <w:color w:val="auto"/>
                <w:sz w:val="24"/>
                <w:szCs w:val="24"/>
                <w:highlight w:val="none"/>
                <w:vertAlign w:val="superscript"/>
                <w:lang w:val="en-US" w:eastAsia="zh-CN"/>
              </w:rPr>
              <w:t>2</w:t>
            </w:r>
            <w:r>
              <w:rPr>
                <w:rFonts w:hint="eastAsia" w:cs="Times New Roman" w:eastAsiaTheme="minorEastAsia"/>
                <w:color w:val="auto"/>
                <w:sz w:val="24"/>
                <w:szCs w:val="24"/>
                <w:highlight w:val="none"/>
                <w:lang w:val="en-US" w:eastAsia="zh-CN"/>
              </w:rPr>
              <w:t>/O渗滤液处理站，2019年11月至今租用两套日处理量各为100吨/天的集装箱式两级DTRO设备处置填埋场渗滤液（1用1备）。</w:t>
            </w:r>
          </w:p>
          <w:p w14:paraId="1EECA95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目前，大山生活垃圾填埋场内已有一座1000m³的渗滤液收集池 （顶部封闭），2019年11月至今租用的两套日处理量各为100吨/天的集装箱式两级DTRO设备</w:t>
            </w:r>
            <w:r>
              <w:rPr>
                <w:rFonts w:hint="default" w:ascii="Times New Roman" w:hAnsi="Times New Roman" w:eastAsia="宋体" w:cs="Times New Roman"/>
                <w:bCs/>
                <w:color w:val="auto"/>
                <w:kern w:val="2"/>
                <w:sz w:val="24"/>
                <w:szCs w:val="24"/>
                <w:highlight w:val="none"/>
                <w:lang w:val="en-US" w:eastAsia="zh-CN" w:bidi="ar-SA"/>
              </w:rPr>
              <w:t>截至2025年6月30日渗滤液处置量18.65万m³，产水量8.84万m³</w:t>
            </w:r>
            <w:r>
              <w:rPr>
                <w:rFonts w:hint="eastAsia" w:cs="Times New Roman" w:eastAsiaTheme="minorEastAsia"/>
                <w:color w:val="auto"/>
                <w:sz w:val="24"/>
                <w:szCs w:val="24"/>
                <w:highlight w:val="none"/>
                <w:lang w:val="en-US" w:eastAsia="zh-CN"/>
              </w:rPr>
              <w:t>。现有渗滤液处理后的出水达到《城镇污水处理厂污染物排放标准》（GB18918-2002）中一级A 标准及《城市污水再生利用 城市杂用水水质》（GB/T18920-2020）中城市绿化水质标准，</w:t>
            </w:r>
            <w:r>
              <w:rPr>
                <w:rFonts w:hint="eastAsia" w:cs="Times New Roman"/>
                <w:color w:val="auto"/>
                <w:kern w:val="2"/>
                <w:sz w:val="24"/>
                <w:szCs w:val="24"/>
                <w:highlight w:val="none"/>
                <w:lang w:val="en-US" w:eastAsia="zh-CN" w:bidi="ar-SA"/>
              </w:rPr>
              <w:t>回用于</w:t>
            </w:r>
            <w:r>
              <w:rPr>
                <w:rFonts w:hint="eastAsia" w:cs="Times New Roman" w:eastAsiaTheme="minorEastAsia"/>
                <w:color w:val="auto"/>
                <w:sz w:val="24"/>
                <w:szCs w:val="24"/>
                <w:highlight w:val="none"/>
                <w:lang w:val="en-US" w:eastAsia="zh-CN"/>
              </w:rPr>
              <w:t>场区绿化灌溉，浓缩液回灌于垃圾填埋场。</w:t>
            </w:r>
          </w:p>
          <w:p w14:paraId="1924E9D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eastAsiaTheme="minorEastAsia"/>
                <w:color w:val="auto"/>
                <w:sz w:val="24"/>
                <w:szCs w:val="24"/>
                <w:highlight w:val="none"/>
                <w:lang w:val="en-US" w:eastAsia="zh-CN"/>
              </w:rPr>
            </w:pPr>
            <w:r>
              <w:rPr>
                <w:rFonts w:hint="default" w:cs="Times New Roman" w:eastAsiaTheme="minorEastAsia"/>
                <w:color w:val="auto"/>
                <w:sz w:val="24"/>
                <w:szCs w:val="24"/>
                <w:highlight w:val="none"/>
                <w:lang w:val="en-US" w:eastAsia="zh-CN"/>
              </w:rPr>
              <w:t>根据目前填埋场租用的2套处理规模为100吨/天的渗滤液处理设备（1用1备），2022年1月-2024年6月运行数据显示，随着回灌导致渗滤液水质恶化，设备日均处理量逐步衰减，总进水量约73057m³，总产水量为34316m³，平均产水率约47%，平均每日产水量约40~47吨。</w:t>
            </w:r>
          </w:p>
          <w:p w14:paraId="600DCB80">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eastAsiaTheme="minorEastAsia"/>
                <w:b/>
                <w:bCs/>
                <w:color w:val="auto"/>
                <w:sz w:val="24"/>
                <w:szCs w:val="24"/>
                <w:highlight w:val="none"/>
                <w:lang w:val="en-US" w:eastAsia="zh-CN"/>
              </w:rPr>
            </w:pPr>
            <w:r>
              <w:rPr>
                <w:rFonts w:hint="eastAsia" w:cs="Times New Roman" w:eastAsiaTheme="minorEastAsia"/>
                <w:b/>
                <w:bCs/>
                <w:color w:val="auto"/>
                <w:sz w:val="24"/>
                <w:szCs w:val="24"/>
                <w:highlight w:val="none"/>
                <w:lang w:val="en-US" w:eastAsia="zh-CN"/>
              </w:rPr>
              <w:t>4、现有渗滤液系统运行情况及存在的问题</w:t>
            </w:r>
          </w:p>
          <w:p w14:paraId="5E93ED1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（1）浓缩液回灌导致水质恶化，现有设备出水能力不断下降</w:t>
            </w:r>
          </w:p>
          <w:p w14:paraId="4444A65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 xml:space="preserve">现有两套100吨/天处理设备（一用一备），出水率已经下降至50%左右，每天将近一半渗滤液以浓缩液形式回灌填埋场。垃圾堆体内渗滤液液位较高，应急垃圾填埋场垃圾长期浸泡在渗滤液内，含水率高，开挖至焚烧场焚烧难度大，开挖过程垃圾垮塌风险高。 </w:t>
            </w:r>
          </w:p>
          <w:p w14:paraId="4B92CFF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 xml:space="preserve">（2）现有设备工艺不完整，浓缩液仍需回灌至堆体内由于现有渗滤液系统 </w:t>
            </w:r>
          </w:p>
          <w:p w14:paraId="346A64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DTRO工艺的本质是利用反渗透原理，通过外力使部分水分子通过半透膜形成清水外排，剩余部分水分子及污染物形成浓缩液。目前的渗滤液工艺并非一个完整的工艺，缺少浓缩液处理工艺。由于浓缩液回灌导致污染物尤其是各类盐分的不断富集，近年来渗滤液来水水质逐渐恶化，呈现COD、电导率较高，碳氮比失调的问题。如果上述问题不能尽快解决，后续DTRO系统出水率将进一步下降。浓缩液大量回灌随着时间的积累，回灌到垃圾堆体的难降解有机物越来越多，盐分也不断的积累，目前的渗滤液水质恶化趋势越来严重，主要有：</w:t>
            </w:r>
          </w:p>
          <w:p w14:paraId="64DABB3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 xml:space="preserve">1）钙镁离子及氯离子成本逐步上升，对设备造成污堵及强烈腐蚀，设备寿命骤减。 </w:t>
            </w:r>
          </w:p>
          <w:p w14:paraId="2026EDA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 xml:space="preserve">2）随着设备回收率的降低，浓缩液回灌量逐步增加，形成恶性循环。 </w:t>
            </w:r>
          </w:p>
          <w:p w14:paraId="25E4E47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3）部分渗滤液在堆体与处置设备之间循环，其余堆体长期处于渗滤液浸泡中，极易造成坝体松散和腐蚀，致使坝体渗漏或溃坝，造成渗滤液外泄，进而导致严重环保安全事故。</w:t>
            </w:r>
          </w:p>
          <w:p w14:paraId="13915F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因此，渗滤液处理工艺应补充浓缩液处理设施，使得整个渗滤液处理工艺形成一个完整的、全量化的处理流程。</w:t>
            </w:r>
          </w:p>
          <w:p w14:paraId="58A4A02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eastAsiaTheme="minorEastAsia"/>
                <w:b/>
                <w:bCs/>
                <w:color w:val="auto"/>
                <w:sz w:val="24"/>
                <w:szCs w:val="24"/>
                <w:highlight w:val="none"/>
                <w:lang w:val="en-US" w:eastAsia="zh-CN"/>
              </w:rPr>
            </w:pPr>
            <w:r>
              <w:rPr>
                <w:rFonts w:hint="eastAsia" w:cs="Times New Roman" w:eastAsiaTheme="minorEastAsia"/>
                <w:b/>
                <w:bCs/>
                <w:color w:val="auto"/>
                <w:sz w:val="24"/>
                <w:szCs w:val="24"/>
                <w:highlight w:val="none"/>
                <w:lang w:val="en-US" w:eastAsia="zh-CN"/>
              </w:rPr>
              <w:t>5、本次项目建设内容</w:t>
            </w:r>
          </w:p>
          <w:p w14:paraId="3DA9F6F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eastAsiaTheme="minorEastAsia"/>
                <w:color w:val="auto"/>
                <w:sz w:val="24"/>
                <w:szCs w:val="24"/>
                <w:highlight w:val="none"/>
                <w:lang w:val="en-US" w:eastAsia="zh-CN"/>
              </w:rPr>
            </w:pPr>
            <w:r>
              <w:rPr>
                <w:rFonts w:hint="eastAsia" w:cs="Times New Roman" w:eastAsiaTheme="minorEastAsia"/>
                <w:b w:val="0"/>
                <w:bCs w:val="0"/>
                <w:color w:val="auto"/>
                <w:sz w:val="24"/>
                <w:szCs w:val="24"/>
                <w:highlight w:val="none"/>
                <w:lang w:val="en-US" w:eastAsia="zh-CN"/>
              </w:rPr>
              <w:t>澄江市大山生活垃圾填埋场至今已规范处置渗滤液13.65万吨，产水6.72万吨，现状渗滤液处理站浓缩液回灌导致渗滤液浓度升高，回收率下降，渗滤液电导率过高，COD、TN、氨氮等各项进水指标超标，经过多年的浓缩液回灌，渗滤液浓度越来越高，处理难度越来越大，处理成本越来越高，形成恶性循环，长期租赁渗滤液处理设备的成本已足够覆盖采购一套渗滤液处理设备，且如按照现状处理方式继续处置渗滤液，将存在产水不能达到《城镇污水处理厂污染物排放标准》（GB18919-2002）一级A标准及《生活垃圾填埋场污染控制标准》（GB16889-2024）的出水水质要求的风险。</w:t>
            </w:r>
            <w:r>
              <w:rPr>
                <w:rFonts w:hint="eastAsia" w:cs="Times New Roman" w:eastAsiaTheme="minorEastAsia"/>
                <w:color w:val="auto"/>
                <w:sz w:val="24"/>
                <w:szCs w:val="24"/>
                <w:highlight w:val="none"/>
                <w:lang w:val="en-US" w:eastAsia="zh-CN"/>
              </w:rPr>
              <w:t>鉴于以上大山生活垃圾填埋场存在的环境问题，为确保大山生活垃圾填埋场渗滤液处置正常运行，切实消除环境污染风险隐患，澄江市住房和城乡建设局于2024年7月委托昆明市建筑设计研究院股份有限公司编制了《大山生活垃圾填埋场渗滤液全量化处理站及其他附属配套设施建设项目可行性研究报告》，2025年4月委托中科华创国际工程设计顾问集团有限公司编制了《大山生活垃圾填埋场渗滤液全量化处理站及其他附属配套设施建设项目初步设计文件》，针对存在的环境问题提出以下建设内容：建设生活垃圾填埋场渗滤液全量化处理站一座及其他附属配套设施，处理能力为50吨/天，采用“预处理+两级DTRO+低温真空蒸发+固化”工艺，替换现有两套100吨/天（一用一备）的集装箱式两级DTRO设备处置，处理范围为一期封场区和应急填埋区及二期填埋区日常产生渗滤液；对应急填埋区和二期填埋区堆体表面设置雨水导排系统，实行雨污分流。项目于2024年8月8日取得澄江市发展和改革局关于项目可行性研究报告的批复。</w:t>
            </w:r>
          </w:p>
          <w:p w14:paraId="43DA8D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eastAsiaTheme="minorEastAsia"/>
                <w:color w:val="auto"/>
                <w:sz w:val="24"/>
                <w:szCs w:val="24"/>
                <w:highlight w:val="none"/>
                <w:lang w:val="en-US" w:eastAsia="zh-CN"/>
              </w:rPr>
            </w:pPr>
            <w:r>
              <w:rPr>
                <w:rFonts w:hint="eastAsia" w:cs="Times New Roman" w:eastAsiaTheme="minorEastAsia"/>
                <w:b w:val="0"/>
                <w:bCs w:val="0"/>
                <w:color w:val="auto"/>
                <w:sz w:val="24"/>
                <w:szCs w:val="24"/>
                <w:highlight w:val="none"/>
                <w:lang w:val="en-US" w:eastAsia="zh-CN"/>
              </w:rPr>
              <w:t>本次项目实施渗滤液全量化处理后，将浓缩液全部处理，浓缩液不再回灌垃圾堆体，渗滤液水质将随着没有浓缩液回灌变得更好，处理成本将越来越低，形成良性循环。</w:t>
            </w:r>
            <w:r>
              <w:rPr>
                <w:rFonts w:hint="eastAsia" w:cs="Times New Roman" w:eastAsiaTheme="minorEastAsia"/>
                <w:color w:val="auto"/>
                <w:sz w:val="24"/>
                <w:szCs w:val="24"/>
                <w:highlight w:val="none"/>
                <w:lang w:val="en-US" w:eastAsia="zh-CN"/>
              </w:rPr>
              <w:t>通过项目的实施进一步</w:t>
            </w:r>
            <w:r>
              <w:rPr>
                <w:rFonts w:hint="eastAsia" w:ascii="宋体" w:hAnsi="宋体" w:eastAsia="宋体" w:cs="宋体"/>
                <w:color w:val="auto"/>
                <w:kern w:val="0"/>
                <w:sz w:val="24"/>
                <w:szCs w:val="24"/>
                <w:highlight w:val="none"/>
                <w:lang w:val="en-US" w:eastAsia="zh-CN" w:bidi="ar"/>
              </w:rPr>
              <w:t>规范垃圾填埋库区，对垃圾填埋库区实行雨污分流，将雨水直接排出填埋场范围，减少雨水进入垃圾堆体形成渗滤液，节约渗滤液的量及处理成本，达到生活垃圾填埋场无害化评价标准，同时</w:t>
            </w:r>
            <w:r>
              <w:rPr>
                <w:rFonts w:hint="eastAsia" w:cs="Times New Roman" w:eastAsiaTheme="minorEastAsia"/>
                <w:color w:val="auto"/>
                <w:sz w:val="24"/>
                <w:szCs w:val="24"/>
                <w:highlight w:val="none"/>
                <w:lang w:val="en-US" w:eastAsia="zh-CN"/>
              </w:rPr>
              <w:t>提高澄江市城市生活垃圾处理减量化、资源化、无害化水平，完善城市生活垃圾处理系统，有利于保护澄江市的生态环境。</w:t>
            </w:r>
          </w:p>
          <w:p w14:paraId="281B5561">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eastAsiaTheme="minorEastAsia"/>
                <w:b/>
                <w:bCs/>
                <w:color w:val="auto"/>
                <w:sz w:val="24"/>
                <w:szCs w:val="24"/>
                <w:highlight w:val="none"/>
                <w:lang w:val="en-US" w:eastAsia="zh-CN"/>
              </w:rPr>
            </w:pPr>
            <w:r>
              <w:rPr>
                <w:rFonts w:hint="eastAsia" w:cs="Times New Roman" w:eastAsiaTheme="minorEastAsia"/>
                <w:b/>
                <w:bCs/>
                <w:color w:val="auto"/>
                <w:sz w:val="24"/>
                <w:szCs w:val="24"/>
                <w:highlight w:val="none"/>
                <w:lang w:val="en-US" w:eastAsia="zh-CN"/>
              </w:rPr>
              <w:t>7、项目建设规模合理性</w:t>
            </w:r>
          </w:p>
          <w:p w14:paraId="26D9FA9C">
            <w:pPr>
              <w:widowControl/>
              <w:adjustRightInd w:val="0"/>
              <w:snapToGrid w:val="0"/>
              <w:spacing w:line="360" w:lineRule="auto"/>
              <w:ind w:firstLine="480" w:firstLineChars="200"/>
              <w:rPr>
                <w:rFonts w:eastAsiaTheme="minorEastAsia"/>
                <w:color w:val="auto"/>
                <w:sz w:val="24"/>
                <w:highlight w:val="none"/>
              </w:rPr>
            </w:pPr>
            <w:r>
              <w:rPr>
                <w:rFonts w:hint="eastAsia" w:eastAsiaTheme="minorEastAsia"/>
                <w:color w:val="auto"/>
                <w:sz w:val="24"/>
                <w:highlight w:val="none"/>
                <w:lang w:val="en-US" w:eastAsia="zh-CN"/>
              </w:rPr>
              <w:t>目前大山生活垃圾</w:t>
            </w:r>
            <w:r>
              <w:rPr>
                <w:rFonts w:hint="eastAsia" w:eastAsiaTheme="minorEastAsia"/>
                <w:color w:val="auto"/>
                <w:sz w:val="24"/>
                <w:highlight w:val="none"/>
              </w:rPr>
              <w:t>填埋场租用2套处理规模为100吨/天的渗滤液处理设备（1用1备），根据《澄江市大山生活垃圾填埋场渗滤液历年处置量情况汇总表》，2022年1月</w:t>
            </w:r>
            <w:r>
              <w:rPr>
                <w:rFonts w:hint="eastAsia" w:eastAsiaTheme="minorEastAsia"/>
                <w:color w:val="auto"/>
                <w:sz w:val="24"/>
                <w:highlight w:val="none"/>
                <w:lang w:val="en-US" w:eastAsia="zh-CN"/>
              </w:rPr>
              <w:t>~</w:t>
            </w:r>
            <w:r>
              <w:rPr>
                <w:rFonts w:hint="eastAsia" w:eastAsiaTheme="minorEastAsia"/>
                <w:color w:val="auto"/>
                <w:sz w:val="24"/>
                <w:highlight w:val="none"/>
              </w:rPr>
              <w:t>2024年6月运行数据显示，随着大山生活垃圾填埋场不再接受生活垃圾，渗滤液产生量正在逐步减小，渗滤液原液日平均进水量从102</w:t>
            </w:r>
            <w:r>
              <w:rPr>
                <w:rFonts w:hint="eastAsia" w:eastAsiaTheme="minorEastAsia"/>
                <w:color w:val="auto"/>
                <w:sz w:val="24"/>
                <w:highlight w:val="none"/>
                <w:lang w:val="en-US" w:eastAsia="zh-CN"/>
              </w:rPr>
              <w:t>t</w:t>
            </w:r>
            <w:r>
              <w:rPr>
                <w:rFonts w:hint="eastAsia" w:eastAsiaTheme="minorEastAsia"/>
                <w:color w:val="auto"/>
                <w:sz w:val="24"/>
                <w:highlight w:val="none"/>
              </w:rPr>
              <w:t>/d降至47t/d；随着回灌导致渗滤液水质恶化，渗滤液处理设备日均产水量也在逐步衰减，渗滤液处置日平均产水量从49t/d降至22t/d。</w:t>
            </w:r>
          </w:p>
          <w:p w14:paraId="1FA1696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b w:val="0"/>
                <w:bCs w:val="0"/>
                <w:color w:val="auto"/>
                <w:sz w:val="24"/>
                <w:szCs w:val="24"/>
                <w:highlight w:val="none"/>
                <w:lang w:val="en-US" w:eastAsia="zh-CN"/>
              </w:rPr>
            </w:pPr>
            <w:r>
              <w:rPr>
                <w:rFonts w:hint="eastAsia" w:eastAsiaTheme="minorEastAsia"/>
                <w:color w:val="auto"/>
                <w:sz w:val="24"/>
                <w:highlight w:val="none"/>
              </w:rPr>
              <w:t>根据项目设计方案，大山生活垃圾填埋场将对应急填埋区及二期填埋区进行修整，实行雨污分流，可有效控制雨水入渗，</w:t>
            </w:r>
            <w:r>
              <w:rPr>
                <w:rFonts w:hint="eastAsia"/>
                <w:color w:val="auto"/>
                <w:kern w:val="24"/>
                <w:sz w:val="24"/>
                <w:highlight w:val="none"/>
              </w:rPr>
              <w:t>减少了雨水进入垃圾填埋区形成的渗滤液，</w:t>
            </w:r>
            <w:r>
              <w:rPr>
                <w:color w:val="auto"/>
                <w:kern w:val="24"/>
                <w:sz w:val="24"/>
                <w:highlight w:val="none"/>
              </w:rPr>
              <w:t>应急填埋区和</w:t>
            </w:r>
            <w:r>
              <w:rPr>
                <w:rFonts w:hint="eastAsia"/>
                <w:color w:val="auto"/>
                <w:kern w:val="24"/>
                <w:sz w:val="24"/>
                <w:highlight w:val="none"/>
              </w:rPr>
              <w:t>二期填埋区渗滤液产生量将显著减少。根据历年数据分析，预计每日渗滤液产量将不高于50</w:t>
            </w:r>
            <w:r>
              <w:rPr>
                <w:rFonts w:hint="eastAsia" w:eastAsiaTheme="minorEastAsia"/>
                <w:color w:val="auto"/>
                <w:sz w:val="24"/>
                <w:highlight w:val="none"/>
              </w:rPr>
              <w:t>t/d</w:t>
            </w:r>
            <w:r>
              <w:rPr>
                <w:rFonts w:hint="eastAsia"/>
                <w:color w:val="auto"/>
                <w:kern w:val="24"/>
                <w:sz w:val="24"/>
                <w:highlight w:val="none"/>
              </w:rPr>
              <w:t>。同时，</w:t>
            </w:r>
            <w:r>
              <w:rPr>
                <w:rFonts w:hint="eastAsia" w:eastAsiaTheme="minorEastAsia"/>
                <w:color w:val="auto"/>
                <w:sz w:val="24"/>
                <w:highlight w:val="none"/>
              </w:rPr>
              <w:t>随着渗滤液全量化项目的启动运营，渗滤液全量化处理站对浓缩液进行蒸发固化处理，无浓缩液产生，浓缩液不再回灌处理，渗滤液水质趋好，符合</w:t>
            </w:r>
            <w:r>
              <w:rPr>
                <w:rFonts w:hint="eastAsia" w:eastAsiaTheme="minorEastAsia"/>
                <w:color w:val="auto"/>
                <w:sz w:val="24"/>
                <w:highlight w:val="none"/>
                <w:lang w:val="en-US" w:eastAsia="zh-CN"/>
              </w:rPr>
              <w:t>填埋</w:t>
            </w:r>
            <w:r>
              <w:rPr>
                <w:rFonts w:hint="eastAsia" w:eastAsiaTheme="minorEastAsia"/>
                <w:color w:val="auto"/>
                <w:sz w:val="24"/>
                <w:highlight w:val="none"/>
              </w:rPr>
              <w:t>场区长期稳定需求。因此，本次渗滤液全量化处理站设计处理规模50吨/天，符合场区实际需求，规模设计合理。</w:t>
            </w:r>
          </w:p>
          <w:p w14:paraId="6DA385C8">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eastAsiaTheme="minorEastAsia"/>
                <w:b/>
                <w:bCs/>
                <w:color w:val="auto"/>
                <w:sz w:val="24"/>
                <w:szCs w:val="24"/>
                <w:highlight w:val="none"/>
                <w:lang w:val="en-US" w:eastAsia="zh-CN"/>
              </w:rPr>
            </w:pPr>
            <w:r>
              <w:rPr>
                <w:rFonts w:hint="eastAsia" w:cs="Times New Roman" w:eastAsiaTheme="minorEastAsia"/>
                <w:b/>
                <w:bCs/>
                <w:color w:val="auto"/>
                <w:sz w:val="24"/>
                <w:szCs w:val="24"/>
                <w:highlight w:val="none"/>
                <w:lang w:val="en-US" w:eastAsia="zh-CN"/>
              </w:rPr>
              <w:t>8、项目编制依据</w:t>
            </w:r>
          </w:p>
          <w:p w14:paraId="684F1C6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本项目为污水处理及其再生利用工程（D4620），根据《中华人民共和国环境影响评价法》、《建设项目环境保护管理条例》（国务院第682号令）以及《建设项目环境影响评价分类管理目录》（2021年版）等的规定，本项目属于《建设项目环境影响评价分类管理名录》中“四十三、水的生产和供应业”中“95、污水处理及其再生利用”类。参考广东省生态环境厅2019年1月5日《关于城市生活垃圾填埋场配套的渗滤液处理厂处理工艺技改的环评类别》回复：鉴于生活垃圾渗滤液污染物成份复杂、浓度较高，建议其处理项目参照《建设项目环境影响评价分类管理名录中“工业废水集中处理”类别要求进行判定。根据《建设项目环境影响评价分类管理目录》（2021年版）规定“新建、扩建其他工业废水处理的（不含建设单位自建自用仅处理生活污水的；不含出水间接排入地表水体且不排放重金属的）”编制环境影响报告表。本项目处理生活垃圾渗滤液，日处理50吨，本项目需编制环境影响报告表。</w:t>
            </w:r>
          </w:p>
          <w:p w14:paraId="1FBBE16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p>
          <w:p w14:paraId="778E698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p>
          <w:p w14:paraId="6F7DA4A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p>
          <w:p w14:paraId="79C102E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p>
          <w:p w14:paraId="17C8A06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p>
          <w:p w14:paraId="1A289F9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p>
          <w:p w14:paraId="44D4F52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p>
          <w:p w14:paraId="6656A54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eastAsiaTheme="minorEastAsia"/>
                <w:color w:val="auto"/>
                <w:sz w:val="24"/>
                <w:szCs w:val="24"/>
                <w:highlight w:val="none"/>
                <w:lang w:val="en-US" w:eastAsia="zh-CN"/>
              </w:rPr>
            </w:pPr>
          </w:p>
          <w:p w14:paraId="149032D0">
            <w:pPr>
              <w:pStyle w:val="5"/>
              <w:pageBreakBefore w:val="0"/>
              <w:widowControl w:val="0"/>
              <w:kinsoku/>
              <w:wordWrap/>
              <w:overflowPunct/>
              <w:topLinePunct w:val="0"/>
              <w:autoSpaceDE/>
              <w:autoSpaceDN/>
              <w:bidi w:val="0"/>
              <w:adjustRightInd/>
              <w:snapToGrid/>
              <w:spacing w:before="0" w:after="0"/>
              <w:jc w:val="center"/>
              <w:textAlignment w:val="auto"/>
              <w:rPr>
                <w:color w:val="auto"/>
                <w:highlight w:val="none"/>
              </w:rPr>
            </w:pPr>
            <w:r>
              <w:rPr>
                <w:color w:val="auto"/>
                <w:highlight w:val="none"/>
              </w:rPr>
              <w:drawing>
                <wp:inline distT="0" distB="0" distL="114300" distR="114300">
                  <wp:extent cx="4744085" cy="5620385"/>
                  <wp:effectExtent l="0" t="0" r="18415"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4744085" cy="5620385"/>
                          </a:xfrm>
                          <a:prstGeom prst="rect">
                            <a:avLst/>
                          </a:prstGeom>
                          <a:noFill/>
                          <a:ln>
                            <a:noFill/>
                          </a:ln>
                        </pic:spPr>
                      </pic:pic>
                    </a:graphicData>
                  </a:graphic>
                </wp:inline>
              </w:drawing>
            </w:r>
          </w:p>
          <w:p w14:paraId="4B91B73A">
            <w:pPr>
              <w:spacing w:line="360" w:lineRule="auto"/>
              <w:jc w:val="center"/>
              <w:rPr>
                <w:rFonts w:hint="eastAsia" w:cs="Times New Roman"/>
                <w:b/>
                <w:bCs/>
                <w:color w:val="auto"/>
                <w:sz w:val="24"/>
                <w:szCs w:val="24"/>
                <w:highlight w:val="none"/>
                <w:lang w:val="en-US" w:eastAsia="zh-CN"/>
              </w:rPr>
            </w:pPr>
            <w:r>
              <w:rPr>
                <w:rFonts w:hint="eastAsia"/>
                <w:b/>
                <w:bCs/>
                <w:color w:val="auto"/>
                <w:sz w:val="24"/>
                <w:szCs w:val="24"/>
                <w:highlight w:val="none"/>
                <w:lang w:val="en-US" w:eastAsia="zh-CN"/>
              </w:rPr>
              <w:t>图2-1  大山生活垃圾填埋场现状</w:t>
            </w:r>
          </w:p>
          <w:p w14:paraId="62B35AE5">
            <w:pPr>
              <w:spacing w:line="360" w:lineRule="auto"/>
              <w:rPr>
                <w:rFonts w:hint="eastAsia" w:ascii="Times New Roman" w:hAnsi="Times New Roman" w:eastAsia="宋体" w:cs="Times New Roman"/>
                <w:b/>
                <w:bCs/>
                <w:color w:val="auto"/>
                <w:sz w:val="24"/>
                <w:highlight w:val="none"/>
                <w:lang w:eastAsia="zh-CN"/>
              </w:rPr>
            </w:pPr>
            <w:r>
              <w:rPr>
                <w:rFonts w:hint="eastAsia" w:cs="Times New Roman"/>
                <w:b/>
                <w:bCs/>
                <w:color w:val="auto"/>
                <w:sz w:val="24"/>
                <w:highlight w:val="none"/>
                <w:lang w:val="en-US" w:eastAsia="zh-CN"/>
              </w:rPr>
              <w:t>二</w:t>
            </w:r>
            <w:r>
              <w:rPr>
                <w:rFonts w:hint="eastAsia" w:cs="Times New Roman"/>
                <w:b/>
                <w:bCs/>
                <w:color w:val="auto"/>
                <w:sz w:val="24"/>
                <w:highlight w:val="none"/>
                <w:lang w:eastAsia="zh-CN"/>
              </w:rPr>
              <w:t>、</w:t>
            </w:r>
            <w:r>
              <w:rPr>
                <w:rFonts w:hint="default" w:ascii="Times New Roman" w:hAnsi="Times New Roman" w:cs="Times New Roman"/>
                <w:b/>
                <w:bCs/>
                <w:color w:val="auto"/>
                <w:sz w:val="24"/>
                <w:highlight w:val="none"/>
              </w:rPr>
              <w:t>项目</w:t>
            </w:r>
            <w:r>
              <w:rPr>
                <w:rFonts w:hint="eastAsia" w:cs="Times New Roman"/>
                <w:b/>
                <w:bCs/>
                <w:color w:val="auto"/>
                <w:sz w:val="24"/>
                <w:highlight w:val="none"/>
                <w:lang w:eastAsia="zh-CN"/>
              </w:rPr>
              <w:t>基本情况</w:t>
            </w:r>
          </w:p>
          <w:p w14:paraId="11DC660F">
            <w:pPr>
              <w:pStyle w:val="100"/>
              <w:snapToGrid w:val="0"/>
              <w:spacing w:line="360" w:lineRule="auto"/>
              <w:ind w:firstLine="482" w:firstLineChars="200"/>
              <w:rPr>
                <w:rFonts w:hint="eastAsia" w:eastAsia="宋体"/>
                <w:b w:val="0"/>
                <w:bCs w:val="0"/>
                <w:color w:val="auto"/>
                <w:sz w:val="24"/>
                <w:szCs w:val="24"/>
                <w:highlight w:val="none"/>
                <w:lang w:eastAsia="zh-CN"/>
              </w:rPr>
            </w:pPr>
            <w:r>
              <w:rPr>
                <w:rFonts w:hint="eastAsia" w:eastAsia="宋体"/>
                <w:b/>
                <w:bCs/>
                <w:color w:val="auto"/>
                <w:sz w:val="24"/>
                <w:szCs w:val="24"/>
                <w:highlight w:val="none"/>
                <w:lang w:eastAsia="zh-CN"/>
              </w:rPr>
              <w:t>项目名称：</w:t>
            </w:r>
            <w:r>
              <w:rPr>
                <w:rFonts w:hint="eastAsia"/>
                <w:b w:val="0"/>
                <w:bCs w:val="0"/>
                <w:color w:val="auto"/>
                <w:sz w:val="24"/>
                <w:szCs w:val="24"/>
                <w:highlight w:val="none"/>
                <w:lang w:eastAsia="zh-CN"/>
              </w:rPr>
              <w:t>大山生活垃圾填埋场渗滤液全量化处理站及其他附属配套设施建设项目</w:t>
            </w:r>
          </w:p>
          <w:p w14:paraId="47BC9947">
            <w:pPr>
              <w:pStyle w:val="100"/>
              <w:snapToGrid w:val="0"/>
              <w:spacing w:line="360" w:lineRule="auto"/>
              <w:ind w:firstLine="482" w:firstLineChars="200"/>
              <w:rPr>
                <w:rFonts w:hint="eastAsia" w:eastAsia="宋体"/>
                <w:b w:val="0"/>
                <w:bCs w:val="0"/>
                <w:color w:val="auto"/>
                <w:sz w:val="24"/>
                <w:szCs w:val="24"/>
                <w:highlight w:val="none"/>
                <w:lang w:val="en-US" w:eastAsia="zh-CN"/>
              </w:rPr>
            </w:pPr>
            <w:r>
              <w:rPr>
                <w:rFonts w:hint="eastAsia" w:eastAsia="宋体"/>
                <w:b/>
                <w:bCs/>
                <w:color w:val="auto"/>
                <w:sz w:val="24"/>
                <w:szCs w:val="24"/>
                <w:highlight w:val="none"/>
                <w:lang w:eastAsia="zh-CN"/>
              </w:rPr>
              <w:t>建设地点：</w:t>
            </w:r>
            <w:r>
              <w:rPr>
                <w:rFonts w:hint="eastAsia" w:eastAsia="宋体"/>
                <w:b w:val="0"/>
                <w:bCs w:val="0"/>
                <w:color w:val="auto"/>
                <w:sz w:val="24"/>
                <w:szCs w:val="24"/>
                <w:highlight w:val="none"/>
                <w:lang w:val="en-US" w:eastAsia="zh-CN"/>
              </w:rPr>
              <w:t>澄江市九村镇七江村委会大山村双水塘大山生活垃圾填埋场内</w:t>
            </w:r>
          </w:p>
          <w:p w14:paraId="57750BBF">
            <w:pPr>
              <w:pStyle w:val="100"/>
              <w:snapToGrid w:val="0"/>
              <w:spacing w:line="360" w:lineRule="auto"/>
              <w:ind w:firstLine="482" w:firstLineChars="200"/>
              <w:rPr>
                <w:rFonts w:hint="eastAsia" w:eastAsia="宋体"/>
                <w:b w:val="0"/>
                <w:bCs w:val="0"/>
                <w:color w:val="auto"/>
                <w:sz w:val="24"/>
                <w:szCs w:val="24"/>
                <w:highlight w:val="none"/>
                <w:lang w:eastAsia="zh-CN"/>
              </w:rPr>
            </w:pPr>
            <w:r>
              <w:rPr>
                <w:rFonts w:hint="eastAsia" w:eastAsia="宋体"/>
                <w:b/>
                <w:bCs/>
                <w:color w:val="auto"/>
                <w:sz w:val="24"/>
                <w:szCs w:val="24"/>
                <w:highlight w:val="none"/>
                <w:lang w:eastAsia="zh-CN"/>
              </w:rPr>
              <w:t>建设单位：</w:t>
            </w:r>
            <w:r>
              <w:rPr>
                <w:rFonts w:hint="eastAsia" w:eastAsia="宋体"/>
                <w:b w:val="0"/>
                <w:bCs w:val="0"/>
                <w:color w:val="auto"/>
                <w:sz w:val="24"/>
                <w:szCs w:val="24"/>
                <w:highlight w:val="none"/>
                <w:lang w:eastAsia="zh-CN"/>
              </w:rPr>
              <w:t>澄江市</w:t>
            </w:r>
            <w:r>
              <w:rPr>
                <w:rFonts w:hint="eastAsia" w:eastAsia="宋体"/>
                <w:b w:val="0"/>
                <w:bCs w:val="0"/>
                <w:color w:val="auto"/>
                <w:sz w:val="24"/>
                <w:szCs w:val="24"/>
                <w:highlight w:val="none"/>
                <w:lang w:val="en-US" w:eastAsia="zh-CN"/>
              </w:rPr>
              <w:t>住房和城乡建设局</w:t>
            </w:r>
          </w:p>
          <w:p w14:paraId="15E74411">
            <w:pPr>
              <w:pStyle w:val="100"/>
              <w:snapToGrid w:val="0"/>
              <w:spacing w:line="360" w:lineRule="auto"/>
              <w:ind w:firstLine="482" w:firstLineChars="200"/>
              <w:rPr>
                <w:rFonts w:hint="default" w:eastAsia="宋体"/>
                <w:b w:val="0"/>
                <w:bCs w:val="0"/>
                <w:color w:val="auto"/>
                <w:sz w:val="24"/>
                <w:szCs w:val="24"/>
                <w:highlight w:val="none"/>
                <w:lang w:val="en-US" w:eastAsia="zh-CN"/>
              </w:rPr>
            </w:pPr>
            <w:r>
              <w:rPr>
                <w:rFonts w:hint="eastAsia" w:eastAsia="宋体"/>
                <w:b/>
                <w:bCs/>
                <w:color w:val="auto"/>
                <w:sz w:val="24"/>
                <w:szCs w:val="24"/>
                <w:highlight w:val="none"/>
                <w:lang w:eastAsia="zh-CN"/>
              </w:rPr>
              <w:t>建设性质：</w:t>
            </w:r>
            <w:r>
              <w:rPr>
                <w:rFonts w:hint="eastAsia"/>
                <w:b w:val="0"/>
                <w:bCs w:val="0"/>
                <w:color w:val="auto"/>
                <w:sz w:val="24"/>
                <w:szCs w:val="24"/>
                <w:highlight w:val="none"/>
                <w:lang w:val="en-US" w:eastAsia="zh-CN"/>
              </w:rPr>
              <w:t>改建</w:t>
            </w:r>
          </w:p>
          <w:p w14:paraId="3D860247">
            <w:pPr>
              <w:pStyle w:val="100"/>
              <w:snapToGrid w:val="0"/>
              <w:spacing w:line="360" w:lineRule="auto"/>
              <w:ind w:firstLine="482" w:firstLineChars="200"/>
              <w:rPr>
                <w:rFonts w:hint="default" w:eastAsia="宋体"/>
                <w:b w:val="0"/>
                <w:bCs w:val="0"/>
                <w:color w:val="auto"/>
                <w:sz w:val="24"/>
                <w:szCs w:val="24"/>
                <w:highlight w:val="none"/>
                <w:lang w:val="en-US" w:eastAsia="zh-CN"/>
              </w:rPr>
            </w:pPr>
            <w:r>
              <w:rPr>
                <w:rFonts w:hint="eastAsia" w:eastAsia="宋体"/>
                <w:b/>
                <w:bCs/>
                <w:color w:val="auto"/>
                <w:sz w:val="24"/>
                <w:szCs w:val="24"/>
                <w:highlight w:val="none"/>
                <w:lang w:eastAsia="zh-CN"/>
              </w:rPr>
              <w:t>用地面积：</w:t>
            </w:r>
            <w:r>
              <w:rPr>
                <w:rFonts w:hint="eastAsia" w:eastAsia="宋体"/>
                <w:b w:val="0"/>
                <w:bCs w:val="0"/>
                <w:color w:val="auto"/>
                <w:sz w:val="24"/>
                <w:szCs w:val="24"/>
                <w:highlight w:val="none"/>
                <w:lang w:val="en-US" w:eastAsia="zh-CN"/>
              </w:rPr>
              <w:t>859.48m</w:t>
            </w:r>
            <w:r>
              <w:rPr>
                <w:rFonts w:hint="eastAsia" w:eastAsia="宋体"/>
                <w:b w:val="0"/>
                <w:bCs w:val="0"/>
                <w:color w:val="auto"/>
                <w:sz w:val="24"/>
                <w:szCs w:val="24"/>
                <w:highlight w:val="none"/>
                <w:vertAlign w:val="superscript"/>
                <w:lang w:val="en-US" w:eastAsia="zh-CN"/>
              </w:rPr>
              <w:t>2</w:t>
            </w:r>
          </w:p>
          <w:p w14:paraId="10A32E2A">
            <w:pPr>
              <w:pStyle w:val="100"/>
              <w:snapToGrid w:val="0"/>
              <w:spacing w:line="360" w:lineRule="auto"/>
              <w:ind w:firstLine="482" w:firstLineChars="200"/>
              <w:rPr>
                <w:rFonts w:hint="eastAsia" w:eastAsia="宋体"/>
                <w:b w:val="0"/>
                <w:bCs w:val="0"/>
                <w:color w:val="auto"/>
                <w:sz w:val="24"/>
                <w:szCs w:val="24"/>
                <w:highlight w:val="none"/>
                <w:lang w:eastAsia="zh-CN"/>
              </w:rPr>
            </w:pPr>
            <w:r>
              <w:rPr>
                <w:rFonts w:hint="eastAsia" w:eastAsia="宋体"/>
                <w:b/>
                <w:bCs/>
                <w:color w:val="auto"/>
                <w:sz w:val="24"/>
                <w:szCs w:val="24"/>
                <w:highlight w:val="none"/>
                <w:lang w:eastAsia="zh-CN"/>
              </w:rPr>
              <w:t>总投资：</w:t>
            </w:r>
            <w:r>
              <w:rPr>
                <w:rFonts w:hint="eastAsia"/>
                <w:b w:val="0"/>
                <w:bCs w:val="0"/>
                <w:color w:val="auto"/>
                <w:sz w:val="24"/>
                <w:szCs w:val="24"/>
                <w:highlight w:val="none"/>
                <w:lang w:val="en-US" w:eastAsia="zh-CN"/>
              </w:rPr>
              <w:t>2135.56</w:t>
            </w:r>
            <w:r>
              <w:rPr>
                <w:rFonts w:hint="eastAsia" w:eastAsia="宋体"/>
                <w:b w:val="0"/>
                <w:bCs w:val="0"/>
                <w:color w:val="auto"/>
                <w:sz w:val="24"/>
                <w:szCs w:val="24"/>
                <w:highlight w:val="none"/>
                <w:lang w:eastAsia="zh-CN"/>
              </w:rPr>
              <w:t>万元</w:t>
            </w:r>
          </w:p>
          <w:p w14:paraId="6B1CC8D4">
            <w:pPr>
              <w:pStyle w:val="84"/>
              <w:ind w:firstLine="480"/>
              <w:rPr>
                <w:rFonts w:hint="default"/>
                <w:b/>
                <w:bCs/>
                <w:color w:val="auto"/>
                <w:sz w:val="24"/>
                <w:szCs w:val="24"/>
                <w:highlight w:val="none"/>
                <w:lang w:val="en-US" w:eastAsia="zh-CN"/>
              </w:rPr>
            </w:pPr>
            <w:r>
              <w:rPr>
                <w:rFonts w:hint="eastAsia"/>
                <w:b/>
                <w:bCs/>
                <w:color w:val="auto"/>
                <w:sz w:val="24"/>
                <w:szCs w:val="24"/>
                <w:highlight w:val="none"/>
                <w:lang w:val="en-US" w:eastAsia="zh-CN"/>
              </w:rPr>
              <w:t>服务对象：</w:t>
            </w:r>
            <w:r>
              <w:rPr>
                <w:rFonts w:hint="eastAsia"/>
                <w:b w:val="0"/>
                <w:bCs w:val="0"/>
                <w:color w:val="auto"/>
                <w:sz w:val="24"/>
                <w:szCs w:val="24"/>
                <w:highlight w:val="none"/>
                <w:lang w:val="en-US" w:eastAsia="zh-CN"/>
              </w:rPr>
              <w:t>对</w:t>
            </w:r>
            <w:r>
              <w:rPr>
                <w:rFonts w:hint="default" w:ascii="Times New Roman" w:hAnsi="Times New Roman" w:cs="Times New Roman"/>
                <w:color w:val="auto"/>
                <w:kern w:val="24"/>
                <w:sz w:val="24"/>
                <w:highlight w:val="none"/>
                <w:lang w:val="en-US" w:eastAsia="zh-CN"/>
              </w:rPr>
              <w:t>一期封场区和应急填埋区及二期填埋区日常产生</w:t>
            </w:r>
            <w:r>
              <w:rPr>
                <w:rFonts w:hint="eastAsia" w:cs="Times New Roman"/>
                <w:color w:val="auto"/>
                <w:kern w:val="24"/>
                <w:sz w:val="24"/>
                <w:highlight w:val="none"/>
                <w:lang w:val="en-US" w:eastAsia="zh-CN"/>
              </w:rPr>
              <w:t>的</w:t>
            </w:r>
            <w:r>
              <w:rPr>
                <w:rFonts w:hint="default" w:ascii="Times New Roman" w:hAnsi="Times New Roman" w:cs="Times New Roman"/>
                <w:color w:val="auto"/>
                <w:kern w:val="24"/>
                <w:sz w:val="24"/>
                <w:highlight w:val="none"/>
                <w:lang w:val="en-US" w:eastAsia="zh-CN"/>
              </w:rPr>
              <w:t>渗滤液</w:t>
            </w:r>
            <w:r>
              <w:rPr>
                <w:rFonts w:hint="eastAsia" w:cs="Times New Roman"/>
                <w:color w:val="auto"/>
                <w:kern w:val="24"/>
                <w:sz w:val="24"/>
                <w:highlight w:val="none"/>
                <w:lang w:val="en-US" w:eastAsia="zh-CN"/>
              </w:rPr>
              <w:t>进行处理。</w:t>
            </w:r>
          </w:p>
          <w:p w14:paraId="4453E664">
            <w:pPr>
              <w:pStyle w:val="84"/>
              <w:ind w:firstLine="480"/>
              <w:rPr>
                <w:rFonts w:hint="default" w:ascii="Times New Roman" w:hAnsi="Times New Roman" w:cs="Times New Roman"/>
                <w:color w:val="auto"/>
                <w:sz w:val="24"/>
                <w:highlight w:val="none"/>
                <w:lang w:val="en-US" w:eastAsia="zh-CN"/>
              </w:rPr>
            </w:pPr>
            <w:r>
              <w:rPr>
                <w:rFonts w:hint="eastAsia"/>
                <w:b/>
                <w:bCs/>
                <w:color w:val="auto"/>
                <w:sz w:val="24"/>
                <w:szCs w:val="24"/>
                <w:highlight w:val="none"/>
                <w:lang w:val="en-US" w:eastAsia="zh-CN"/>
              </w:rPr>
              <w:t>征地及拆迁：</w:t>
            </w:r>
            <w:r>
              <w:rPr>
                <w:rFonts w:hint="eastAsia"/>
                <w:b w:val="0"/>
                <w:bCs w:val="0"/>
                <w:color w:val="auto"/>
                <w:sz w:val="24"/>
                <w:szCs w:val="24"/>
                <w:highlight w:val="none"/>
                <w:lang w:val="en-US" w:eastAsia="zh-CN"/>
              </w:rPr>
              <w:t>本项目用地属于大山生活垃圾填埋场用地范围内，不新增用地，用地现状为租用的两套集装箱式两级DTRO设备，待设备移除后即可建设</w:t>
            </w:r>
            <w:r>
              <w:rPr>
                <w:rFonts w:hint="default" w:ascii="Times New Roman" w:hAnsi="Times New Roman" w:cs="Times New Roman"/>
                <w:color w:val="auto"/>
                <w:sz w:val="24"/>
                <w:highlight w:val="none"/>
                <w:lang w:val="en-US" w:eastAsia="zh-CN"/>
              </w:rPr>
              <w:t>。</w:t>
            </w:r>
          </w:p>
          <w:p w14:paraId="381BA8A2">
            <w:pPr>
              <w:pStyle w:val="84"/>
              <w:ind w:firstLine="48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施工</w:t>
            </w:r>
            <w:r>
              <w:rPr>
                <w:rFonts w:hint="eastAsia" w:ascii="Times New Roman" w:hAnsi="Times New Roman" w:cs="Times New Roman"/>
                <w:color w:val="auto"/>
                <w:sz w:val="24"/>
                <w:highlight w:val="none"/>
                <w:lang w:val="en-US" w:eastAsia="zh-CN"/>
              </w:rPr>
              <w:t>期间继续租用现有处理设备，处理设备暂存于调节池北侧，待本项目竣工投入使用后，现处理设备退还给设备厂家。</w:t>
            </w:r>
          </w:p>
          <w:p w14:paraId="45EB311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bCs/>
                <w:color w:val="auto"/>
                <w:sz w:val="24"/>
                <w:highlight w:val="none"/>
              </w:rPr>
            </w:pPr>
            <w:r>
              <w:rPr>
                <w:rFonts w:hint="eastAsia"/>
                <w:b/>
                <w:bCs/>
                <w:color w:val="auto"/>
                <w:sz w:val="24"/>
                <w:highlight w:val="none"/>
                <w:lang w:val="en-US" w:eastAsia="zh-CN"/>
              </w:rPr>
              <w:t>三</w:t>
            </w:r>
            <w:r>
              <w:rPr>
                <w:rFonts w:hint="eastAsia"/>
                <w:b/>
                <w:bCs/>
                <w:color w:val="auto"/>
                <w:sz w:val="24"/>
                <w:highlight w:val="none"/>
                <w:lang w:eastAsia="zh-CN"/>
              </w:rPr>
              <w:t>、</w:t>
            </w:r>
            <w:r>
              <w:rPr>
                <w:b/>
                <w:bCs/>
                <w:color w:val="auto"/>
                <w:sz w:val="24"/>
                <w:highlight w:val="none"/>
              </w:rPr>
              <w:t>项目</w:t>
            </w:r>
            <w:r>
              <w:rPr>
                <w:rFonts w:hint="eastAsia"/>
                <w:b/>
                <w:bCs/>
                <w:color w:val="auto"/>
                <w:sz w:val="24"/>
                <w:highlight w:val="none"/>
              </w:rPr>
              <w:t>建设</w:t>
            </w:r>
            <w:r>
              <w:rPr>
                <w:b/>
                <w:bCs/>
                <w:color w:val="auto"/>
                <w:sz w:val="24"/>
                <w:highlight w:val="none"/>
              </w:rPr>
              <w:t>内容</w:t>
            </w:r>
          </w:p>
          <w:p w14:paraId="41E3A399">
            <w:pPr>
              <w:pStyle w:val="84"/>
              <w:ind w:firstLine="480"/>
              <w:rPr>
                <w:rFonts w:hint="eastAsia" w:cs="Times New Roman"/>
                <w:color w:val="auto"/>
                <w:kern w:val="24"/>
                <w:sz w:val="24"/>
                <w:highlight w:val="none"/>
                <w:lang w:val="en-US" w:eastAsia="zh-CN"/>
              </w:rPr>
            </w:pPr>
            <w:r>
              <w:rPr>
                <w:rFonts w:hint="eastAsia"/>
                <w:color w:val="auto"/>
                <w:highlight w:val="none"/>
              </w:rPr>
              <w:t>本项目建设</w:t>
            </w:r>
            <w:r>
              <w:rPr>
                <w:rFonts w:hint="default" w:ascii="Times New Roman" w:hAnsi="Times New Roman" w:cs="Times New Roman"/>
                <w:color w:val="auto"/>
                <w:kern w:val="24"/>
                <w:sz w:val="24"/>
                <w:highlight w:val="none"/>
                <w:lang w:val="en-US" w:eastAsia="zh-CN"/>
              </w:rPr>
              <w:t>生活垃圾填埋场渗滤液全量化处理站一座及其他附属配套设施，</w:t>
            </w:r>
            <w:r>
              <w:rPr>
                <w:rFonts w:hint="eastAsia" w:cs="Times New Roman"/>
                <w:color w:val="auto"/>
                <w:kern w:val="24"/>
                <w:sz w:val="24"/>
                <w:highlight w:val="none"/>
                <w:lang w:val="en-US" w:eastAsia="zh-CN"/>
              </w:rPr>
              <w:t>替换现有两套100吨/天的集装箱式两级DTRO设备处置（一用一备）。</w:t>
            </w:r>
          </w:p>
          <w:p w14:paraId="574AED59">
            <w:pPr>
              <w:pStyle w:val="84"/>
              <w:ind w:firstLine="480"/>
              <w:rPr>
                <w:rFonts w:hint="default" w:ascii="Times New Roman" w:hAnsi="Times New Roman" w:eastAsia="宋体" w:cs="Times New Roman"/>
                <w:color w:val="auto"/>
                <w:highlight w:val="none"/>
                <w:lang w:val="en-US" w:eastAsia="zh-CN"/>
              </w:rPr>
            </w:pPr>
            <w:r>
              <w:rPr>
                <w:rFonts w:hint="eastAsia"/>
                <w:color w:val="auto"/>
                <w:highlight w:val="none"/>
              </w:rPr>
              <w:t>本项目建设</w:t>
            </w:r>
            <w:r>
              <w:rPr>
                <w:rFonts w:hint="eastAsia" w:cs="Times New Roman"/>
                <w:color w:val="auto"/>
                <w:kern w:val="24"/>
                <w:sz w:val="24"/>
                <w:highlight w:val="none"/>
                <w:lang w:val="en-US" w:eastAsia="zh-CN"/>
              </w:rPr>
              <w:t>的</w:t>
            </w:r>
            <w:r>
              <w:rPr>
                <w:rFonts w:hint="default" w:ascii="Times New Roman" w:hAnsi="Times New Roman" w:cs="Times New Roman"/>
                <w:color w:val="auto"/>
                <w:kern w:val="24"/>
                <w:sz w:val="24"/>
                <w:highlight w:val="none"/>
                <w:lang w:val="en-US" w:eastAsia="zh-CN"/>
              </w:rPr>
              <w:t>全量化处理站处理能力为50吨/天，采用“预处理+两级DTRO+低温真空蒸发+固化”工艺，处理范围为一期封场区</w:t>
            </w:r>
            <w:r>
              <w:rPr>
                <w:rFonts w:hint="eastAsia" w:cs="Times New Roman"/>
                <w:color w:val="auto"/>
                <w:kern w:val="24"/>
                <w:sz w:val="24"/>
                <w:highlight w:val="none"/>
                <w:lang w:val="en-US" w:eastAsia="zh-CN"/>
              </w:rPr>
              <w:t>、</w:t>
            </w:r>
            <w:r>
              <w:rPr>
                <w:rFonts w:hint="default" w:ascii="Times New Roman" w:hAnsi="Times New Roman" w:cs="Times New Roman"/>
                <w:color w:val="auto"/>
                <w:kern w:val="24"/>
                <w:sz w:val="24"/>
                <w:highlight w:val="none"/>
                <w:lang w:val="en-US" w:eastAsia="zh-CN"/>
              </w:rPr>
              <w:t>应急填埋区及二期填埋区日常产生渗滤液；对应急填埋区和二期填埋</w:t>
            </w:r>
            <w:r>
              <w:rPr>
                <w:rFonts w:hint="eastAsia" w:cs="Times New Roman"/>
                <w:color w:val="auto"/>
                <w:kern w:val="24"/>
                <w:sz w:val="24"/>
                <w:highlight w:val="none"/>
                <w:lang w:val="en-US" w:eastAsia="zh-CN"/>
              </w:rPr>
              <w:t>区垃圾堆体表面设置雨水导排系统，实行雨污分流，将雨水直接排除填埋场范围，减少雨水进入垃圾填埋场形成渗滤液，节约渗滤液处理成本</w:t>
            </w:r>
            <w:r>
              <w:rPr>
                <w:rFonts w:hint="default" w:ascii="Times New Roman" w:hAnsi="Times New Roman" w:cs="Times New Roman"/>
                <w:color w:val="auto"/>
                <w:kern w:val="24"/>
                <w:sz w:val="24"/>
                <w:highlight w:val="none"/>
                <w:lang w:val="en-US" w:eastAsia="zh-CN"/>
              </w:rPr>
              <w:t>。</w:t>
            </w:r>
            <w:r>
              <w:rPr>
                <w:rFonts w:hint="eastAsia" w:cs="Times New Roman"/>
                <w:color w:val="auto"/>
                <w:kern w:val="24"/>
                <w:sz w:val="24"/>
                <w:highlight w:val="none"/>
                <w:lang w:val="en-US" w:eastAsia="zh-CN"/>
              </w:rPr>
              <w:t>建设</w:t>
            </w:r>
            <w:r>
              <w:rPr>
                <w:rFonts w:hint="default" w:ascii="Times New Roman" w:hAnsi="Times New Roman" w:cs="Times New Roman"/>
                <w:color w:val="auto"/>
                <w:kern w:val="24"/>
                <w:sz w:val="24"/>
                <w:highlight w:val="none"/>
                <w:lang w:val="en-US" w:eastAsia="zh-CN"/>
              </w:rPr>
              <w:t>内容详见下表。</w:t>
            </w:r>
          </w:p>
          <w:p w14:paraId="71BA8944">
            <w:pPr>
              <w:pStyle w:val="85"/>
              <w:spacing w:after="158"/>
              <w:ind w:firstLine="498"/>
              <w:rPr>
                <w:rFonts w:hint="default" w:ascii="Times New Roman" w:hAnsi="Times New Roman" w:eastAsia="宋体" w:cs="Times New Roman"/>
                <w:b/>
                <w:bCs/>
                <w:color w:val="auto"/>
                <w:spacing w:val="0"/>
                <w:kern w:val="24"/>
                <w:sz w:val="24"/>
                <w:szCs w:val="24"/>
                <w:highlight w:val="none"/>
                <w:lang w:val="zh-CN" w:eastAsia="zh-CN" w:bidi="ar-SA"/>
              </w:rPr>
            </w:pPr>
            <w:r>
              <w:rPr>
                <w:rFonts w:hint="default" w:ascii="Times New Roman" w:hAnsi="Times New Roman" w:eastAsia="宋体" w:cs="Times New Roman"/>
                <w:b/>
                <w:bCs/>
                <w:color w:val="auto"/>
                <w:spacing w:val="0"/>
                <w:kern w:val="24"/>
                <w:sz w:val="24"/>
                <w:szCs w:val="24"/>
                <w:highlight w:val="none"/>
                <w:lang w:val="zh-CN" w:eastAsia="zh-CN" w:bidi="ar-SA"/>
              </w:rPr>
              <w:t>表</w:t>
            </w:r>
            <w:r>
              <w:rPr>
                <w:rFonts w:hint="eastAsia" w:ascii="Times New Roman" w:hAnsi="Times New Roman" w:eastAsia="宋体" w:cs="Times New Roman"/>
                <w:b/>
                <w:bCs/>
                <w:color w:val="auto"/>
                <w:spacing w:val="0"/>
                <w:kern w:val="24"/>
                <w:sz w:val="24"/>
                <w:szCs w:val="24"/>
                <w:highlight w:val="none"/>
                <w:lang w:val="zh-CN" w:eastAsia="zh-CN" w:bidi="ar-SA"/>
              </w:rPr>
              <w:t>2</w:t>
            </w:r>
            <w:r>
              <w:rPr>
                <w:rFonts w:hint="default" w:ascii="Times New Roman" w:hAnsi="Times New Roman" w:eastAsia="宋体" w:cs="Times New Roman"/>
                <w:b/>
                <w:bCs/>
                <w:color w:val="auto"/>
                <w:spacing w:val="0"/>
                <w:kern w:val="24"/>
                <w:sz w:val="24"/>
                <w:szCs w:val="24"/>
                <w:highlight w:val="none"/>
                <w:lang w:val="zh-CN" w:eastAsia="zh-CN" w:bidi="ar-SA"/>
              </w:rPr>
              <w:t>-</w:t>
            </w:r>
            <w:r>
              <w:rPr>
                <w:rFonts w:hint="eastAsia" w:ascii="Times New Roman" w:hAnsi="Times New Roman" w:eastAsia="宋体" w:cs="Times New Roman"/>
                <w:b/>
                <w:bCs/>
                <w:color w:val="auto"/>
                <w:spacing w:val="0"/>
                <w:kern w:val="24"/>
                <w:sz w:val="24"/>
                <w:szCs w:val="24"/>
                <w:highlight w:val="none"/>
                <w:lang w:val="en-US" w:eastAsia="zh-CN" w:bidi="ar-SA"/>
              </w:rPr>
              <w:t>1</w:t>
            </w:r>
            <w:r>
              <w:rPr>
                <w:rFonts w:hint="default" w:ascii="Times New Roman" w:hAnsi="Times New Roman" w:eastAsia="宋体" w:cs="Times New Roman"/>
                <w:b/>
                <w:bCs/>
                <w:color w:val="auto"/>
                <w:spacing w:val="0"/>
                <w:kern w:val="24"/>
                <w:sz w:val="24"/>
                <w:szCs w:val="24"/>
                <w:highlight w:val="none"/>
                <w:lang w:val="zh-CN" w:eastAsia="zh-CN" w:bidi="ar-SA"/>
              </w:rPr>
              <w:t xml:space="preserve">   项目</w:t>
            </w:r>
            <w:r>
              <w:rPr>
                <w:rFonts w:hint="eastAsia" w:ascii="Times New Roman" w:hAnsi="Times New Roman" w:eastAsia="宋体" w:cs="Times New Roman"/>
                <w:b/>
                <w:bCs/>
                <w:color w:val="auto"/>
                <w:spacing w:val="0"/>
                <w:kern w:val="24"/>
                <w:sz w:val="24"/>
                <w:szCs w:val="24"/>
                <w:highlight w:val="none"/>
                <w:lang w:val="zh-CN" w:eastAsia="zh-CN" w:bidi="ar-SA"/>
              </w:rPr>
              <w:t>工程建设内容一览表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57"/>
              <w:gridCol w:w="1249"/>
              <w:gridCol w:w="4684"/>
              <w:gridCol w:w="915"/>
            </w:tblGrid>
            <w:tr w14:paraId="2015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75" w:type="pct"/>
                  <w:shd w:val="clear" w:color="auto" w:fill="auto"/>
                  <w:vAlign w:val="center"/>
                </w:tcPr>
                <w:p w14:paraId="5984C19F">
                  <w:pPr>
                    <w:pStyle w:val="86"/>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工程组成</w:t>
                  </w:r>
                </w:p>
              </w:tc>
              <w:tc>
                <w:tcPr>
                  <w:tcW w:w="3979" w:type="pct"/>
                  <w:gridSpan w:val="3"/>
                  <w:shd w:val="clear" w:color="auto" w:fill="auto"/>
                  <w:vAlign w:val="center"/>
                </w:tcPr>
                <w:p w14:paraId="6D3E4528">
                  <w:pPr>
                    <w:pStyle w:val="86"/>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eastAsia="zh-CN"/>
                    </w:rPr>
                    <w:t>工程内容及规模</w:t>
                  </w:r>
                </w:p>
              </w:tc>
              <w:tc>
                <w:tcPr>
                  <w:tcW w:w="544" w:type="pct"/>
                  <w:shd w:val="clear" w:color="auto" w:fill="auto"/>
                  <w:vAlign w:val="center"/>
                </w:tcPr>
                <w:p w14:paraId="16DC3879">
                  <w:pPr>
                    <w:pStyle w:val="86"/>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备注</w:t>
                  </w:r>
                </w:p>
              </w:tc>
            </w:tr>
            <w:tr w14:paraId="694D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75" w:type="pct"/>
                  <w:vMerge w:val="restart"/>
                  <w:shd w:val="clear" w:color="auto" w:fill="auto"/>
                  <w:vAlign w:val="center"/>
                </w:tcPr>
                <w:p w14:paraId="5C1C5FF2">
                  <w:pPr>
                    <w:pStyle w:val="8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1193" w:type="pct"/>
                  <w:gridSpan w:val="2"/>
                  <w:shd w:val="clear" w:color="auto" w:fill="auto"/>
                  <w:vAlign w:val="center"/>
                </w:tcPr>
                <w:p w14:paraId="5D66781D">
                  <w:pPr>
                    <w:pStyle w:val="86"/>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渗滤液全量化处理站</w:t>
                  </w:r>
                </w:p>
              </w:tc>
              <w:tc>
                <w:tcPr>
                  <w:tcW w:w="2786" w:type="pct"/>
                  <w:shd w:val="clear" w:color="auto" w:fill="auto"/>
                  <w:vAlign w:val="center"/>
                </w:tcPr>
                <w:p w14:paraId="31CCDDA4">
                  <w:pPr>
                    <w:pStyle w:val="86"/>
                    <w:jc w:val="left"/>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eastAsia" w:cs="Times New Roman"/>
                      <w:color w:val="auto"/>
                      <w:kern w:val="24"/>
                      <w:sz w:val="21"/>
                      <w:szCs w:val="21"/>
                      <w:highlight w:val="none"/>
                      <w:vertAlign w:val="baseline"/>
                      <w:lang w:val="en-US" w:eastAsia="zh-CN"/>
                    </w:rPr>
                    <w:t>栋</w:t>
                  </w:r>
                  <w:r>
                    <w:rPr>
                      <w:rFonts w:hint="eastAsia" w:cs="Times New Roman"/>
                      <w:color w:val="auto"/>
                      <w:sz w:val="21"/>
                      <w:szCs w:val="21"/>
                      <w:highlight w:val="none"/>
                      <w:lang w:val="en-US" w:eastAsia="zh-CN"/>
                    </w:rPr>
                    <w:t>，1层，钢架结构，占地面积483.45m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，建筑面积483.45m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，处理能力为50吨/天，采用“预处理+两级DTRO+低温真空蒸发+固化”工艺，同时内设配电间、在线监测室、控制室、空压房、硫酸间</w:t>
                  </w:r>
                </w:p>
              </w:tc>
              <w:tc>
                <w:tcPr>
                  <w:tcW w:w="544" w:type="pct"/>
                  <w:shd w:val="clear" w:color="auto" w:fill="auto"/>
                  <w:vAlign w:val="center"/>
                </w:tcPr>
                <w:p w14:paraId="08D843F5">
                  <w:pPr>
                    <w:pStyle w:val="86"/>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新建</w:t>
                  </w:r>
                </w:p>
              </w:tc>
            </w:tr>
            <w:tr w14:paraId="7FCC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75" w:type="pct"/>
                  <w:vMerge w:val="continue"/>
                  <w:shd w:val="clear" w:color="auto" w:fill="auto"/>
                  <w:vAlign w:val="center"/>
                </w:tcPr>
                <w:p w14:paraId="0B11BD97">
                  <w:pPr>
                    <w:pStyle w:val="86"/>
                    <w:rPr>
                      <w:rFonts w:hint="default" w:ascii="Times New Roman" w:hAnsi="Times New Roman" w:cs="Times New Roman"/>
                      <w:color w:val="auto"/>
                      <w:sz w:val="21"/>
                      <w:szCs w:val="21"/>
                      <w:highlight w:val="none"/>
                    </w:rPr>
                  </w:pPr>
                </w:p>
              </w:tc>
              <w:tc>
                <w:tcPr>
                  <w:tcW w:w="1193" w:type="pct"/>
                  <w:gridSpan w:val="2"/>
                  <w:shd w:val="clear" w:color="auto" w:fill="auto"/>
                  <w:vAlign w:val="center"/>
                </w:tcPr>
                <w:p w14:paraId="48744E29">
                  <w:pPr>
                    <w:pStyle w:val="86"/>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附属配套设施</w:t>
                  </w:r>
                </w:p>
              </w:tc>
              <w:tc>
                <w:tcPr>
                  <w:tcW w:w="2786" w:type="pct"/>
                  <w:shd w:val="clear" w:color="auto" w:fill="auto"/>
                  <w:vAlign w:val="center"/>
                </w:tcPr>
                <w:p w14:paraId="4D44A094">
                  <w:pPr>
                    <w:pStyle w:val="86"/>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对应急填埋区和二期填埋区堆体表面设置雨水导排系统，实行雨污分流</w:t>
                  </w:r>
                </w:p>
              </w:tc>
              <w:tc>
                <w:tcPr>
                  <w:tcW w:w="544" w:type="pct"/>
                  <w:shd w:val="clear" w:color="auto" w:fill="auto"/>
                  <w:vAlign w:val="center"/>
                </w:tcPr>
                <w:p w14:paraId="2F94CAD3">
                  <w:pPr>
                    <w:pStyle w:val="86"/>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新建</w:t>
                  </w:r>
                </w:p>
              </w:tc>
            </w:tr>
            <w:tr w14:paraId="3E77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75" w:type="pct"/>
                  <w:vMerge w:val="restart"/>
                  <w:shd w:val="clear" w:color="auto" w:fill="auto"/>
                  <w:vAlign w:val="center"/>
                </w:tcPr>
                <w:p w14:paraId="66367806">
                  <w:pPr>
                    <w:pStyle w:val="86"/>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储运工程</w:t>
                  </w:r>
                </w:p>
              </w:tc>
              <w:tc>
                <w:tcPr>
                  <w:tcW w:w="1193" w:type="pct"/>
                  <w:gridSpan w:val="2"/>
                  <w:shd w:val="clear" w:color="auto" w:fill="auto"/>
                  <w:vAlign w:val="center"/>
                </w:tcPr>
                <w:p w14:paraId="5290D00F">
                  <w:pPr>
                    <w:pStyle w:val="86"/>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硫酸罐</w:t>
                  </w:r>
                </w:p>
              </w:tc>
              <w:tc>
                <w:tcPr>
                  <w:tcW w:w="2786" w:type="pct"/>
                  <w:shd w:val="clear" w:color="auto" w:fill="auto"/>
                  <w:vAlign w:val="center"/>
                </w:tcPr>
                <w:p w14:paraId="62F7FFA6">
                  <w:pPr>
                    <w:pStyle w:val="86"/>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1个，容积5m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，储存98%的浓硫酸，罐装系数按0.8计，常年储存量7.36吨，用于原水及浓缩液调节pH</w:t>
                  </w:r>
                </w:p>
              </w:tc>
              <w:tc>
                <w:tcPr>
                  <w:tcW w:w="544" w:type="pct"/>
                  <w:shd w:val="clear" w:color="auto" w:fill="auto"/>
                  <w:vAlign w:val="center"/>
                </w:tcPr>
                <w:p w14:paraId="1D425029">
                  <w:pPr>
                    <w:pStyle w:val="86"/>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新建</w:t>
                  </w:r>
                </w:p>
              </w:tc>
            </w:tr>
            <w:tr w14:paraId="7FDC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5" w:type="pct"/>
                  <w:vMerge w:val="continue"/>
                  <w:shd w:val="clear" w:color="auto" w:fill="auto"/>
                  <w:vAlign w:val="center"/>
                </w:tcPr>
                <w:p w14:paraId="65F48F9F">
                  <w:pPr>
                    <w:pStyle w:val="86"/>
                    <w:rPr>
                      <w:rFonts w:hint="default" w:ascii="Times New Roman" w:hAnsi="Times New Roman" w:cs="Times New Roman"/>
                      <w:color w:val="auto"/>
                      <w:sz w:val="21"/>
                      <w:szCs w:val="21"/>
                      <w:highlight w:val="none"/>
                    </w:rPr>
                  </w:pPr>
                </w:p>
              </w:tc>
              <w:tc>
                <w:tcPr>
                  <w:tcW w:w="1193" w:type="pct"/>
                  <w:gridSpan w:val="2"/>
                  <w:shd w:val="clear" w:color="auto" w:fill="auto"/>
                  <w:vAlign w:val="center"/>
                </w:tcPr>
                <w:p w14:paraId="2DC47B7F">
                  <w:pPr>
                    <w:pStyle w:val="86"/>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固化剂料仓</w:t>
                  </w:r>
                </w:p>
              </w:tc>
              <w:tc>
                <w:tcPr>
                  <w:tcW w:w="2786" w:type="pct"/>
                  <w:shd w:val="clear" w:color="auto" w:fill="auto"/>
                  <w:vAlign w:val="center"/>
                </w:tcPr>
                <w:p w14:paraId="7CBAE274">
                  <w:pPr>
                    <w:pStyle w:val="86"/>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2个，每个容积20m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eastAsia" w:ascii="Times New Roman" w:hAnsi="Times New Roman" w:cs="Times New Roman"/>
                      <w:bCs/>
                      <w:color w:val="auto"/>
                      <w:sz w:val="21"/>
                      <w:szCs w:val="21"/>
                      <w:highlight w:val="none"/>
                      <w:vertAlign w:val="baseline"/>
                      <w:lang w:val="en-US" w:eastAsia="zh-CN"/>
                    </w:rPr>
                    <w:t>料仓顶部自带1个布袋除尘器，</w:t>
                  </w:r>
                  <w:r>
                    <w:rPr>
                      <w:rFonts w:hint="eastAsia" w:cs="Times New Roman"/>
                      <w:color w:val="auto"/>
                      <w:sz w:val="21"/>
                      <w:szCs w:val="21"/>
                      <w:highlight w:val="none"/>
                      <w:lang w:val="en-US" w:eastAsia="zh-CN"/>
                    </w:rPr>
                    <w:t>用于蒸发母液固化处理</w:t>
                  </w:r>
                </w:p>
              </w:tc>
              <w:tc>
                <w:tcPr>
                  <w:tcW w:w="544" w:type="pct"/>
                  <w:shd w:val="clear" w:color="auto" w:fill="auto"/>
                  <w:vAlign w:val="center"/>
                </w:tcPr>
                <w:p w14:paraId="578353C3">
                  <w:pPr>
                    <w:pStyle w:val="86"/>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新建</w:t>
                  </w:r>
                </w:p>
              </w:tc>
            </w:tr>
            <w:tr w14:paraId="0815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pct"/>
                  <w:vMerge w:val="restart"/>
                  <w:shd w:val="clear" w:color="auto" w:fill="auto"/>
                  <w:vAlign w:val="center"/>
                </w:tcPr>
                <w:p w14:paraId="1C9C86D3">
                  <w:pPr>
                    <w:pStyle w:val="86"/>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辅助工程</w:t>
                  </w:r>
                </w:p>
              </w:tc>
              <w:tc>
                <w:tcPr>
                  <w:tcW w:w="1193" w:type="pct"/>
                  <w:gridSpan w:val="2"/>
                  <w:shd w:val="clear" w:color="auto" w:fill="auto"/>
                  <w:vAlign w:val="center"/>
                </w:tcPr>
                <w:p w14:paraId="6BE4F81C">
                  <w:pPr>
                    <w:pStyle w:val="86"/>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搅拌楼</w:t>
                  </w:r>
                </w:p>
              </w:tc>
              <w:tc>
                <w:tcPr>
                  <w:tcW w:w="2786" w:type="pct"/>
                  <w:shd w:val="clear" w:color="auto" w:fill="auto"/>
                  <w:vAlign w:val="center"/>
                </w:tcPr>
                <w:p w14:paraId="51D0B257">
                  <w:pPr>
                    <w:pStyle w:val="86"/>
                    <w:jc w:val="left"/>
                    <w:rPr>
                      <w:rFonts w:hint="default" w:ascii="Times New Roman" w:hAnsi="Times New Roman" w:eastAsia="宋体" w:cs="Times New Roman"/>
                      <w:snapToGrid w:val="0"/>
                      <w:color w:val="auto"/>
                      <w:kern w:val="24"/>
                      <w:sz w:val="21"/>
                      <w:szCs w:val="21"/>
                      <w:highlight w:val="none"/>
                      <w:vertAlign w:val="baseline"/>
                      <w:lang w:val="en-US" w:eastAsia="zh-CN" w:bidi="ar-SA"/>
                    </w:rPr>
                  </w:pPr>
                  <w:r>
                    <w:rPr>
                      <w:rFonts w:hint="eastAsia" w:cs="Times New Roman"/>
                      <w:color w:val="auto"/>
                      <w:kern w:val="24"/>
                      <w:sz w:val="21"/>
                      <w:szCs w:val="21"/>
                      <w:highlight w:val="none"/>
                      <w:vertAlign w:val="baseline"/>
                      <w:lang w:val="en-US" w:eastAsia="zh-CN"/>
                    </w:rPr>
                    <w:t>1座，委托暂存间旁，用于蒸发母液与固化剂水泥、粉煤灰搅拌固化处理</w:t>
                  </w:r>
                </w:p>
              </w:tc>
              <w:tc>
                <w:tcPr>
                  <w:tcW w:w="544" w:type="pct"/>
                  <w:shd w:val="clear" w:color="auto" w:fill="auto"/>
                  <w:vAlign w:val="center"/>
                </w:tcPr>
                <w:p w14:paraId="04450CA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新建</w:t>
                  </w:r>
                </w:p>
              </w:tc>
            </w:tr>
            <w:tr w14:paraId="2F1C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pct"/>
                  <w:vMerge w:val="continue"/>
                  <w:shd w:val="clear" w:color="auto" w:fill="auto"/>
                  <w:vAlign w:val="center"/>
                </w:tcPr>
                <w:p w14:paraId="460C99A1">
                  <w:pPr>
                    <w:pStyle w:val="86"/>
                    <w:rPr>
                      <w:rFonts w:hint="eastAsia" w:cs="Times New Roman"/>
                      <w:color w:val="auto"/>
                      <w:sz w:val="21"/>
                      <w:szCs w:val="21"/>
                      <w:highlight w:val="none"/>
                      <w:lang w:val="en-US" w:eastAsia="zh-CN"/>
                    </w:rPr>
                  </w:pPr>
                </w:p>
              </w:tc>
              <w:tc>
                <w:tcPr>
                  <w:tcW w:w="1193" w:type="pct"/>
                  <w:gridSpan w:val="2"/>
                  <w:shd w:val="clear" w:color="auto" w:fill="auto"/>
                  <w:vAlign w:val="center"/>
                </w:tcPr>
                <w:p w14:paraId="5CCAC2F3">
                  <w:pPr>
                    <w:pStyle w:val="86"/>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消防水池及水泵房</w:t>
                  </w:r>
                </w:p>
              </w:tc>
              <w:tc>
                <w:tcPr>
                  <w:tcW w:w="2786" w:type="pct"/>
                  <w:shd w:val="clear" w:color="auto" w:fill="auto"/>
                  <w:vAlign w:val="center"/>
                </w:tcPr>
                <w:p w14:paraId="617A3676">
                  <w:pPr>
                    <w:pStyle w:val="86"/>
                    <w:jc w:val="left"/>
                    <w:rPr>
                      <w:rFonts w:hint="eastAsia" w:cs="Times New Roman"/>
                      <w:color w:val="auto"/>
                      <w:kern w:val="24"/>
                      <w:sz w:val="21"/>
                      <w:szCs w:val="21"/>
                      <w:highlight w:val="none"/>
                      <w:vertAlign w:val="baseline"/>
                      <w:lang w:val="en-US" w:eastAsia="zh-CN"/>
                    </w:rPr>
                  </w:pPr>
                  <w:r>
                    <w:rPr>
                      <w:rFonts w:hint="eastAsia" w:cs="Times New Roman"/>
                      <w:color w:val="auto"/>
                      <w:sz w:val="21"/>
                      <w:szCs w:val="21"/>
                      <w:highlight w:val="none"/>
                      <w:lang w:val="en-US" w:eastAsia="zh-CN"/>
                    </w:rPr>
                    <w:t>1</w:t>
                  </w:r>
                  <w:r>
                    <w:rPr>
                      <w:rFonts w:hint="eastAsia" w:cs="Times New Roman"/>
                      <w:color w:val="auto"/>
                      <w:kern w:val="24"/>
                      <w:sz w:val="21"/>
                      <w:szCs w:val="21"/>
                      <w:highlight w:val="none"/>
                      <w:vertAlign w:val="baseline"/>
                      <w:lang w:val="en-US" w:eastAsia="zh-CN"/>
                    </w:rPr>
                    <w:t>栋</w:t>
                  </w:r>
                  <w:r>
                    <w:rPr>
                      <w:rFonts w:hint="eastAsia" w:cs="Times New Roman"/>
                      <w:color w:val="auto"/>
                      <w:sz w:val="21"/>
                      <w:szCs w:val="21"/>
                      <w:highlight w:val="none"/>
                      <w:lang w:val="en-US" w:eastAsia="zh-CN"/>
                    </w:rPr>
                    <w:t>，1层，占地面积72m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，建筑面积72m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u w:val="none"/>
                      <w:lang w:val="en-US" w:eastAsia="zh-CN"/>
                    </w:rPr>
                    <w:t>设置消防水池1个，容积180m</w:t>
                  </w:r>
                  <w:r>
                    <w:rPr>
                      <w:rFonts w:hint="eastAsia" w:ascii="Times New Roman" w:hAnsi="Times New Roman" w:eastAsia="宋体" w:cs="Times New Roman"/>
                      <w:i w:val="0"/>
                      <w:iCs w:val="0"/>
                      <w:color w:val="auto"/>
                      <w:sz w:val="21"/>
                      <w:szCs w:val="21"/>
                      <w:highlight w:val="none"/>
                      <w:u w:val="none"/>
                      <w:vertAlign w:val="superscript"/>
                      <w:lang w:val="en-US" w:eastAsia="zh-CN"/>
                    </w:rPr>
                    <w:t>3</w:t>
                  </w:r>
                  <w:r>
                    <w:rPr>
                      <w:rFonts w:hint="eastAsia" w:ascii="Times New Roman" w:hAnsi="Times New Roman" w:eastAsia="宋体" w:cs="Times New Roman"/>
                      <w:i w:val="0"/>
                      <w:iCs w:val="0"/>
                      <w:color w:val="auto"/>
                      <w:sz w:val="21"/>
                      <w:szCs w:val="21"/>
                      <w:highlight w:val="none"/>
                      <w:u w:val="none"/>
                      <w:lang w:val="en-US" w:eastAsia="zh-CN"/>
                    </w:rPr>
                    <w:t>，一个高位消防水箱，容积12m</w:t>
                  </w:r>
                  <w:r>
                    <w:rPr>
                      <w:rFonts w:hint="eastAsia" w:ascii="Times New Roman" w:hAnsi="Times New Roman" w:eastAsia="宋体" w:cs="Times New Roman"/>
                      <w:i w:val="0"/>
                      <w:iCs w:val="0"/>
                      <w:color w:val="auto"/>
                      <w:sz w:val="21"/>
                      <w:szCs w:val="21"/>
                      <w:highlight w:val="none"/>
                      <w:u w:val="none"/>
                      <w:vertAlign w:val="superscript"/>
                      <w:lang w:val="en-US" w:eastAsia="zh-CN"/>
                    </w:rPr>
                    <w:t>3</w:t>
                  </w:r>
                  <w:r>
                    <w:rPr>
                      <w:rFonts w:hint="default" w:ascii="Times New Roman" w:hAnsi="Times New Roman" w:eastAsia="宋体" w:cs="Times New Roman"/>
                      <w:i w:val="0"/>
                      <w:iCs w:val="0"/>
                      <w:color w:val="auto"/>
                      <w:sz w:val="21"/>
                      <w:szCs w:val="21"/>
                      <w:highlight w:val="none"/>
                      <w:u w:val="none"/>
                    </w:rPr>
                    <w:t>。</w:t>
                  </w:r>
                </w:p>
              </w:tc>
              <w:tc>
                <w:tcPr>
                  <w:tcW w:w="544" w:type="pct"/>
                  <w:shd w:val="clear" w:color="auto" w:fill="auto"/>
                  <w:vAlign w:val="center"/>
                </w:tcPr>
                <w:p w14:paraId="3BF1C740">
                  <w:p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新建</w:t>
                  </w:r>
                </w:p>
              </w:tc>
            </w:tr>
            <w:tr w14:paraId="21BC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75" w:type="pct"/>
                  <w:vMerge w:val="continue"/>
                  <w:shd w:val="clear" w:color="auto" w:fill="auto"/>
                  <w:vAlign w:val="center"/>
                </w:tcPr>
                <w:p w14:paraId="31A5E7F0">
                  <w:pPr>
                    <w:pStyle w:val="86"/>
                    <w:rPr>
                      <w:rFonts w:hint="eastAsia" w:cs="Times New Roman"/>
                      <w:color w:val="auto"/>
                      <w:sz w:val="21"/>
                      <w:szCs w:val="21"/>
                      <w:highlight w:val="none"/>
                      <w:lang w:val="en-US" w:eastAsia="zh-CN"/>
                    </w:rPr>
                  </w:pPr>
                </w:p>
              </w:tc>
              <w:tc>
                <w:tcPr>
                  <w:tcW w:w="1193" w:type="pct"/>
                  <w:gridSpan w:val="2"/>
                  <w:shd w:val="clear" w:color="auto" w:fill="auto"/>
                  <w:vAlign w:val="center"/>
                </w:tcPr>
                <w:p w14:paraId="623DD51B">
                  <w:pPr>
                    <w:pStyle w:val="86"/>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道路及其他</w:t>
                  </w:r>
                </w:p>
              </w:tc>
              <w:tc>
                <w:tcPr>
                  <w:tcW w:w="2786" w:type="pct"/>
                  <w:shd w:val="clear" w:color="auto" w:fill="auto"/>
                  <w:vAlign w:val="center"/>
                </w:tcPr>
                <w:p w14:paraId="1E65FEC0">
                  <w:pPr>
                    <w:pStyle w:val="86"/>
                    <w:jc w:val="left"/>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拆除重建道路面积302.47m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，新建硬地面积1591.5m</w:t>
                  </w:r>
                  <w:r>
                    <w:rPr>
                      <w:rFonts w:hint="eastAsia" w:cs="Times New Roman"/>
                      <w:color w:val="auto"/>
                      <w:sz w:val="21"/>
                      <w:szCs w:val="21"/>
                      <w:highlight w:val="none"/>
                      <w:vertAlign w:val="superscript"/>
                      <w:lang w:val="en-US" w:eastAsia="zh-CN"/>
                    </w:rPr>
                    <w:t>2</w:t>
                  </w:r>
                </w:p>
              </w:tc>
              <w:tc>
                <w:tcPr>
                  <w:tcW w:w="544" w:type="pct"/>
                  <w:shd w:val="clear" w:color="auto" w:fill="auto"/>
                  <w:vAlign w:val="center"/>
                </w:tcPr>
                <w:p w14:paraId="5E6255FF">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新建</w:t>
                  </w:r>
                </w:p>
              </w:tc>
            </w:tr>
            <w:tr w14:paraId="4658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75" w:type="pct"/>
                  <w:vMerge w:val="restart"/>
                  <w:shd w:val="clear" w:color="auto" w:fill="auto"/>
                  <w:vAlign w:val="center"/>
                </w:tcPr>
                <w:p w14:paraId="6C899F47">
                  <w:pPr>
                    <w:pStyle w:val="86"/>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公用工程</w:t>
                  </w:r>
                </w:p>
              </w:tc>
              <w:tc>
                <w:tcPr>
                  <w:tcW w:w="1193" w:type="pct"/>
                  <w:gridSpan w:val="2"/>
                  <w:shd w:val="clear" w:color="auto" w:fill="auto"/>
                  <w:vAlign w:val="center"/>
                </w:tcPr>
                <w:p w14:paraId="3509131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给水系统</w:t>
                  </w:r>
                </w:p>
              </w:tc>
              <w:tc>
                <w:tcPr>
                  <w:tcW w:w="2786" w:type="pct"/>
                  <w:shd w:val="clear" w:color="auto" w:fill="auto"/>
                  <w:vAlign w:val="center"/>
                </w:tcPr>
                <w:p w14:paraId="0E79277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搭接现现状</w:t>
                  </w:r>
                  <w:r>
                    <w:rPr>
                      <w:rFonts w:hint="default" w:ascii="Times New Roman" w:hAnsi="Times New Roman" w:eastAsia="宋体" w:cs="Times New Roman"/>
                      <w:i w:val="0"/>
                      <w:iCs w:val="0"/>
                      <w:color w:val="auto"/>
                      <w:kern w:val="0"/>
                      <w:sz w:val="21"/>
                      <w:szCs w:val="21"/>
                      <w:highlight w:val="none"/>
                      <w:u w:val="none"/>
                      <w:lang w:val="en-US" w:eastAsia="zh-CN" w:bidi="ar"/>
                    </w:rPr>
                    <w:t>供水管网供给。</w:t>
                  </w:r>
                </w:p>
              </w:tc>
              <w:tc>
                <w:tcPr>
                  <w:tcW w:w="544" w:type="pct"/>
                  <w:shd w:val="clear" w:color="auto" w:fill="auto"/>
                  <w:vAlign w:val="center"/>
                </w:tcPr>
                <w:p w14:paraId="6D546D7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ajorEastAsia"/>
                      <w:color w:val="auto"/>
                      <w:sz w:val="21"/>
                      <w:szCs w:val="21"/>
                      <w:highlight w:val="none"/>
                      <w:lang w:val="en-US" w:eastAsia="zh-CN"/>
                    </w:rPr>
                    <w:t>新建</w:t>
                  </w:r>
                </w:p>
              </w:tc>
            </w:tr>
            <w:tr w14:paraId="0EF9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pct"/>
                  <w:vMerge w:val="continue"/>
                  <w:shd w:val="clear" w:color="auto" w:fill="auto"/>
                  <w:vAlign w:val="center"/>
                </w:tcPr>
                <w:p w14:paraId="68486047">
                  <w:pPr>
                    <w:pStyle w:val="86"/>
                    <w:rPr>
                      <w:rFonts w:hint="eastAsia" w:cs="Times New Roman"/>
                      <w:color w:val="auto"/>
                      <w:sz w:val="21"/>
                      <w:szCs w:val="21"/>
                      <w:highlight w:val="none"/>
                      <w:lang w:val="en-US" w:eastAsia="zh-CN"/>
                    </w:rPr>
                  </w:pPr>
                </w:p>
              </w:tc>
              <w:tc>
                <w:tcPr>
                  <w:tcW w:w="1193" w:type="pct"/>
                  <w:gridSpan w:val="2"/>
                  <w:shd w:val="clear" w:color="auto" w:fill="auto"/>
                  <w:vAlign w:val="center"/>
                </w:tcPr>
                <w:p w14:paraId="777A200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排水系统</w:t>
                  </w:r>
                </w:p>
              </w:tc>
              <w:tc>
                <w:tcPr>
                  <w:tcW w:w="2786" w:type="pct"/>
                  <w:shd w:val="clear" w:color="auto" w:fill="auto"/>
                  <w:vAlign w:val="center"/>
                </w:tcPr>
                <w:p w14:paraId="6D36BF0A">
                  <w:pPr>
                    <w:keepNext w:val="0"/>
                    <w:keepLines w:val="0"/>
                    <w:widowControl/>
                    <w:suppressLineNumbers w:val="0"/>
                    <w:spacing w:before="0" w:beforeAutospacing="0" w:after="0" w:afterAutospacing="0"/>
                    <w:ind w:left="0" w:leftChars="0" w:right="0" w:rightChars="0"/>
                    <w:jc w:val="left"/>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项目排水采用雨污分流的排水方式：</w:t>
                  </w:r>
                  <w:r>
                    <w:rPr>
                      <w:rFonts w:hint="eastAsia" w:ascii="宋体" w:hAnsi="宋体" w:eastAsia="宋体" w:cs="宋体"/>
                      <w:i w:val="0"/>
                      <w:iCs w:val="0"/>
                      <w:color w:val="auto"/>
                      <w:kern w:val="0"/>
                      <w:sz w:val="21"/>
                      <w:szCs w:val="21"/>
                      <w:highlight w:val="none"/>
                      <w:u w:val="none"/>
                      <w:lang w:val="en-US" w:eastAsia="zh-CN" w:bidi="ar"/>
                    </w:rPr>
                    <w:t>雨水经厂区雨水沟收集后排入填埋场外排水沟；</w:t>
                  </w:r>
                  <w:r>
                    <w:rPr>
                      <w:rFonts w:hint="eastAsia"/>
                      <w:color w:val="auto"/>
                      <w:highlight w:val="none"/>
                    </w:rPr>
                    <w:t>本项目生活垃圾填埋场渗滤液、员工生活污水、生产废水分别排入调节池后，再进入全量化处理站处理，处理达到《城镇污水处理厂污染物排放标准》（GB18918-2002）中一级A标排放标准及《城市污水再生利用 城市杂用水水质》（GB/T18920-2020）中城市绿化水质标准要求后，回用于场区绿化灌溉，不外排。全量化处理站产生的蒸发母液采用固化剂固化处理后委托具有资质的单位处置。</w:t>
                  </w:r>
                </w:p>
              </w:tc>
              <w:tc>
                <w:tcPr>
                  <w:tcW w:w="544" w:type="pct"/>
                  <w:shd w:val="clear" w:color="auto" w:fill="auto"/>
                  <w:vAlign w:val="center"/>
                </w:tcPr>
                <w:p w14:paraId="5CC4C25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ajorEastAsia"/>
                      <w:color w:val="auto"/>
                      <w:sz w:val="21"/>
                      <w:szCs w:val="21"/>
                      <w:highlight w:val="none"/>
                      <w:lang w:val="en-US" w:eastAsia="zh-CN"/>
                    </w:rPr>
                    <w:t>新建</w:t>
                  </w:r>
                </w:p>
              </w:tc>
            </w:tr>
            <w:tr w14:paraId="4279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75" w:type="pct"/>
                  <w:vMerge w:val="continue"/>
                  <w:shd w:val="clear" w:color="auto" w:fill="auto"/>
                  <w:vAlign w:val="center"/>
                </w:tcPr>
                <w:p w14:paraId="092FC754">
                  <w:pPr>
                    <w:pStyle w:val="86"/>
                    <w:rPr>
                      <w:rFonts w:hint="eastAsia" w:cs="Times New Roman"/>
                      <w:color w:val="auto"/>
                      <w:sz w:val="21"/>
                      <w:szCs w:val="21"/>
                      <w:highlight w:val="none"/>
                      <w:lang w:val="en-US" w:eastAsia="zh-CN"/>
                    </w:rPr>
                  </w:pPr>
                </w:p>
              </w:tc>
              <w:tc>
                <w:tcPr>
                  <w:tcW w:w="1193" w:type="pct"/>
                  <w:gridSpan w:val="2"/>
                  <w:shd w:val="clear" w:color="auto" w:fill="auto"/>
                  <w:vAlign w:val="center"/>
                </w:tcPr>
                <w:p w14:paraId="1C1547C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供电系统</w:t>
                  </w:r>
                </w:p>
              </w:tc>
              <w:tc>
                <w:tcPr>
                  <w:tcW w:w="2786" w:type="pct"/>
                  <w:shd w:val="clear" w:color="auto" w:fill="auto"/>
                  <w:vAlign w:val="center"/>
                </w:tcPr>
                <w:p w14:paraId="1818C9B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搭接现有</w:t>
                  </w:r>
                  <w:r>
                    <w:rPr>
                      <w:rFonts w:hint="default" w:ascii="Times New Roman" w:hAnsi="Times New Roman" w:eastAsia="宋体" w:cs="Times New Roman"/>
                      <w:i w:val="0"/>
                      <w:iCs w:val="0"/>
                      <w:color w:val="auto"/>
                      <w:kern w:val="0"/>
                      <w:sz w:val="21"/>
                      <w:szCs w:val="21"/>
                      <w:highlight w:val="none"/>
                      <w:u w:val="none"/>
                      <w:lang w:val="en-US" w:eastAsia="zh-CN" w:bidi="ar"/>
                    </w:rPr>
                    <w:t>供电系统接入。</w:t>
                  </w:r>
                </w:p>
              </w:tc>
              <w:tc>
                <w:tcPr>
                  <w:tcW w:w="544" w:type="pct"/>
                  <w:shd w:val="clear" w:color="auto" w:fill="auto"/>
                  <w:vAlign w:val="center"/>
                </w:tcPr>
                <w:p w14:paraId="650852D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ajorEastAsia"/>
                      <w:color w:val="auto"/>
                      <w:sz w:val="21"/>
                      <w:szCs w:val="21"/>
                      <w:highlight w:val="none"/>
                      <w:lang w:val="en-US" w:eastAsia="zh-CN"/>
                    </w:rPr>
                    <w:t>新建</w:t>
                  </w:r>
                </w:p>
              </w:tc>
            </w:tr>
            <w:tr w14:paraId="1B90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75" w:type="pct"/>
                  <w:vMerge w:val="continue"/>
                  <w:shd w:val="clear" w:color="auto" w:fill="auto"/>
                  <w:vAlign w:val="center"/>
                </w:tcPr>
                <w:p w14:paraId="1C91FA26">
                  <w:pPr>
                    <w:pStyle w:val="86"/>
                    <w:rPr>
                      <w:rFonts w:hint="eastAsia" w:cs="Times New Roman"/>
                      <w:color w:val="auto"/>
                      <w:sz w:val="21"/>
                      <w:szCs w:val="21"/>
                      <w:highlight w:val="none"/>
                      <w:lang w:val="en-US" w:eastAsia="zh-CN"/>
                    </w:rPr>
                  </w:pPr>
                </w:p>
              </w:tc>
              <w:tc>
                <w:tcPr>
                  <w:tcW w:w="1193" w:type="pct"/>
                  <w:gridSpan w:val="2"/>
                  <w:shd w:val="clear" w:color="auto" w:fill="auto"/>
                  <w:vAlign w:val="center"/>
                </w:tcPr>
                <w:p w14:paraId="1FE69D5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消防系统</w:t>
                  </w:r>
                </w:p>
              </w:tc>
              <w:tc>
                <w:tcPr>
                  <w:tcW w:w="2786" w:type="pct"/>
                  <w:shd w:val="clear" w:color="auto" w:fill="auto"/>
                  <w:vAlign w:val="center"/>
                </w:tcPr>
                <w:p w14:paraId="041D44B7">
                  <w:pPr>
                    <w:keepNext w:val="0"/>
                    <w:keepLines w:val="0"/>
                    <w:widowControl/>
                    <w:suppressLineNumbers w:val="0"/>
                    <w:spacing w:before="0" w:beforeAutospacing="0" w:after="0" w:afterAutospacing="0"/>
                    <w:ind w:left="0" w:leftChars="0" w:right="0" w:rightChars="0"/>
                    <w:jc w:val="left"/>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sz w:val="21"/>
                      <w:szCs w:val="21"/>
                      <w:highlight w:val="none"/>
                      <w:u w:val="none"/>
                    </w:rPr>
                    <w:t>项目建筑配置灭火器材，</w:t>
                  </w:r>
                  <w:r>
                    <w:rPr>
                      <w:rFonts w:hint="eastAsia" w:ascii="Times New Roman" w:hAnsi="Times New Roman" w:eastAsia="宋体" w:cs="Times New Roman"/>
                      <w:i w:val="0"/>
                      <w:iCs w:val="0"/>
                      <w:color w:val="auto"/>
                      <w:sz w:val="21"/>
                      <w:szCs w:val="21"/>
                      <w:highlight w:val="none"/>
                      <w:u w:val="none"/>
                      <w:lang w:val="en-US" w:eastAsia="zh-CN"/>
                    </w:rPr>
                    <w:t>设置消防水池1个，容积180m</w:t>
                  </w:r>
                  <w:r>
                    <w:rPr>
                      <w:rFonts w:hint="eastAsia" w:ascii="Times New Roman" w:hAnsi="Times New Roman" w:eastAsia="宋体" w:cs="Times New Roman"/>
                      <w:i w:val="0"/>
                      <w:iCs w:val="0"/>
                      <w:color w:val="auto"/>
                      <w:sz w:val="21"/>
                      <w:szCs w:val="21"/>
                      <w:highlight w:val="none"/>
                      <w:u w:val="none"/>
                      <w:vertAlign w:val="superscript"/>
                      <w:lang w:val="en-US" w:eastAsia="zh-CN"/>
                    </w:rPr>
                    <w:t>3</w:t>
                  </w:r>
                  <w:r>
                    <w:rPr>
                      <w:rFonts w:hint="eastAsia" w:ascii="Times New Roman" w:hAnsi="Times New Roman" w:eastAsia="宋体" w:cs="Times New Roman"/>
                      <w:i w:val="0"/>
                      <w:iCs w:val="0"/>
                      <w:color w:val="auto"/>
                      <w:sz w:val="21"/>
                      <w:szCs w:val="21"/>
                      <w:highlight w:val="none"/>
                      <w:u w:val="none"/>
                      <w:lang w:val="en-US" w:eastAsia="zh-CN"/>
                    </w:rPr>
                    <w:t>，一个高位消防水箱，容积12m</w:t>
                  </w:r>
                  <w:r>
                    <w:rPr>
                      <w:rFonts w:hint="eastAsia" w:ascii="Times New Roman" w:hAnsi="Times New Roman" w:eastAsia="宋体" w:cs="Times New Roman"/>
                      <w:i w:val="0"/>
                      <w:iCs w:val="0"/>
                      <w:color w:val="auto"/>
                      <w:sz w:val="21"/>
                      <w:szCs w:val="21"/>
                      <w:highlight w:val="none"/>
                      <w:u w:val="none"/>
                      <w:vertAlign w:val="superscript"/>
                      <w:lang w:val="en-US" w:eastAsia="zh-CN"/>
                    </w:rPr>
                    <w:t>3</w:t>
                  </w:r>
                  <w:r>
                    <w:rPr>
                      <w:rFonts w:hint="default" w:ascii="Times New Roman" w:hAnsi="Times New Roman" w:eastAsia="宋体" w:cs="Times New Roman"/>
                      <w:i w:val="0"/>
                      <w:iCs w:val="0"/>
                      <w:color w:val="auto"/>
                      <w:sz w:val="21"/>
                      <w:szCs w:val="21"/>
                      <w:highlight w:val="none"/>
                      <w:u w:val="none"/>
                    </w:rPr>
                    <w:t>。</w:t>
                  </w:r>
                </w:p>
              </w:tc>
              <w:tc>
                <w:tcPr>
                  <w:tcW w:w="544" w:type="pct"/>
                  <w:shd w:val="clear" w:color="auto" w:fill="auto"/>
                  <w:vAlign w:val="center"/>
                </w:tcPr>
                <w:p w14:paraId="26E783B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ajorEastAsia"/>
                      <w:color w:val="auto"/>
                      <w:sz w:val="21"/>
                      <w:szCs w:val="21"/>
                      <w:highlight w:val="none"/>
                      <w:lang w:val="en-US" w:eastAsia="zh-CN"/>
                    </w:rPr>
                    <w:t>新建</w:t>
                  </w:r>
                </w:p>
              </w:tc>
            </w:tr>
            <w:tr w14:paraId="791F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 w:type="pct"/>
                  <w:vMerge w:val="restart"/>
                  <w:shd w:val="clear" w:color="auto" w:fill="auto"/>
                  <w:vAlign w:val="center"/>
                </w:tcPr>
                <w:p w14:paraId="60C36EC8">
                  <w:pPr>
                    <w:pStyle w:val="86"/>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环保</w:t>
                  </w:r>
                </w:p>
                <w:p w14:paraId="67FC6A8F">
                  <w:pPr>
                    <w:pStyle w:val="86"/>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工程</w:t>
                  </w:r>
                </w:p>
              </w:tc>
              <w:tc>
                <w:tcPr>
                  <w:tcW w:w="450" w:type="pct"/>
                  <w:shd w:val="clear" w:color="auto" w:fill="auto"/>
                  <w:vAlign w:val="center"/>
                </w:tcPr>
                <w:p w14:paraId="6A0E3A80">
                  <w:pPr>
                    <w:pStyle w:val="86"/>
                    <w:jc w:val="both"/>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废水</w:t>
                  </w:r>
                </w:p>
              </w:tc>
              <w:tc>
                <w:tcPr>
                  <w:tcW w:w="743" w:type="pct"/>
                  <w:shd w:val="clear" w:color="auto" w:fill="auto"/>
                  <w:vAlign w:val="center"/>
                </w:tcPr>
                <w:p w14:paraId="33A9DB6F">
                  <w:pPr>
                    <w:adjustRightInd w:val="0"/>
                    <w:snapToGrid w:val="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在线监测系统</w:t>
                  </w:r>
                </w:p>
              </w:tc>
              <w:tc>
                <w:tcPr>
                  <w:tcW w:w="2786" w:type="pct"/>
                  <w:shd w:val="clear" w:color="auto" w:fill="auto"/>
                  <w:vAlign w:val="center"/>
                </w:tcPr>
                <w:p w14:paraId="00C826B9">
                  <w:pPr>
                    <w:adjustRightInd w:val="0"/>
                    <w:snapToGrid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全量化处理站进出水分别设置1套在线监测系统</w:t>
                  </w:r>
                </w:p>
              </w:tc>
              <w:tc>
                <w:tcPr>
                  <w:tcW w:w="544" w:type="pct"/>
                  <w:shd w:val="clear" w:color="auto" w:fill="auto"/>
                  <w:vAlign w:val="center"/>
                </w:tcPr>
                <w:p w14:paraId="70363480">
                  <w:pPr>
                    <w:adjustRightInd w:val="0"/>
                    <w:snapToGrid w:val="0"/>
                    <w:jc w:val="center"/>
                    <w:rPr>
                      <w:rFonts w:hint="default" w:ascii="Times New Roman" w:hAnsi="Times New Roman" w:cs="Times New Roman"/>
                      <w:b/>
                      <w:bCs/>
                      <w:color w:val="auto"/>
                      <w:kern w:val="0"/>
                      <w:sz w:val="21"/>
                      <w:szCs w:val="21"/>
                      <w:highlight w:val="none"/>
                    </w:rPr>
                  </w:pPr>
                  <w:r>
                    <w:rPr>
                      <w:rFonts w:hint="eastAsia" w:ascii="Times New Roman" w:hAnsi="Times New Roman" w:cs="Times New Roman" w:eastAsiaTheme="majorEastAsia"/>
                      <w:color w:val="auto"/>
                      <w:sz w:val="21"/>
                      <w:szCs w:val="21"/>
                      <w:highlight w:val="none"/>
                      <w:lang w:val="en-US" w:eastAsia="zh-CN"/>
                    </w:rPr>
                    <w:t>新建</w:t>
                  </w:r>
                </w:p>
              </w:tc>
            </w:tr>
            <w:tr w14:paraId="18B0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5" w:type="pct"/>
                  <w:vMerge w:val="continue"/>
                  <w:shd w:val="clear" w:color="auto" w:fill="auto"/>
                  <w:vAlign w:val="center"/>
                </w:tcPr>
                <w:p w14:paraId="4E0A6C16">
                  <w:pPr>
                    <w:pStyle w:val="86"/>
                    <w:rPr>
                      <w:rFonts w:hint="default" w:ascii="Times New Roman" w:hAnsi="Times New Roman" w:cs="Times New Roman"/>
                      <w:color w:val="auto"/>
                      <w:sz w:val="21"/>
                      <w:szCs w:val="21"/>
                      <w:highlight w:val="none"/>
                    </w:rPr>
                  </w:pPr>
                </w:p>
              </w:tc>
              <w:tc>
                <w:tcPr>
                  <w:tcW w:w="450" w:type="pct"/>
                  <w:vMerge w:val="restart"/>
                  <w:shd w:val="clear" w:color="auto" w:fill="auto"/>
                  <w:vAlign w:val="center"/>
                </w:tcPr>
                <w:p w14:paraId="3940CFDC">
                  <w:pPr>
                    <w:pStyle w:val="8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743" w:type="pct"/>
                  <w:shd w:val="clear" w:color="auto" w:fill="auto"/>
                  <w:vAlign w:val="center"/>
                </w:tcPr>
                <w:p w14:paraId="0EB1FA35">
                  <w:pPr>
                    <w:adjustRightInd w:val="0"/>
                    <w:snapToGrid w:val="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除臭系统</w:t>
                  </w:r>
                </w:p>
              </w:tc>
              <w:tc>
                <w:tcPr>
                  <w:tcW w:w="2786" w:type="pct"/>
                  <w:shd w:val="clear" w:color="auto" w:fill="auto"/>
                  <w:vAlign w:val="center"/>
                </w:tcPr>
                <w:p w14:paraId="671E0095">
                  <w:pPr>
                    <w:pStyle w:val="86"/>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1套，位于固化搅拌楼东面，全量化处理站产生的恶臭气体通过负压管道收集引至1套化学洗涤塔处理后通过15m高排气筒外排</w:t>
                  </w:r>
                </w:p>
              </w:tc>
              <w:tc>
                <w:tcPr>
                  <w:tcW w:w="544" w:type="pct"/>
                  <w:shd w:val="clear" w:color="auto" w:fill="auto"/>
                  <w:vAlign w:val="center"/>
                </w:tcPr>
                <w:p w14:paraId="6E79B170">
                  <w:pPr>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新建</w:t>
                  </w:r>
                </w:p>
              </w:tc>
            </w:tr>
            <w:tr w14:paraId="5889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5" w:type="pct"/>
                  <w:vMerge w:val="continue"/>
                  <w:shd w:val="clear" w:color="auto" w:fill="auto"/>
                  <w:vAlign w:val="center"/>
                </w:tcPr>
                <w:p w14:paraId="7415870B">
                  <w:pPr>
                    <w:pStyle w:val="86"/>
                    <w:rPr>
                      <w:rFonts w:hint="default" w:ascii="Times New Roman" w:hAnsi="Times New Roman" w:cs="Times New Roman"/>
                      <w:color w:val="auto"/>
                      <w:sz w:val="21"/>
                      <w:szCs w:val="21"/>
                      <w:highlight w:val="none"/>
                    </w:rPr>
                  </w:pPr>
                </w:p>
              </w:tc>
              <w:tc>
                <w:tcPr>
                  <w:tcW w:w="450" w:type="pct"/>
                  <w:vMerge w:val="continue"/>
                  <w:shd w:val="clear" w:color="auto" w:fill="auto"/>
                  <w:vAlign w:val="center"/>
                </w:tcPr>
                <w:p w14:paraId="262C1DE9">
                  <w:pPr>
                    <w:pStyle w:val="86"/>
                    <w:rPr>
                      <w:rFonts w:hint="default" w:ascii="Times New Roman" w:hAnsi="Times New Roman" w:cs="Times New Roman"/>
                      <w:color w:val="auto"/>
                      <w:sz w:val="21"/>
                      <w:szCs w:val="21"/>
                      <w:highlight w:val="none"/>
                    </w:rPr>
                  </w:pPr>
                </w:p>
              </w:tc>
              <w:tc>
                <w:tcPr>
                  <w:tcW w:w="743" w:type="pct"/>
                  <w:shd w:val="clear" w:color="auto" w:fill="auto"/>
                  <w:vAlign w:val="center"/>
                </w:tcPr>
                <w:p w14:paraId="4D29AA66">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固化剂料仓粉尘</w:t>
                  </w:r>
                </w:p>
              </w:tc>
              <w:tc>
                <w:tcPr>
                  <w:tcW w:w="2786" w:type="pct"/>
                  <w:shd w:val="clear" w:color="auto" w:fill="auto"/>
                  <w:vAlign w:val="center"/>
                </w:tcPr>
                <w:p w14:paraId="0A8F3CD4">
                  <w:pPr>
                    <w:pStyle w:val="86"/>
                    <w:jc w:val="left"/>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固化剂料仓顶部自带1套布袋除尘器，共设置2套布袋除尘器，料仓粉尘经布袋除尘器处理后由仓顶排放。</w:t>
                  </w:r>
                </w:p>
              </w:tc>
              <w:tc>
                <w:tcPr>
                  <w:tcW w:w="544" w:type="pct"/>
                  <w:shd w:val="clear" w:color="auto" w:fill="auto"/>
                  <w:vAlign w:val="center"/>
                </w:tcPr>
                <w:p w14:paraId="07BC47E3">
                  <w:pPr>
                    <w:jc w:val="center"/>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新建</w:t>
                  </w:r>
                </w:p>
              </w:tc>
            </w:tr>
            <w:tr w14:paraId="69F5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5" w:type="pct"/>
                  <w:vMerge w:val="continue"/>
                  <w:shd w:val="clear" w:color="auto" w:fill="auto"/>
                  <w:vAlign w:val="center"/>
                </w:tcPr>
                <w:p w14:paraId="2F90454B">
                  <w:pPr>
                    <w:pStyle w:val="86"/>
                    <w:rPr>
                      <w:rFonts w:hint="default" w:ascii="Times New Roman" w:hAnsi="Times New Roman" w:cs="Times New Roman"/>
                      <w:color w:val="auto"/>
                      <w:sz w:val="21"/>
                      <w:szCs w:val="21"/>
                      <w:highlight w:val="none"/>
                    </w:rPr>
                  </w:pPr>
                </w:p>
              </w:tc>
              <w:tc>
                <w:tcPr>
                  <w:tcW w:w="450" w:type="pct"/>
                  <w:vMerge w:val="continue"/>
                  <w:shd w:val="clear" w:color="auto" w:fill="auto"/>
                  <w:vAlign w:val="center"/>
                </w:tcPr>
                <w:p w14:paraId="17202C94">
                  <w:pPr>
                    <w:pStyle w:val="86"/>
                    <w:rPr>
                      <w:rFonts w:hint="default" w:ascii="Times New Roman" w:hAnsi="Times New Roman" w:cs="Times New Roman"/>
                      <w:color w:val="auto"/>
                      <w:sz w:val="21"/>
                      <w:szCs w:val="21"/>
                      <w:highlight w:val="none"/>
                    </w:rPr>
                  </w:pPr>
                </w:p>
              </w:tc>
              <w:tc>
                <w:tcPr>
                  <w:tcW w:w="743" w:type="pct"/>
                  <w:shd w:val="clear" w:color="auto" w:fill="auto"/>
                  <w:vAlign w:val="center"/>
                </w:tcPr>
                <w:p w14:paraId="433FCEB5">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搅拌机粉尘</w:t>
                  </w:r>
                </w:p>
              </w:tc>
              <w:tc>
                <w:tcPr>
                  <w:tcW w:w="2786" w:type="pct"/>
                  <w:shd w:val="clear" w:color="auto" w:fill="auto"/>
                  <w:vAlign w:val="center"/>
                </w:tcPr>
                <w:p w14:paraId="49938B4C">
                  <w:pPr>
                    <w:pStyle w:val="86"/>
                    <w:jc w:val="center"/>
                    <w:rPr>
                      <w:rFonts w:hint="eastAsia" w:cs="Times New Roman"/>
                      <w:color w:val="auto"/>
                      <w:sz w:val="21"/>
                      <w:szCs w:val="21"/>
                      <w:highlight w:val="none"/>
                      <w:lang w:val="en-US" w:eastAsia="zh-CN"/>
                    </w:rPr>
                  </w:pPr>
                  <w:r>
                    <w:rPr>
                      <w:rFonts w:hint="eastAsia" w:ascii="Times New Roman" w:hAnsi="Times New Roman" w:cs="Times New Roman"/>
                      <w:bCs/>
                      <w:color w:val="auto"/>
                      <w:sz w:val="21"/>
                      <w:szCs w:val="21"/>
                      <w:highlight w:val="none"/>
                      <w:vertAlign w:val="baseline"/>
                      <w:lang w:val="en-US" w:eastAsia="zh-CN"/>
                    </w:rPr>
                    <w:t>蒸发母液固化搅拌机密闭搅拌。</w:t>
                  </w:r>
                </w:p>
              </w:tc>
              <w:tc>
                <w:tcPr>
                  <w:tcW w:w="544" w:type="pct"/>
                  <w:shd w:val="clear" w:color="auto" w:fill="auto"/>
                  <w:vAlign w:val="center"/>
                </w:tcPr>
                <w:p w14:paraId="2627E327">
                  <w:pPr>
                    <w:jc w:val="center"/>
                    <w:rPr>
                      <w:rFonts w:hint="eastAsia"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新建</w:t>
                  </w:r>
                </w:p>
              </w:tc>
            </w:tr>
            <w:tr w14:paraId="3CE0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shd w:val="clear" w:color="auto" w:fill="auto"/>
                  <w:vAlign w:val="center"/>
                </w:tcPr>
                <w:p w14:paraId="653E699D">
                  <w:pPr>
                    <w:pStyle w:val="86"/>
                    <w:rPr>
                      <w:rFonts w:hint="default" w:ascii="Times New Roman" w:hAnsi="Times New Roman" w:cs="Times New Roman"/>
                      <w:color w:val="auto"/>
                      <w:sz w:val="21"/>
                      <w:szCs w:val="21"/>
                      <w:highlight w:val="none"/>
                    </w:rPr>
                  </w:pPr>
                </w:p>
              </w:tc>
              <w:tc>
                <w:tcPr>
                  <w:tcW w:w="450" w:type="pct"/>
                  <w:vMerge w:val="restart"/>
                  <w:shd w:val="clear" w:color="auto" w:fill="auto"/>
                  <w:vAlign w:val="center"/>
                </w:tcPr>
                <w:p w14:paraId="0DB99E6F">
                  <w:pPr>
                    <w:pStyle w:val="8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743" w:type="pct"/>
                  <w:shd w:val="clear" w:color="auto" w:fill="auto"/>
                  <w:vAlign w:val="center"/>
                </w:tcPr>
                <w:p w14:paraId="240597BD">
                  <w:pPr>
                    <w:pStyle w:val="86"/>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固化渣暂存间</w:t>
                  </w:r>
                </w:p>
              </w:tc>
              <w:tc>
                <w:tcPr>
                  <w:tcW w:w="2786" w:type="pct"/>
                  <w:shd w:val="clear" w:color="auto" w:fill="auto"/>
                  <w:vAlign w:val="center"/>
                </w:tcPr>
                <w:p w14:paraId="6B5BA644">
                  <w:pPr>
                    <w:adjustRightInd w:val="0"/>
                    <w:snapToGrid w:val="0"/>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4"/>
                      <w:sz w:val="21"/>
                      <w:szCs w:val="21"/>
                      <w:highlight w:val="none"/>
                      <w:vertAlign w:val="baseline"/>
                      <w:lang w:val="en-US" w:eastAsia="zh-CN"/>
                    </w:rPr>
                    <w:t>1栋，</w:t>
                  </w:r>
                  <w:r>
                    <w:rPr>
                      <w:rFonts w:hint="eastAsia" w:cs="Times New Roman"/>
                      <w:color w:val="auto"/>
                      <w:sz w:val="21"/>
                      <w:szCs w:val="21"/>
                      <w:highlight w:val="none"/>
                      <w:lang w:val="en-US" w:eastAsia="zh-CN"/>
                    </w:rPr>
                    <w:t>1层，钢架结构，占地面积87.04m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，建筑面积87.04m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，对固化后的蒸发母液暂存，采用</w:t>
                  </w:r>
                  <w:r>
                    <w:rPr>
                      <w:rFonts w:hint="eastAsia" w:cs="Times New Roman"/>
                      <w:color w:val="auto"/>
                      <w:kern w:val="2"/>
                      <w:sz w:val="21"/>
                      <w:szCs w:val="21"/>
                      <w:highlight w:val="none"/>
                      <w:lang w:val="en-US" w:eastAsia="zh-CN" w:bidi="ar-SA"/>
                    </w:rPr>
                    <w:t>吨袋包装后委托具有资质的单位处置。环评阶段按危险固废进行管理，</w:t>
                  </w:r>
                  <w:r>
                    <w:rPr>
                      <w:color w:val="auto"/>
                      <w:kern w:val="24"/>
                      <w:szCs w:val="21"/>
                      <w:highlight w:val="none"/>
                    </w:rPr>
                    <w:t>待全量化处理设施运行后对固化渣进行固废属性鉴定</w:t>
                  </w:r>
                  <w:r>
                    <w:rPr>
                      <w:rFonts w:hint="eastAsia"/>
                      <w:color w:val="auto"/>
                      <w:kern w:val="24"/>
                      <w:szCs w:val="21"/>
                      <w:highlight w:val="none"/>
                    </w:rPr>
                    <w:t>。</w:t>
                  </w:r>
                  <w:r>
                    <w:rPr>
                      <w:color w:val="auto"/>
                      <w:kern w:val="24"/>
                      <w:szCs w:val="21"/>
                      <w:highlight w:val="none"/>
                    </w:rPr>
                    <w:t>经鉴定若为一般固体废物，满足《一般工业固体废物贮存和填埋污染控制标准》（GB18599-2020）</w:t>
                  </w:r>
                  <w:r>
                    <w:rPr>
                      <w:rFonts w:hint="eastAsia"/>
                      <w:color w:val="auto"/>
                      <w:kern w:val="24"/>
                      <w:szCs w:val="21"/>
                      <w:highlight w:val="none"/>
                      <w:lang w:val="en-US" w:eastAsia="zh-CN"/>
                    </w:rPr>
                    <w:t>或《生活垃圾填埋场污染控制标准》（GB16889-2024）</w:t>
                  </w:r>
                  <w:r>
                    <w:rPr>
                      <w:color w:val="auto"/>
                      <w:kern w:val="24"/>
                      <w:szCs w:val="21"/>
                      <w:highlight w:val="none"/>
                    </w:rPr>
                    <w:t>中填埋入场标准后进行填埋处置；若鉴定为危险废物则暂存于厂区固化渣暂存间内，及时委托有资质的单位进行处置。</w:t>
                  </w:r>
                </w:p>
              </w:tc>
              <w:tc>
                <w:tcPr>
                  <w:tcW w:w="544" w:type="pct"/>
                  <w:shd w:val="clear" w:color="auto" w:fill="auto"/>
                  <w:vAlign w:val="center"/>
                </w:tcPr>
                <w:p w14:paraId="2DC8E918">
                  <w:pPr>
                    <w:adjustRightInd w:val="0"/>
                    <w:snapToGrid w:val="0"/>
                    <w:spacing w:line="320" w:lineRule="exact"/>
                    <w:jc w:val="center"/>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kern w:val="0"/>
                      <w:sz w:val="21"/>
                      <w:szCs w:val="21"/>
                      <w:highlight w:val="none"/>
                      <w:lang w:val="en-US" w:eastAsia="zh-CN"/>
                    </w:rPr>
                    <w:t>新建</w:t>
                  </w:r>
                </w:p>
              </w:tc>
            </w:tr>
            <w:tr w14:paraId="5BF6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shd w:val="clear" w:color="auto" w:fill="auto"/>
                  <w:vAlign w:val="center"/>
                </w:tcPr>
                <w:p w14:paraId="6BF335F4">
                  <w:pPr>
                    <w:pStyle w:val="86"/>
                    <w:rPr>
                      <w:rFonts w:hint="default" w:ascii="Times New Roman" w:hAnsi="Times New Roman" w:cs="Times New Roman"/>
                      <w:color w:val="auto"/>
                      <w:sz w:val="21"/>
                      <w:szCs w:val="21"/>
                      <w:highlight w:val="none"/>
                    </w:rPr>
                  </w:pPr>
                </w:p>
              </w:tc>
              <w:tc>
                <w:tcPr>
                  <w:tcW w:w="450" w:type="pct"/>
                  <w:vMerge w:val="continue"/>
                  <w:shd w:val="clear" w:color="auto" w:fill="auto"/>
                  <w:vAlign w:val="center"/>
                </w:tcPr>
                <w:p w14:paraId="4562EF7C">
                  <w:pPr>
                    <w:pStyle w:val="86"/>
                    <w:rPr>
                      <w:rFonts w:hint="default" w:ascii="Times New Roman" w:hAnsi="Times New Roman" w:cs="Times New Roman"/>
                      <w:color w:val="auto"/>
                      <w:sz w:val="21"/>
                      <w:szCs w:val="21"/>
                      <w:highlight w:val="none"/>
                    </w:rPr>
                  </w:pPr>
                </w:p>
              </w:tc>
              <w:tc>
                <w:tcPr>
                  <w:tcW w:w="743" w:type="pct"/>
                  <w:shd w:val="clear" w:color="auto" w:fill="auto"/>
                  <w:vAlign w:val="center"/>
                </w:tcPr>
                <w:p w14:paraId="5B62A501">
                  <w:pPr>
                    <w:pStyle w:val="86"/>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一般固废暂存间</w:t>
                  </w:r>
                </w:p>
              </w:tc>
              <w:tc>
                <w:tcPr>
                  <w:tcW w:w="2786" w:type="pct"/>
                  <w:shd w:val="clear" w:color="auto" w:fill="auto"/>
                  <w:vAlign w:val="center"/>
                </w:tcPr>
                <w:p w14:paraId="799E5B63">
                  <w:pPr>
                    <w:adjustRightInd w:val="0"/>
                    <w:snapToGrid w:val="0"/>
                    <w:spacing w:line="320" w:lineRule="exact"/>
                    <w:rPr>
                      <w:rFonts w:hint="default" w:cs="Times New Roman"/>
                      <w:color w:val="auto"/>
                      <w:kern w:val="2"/>
                      <w:sz w:val="21"/>
                      <w:szCs w:val="21"/>
                      <w:highlight w:val="none"/>
                      <w:lang w:val="en-US" w:eastAsia="zh-CN" w:bidi="ar-SA"/>
                    </w:rPr>
                  </w:pPr>
                  <w:r>
                    <w:rPr>
                      <w:rFonts w:hint="eastAsia" w:cs="Times New Roman"/>
                      <w:color w:val="auto"/>
                      <w:kern w:val="24"/>
                      <w:sz w:val="21"/>
                      <w:szCs w:val="21"/>
                      <w:highlight w:val="none"/>
                      <w:vertAlign w:val="baseline"/>
                      <w:lang w:val="en-US" w:eastAsia="zh-CN"/>
                    </w:rPr>
                    <w:t>1栋，</w:t>
                  </w:r>
                  <w:r>
                    <w:rPr>
                      <w:rFonts w:hint="eastAsia" w:cs="Times New Roman"/>
                      <w:color w:val="auto"/>
                      <w:sz w:val="21"/>
                      <w:szCs w:val="21"/>
                      <w:highlight w:val="none"/>
                      <w:lang w:val="en-US" w:eastAsia="zh-CN"/>
                    </w:rPr>
                    <w:t>1层，占地面积10m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，建筑面积10m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eastAsia" w:cs="Times New Roman"/>
                      <w:color w:val="auto"/>
                      <w:kern w:val="2"/>
                      <w:sz w:val="21"/>
                      <w:szCs w:val="21"/>
                      <w:highlight w:val="none"/>
                      <w:lang w:val="en-US" w:eastAsia="zh-CN" w:bidi="ar-SA"/>
                    </w:rPr>
                    <w:t>用于储存消泡剂、阻垢剂包装桶，废离子交换树脂、废反渗透膜等一般固废</w:t>
                  </w:r>
                </w:p>
              </w:tc>
              <w:tc>
                <w:tcPr>
                  <w:tcW w:w="544" w:type="pct"/>
                  <w:shd w:val="clear" w:color="auto" w:fill="auto"/>
                  <w:vAlign w:val="center"/>
                </w:tcPr>
                <w:p w14:paraId="330AA872">
                  <w:pPr>
                    <w:adjustRightInd w:val="0"/>
                    <w:snapToGrid w:val="0"/>
                    <w:spacing w:line="320" w:lineRule="exact"/>
                    <w:jc w:val="center"/>
                    <w:rPr>
                      <w:rFonts w:hint="eastAsia"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新建</w:t>
                  </w:r>
                </w:p>
              </w:tc>
            </w:tr>
            <w:tr w14:paraId="0B41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475" w:type="pct"/>
                  <w:vMerge w:val="continue"/>
                  <w:shd w:val="clear" w:color="auto" w:fill="auto"/>
                  <w:vAlign w:val="center"/>
                </w:tcPr>
                <w:p w14:paraId="24C1790C">
                  <w:pPr>
                    <w:pStyle w:val="86"/>
                    <w:rPr>
                      <w:rFonts w:hint="default" w:ascii="Times New Roman" w:hAnsi="Times New Roman" w:cs="Times New Roman"/>
                      <w:color w:val="auto"/>
                      <w:sz w:val="21"/>
                      <w:szCs w:val="21"/>
                      <w:highlight w:val="none"/>
                    </w:rPr>
                  </w:pPr>
                </w:p>
              </w:tc>
              <w:tc>
                <w:tcPr>
                  <w:tcW w:w="450" w:type="pct"/>
                  <w:vMerge w:val="continue"/>
                  <w:shd w:val="clear" w:color="auto" w:fill="auto"/>
                  <w:vAlign w:val="center"/>
                </w:tcPr>
                <w:p w14:paraId="43BAB8FA">
                  <w:pPr>
                    <w:pStyle w:val="86"/>
                    <w:rPr>
                      <w:rFonts w:hint="default" w:ascii="Times New Roman" w:hAnsi="Times New Roman" w:cs="Times New Roman"/>
                      <w:color w:val="auto"/>
                      <w:sz w:val="21"/>
                      <w:szCs w:val="21"/>
                      <w:highlight w:val="none"/>
                    </w:rPr>
                  </w:pPr>
                </w:p>
              </w:tc>
              <w:tc>
                <w:tcPr>
                  <w:tcW w:w="743" w:type="pct"/>
                  <w:shd w:val="clear" w:color="auto" w:fill="auto"/>
                  <w:vAlign w:val="center"/>
                </w:tcPr>
                <w:p w14:paraId="44FD2124">
                  <w:pPr>
                    <w:pStyle w:val="86"/>
                    <w:jc w:val="center"/>
                    <w:rPr>
                      <w:rFonts w:hint="default"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生活垃圾收集桶</w:t>
                  </w:r>
                </w:p>
              </w:tc>
              <w:tc>
                <w:tcPr>
                  <w:tcW w:w="2786" w:type="pct"/>
                  <w:shd w:val="clear" w:color="auto" w:fill="auto"/>
                  <w:vAlign w:val="center"/>
                </w:tcPr>
                <w:p w14:paraId="1685EE12">
                  <w:pPr>
                    <w:adjustRightInd w:val="0"/>
                    <w:snapToGrid w:val="0"/>
                    <w:spacing w:line="320" w:lineRule="exact"/>
                    <w:rPr>
                      <w:rFonts w:hint="default"/>
                      <w:color w:val="auto"/>
                      <w:highlight w:val="none"/>
                      <w:lang w:val="en-US"/>
                    </w:rPr>
                  </w:pPr>
                  <w:r>
                    <w:rPr>
                      <w:rFonts w:hint="eastAsia" w:cs="Times New Roman"/>
                      <w:color w:val="auto"/>
                      <w:kern w:val="0"/>
                      <w:sz w:val="21"/>
                      <w:szCs w:val="21"/>
                      <w:highlight w:val="none"/>
                      <w:lang w:val="en-US" w:eastAsia="zh-CN"/>
                    </w:rPr>
                    <w:t>若干，员工生活产生的生活垃圾集中收集运至二期填埋区填埋处理，封场后运至附近九村镇垃圾堆放点，最终进入澄江市生活垃圾焚烧厂处理</w:t>
                  </w:r>
                </w:p>
              </w:tc>
              <w:tc>
                <w:tcPr>
                  <w:tcW w:w="544" w:type="pct"/>
                  <w:shd w:val="clear" w:color="auto" w:fill="auto"/>
                  <w:vAlign w:val="center"/>
                </w:tcPr>
                <w:p w14:paraId="0FA987B7">
                  <w:pPr>
                    <w:adjustRightInd w:val="0"/>
                    <w:snapToGrid w:val="0"/>
                    <w:spacing w:line="320" w:lineRule="exact"/>
                    <w:jc w:val="center"/>
                    <w:rPr>
                      <w:rFonts w:hint="eastAsia"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新建</w:t>
                  </w:r>
                </w:p>
              </w:tc>
            </w:tr>
            <w:tr w14:paraId="1AAD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pct"/>
                  <w:vMerge w:val="continue"/>
                  <w:shd w:val="clear" w:color="auto" w:fill="auto"/>
                  <w:vAlign w:val="center"/>
                </w:tcPr>
                <w:p w14:paraId="451B109C">
                  <w:pPr>
                    <w:pStyle w:val="86"/>
                    <w:rPr>
                      <w:rFonts w:hint="default" w:ascii="Times New Roman" w:hAnsi="Times New Roman" w:cs="Times New Roman"/>
                      <w:color w:val="auto"/>
                      <w:sz w:val="21"/>
                      <w:szCs w:val="21"/>
                      <w:highlight w:val="none"/>
                    </w:rPr>
                  </w:pPr>
                </w:p>
              </w:tc>
              <w:tc>
                <w:tcPr>
                  <w:tcW w:w="450" w:type="pct"/>
                  <w:vMerge w:val="continue"/>
                  <w:shd w:val="clear" w:color="auto" w:fill="auto"/>
                  <w:vAlign w:val="center"/>
                </w:tcPr>
                <w:p w14:paraId="14DAB4B5">
                  <w:pPr>
                    <w:pStyle w:val="86"/>
                    <w:rPr>
                      <w:rFonts w:hint="default" w:ascii="Times New Roman" w:hAnsi="Times New Roman" w:cs="Times New Roman"/>
                      <w:color w:val="auto"/>
                      <w:sz w:val="21"/>
                      <w:szCs w:val="21"/>
                      <w:highlight w:val="none"/>
                    </w:rPr>
                  </w:pPr>
                </w:p>
              </w:tc>
              <w:tc>
                <w:tcPr>
                  <w:tcW w:w="743" w:type="pct"/>
                  <w:shd w:val="clear" w:color="auto" w:fill="auto"/>
                  <w:vAlign w:val="center"/>
                </w:tcPr>
                <w:p w14:paraId="17326C1B">
                  <w:pPr>
                    <w:keepNext w:val="0"/>
                    <w:keepLines w:val="0"/>
                    <w:suppressLineNumbers w:val="0"/>
                    <w:spacing w:before="0" w:beforeAutospacing="0" w:after="0" w:afterAutospacing="0"/>
                    <w:ind w:left="0" w:leftChars="0" w:right="0" w:rightChars="0"/>
                    <w:rPr>
                      <w:rFonts w:hint="default"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危险废物暂存间</w:t>
                  </w:r>
                </w:p>
              </w:tc>
              <w:tc>
                <w:tcPr>
                  <w:tcW w:w="2786" w:type="pct"/>
                  <w:shd w:val="clear" w:color="auto" w:fill="auto"/>
                  <w:vAlign w:val="center"/>
                </w:tcPr>
                <w:p w14:paraId="711FF762">
                  <w:pPr>
                    <w:keepNext w:val="0"/>
                    <w:keepLines w:val="0"/>
                    <w:widowControl/>
                    <w:suppressLineNumbers w:val="0"/>
                    <w:spacing w:before="0" w:beforeAutospacing="0" w:after="0" w:afterAutospacing="0"/>
                    <w:ind w:left="0" w:leftChars="0" w:right="0" w:rightChars="0"/>
                    <w:jc w:val="left"/>
                    <w:textAlignment w:val="center"/>
                    <w:rPr>
                      <w:rFonts w:hint="eastAsia"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设置1间</w:t>
                  </w:r>
                  <w:r>
                    <w:rPr>
                      <w:rFonts w:hint="eastAsia"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m</w:t>
                  </w:r>
                  <w:r>
                    <w:rPr>
                      <w:rStyle w:val="114"/>
                      <w:rFonts w:hint="default" w:ascii="Times New Roman" w:hAnsi="Times New Roman" w:eastAsia="宋体" w:cs="Times New Roman"/>
                      <w:color w:val="auto"/>
                      <w:highlight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的危险废物暂存间，用于暂存</w:t>
                  </w:r>
                  <w:r>
                    <w:rPr>
                      <w:rFonts w:hint="eastAsia" w:cs="Times New Roman"/>
                      <w:color w:val="auto"/>
                      <w:kern w:val="24"/>
                      <w:sz w:val="21"/>
                      <w:szCs w:val="21"/>
                      <w:highlight w:val="none"/>
                      <w:lang w:val="en-US" w:eastAsia="zh-CN" w:bidi="ar-SA"/>
                    </w:rPr>
                    <w:t>在线监测废液</w:t>
                  </w:r>
                  <w:r>
                    <w:rPr>
                      <w:rFonts w:hint="default" w:ascii="Times New Roman" w:hAnsi="Times New Roman" w:eastAsia="宋体" w:cs="Times New Roman"/>
                      <w:i w:val="0"/>
                      <w:iCs w:val="0"/>
                      <w:color w:val="auto"/>
                      <w:kern w:val="0"/>
                      <w:sz w:val="21"/>
                      <w:szCs w:val="21"/>
                      <w:highlight w:val="none"/>
                      <w:u w:val="none"/>
                      <w:lang w:val="en-US" w:eastAsia="zh-CN" w:bidi="ar"/>
                    </w:rPr>
                    <w:t>。危险废物暂存间</w:t>
                  </w:r>
                  <w:r>
                    <w:rPr>
                      <w:rFonts w:hint="eastAsia"/>
                      <w:color w:val="auto"/>
                      <w:highlight w:val="none"/>
                      <w:lang w:val="en-US" w:eastAsia="zh-CN"/>
                    </w:rPr>
                    <w:t>进行重点防渗，至少为1m厚黏土层，渗透系数K≤1×10</w:t>
                  </w:r>
                  <w:r>
                    <w:rPr>
                      <w:rFonts w:hint="eastAsia"/>
                      <w:color w:val="auto"/>
                      <w:highlight w:val="none"/>
                      <w:vertAlign w:val="superscript"/>
                      <w:lang w:val="en-US" w:eastAsia="zh-CN"/>
                    </w:rPr>
                    <w:t>-7</w:t>
                  </w:r>
                  <w:r>
                    <w:rPr>
                      <w:rFonts w:hint="eastAsia"/>
                      <w:color w:val="auto"/>
                      <w:highlight w:val="none"/>
                      <w:lang w:val="en-US" w:eastAsia="zh-CN"/>
                    </w:rPr>
                    <w:t>cm/s或至少2mm厚高密度氯乙烯膜等人工防渗材料（渗透系数K≤1×10</w:t>
                  </w:r>
                  <w:r>
                    <w:rPr>
                      <w:rFonts w:hint="eastAsia"/>
                      <w:color w:val="auto"/>
                      <w:highlight w:val="none"/>
                      <w:vertAlign w:val="superscript"/>
                      <w:lang w:val="en-US" w:eastAsia="zh-CN"/>
                    </w:rPr>
                    <w:t>-10</w:t>
                  </w:r>
                  <w:r>
                    <w:rPr>
                      <w:rFonts w:hint="eastAsia"/>
                      <w:color w:val="auto"/>
                      <w:highlight w:val="none"/>
                      <w:lang w:val="en-US" w:eastAsia="zh-CN"/>
                    </w:rPr>
                    <w:t>cm/s），或其他防渗性能等效的材料</w:t>
                  </w:r>
                  <w:r>
                    <w:rPr>
                      <w:rFonts w:hint="default" w:ascii="Times New Roman" w:hAnsi="Times New Roman" w:eastAsia="宋体" w:cs="Times New Roman"/>
                      <w:i w:val="0"/>
                      <w:iCs w:val="0"/>
                      <w:color w:val="auto"/>
                      <w:kern w:val="0"/>
                      <w:sz w:val="21"/>
                      <w:szCs w:val="21"/>
                      <w:highlight w:val="none"/>
                      <w:u w:val="none"/>
                      <w:lang w:val="en-US" w:eastAsia="zh-CN" w:bidi="ar"/>
                    </w:rPr>
                    <w:t>，并按照要求设置规范的标识标牌，危险废物进行分类、分区暂存，并设置围堰。</w:t>
                  </w:r>
                </w:p>
              </w:tc>
              <w:tc>
                <w:tcPr>
                  <w:tcW w:w="544" w:type="pct"/>
                  <w:shd w:val="clear" w:color="auto" w:fill="auto"/>
                  <w:vAlign w:val="center"/>
                </w:tcPr>
                <w:p w14:paraId="6B46B0D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eastAsiaTheme="majorEastAsia"/>
                      <w:color w:val="auto"/>
                      <w:sz w:val="21"/>
                      <w:szCs w:val="21"/>
                      <w:highlight w:val="none"/>
                      <w:lang w:val="en-US" w:eastAsia="zh-CN"/>
                    </w:rPr>
                    <w:t>新建</w:t>
                  </w:r>
                </w:p>
              </w:tc>
            </w:tr>
            <w:tr w14:paraId="6A88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shd w:val="clear" w:color="auto" w:fill="auto"/>
                  <w:vAlign w:val="center"/>
                </w:tcPr>
                <w:p w14:paraId="2C388B62">
                  <w:pPr>
                    <w:pStyle w:val="86"/>
                    <w:rPr>
                      <w:rFonts w:hint="default" w:ascii="Times New Roman" w:hAnsi="Times New Roman" w:cs="Times New Roman"/>
                      <w:color w:val="auto"/>
                      <w:sz w:val="21"/>
                      <w:szCs w:val="21"/>
                      <w:highlight w:val="none"/>
                    </w:rPr>
                  </w:pPr>
                </w:p>
              </w:tc>
              <w:tc>
                <w:tcPr>
                  <w:tcW w:w="450" w:type="pct"/>
                  <w:shd w:val="clear" w:color="auto" w:fill="auto"/>
                  <w:vAlign w:val="center"/>
                </w:tcPr>
                <w:p w14:paraId="5BEEB18B">
                  <w:pPr>
                    <w:pStyle w:val="8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743" w:type="pct"/>
                  <w:shd w:val="clear" w:color="auto" w:fill="auto"/>
                  <w:vAlign w:val="center"/>
                </w:tcPr>
                <w:p w14:paraId="224B360D">
                  <w:pPr>
                    <w:pStyle w:val="8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设备噪声</w:t>
                  </w:r>
                </w:p>
              </w:tc>
              <w:tc>
                <w:tcPr>
                  <w:tcW w:w="2786" w:type="pct"/>
                  <w:shd w:val="clear" w:color="auto" w:fill="auto"/>
                  <w:vAlign w:val="center"/>
                </w:tcPr>
                <w:p w14:paraId="4A73E703">
                  <w:pPr>
                    <w:pStyle w:val="86"/>
                    <w:jc w:val="both"/>
                    <w:rPr>
                      <w:rFonts w:hint="eastAsia"/>
                      <w:color w:val="auto"/>
                      <w:highlight w:val="none"/>
                      <w:lang w:eastAsia="zh-CN"/>
                    </w:rPr>
                  </w:pPr>
                  <w:r>
                    <w:rPr>
                      <w:rFonts w:hint="eastAsia"/>
                      <w:color w:val="auto"/>
                      <w:sz w:val="21"/>
                      <w:szCs w:val="21"/>
                      <w:highlight w:val="none"/>
                      <w:vertAlign w:val="baseline"/>
                      <w:lang w:val="en-US" w:eastAsia="zh-CN"/>
                    </w:rPr>
                    <w:t>污水处理设备</w:t>
                  </w:r>
                  <w:r>
                    <w:rPr>
                      <w:rFonts w:hint="eastAsia"/>
                      <w:color w:val="auto"/>
                      <w:sz w:val="21"/>
                      <w:szCs w:val="21"/>
                      <w:highlight w:val="none"/>
                      <w:vertAlign w:val="baseline"/>
                      <w:lang w:eastAsia="zh-CN"/>
                    </w:rPr>
                    <w:t>置于室内，污</w:t>
                  </w:r>
                  <w:r>
                    <w:rPr>
                      <w:color w:val="auto"/>
                      <w:sz w:val="21"/>
                      <w:szCs w:val="21"/>
                      <w:highlight w:val="none"/>
                      <w:vertAlign w:val="baseline"/>
                    </w:rPr>
                    <w:t>水泵</w:t>
                  </w:r>
                  <w:r>
                    <w:rPr>
                      <w:rFonts w:hint="eastAsia"/>
                      <w:color w:val="auto"/>
                      <w:sz w:val="21"/>
                      <w:szCs w:val="21"/>
                      <w:highlight w:val="none"/>
                      <w:vertAlign w:val="baseline"/>
                      <w:lang w:eastAsia="zh-CN"/>
                    </w:rPr>
                    <w:t>使用潜污泵，</w:t>
                  </w:r>
                  <w:r>
                    <w:rPr>
                      <w:rFonts w:hint="eastAsia"/>
                      <w:color w:val="auto"/>
                      <w:highlight w:val="none"/>
                    </w:rPr>
                    <w:t>产生的噪声经基础减振、厂房隔声、距离衰减后达标排放</w:t>
                  </w:r>
                </w:p>
              </w:tc>
              <w:tc>
                <w:tcPr>
                  <w:tcW w:w="544" w:type="pct"/>
                  <w:shd w:val="clear" w:color="auto" w:fill="auto"/>
                  <w:vAlign w:val="center"/>
                </w:tcPr>
                <w:p w14:paraId="424A72B0">
                  <w:pPr>
                    <w:jc w:val="center"/>
                    <w:rPr>
                      <w:rFonts w:hint="default" w:ascii="Times New Roman" w:hAnsi="Times New Roman" w:cs="Times New Roman"/>
                      <w:b w:val="0"/>
                      <w:bCs w:val="0"/>
                      <w:color w:val="auto"/>
                      <w:sz w:val="21"/>
                      <w:szCs w:val="21"/>
                      <w:highlight w:val="none"/>
                    </w:rPr>
                  </w:pPr>
                  <w:r>
                    <w:rPr>
                      <w:rFonts w:hint="eastAsia" w:cs="Times New Roman"/>
                      <w:b w:val="0"/>
                      <w:bCs w:val="0"/>
                      <w:color w:val="auto"/>
                      <w:kern w:val="0"/>
                      <w:sz w:val="21"/>
                      <w:szCs w:val="21"/>
                      <w:highlight w:val="none"/>
                      <w:lang w:val="en-US" w:eastAsia="zh-CN"/>
                    </w:rPr>
                    <w:t>新建</w:t>
                  </w:r>
                </w:p>
              </w:tc>
            </w:tr>
            <w:tr w14:paraId="01CF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shd w:val="clear" w:color="auto" w:fill="auto"/>
                  <w:vAlign w:val="center"/>
                </w:tcPr>
                <w:p w14:paraId="6282BAFD">
                  <w:pPr>
                    <w:pStyle w:val="86"/>
                    <w:rPr>
                      <w:rFonts w:hint="default" w:ascii="Times New Roman" w:hAnsi="Times New Roman" w:cs="Times New Roman"/>
                      <w:color w:val="auto"/>
                      <w:sz w:val="21"/>
                      <w:szCs w:val="21"/>
                      <w:highlight w:val="none"/>
                    </w:rPr>
                  </w:pPr>
                </w:p>
              </w:tc>
              <w:tc>
                <w:tcPr>
                  <w:tcW w:w="450" w:type="pct"/>
                  <w:vMerge w:val="restart"/>
                  <w:shd w:val="clear" w:color="auto" w:fill="auto"/>
                  <w:vAlign w:val="center"/>
                </w:tcPr>
                <w:p w14:paraId="292A6B38">
                  <w:pPr>
                    <w:pStyle w:val="86"/>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地下水</w:t>
                  </w:r>
                </w:p>
              </w:tc>
              <w:tc>
                <w:tcPr>
                  <w:tcW w:w="743" w:type="pct"/>
                  <w:vMerge w:val="restart"/>
                  <w:shd w:val="clear" w:color="auto" w:fill="auto"/>
                  <w:vAlign w:val="center"/>
                </w:tcPr>
                <w:p w14:paraId="5FF8E867">
                  <w:pPr>
                    <w:pStyle w:val="86"/>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分区防渗</w:t>
                  </w:r>
                </w:p>
              </w:tc>
              <w:tc>
                <w:tcPr>
                  <w:tcW w:w="2786" w:type="pct"/>
                  <w:shd w:val="clear" w:color="auto" w:fill="auto"/>
                  <w:vAlign w:val="center"/>
                </w:tcPr>
                <w:p w14:paraId="3A8C31C9">
                  <w:pPr>
                    <w:jc w:val="left"/>
                    <w:rPr>
                      <w:rFonts w:hint="default"/>
                      <w:color w:val="auto"/>
                      <w:sz w:val="21"/>
                      <w:szCs w:val="21"/>
                      <w:highlight w:val="none"/>
                      <w:vertAlign w:val="baseline"/>
                      <w:lang w:val="en-US" w:eastAsia="zh-CN"/>
                    </w:rPr>
                  </w:pPr>
                  <w:r>
                    <w:rPr>
                      <w:rFonts w:hint="eastAsia"/>
                      <w:color w:val="auto"/>
                      <w:szCs w:val="21"/>
                      <w:highlight w:val="none"/>
                      <w:lang w:eastAsia="zh-CN"/>
                    </w:rPr>
                    <w:t>重点防渗区：</w:t>
                  </w:r>
                  <w:r>
                    <w:rPr>
                      <w:rFonts w:hint="eastAsia"/>
                      <w:color w:val="auto"/>
                      <w:szCs w:val="21"/>
                      <w:highlight w:val="none"/>
                      <w:lang w:val="en-US" w:eastAsia="zh-CN"/>
                    </w:rPr>
                    <w:t>渗滤液收集池、调节池、产水收集池、</w:t>
                  </w:r>
                  <w:r>
                    <w:rPr>
                      <w:rFonts w:hint="eastAsia"/>
                      <w:color w:val="auto"/>
                      <w:sz w:val="21"/>
                      <w:szCs w:val="21"/>
                      <w:highlight w:val="none"/>
                      <w:vertAlign w:val="baseline"/>
                      <w:lang w:val="en-US" w:eastAsia="zh-CN"/>
                    </w:rPr>
                    <w:t>全量化处理站、固化渣暂存间、危废暂存间、硫酸储罐、污水收集管道，防渗要求：等效黏土防渗层 Mb≥6.0m，K≤1.0×10</w:t>
                  </w:r>
                  <w:r>
                    <w:rPr>
                      <w:rFonts w:hint="eastAsia"/>
                      <w:color w:val="auto"/>
                      <w:sz w:val="21"/>
                      <w:szCs w:val="21"/>
                      <w:highlight w:val="none"/>
                      <w:vertAlign w:val="superscript"/>
                      <w:lang w:val="en-US" w:eastAsia="zh-CN"/>
                    </w:rPr>
                    <w:t>-7</w:t>
                  </w:r>
                  <w:r>
                    <w:rPr>
                      <w:rFonts w:hint="eastAsia"/>
                      <w:color w:val="auto"/>
                      <w:sz w:val="21"/>
                      <w:szCs w:val="21"/>
                      <w:highlight w:val="none"/>
                      <w:vertAlign w:val="baseline"/>
                      <w:lang w:val="en-US" w:eastAsia="zh-CN"/>
                    </w:rPr>
                    <w:t>cm/s，或参照GB18598执行，其中固化渣暂存间、危废暂存间防渗要求</w:t>
                  </w:r>
                  <w:r>
                    <w:rPr>
                      <w:rFonts w:hint="eastAsia"/>
                      <w:color w:val="auto"/>
                      <w:highlight w:val="none"/>
                      <w:lang w:val="en-US" w:eastAsia="zh-CN"/>
                    </w:rPr>
                    <w:t>至少为1m厚黏土层，渗透系数K≤1×10</w:t>
                  </w:r>
                  <w:r>
                    <w:rPr>
                      <w:rFonts w:hint="eastAsia"/>
                      <w:color w:val="auto"/>
                      <w:highlight w:val="none"/>
                      <w:vertAlign w:val="superscript"/>
                      <w:lang w:val="en-US" w:eastAsia="zh-CN"/>
                    </w:rPr>
                    <w:t>-7</w:t>
                  </w:r>
                  <w:r>
                    <w:rPr>
                      <w:rFonts w:hint="eastAsia"/>
                      <w:color w:val="auto"/>
                      <w:highlight w:val="none"/>
                      <w:lang w:val="en-US" w:eastAsia="zh-CN"/>
                    </w:rPr>
                    <w:t>cm/s或至少2mm厚高密度氯乙烯膜等人工防渗材料（渗透系数K≤1×10</w:t>
                  </w:r>
                  <w:r>
                    <w:rPr>
                      <w:rFonts w:hint="eastAsia"/>
                      <w:color w:val="auto"/>
                      <w:highlight w:val="none"/>
                      <w:vertAlign w:val="superscript"/>
                      <w:lang w:val="en-US" w:eastAsia="zh-CN"/>
                    </w:rPr>
                    <w:t>-10</w:t>
                  </w:r>
                  <w:r>
                    <w:rPr>
                      <w:rFonts w:hint="eastAsia"/>
                      <w:color w:val="auto"/>
                      <w:highlight w:val="none"/>
                      <w:lang w:val="en-US" w:eastAsia="zh-CN"/>
                    </w:rPr>
                    <w:t>cm/s），或其他防渗性能等效的材料</w:t>
                  </w:r>
                </w:p>
              </w:tc>
              <w:tc>
                <w:tcPr>
                  <w:tcW w:w="544" w:type="pct"/>
                  <w:vMerge w:val="restart"/>
                  <w:shd w:val="clear" w:color="auto" w:fill="auto"/>
                  <w:vAlign w:val="center"/>
                </w:tcPr>
                <w:p w14:paraId="157EE96C">
                  <w:pPr>
                    <w:jc w:val="center"/>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新建</w:t>
                  </w:r>
                </w:p>
              </w:tc>
            </w:tr>
            <w:tr w14:paraId="7F2E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shd w:val="clear" w:color="auto" w:fill="auto"/>
                  <w:vAlign w:val="center"/>
                </w:tcPr>
                <w:p w14:paraId="3FB48980">
                  <w:pPr>
                    <w:pStyle w:val="86"/>
                    <w:rPr>
                      <w:rFonts w:hint="default" w:ascii="Times New Roman" w:hAnsi="Times New Roman" w:cs="Times New Roman"/>
                      <w:color w:val="auto"/>
                      <w:sz w:val="21"/>
                      <w:szCs w:val="21"/>
                      <w:highlight w:val="none"/>
                    </w:rPr>
                  </w:pPr>
                </w:p>
              </w:tc>
              <w:tc>
                <w:tcPr>
                  <w:tcW w:w="450" w:type="pct"/>
                  <w:vMerge w:val="continue"/>
                  <w:shd w:val="clear" w:color="auto" w:fill="auto"/>
                  <w:vAlign w:val="center"/>
                </w:tcPr>
                <w:p w14:paraId="3E94CC67">
                  <w:pPr>
                    <w:pStyle w:val="86"/>
                    <w:rPr>
                      <w:rFonts w:hint="eastAsia" w:cs="Times New Roman"/>
                      <w:color w:val="auto"/>
                      <w:sz w:val="21"/>
                      <w:szCs w:val="21"/>
                      <w:highlight w:val="none"/>
                      <w:lang w:val="en-US" w:eastAsia="zh-CN"/>
                    </w:rPr>
                  </w:pPr>
                </w:p>
              </w:tc>
              <w:tc>
                <w:tcPr>
                  <w:tcW w:w="743" w:type="pct"/>
                  <w:vMerge w:val="continue"/>
                  <w:shd w:val="clear" w:color="auto" w:fill="auto"/>
                  <w:vAlign w:val="center"/>
                </w:tcPr>
                <w:p w14:paraId="724918FA">
                  <w:pPr>
                    <w:pStyle w:val="86"/>
                    <w:rPr>
                      <w:rFonts w:hint="eastAsia" w:cs="Times New Roman"/>
                      <w:color w:val="auto"/>
                      <w:sz w:val="21"/>
                      <w:szCs w:val="21"/>
                      <w:highlight w:val="none"/>
                      <w:lang w:val="en-US" w:eastAsia="zh-CN"/>
                    </w:rPr>
                  </w:pPr>
                </w:p>
              </w:tc>
              <w:tc>
                <w:tcPr>
                  <w:tcW w:w="2786" w:type="pct"/>
                  <w:shd w:val="clear" w:color="auto" w:fill="auto"/>
                  <w:vAlign w:val="center"/>
                </w:tcPr>
                <w:p w14:paraId="16C810E2">
                  <w:pPr>
                    <w:jc w:val="left"/>
                    <w:rPr>
                      <w:rFonts w:hint="eastAsia"/>
                      <w:color w:val="auto"/>
                      <w:szCs w:val="21"/>
                      <w:highlight w:val="none"/>
                      <w:lang w:eastAsia="zh-CN"/>
                    </w:rPr>
                  </w:pPr>
                  <w:r>
                    <w:rPr>
                      <w:rFonts w:hint="eastAsia"/>
                      <w:color w:val="auto"/>
                      <w:szCs w:val="21"/>
                      <w:highlight w:val="none"/>
                      <w:lang w:val="en-US" w:eastAsia="zh-CN"/>
                    </w:rPr>
                    <w:t>一般</w:t>
                  </w:r>
                  <w:r>
                    <w:rPr>
                      <w:color w:val="auto"/>
                      <w:szCs w:val="21"/>
                      <w:highlight w:val="none"/>
                    </w:rPr>
                    <w:t>防渗区：</w:t>
                  </w:r>
                  <w:r>
                    <w:rPr>
                      <w:rFonts w:hint="eastAsia"/>
                      <w:color w:val="auto"/>
                      <w:sz w:val="21"/>
                      <w:szCs w:val="21"/>
                      <w:highlight w:val="none"/>
                      <w:vertAlign w:val="baseline"/>
                      <w:lang w:val="en-US" w:eastAsia="zh-CN"/>
                    </w:rPr>
                    <w:t>配电室、在线监测室、空压房、控制室，防渗要求：等效黏土防渗层Mb≥1.5m，渗透系数K≤10</w:t>
                  </w:r>
                  <w:r>
                    <w:rPr>
                      <w:rFonts w:hint="eastAsia"/>
                      <w:color w:val="auto"/>
                      <w:sz w:val="21"/>
                      <w:szCs w:val="21"/>
                      <w:highlight w:val="none"/>
                      <w:vertAlign w:val="superscript"/>
                      <w:lang w:val="en-US" w:eastAsia="zh-CN"/>
                    </w:rPr>
                    <w:t>-7</w:t>
                  </w:r>
                  <w:r>
                    <w:rPr>
                      <w:rFonts w:hint="eastAsia"/>
                      <w:color w:val="auto"/>
                      <w:sz w:val="21"/>
                      <w:szCs w:val="21"/>
                      <w:highlight w:val="none"/>
                      <w:vertAlign w:val="baseline"/>
                      <w:lang w:val="en-US" w:eastAsia="zh-CN"/>
                    </w:rPr>
                    <w:t>cm/s）。</w:t>
                  </w:r>
                </w:p>
              </w:tc>
              <w:tc>
                <w:tcPr>
                  <w:tcW w:w="544" w:type="pct"/>
                  <w:vMerge w:val="continue"/>
                  <w:shd w:val="clear" w:color="auto" w:fill="auto"/>
                  <w:vAlign w:val="center"/>
                </w:tcPr>
                <w:p w14:paraId="7CCD3846">
                  <w:pPr>
                    <w:jc w:val="center"/>
                    <w:rPr>
                      <w:rFonts w:hint="eastAsia" w:cs="Times New Roman"/>
                      <w:b w:val="0"/>
                      <w:bCs w:val="0"/>
                      <w:color w:val="auto"/>
                      <w:kern w:val="0"/>
                      <w:sz w:val="21"/>
                      <w:szCs w:val="21"/>
                      <w:highlight w:val="none"/>
                      <w:lang w:val="en-US" w:eastAsia="zh-CN"/>
                    </w:rPr>
                  </w:pPr>
                </w:p>
              </w:tc>
            </w:tr>
            <w:tr w14:paraId="59E7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shd w:val="clear" w:color="auto" w:fill="auto"/>
                  <w:vAlign w:val="center"/>
                </w:tcPr>
                <w:p w14:paraId="22940CA1">
                  <w:pPr>
                    <w:pStyle w:val="86"/>
                    <w:rPr>
                      <w:rFonts w:hint="default" w:ascii="Times New Roman" w:hAnsi="Times New Roman" w:cs="Times New Roman"/>
                      <w:color w:val="auto"/>
                      <w:sz w:val="21"/>
                      <w:szCs w:val="21"/>
                      <w:highlight w:val="none"/>
                    </w:rPr>
                  </w:pPr>
                </w:p>
              </w:tc>
              <w:tc>
                <w:tcPr>
                  <w:tcW w:w="450" w:type="pct"/>
                  <w:vMerge w:val="continue"/>
                  <w:shd w:val="clear" w:color="auto" w:fill="auto"/>
                  <w:vAlign w:val="center"/>
                </w:tcPr>
                <w:p w14:paraId="1679F940">
                  <w:pPr>
                    <w:pStyle w:val="86"/>
                    <w:rPr>
                      <w:rFonts w:hint="default" w:ascii="Times New Roman" w:hAnsi="Times New Roman" w:cs="Times New Roman"/>
                      <w:color w:val="auto"/>
                      <w:sz w:val="21"/>
                      <w:szCs w:val="21"/>
                      <w:highlight w:val="none"/>
                    </w:rPr>
                  </w:pPr>
                </w:p>
              </w:tc>
              <w:tc>
                <w:tcPr>
                  <w:tcW w:w="743" w:type="pct"/>
                  <w:vMerge w:val="continue"/>
                  <w:shd w:val="clear" w:color="auto" w:fill="auto"/>
                  <w:vAlign w:val="center"/>
                </w:tcPr>
                <w:p w14:paraId="4E339D11">
                  <w:pPr>
                    <w:pStyle w:val="86"/>
                    <w:rPr>
                      <w:rFonts w:hint="default" w:ascii="Times New Roman" w:hAnsi="Times New Roman" w:cs="Times New Roman"/>
                      <w:color w:val="auto"/>
                      <w:sz w:val="21"/>
                      <w:szCs w:val="21"/>
                      <w:highlight w:val="none"/>
                    </w:rPr>
                  </w:pPr>
                </w:p>
              </w:tc>
              <w:tc>
                <w:tcPr>
                  <w:tcW w:w="2786" w:type="pct"/>
                  <w:shd w:val="clear" w:color="auto" w:fill="auto"/>
                  <w:vAlign w:val="center"/>
                </w:tcPr>
                <w:p w14:paraId="4F165BED">
                  <w:pPr>
                    <w:jc w:val="left"/>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简单防渗区：厂区道路全部硬化处理。</w:t>
                  </w:r>
                </w:p>
              </w:tc>
              <w:tc>
                <w:tcPr>
                  <w:tcW w:w="544" w:type="pct"/>
                  <w:vMerge w:val="continue"/>
                  <w:shd w:val="clear" w:color="auto" w:fill="auto"/>
                  <w:vAlign w:val="center"/>
                </w:tcPr>
                <w:p w14:paraId="6D0E01D7">
                  <w:pPr>
                    <w:jc w:val="center"/>
                    <w:rPr>
                      <w:rFonts w:hint="eastAsia" w:cs="Times New Roman"/>
                      <w:b w:val="0"/>
                      <w:bCs w:val="0"/>
                      <w:color w:val="auto"/>
                      <w:kern w:val="0"/>
                      <w:sz w:val="21"/>
                      <w:szCs w:val="21"/>
                      <w:highlight w:val="none"/>
                      <w:lang w:val="en-US" w:eastAsia="zh-CN"/>
                    </w:rPr>
                  </w:pPr>
                </w:p>
              </w:tc>
            </w:tr>
            <w:tr w14:paraId="5CAB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5" w:type="pct"/>
                  <w:vMerge w:val="continue"/>
                  <w:shd w:val="clear" w:color="auto" w:fill="auto"/>
                  <w:vAlign w:val="center"/>
                </w:tcPr>
                <w:p w14:paraId="3D448B23">
                  <w:pPr>
                    <w:pStyle w:val="86"/>
                    <w:rPr>
                      <w:rFonts w:hint="default" w:ascii="Times New Roman" w:hAnsi="Times New Roman" w:cs="Times New Roman"/>
                      <w:color w:val="auto"/>
                      <w:sz w:val="21"/>
                      <w:szCs w:val="21"/>
                      <w:highlight w:val="none"/>
                    </w:rPr>
                  </w:pPr>
                </w:p>
              </w:tc>
              <w:tc>
                <w:tcPr>
                  <w:tcW w:w="1193" w:type="pct"/>
                  <w:gridSpan w:val="2"/>
                  <w:vMerge w:val="restart"/>
                  <w:shd w:val="clear" w:color="auto" w:fill="auto"/>
                  <w:vAlign w:val="center"/>
                </w:tcPr>
                <w:p w14:paraId="08EC6455">
                  <w:pPr>
                    <w:pStyle w:val="8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绿化</w:t>
                  </w:r>
                </w:p>
              </w:tc>
              <w:tc>
                <w:tcPr>
                  <w:tcW w:w="2786" w:type="pct"/>
                  <w:shd w:val="clear" w:color="auto" w:fill="auto"/>
                  <w:vAlign w:val="center"/>
                </w:tcPr>
                <w:p w14:paraId="4768FCB6">
                  <w:pPr>
                    <w:pStyle w:val="86"/>
                    <w:jc w:val="both"/>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渗滤液全量化处理站内</w:t>
                  </w:r>
                  <w:r>
                    <w:rPr>
                      <w:rFonts w:hint="eastAsia" w:cs="Times New Roman"/>
                      <w:color w:val="auto"/>
                      <w:sz w:val="21"/>
                      <w:szCs w:val="21"/>
                      <w:highlight w:val="none"/>
                      <w:lang w:eastAsia="zh-CN"/>
                    </w:rPr>
                    <w:t>绿化面积</w:t>
                  </w:r>
                  <w:r>
                    <w:rPr>
                      <w:rFonts w:hint="eastAsia" w:cs="Times New Roman"/>
                      <w:color w:val="auto"/>
                      <w:sz w:val="21"/>
                      <w:szCs w:val="21"/>
                      <w:highlight w:val="none"/>
                      <w:lang w:val="en-US" w:eastAsia="zh-CN"/>
                    </w:rPr>
                    <w:t>2448.69m</w:t>
                  </w:r>
                  <w:r>
                    <w:rPr>
                      <w:rFonts w:hint="eastAsia" w:cs="Times New Roman"/>
                      <w:color w:val="auto"/>
                      <w:sz w:val="21"/>
                      <w:szCs w:val="21"/>
                      <w:highlight w:val="none"/>
                      <w:vertAlign w:val="superscript"/>
                      <w:lang w:val="en-US" w:eastAsia="zh-CN"/>
                    </w:rPr>
                    <w:t>2</w:t>
                  </w:r>
                </w:p>
              </w:tc>
              <w:tc>
                <w:tcPr>
                  <w:tcW w:w="544" w:type="pct"/>
                  <w:shd w:val="clear" w:color="auto" w:fill="auto"/>
                  <w:vAlign w:val="center"/>
                </w:tcPr>
                <w:p w14:paraId="7A68443B">
                  <w:pPr>
                    <w:pStyle w:val="86"/>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新建</w:t>
                  </w:r>
                </w:p>
              </w:tc>
            </w:tr>
            <w:tr w14:paraId="2D54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75" w:type="pct"/>
                  <w:vMerge w:val="continue"/>
                  <w:shd w:val="clear" w:color="auto" w:fill="auto"/>
                  <w:vAlign w:val="center"/>
                </w:tcPr>
                <w:p w14:paraId="72C74521">
                  <w:pPr>
                    <w:pStyle w:val="86"/>
                    <w:rPr>
                      <w:rFonts w:hint="default" w:ascii="Times New Roman" w:hAnsi="Times New Roman" w:cs="Times New Roman"/>
                      <w:color w:val="auto"/>
                      <w:sz w:val="21"/>
                      <w:szCs w:val="21"/>
                      <w:highlight w:val="none"/>
                    </w:rPr>
                  </w:pPr>
                </w:p>
              </w:tc>
              <w:tc>
                <w:tcPr>
                  <w:tcW w:w="1193" w:type="pct"/>
                  <w:gridSpan w:val="2"/>
                  <w:vMerge w:val="continue"/>
                  <w:shd w:val="clear" w:color="auto" w:fill="auto"/>
                  <w:vAlign w:val="center"/>
                </w:tcPr>
                <w:p w14:paraId="6B7E0B1F">
                  <w:pPr>
                    <w:pStyle w:val="86"/>
                    <w:rPr>
                      <w:rFonts w:hint="default" w:ascii="Times New Roman" w:hAnsi="Times New Roman" w:cs="Times New Roman"/>
                      <w:color w:val="auto"/>
                      <w:sz w:val="21"/>
                      <w:szCs w:val="21"/>
                      <w:highlight w:val="none"/>
                    </w:rPr>
                  </w:pPr>
                </w:p>
              </w:tc>
              <w:tc>
                <w:tcPr>
                  <w:tcW w:w="2786" w:type="pct"/>
                  <w:shd w:val="clear" w:color="auto" w:fill="auto"/>
                  <w:vAlign w:val="center"/>
                </w:tcPr>
                <w:p w14:paraId="449728C0">
                  <w:pPr>
                    <w:pStyle w:val="86"/>
                    <w:jc w:val="both"/>
                    <w:rPr>
                      <w:rFonts w:hint="eastAsia" w:cs="Times New Roman"/>
                      <w:color w:val="auto"/>
                      <w:sz w:val="21"/>
                      <w:szCs w:val="21"/>
                      <w:highlight w:val="none"/>
                      <w:lang w:val="en-US" w:eastAsia="zh-CN"/>
                    </w:rPr>
                  </w:pPr>
                  <w:r>
                    <w:rPr>
                      <w:rFonts w:hint="eastAsia" w:cs="Times New Roman"/>
                      <w:color w:val="auto"/>
                      <w:sz w:val="21"/>
                      <w:szCs w:val="21"/>
                      <w:highlight w:val="none"/>
                      <w:vertAlign w:val="baseline"/>
                      <w:lang w:val="en-US" w:eastAsia="zh-CN"/>
                    </w:rPr>
                    <w:t>一期填埋区封场绿化面积约15580</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2</w:t>
                  </w:r>
                </w:p>
              </w:tc>
              <w:tc>
                <w:tcPr>
                  <w:tcW w:w="544" w:type="pct"/>
                  <w:shd w:val="clear" w:color="auto" w:fill="auto"/>
                  <w:vAlign w:val="center"/>
                </w:tcPr>
                <w:p w14:paraId="34C713DF">
                  <w:pPr>
                    <w:pStyle w:val="86"/>
                    <w:jc w:val="center"/>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已建</w:t>
                  </w:r>
                </w:p>
              </w:tc>
            </w:tr>
            <w:tr w14:paraId="2FDB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75" w:type="pct"/>
                  <w:vMerge w:val="restart"/>
                  <w:shd w:val="clear" w:color="auto" w:fill="auto"/>
                  <w:vAlign w:val="center"/>
                </w:tcPr>
                <w:p w14:paraId="7451D951">
                  <w:pPr>
                    <w:pStyle w:val="86"/>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依托工程</w:t>
                  </w:r>
                </w:p>
              </w:tc>
              <w:tc>
                <w:tcPr>
                  <w:tcW w:w="1193" w:type="pct"/>
                  <w:gridSpan w:val="2"/>
                  <w:shd w:val="clear" w:color="auto" w:fill="auto"/>
                  <w:vAlign w:val="center"/>
                </w:tcPr>
                <w:p w14:paraId="75526A0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管理用房</w:t>
                  </w:r>
                </w:p>
              </w:tc>
              <w:tc>
                <w:tcPr>
                  <w:tcW w:w="2786" w:type="pct"/>
                  <w:shd w:val="clear" w:color="auto" w:fill="auto"/>
                  <w:vAlign w:val="center"/>
                </w:tcPr>
                <w:p w14:paraId="1E0DCD33">
                  <w:pPr>
                    <w:adjustRightInd w:val="0"/>
                    <w:snapToGrid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1栋，2层，钢混结构，建筑面积184.98m</w:t>
                  </w:r>
                  <w:r>
                    <w:rPr>
                      <w:rFonts w:hint="eastAsia" w:cs="Times New Roman"/>
                      <w:color w:val="auto"/>
                      <w:sz w:val="21"/>
                      <w:szCs w:val="21"/>
                      <w:highlight w:val="none"/>
                      <w:vertAlign w:val="superscript"/>
                      <w:lang w:val="en-US" w:eastAsia="zh-CN"/>
                    </w:rPr>
                    <w:t>2</w:t>
                  </w:r>
                </w:p>
              </w:tc>
              <w:tc>
                <w:tcPr>
                  <w:tcW w:w="544" w:type="pct"/>
                  <w:shd w:val="clear" w:color="auto" w:fill="auto"/>
                  <w:vAlign w:val="center"/>
                </w:tcPr>
                <w:p w14:paraId="4D7A9708">
                  <w:pPr>
                    <w:adjustRightInd w:val="0"/>
                    <w:snapToGrid w:val="0"/>
                    <w:jc w:val="center"/>
                    <w:rPr>
                      <w:rFonts w:hint="eastAsia" w:cs="Times New Roman"/>
                      <w:b w:val="0"/>
                      <w:bCs w:val="0"/>
                      <w:color w:val="auto"/>
                      <w:sz w:val="21"/>
                      <w:szCs w:val="21"/>
                      <w:highlight w:val="none"/>
                      <w:lang w:val="en-US" w:eastAsia="zh-CN"/>
                    </w:rPr>
                  </w:pPr>
                  <w:r>
                    <w:rPr>
                      <w:rFonts w:hint="eastAsia" w:cs="Times New Roman"/>
                      <w:b w:val="0"/>
                      <w:bCs w:val="0"/>
                      <w:color w:val="auto"/>
                      <w:kern w:val="0"/>
                      <w:sz w:val="21"/>
                      <w:szCs w:val="21"/>
                      <w:highlight w:val="none"/>
                      <w:lang w:val="en-US" w:eastAsia="zh-CN"/>
                    </w:rPr>
                    <w:t>依托已建</w:t>
                  </w:r>
                </w:p>
              </w:tc>
            </w:tr>
            <w:tr w14:paraId="7E64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75" w:type="pct"/>
                  <w:vMerge w:val="continue"/>
                  <w:shd w:val="clear" w:color="auto" w:fill="auto"/>
                  <w:vAlign w:val="center"/>
                </w:tcPr>
                <w:p w14:paraId="40ED6265">
                  <w:pPr>
                    <w:pStyle w:val="86"/>
                    <w:rPr>
                      <w:rFonts w:hint="eastAsia" w:cs="Times New Roman"/>
                      <w:color w:val="auto"/>
                      <w:sz w:val="21"/>
                      <w:szCs w:val="21"/>
                      <w:highlight w:val="none"/>
                      <w:lang w:eastAsia="zh-CN"/>
                    </w:rPr>
                  </w:pPr>
                </w:p>
              </w:tc>
              <w:tc>
                <w:tcPr>
                  <w:tcW w:w="1193" w:type="pct"/>
                  <w:gridSpan w:val="2"/>
                  <w:shd w:val="clear" w:color="auto" w:fill="auto"/>
                  <w:vAlign w:val="center"/>
                </w:tcPr>
                <w:p w14:paraId="2D39C986">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化粪池</w:t>
                  </w:r>
                </w:p>
              </w:tc>
              <w:tc>
                <w:tcPr>
                  <w:tcW w:w="2786" w:type="pct"/>
                  <w:shd w:val="clear" w:color="auto" w:fill="auto"/>
                  <w:vAlign w:val="center"/>
                </w:tcPr>
                <w:p w14:paraId="5D7A6735">
                  <w:pPr>
                    <w:adjustRightInd w:val="0"/>
                    <w:snapToGrid w:val="0"/>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1个，容积4m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vertAlign w:val="baseline"/>
                      <w:lang w:val="en-US" w:eastAsia="zh-CN"/>
                    </w:rPr>
                    <w:t>，对员工生活污水进行处理</w:t>
                  </w:r>
                </w:p>
              </w:tc>
              <w:tc>
                <w:tcPr>
                  <w:tcW w:w="544" w:type="pct"/>
                  <w:shd w:val="clear" w:color="auto" w:fill="auto"/>
                  <w:vAlign w:val="center"/>
                </w:tcPr>
                <w:p w14:paraId="1D5760DC">
                  <w:pPr>
                    <w:adjustRightInd w:val="0"/>
                    <w:snapToGrid w:val="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0"/>
                      <w:sz w:val="21"/>
                      <w:szCs w:val="21"/>
                      <w:highlight w:val="none"/>
                      <w:lang w:val="en-US" w:eastAsia="zh-CN"/>
                    </w:rPr>
                    <w:t>依托已建</w:t>
                  </w:r>
                </w:p>
              </w:tc>
            </w:tr>
            <w:tr w14:paraId="46A2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75" w:type="pct"/>
                  <w:vMerge w:val="continue"/>
                  <w:shd w:val="clear" w:color="auto" w:fill="auto"/>
                  <w:vAlign w:val="center"/>
                </w:tcPr>
                <w:p w14:paraId="6AE2A453">
                  <w:pPr>
                    <w:pStyle w:val="86"/>
                    <w:rPr>
                      <w:rFonts w:hint="eastAsia" w:cs="Times New Roman"/>
                      <w:color w:val="auto"/>
                      <w:sz w:val="21"/>
                      <w:szCs w:val="21"/>
                      <w:highlight w:val="none"/>
                      <w:lang w:eastAsia="zh-CN"/>
                    </w:rPr>
                  </w:pPr>
                </w:p>
              </w:tc>
              <w:tc>
                <w:tcPr>
                  <w:tcW w:w="1193" w:type="pct"/>
                  <w:gridSpan w:val="2"/>
                  <w:shd w:val="clear" w:color="auto" w:fill="auto"/>
                  <w:vAlign w:val="center"/>
                </w:tcPr>
                <w:p w14:paraId="3C3BE373">
                  <w:pPr>
                    <w:pStyle w:val="86"/>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渗滤液收集池</w:t>
                  </w:r>
                </w:p>
              </w:tc>
              <w:tc>
                <w:tcPr>
                  <w:tcW w:w="2786" w:type="pct"/>
                  <w:shd w:val="clear" w:color="auto" w:fill="auto"/>
                  <w:vAlign w:val="center"/>
                </w:tcPr>
                <w:p w14:paraId="496CA9BB">
                  <w:pPr>
                    <w:pStyle w:val="86"/>
                    <w:jc w:val="both"/>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1个，容积</w:t>
                  </w:r>
                  <w:r>
                    <w:rPr>
                      <w:rFonts w:hint="eastAsia" w:cs="Times New Roman"/>
                      <w:color w:val="auto"/>
                      <w:kern w:val="0"/>
                      <w:sz w:val="21"/>
                      <w:szCs w:val="21"/>
                      <w:highlight w:val="none"/>
                      <w:lang w:val="en-US" w:eastAsia="zh-CN"/>
                    </w:rPr>
                    <w:t>1000m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vertAlign w:val="baseline"/>
                      <w:lang w:val="en-US" w:eastAsia="zh-CN"/>
                    </w:rPr>
                    <w:t>，对填埋场渗滤液进行收集，现状已采取HDPE膜进行防渗处理</w:t>
                  </w:r>
                </w:p>
              </w:tc>
              <w:tc>
                <w:tcPr>
                  <w:tcW w:w="544" w:type="pct"/>
                  <w:shd w:val="clear" w:color="auto" w:fill="auto"/>
                  <w:vAlign w:val="center"/>
                </w:tcPr>
                <w:p w14:paraId="599A7A16">
                  <w:pPr>
                    <w:pStyle w:val="86"/>
                    <w:jc w:val="center"/>
                    <w:rPr>
                      <w:rFonts w:hint="eastAsia" w:cs="Times New Roman"/>
                      <w:b w:val="0"/>
                      <w:bCs w:val="0"/>
                      <w:color w:val="auto"/>
                      <w:sz w:val="21"/>
                      <w:szCs w:val="21"/>
                      <w:highlight w:val="none"/>
                      <w:lang w:val="en-US" w:eastAsia="zh-CN"/>
                    </w:rPr>
                  </w:pPr>
                  <w:r>
                    <w:rPr>
                      <w:rFonts w:hint="eastAsia" w:cs="Times New Roman"/>
                      <w:b w:val="0"/>
                      <w:bCs w:val="0"/>
                      <w:color w:val="auto"/>
                      <w:kern w:val="0"/>
                      <w:sz w:val="21"/>
                      <w:szCs w:val="21"/>
                      <w:highlight w:val="none"/>
                      <w:lang w:val="en-US" w:eastAsia="zh-CN"/>
                    </w:rPr>
                    <w:t>依托已建</w:t>
                  </w:r>
                </w:p>
              </w:tc>
            </w:tr>
            <w:tr w14:paraId="27EF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75" w:type="pct"/>
                  <w:vMerge w:val="continue"/>
                  <w:shd w:val="clear" w:color="auto" w:fill="auto"/>
                  <w:vAlign w:val="center"/>
                </w:tcPr>
                <w:p w14:paraId="7ABF883B">
                  <w:pPr>
                    <w:pStyle w:val="86"/>
                    <w:rPr>
                      <w:rFonts w:hint="eastAsia" w:cs="Times New Roman"/>
                      <w:color w:val="auto"/>
                      <w:sz w:val="21"/>
                      <w:szCs w:val="21"/>
                      <w:highlight w:val="none"/>
                      <w:lang w:eastAsia="zh-CN"/>
                    </w:rPr>
                  </w:pPr>
                </w:p>
              </w:tc>
              <w:tc>
                <w:tcPr>
                  <w:tcW w:w="1193" w:type="pct"/>
                  <w:gridSpan w:val="2"/>
                  <w:shd w:val="clear" w:color="auto" w:fill="auto"/>
                  <w:vAlign w:val="center"/>
                </w:tcPr>
                <w:p w14:paraId="4252A771">
                  <w:pPr>
                    <w:pStyle w:val="86"/>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调节池</w:t>
                  </w:r>
                </w:p>
              </w:tc>
              <w:tc>
                <w:tcPr>
                  <w:tcW w:w="2786" w:type="pct"/>
                  <w:shd w:val="clear" w:color="auto" w:fill="auto"/>
                  <w:vAlign w:val="center"/>
                </w:tcPr>
                <w:p w14:paraId="494B5044">
                  <w:pPr>
                    <w:pStyle w:val="86"/>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1个，容积</w:t>
                  </w:r>
                  <w:r>
                    <w:rPr>
                      <w:rFonts w:hint="eastAsia" w:cs="Times New Roman"/>
                      <w:color w:val="auto"/>
                      <w:kern w:val="0"/>
                      <w:sz w:val="21"/>
                      <w:szCs w:val="21"/>
                      <w:highlight w:val="none"/>
                      <w:lang w:val="en-US" w:eastAsia="zh-CN"/>
                    </w:rPr>
                    <w:t>1000m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vertAlign w:val="baseline"/>
                      <w:lang w:val="en-US" w:eastAsia="zh-CN"/>
                    </w:rPr>
                    <w:t>，对填埋场渗滤液进行调质、调量收集，现状已采取HDPE膜+混凝土浇筑进行防渗处理</w:t>
                  </w:r>
                </w:p>
              </w:tc>
              <w:tc>
                <w:tcPr>
                  <w:tcW w:w="544" w:type="pct"/>
                  <w:shd w:val="clear" w:color="auto" w:fill="auto"/>
                  <w:vAlign w:val="center"/>
                </w:tcPr>
                <w:p w14:paraId="716E9225">
                  <w:pPr>
                    <w:pStyle w:val="86"/>
                    <w:jc w:val="center"/>
                    <w:rPr>
                      <w:rFonts w:hint="eastAsia" w:ascii="Times New Roman" w:hAnsi="Times New Roman" w:eastAsia="宋体" w:cs="Times New Roman"/>
                      <w:b w:val="0"/>
                      <w:bCs w:val="0"/>
                      <w:snapToGrid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依托已建</w:t>
                  </w:r>
                </w:p>
              </w:tc>
            </w:tr>
            <w:tr w14:paraId="02D5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75" w:type="pct"/>
                  <w:vMerge w:val="continue"/>
                  <w:shd w:val="clear" w:color="auto" w:fill="auto"/>
                  <w:vAlign w:val="center"/>
                </w:tcPr>
                <w:p w14:paraId="27A54D11">
                  <w:pPr>
                    <w:pStyle w:val="86"/>
                    <w:rPr>
                      <w:rFonts w:hint="eastAsia" w:cs="Times New Roman"/>
                      <w:color w:val="auto"/>
                      <w:sz w:val="21"/>
                      <w:szCs w:val="21"/>
                      <w:highlight w:val="none"/>
                      <w:lang w:eastAsia="zh-CN"/>
                    </w:rPr>
                  </w:pPr>
                </w:p>
              </w:tc>
              <w:tc>
                <w:tcPr>
                  <w:tcW w:w="1193" w:type="pct"/>
                  <w:gridSpan w:val="2"/>
                  <w:shd w:val="clear" w:color="auto" w:fill="auto"/>
                  <w:vAlign w:val="center"/>
                </w:tcPr>
                <w:p w14:paraId="5B2BEAA2">
                  <w:pPr>
                    <w:pStyle w:val="86"/>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产水收集池</w:t>
                  </w:r>
                </w:p>
              </w:tc>
              <w:tc>
                <w:tcPr>
                  <w:tcW w:w="2786" w:type="pct"/>
                  <w:shd w:val="clear" w:color="auto" w:fill="auto"/>
                  <w:vAlign w:val="center"/>
                </w:tcPr>
                <w:p w14:paraId="6971123F">
                  <w:pPr>
                    <w:pStyle w:val="86"/>
                    <w:jc w:val="both"/>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1个，容积</w:t>
                  </w:r>
                  <w:r>
                    <w:rPr>
                      <w:rFonts w:hint="eastAsia" w:cs="Times New Roman"/>
                      <w:color w:val="auto"/>
                      <w:kern w:val="0"/>
                      <w:sz w:val="21"/>
                      <w:szCs w:val="21"/>
                      <w:highlight w:val="none"/>
                      <w:lang w:val="en-US" w:eastAsia="zh-CN"/>
                    </w:rPr>
                    <w:t>400m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vertAlign w:val="baseline"/>
                      <w:lang w:val="en-US" w:eastAsia="zh-CN"/>
                    </w:rPr>
                    <w:t>，对渗滤液全量化处理站处理后的达标尾水进行收集、储存，现状已采取HDPE膜进行防渗处理</w:t>
                  </w:r>
                </w:p>
              </w:tc>
              <w:tc>
                <w:tcPr>
                  <w:tcW w:w="544" w:type="pct"/>
                  <w:shd w:val="clear" w:color="auto" w:fill="auto"/>
                  <w:vAlign w:val="center"/>
                </w:tcPr>
                <w:p w14:paraId="51DFB2C4">
                  <w:pPr>
                    <w:pStyle w:val="86"/>
                    <w:jc w:val="center"/>
                    <w:rPr>
                      <w:rFonts w:hint="eastAsia" w:ascii="Times New Roman" w:hAnsi="Times New Roman" w:eastAsia="宋体" w:cs="Times New Roman"/>
                      <w:b w:val="0"/>
                      <w:bCs w:val="0"/>
                      <w:snapToGrid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依托已建</w:t>
                  </w:r>
                </w:p>
              </w:tc>
            </w:tr>
          </w:tbl>
          <w:p w14:paraId="67161DB0">
            <w:pPr>
              <w:adjustRightInd w:val="0"/>
              <w:snapToGrid w:val="0"/>
              <w:spacing w:line="360" w:lineRule="auto"/>
              <w:jc w:val="left"/>
              <w:rPr>
                <w:rFonts w:hint="eastAsia" w:eastAsia="宋体"/>
                <w:b/>
                <w:bCs/>
                <w:color w:val="auto"/>
                <w:sz w:val="24"/>
                <w:highlight w:val="none"/>
                <w:lang w:eastAsia="zh-CN"/>
              </w:rPr>
            </w:pPr>
            <w:r>
              <w:rPr>
                <w:rFonts w:hint="eastAsia"/>
                <w:b/>
                <w:bCs/>
                <w:color w:val="auto"/>
                <w:sz w:val="24"/>
                <w:highlight w:val="none"/>
                <w:lang w:val="en-US" w:eastAsia="zh-CN"/>
              </w:rPr>
              <w:t>四</w:t>
            </w:r>
            <w:r>
              <w:rPr>
                <w:rFonts w:hint="eastAsia"/>
                <w:b/>
                <w:bCs/>
                <w:color w:val="auto"/>
                <w:sz w:val="24"/>
                <w:highlight w:val="none"/>
              </w:rPr>
              <w:t>、</w:t>
            </w:r>
            <w:r>
              <w:rPr>
                <w:rFonts w:hint="eastAsia"/>
                <w:b/>
                <w:bCs/>
                <w:color w:val="auto"/>
                <w:sz w:val="24"/>
                <w:highlight w:val="none"/>
                <w:lang w:eastAsia="zh-CN"/>
              </w:rPr>
              <w:t>处理规模</w:t>
            </w:r>
          </w:p>
          <w:p w14:paraId="34C3D6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auto"/>
                <w:sz w:val="24"/>
                <w:highlight w:val="none"/>
                <w:lang w:val="en-US" w:eastAsia="zh-CN"/>
              </w:rPr>
            </w:pPr>
            <w:r>
              <w:rPr>
                <w:rFonts w:hint="eastAsia"/>
                <w:b w:val="0"/>
                <w:bCs w:val="0"/>
                <w:color w:val="auto"/>
                <w:sz w:val="24"/>
                <w:highlight w:val="none"/>
                <w:lang w:eastAsia="zh-CN"/>
              </w:rPr>
              <w:t>本项目</w:t>
            </w:r>
            <w:r>
              <w:rPr>
                <w:rFonts w:hint="eastAsia"/>
                <w:b w:val="0"/>
                <w:bCs w:val="0"/>
                <w:color w:val="auto"/>
                <w:sz w:val="24"/>
                <w:highlight w:val="none"/>
                <w:lang w:val="en-US" w:eastAsia="zh-CN"/>
              </w:rPr>
              <w:t>全量化处理站</w:t>
            </w:r>
            <w:r>
              <w:rPr>
                <w:rFonts w:hint="eastAsia"/>
                <w:b w:val="0"/>
                <w:bCs w:val="0"/>
                <w:color w:val="auto"/>
                <w:sz w:val="24"/>
                <w:highlight w:val="none"/>
                <w:lang w:eastAsia="zh-CN"/>
              </w:rPr>
              <w:t>处理规模为</w:t>
            </w:r>
            <w:r>
              <w:rPr>
                <w:rFonts w:hint="eastAsia"/>
                <w:b w:val="0"/>
                <w:bCs w:val="0"/>
                <w:color w:val="auto"/>
                <w:sz w:val="24"/>
                <w:highlight w:val="none"/>
                <w:lang w:val="en-US" w:eastAsia="zh-CN"/>
              </w:rPr>
              <w:t>50m</w:t>
            </w:r>
            <w:r>
              <w:rPr>
                <w:rFonts w:hint="eastAsia"/>
                <w:b w:val="0"/>
                <w:bCs w:val="0"/>
                <w:color w:val="auto"/>
                <w:sz w:val="24"/>
                <w:highlight w:val="none"/>
                <w:vertAlign w:val="superscript"/>
                <w:lang w:val="en-US" w:eastAsia="zh-CN"/>
              </w:rPr>
              <w:t>3</w:t>
            </w:r>
            <w:r>
              <w:rPr>
                <w:rFonts w:hint="eastAsia"/>
                <w:b w:val="0"/>
                <w:bCs w:val="0"/>
                <w:color w:val="auto"/>
                <w:sz w:val="24"/>
                <w:highlight w:val="none"/>
                <w:lang w:val="en-US" w:eastAsia="zh-CN"/>
              </w:rPr>
              <w:t>/d。</w:t>
            </w:r>
          </w:p>
          <w:p w14:paraId="533ADA61">
            <w:pPr>
              <w:adjustRightInd w:val="0"/>
              <w:snapToGrid w:val="0"/>
              <w:spacing w:line="360" w:lineRule="auto"/>
              <w:jc w:val="left"/>
              <w:rPr>
                <w:rFonts w:hint="eastAsia" w:eastAsia="宋体"/>
                <w:b/>
                <w:bCs/>
                <w:color w:val="auto"/>
                <w:sz w:val="24"/>
                <w:highlight w:val="none"/>
                <w:lang w:eastAsia="zh-CN"/>
              </w:rPr>
            </w:pPr>
            <w:r>
              <w:rPr>
                <w:rFonts w:hint="eastAsia"/>
                <w:b/>
                <w:bCs/>
                <w:color w:val="auto"/>
                <w:sz w:val="24"/>
                <w:highlight w:val="none"/>
                <w:lang w:val="en-US" w:eastAsia="zh-CN"/>
              </w:rPr>
              <w:t>五</w:t>
            </w:r>
            <w:r>
              <w:rPr>
                <w:rFonts w:hint="eastAsia"/>
                <w:b/>
                <w:bCs/>
                <w:color w:val="auto"/>
                <w:sz w:val="24"/>
                <w:highlight w:val="none"/>
                <w:lang w:eastAsia="zh-CN"/>
              </w:rPr>
              <w:t>、设计进水水质</w:t>
            </w:r>
          </w:p>
          <w:p w14:paraId="6457A7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b w:val="0"/>
                <w:bCs w:val="0"/>
                <w:color w:val="auto"/>
                <w:sz w:val="24"/>
                <w:highlight w:val="none"/>
                <w:lang w:eastAsia="zh-CN"/>
              </w:rPr>
            </w:pPr>
            <w:r>
              <w:rPr>
                <w:rFonts w:hint="eastAsia"/>
                <w:b w:val="0"/>
                <w:bCs w:val="0"/>
                <w:color w:val="auto"/>
                <w:sz w:val="24"/>
                <w:highlight w:val="none"/>
                <w:lang w:val="en-US" w:eastAsia="zh-CN"/>
              </w:rPr>
              <w:t>根据项目可行性研究报告，可研报告根据现状渗滤液取样检测分析结果，确定全量化渗滤液处理站设计进水水质如下表</w:t>
            </w:r>
            <w:r>
              <w:rPr>
                <w:rFonts w:hint="eastAsia"/>
                <w:b w:val="0"/>
                <w:bCs w:val="0"/>
                <w:color w:val="auto"/>
                <w:sz w:val="24"/>
                <w:highlight w:val="none"/>
                <w:lang w:eastAsia="zh-CN"/>
              </w:rPr>
              <w:t>。</w:t>
            </w:r>
          </w:p>
          <w:p w14:paraId="2435B3F9">
            <w:pPr>
              <w:pStyle w:val="37"/>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表</w:t>
            </w:r>
            <w:r>
              <w:rPr>
                <w:rFonts w:hint="default" w:ascii="Times New Roman" w:hAnsi="Times New Roman" w:cs="Times New Roman"/>
                <w:b/>
                <w:bCs/>
                <w:color w:val="auto"/>
                <w:sz w:val="24"/>
                <w:szCs w:val="24"/>
                <w:highlight w:val="none"/>
                <w:lang w:val="en-US" w:eastAsia="zh-CN"/>
              </w:rPr>
              <w:t>2-</w:t>
            </w:r>
            <w:r>
              <w:rPr>
                <w:rFonts w:hint="eastAsia" w:ascii="Times New Roman" w:cs="Times New Roman"/>
                <w:b/>
                <w:bCs/>
                <w:color w:val="auto"/>
                <w:sz w:val="24"/>
                <w:szCs w:val="24"/>
                <w:highlight w:val="none"/>
                <w:lang w:val="en-US" w:eastAsia="zh-CN"/>
              </w:rPr>
              <w:t xml:space="preserve">2 </w:t>
            </w:r>
            <w:r>
              <w:rPr>
                <w:rFonts w:hint="default" w:ascii="Times New Roman" w:hAnsi="Times New Roman" w:cs="Times New Roman"/>
                <w:b/>
                <w:bCs/>
                <w:color w:val="auto"/>
                <w:sz w:val="24"/>
                <w:szCs w:val="24"/>
                <w:highlight w:val="none"/>
                <w:lang w:val="en-US" w:eastAsia="zh-CN"/>
              </w:rPr>
              <w:t xml:space="preserve"> 全量化渗滤液处理站设计进水水质</w:t>
            </w:r>
            <w:r>
              <w:rPr>
                <w:rFonts w:hint="eastAsia" w:ascii="Times New Roman" w:cs="Times New Roman"/>
                <w:b/>
                <w:bCs/>
                <w:color w:val="auto"/>
                <w:sz w:val="24"/>
                <w:szCs w:val="24"/>
                <w:highlight w:val="none"/>
                <w:lang w:val="en-US" w:eastAsia="zh-CN"/>
              </w:rPr>
              <w:t xml:space="preserve">   单位：mg/L</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91"/>
              <w:gridCol w:w="946"/>
              <w:gridCol w:w="765"/>
              <w:gridCol w:w="765"/>
              <w:gridCol w:w="825"/>
              <w:gridCol w:w="1005"/>
              <w:gridCol w:w="795"/>
              <w:gridCol w:w="780"/>
              <w:gridCol w:w="844"/>
            </w:tblGrid>
            <w:tr w14:paraId="095A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0" w:type="dxa"/>
                  <w:vAlign w:val="center"/>
                </w:tcPr>
                <w:p w14:paraId="20ABF114">
                  <w:pPr>
                    <w:jc w:val="center"/>
                    <w:rPr>
                      <w:rFonts w:hint="eastAsia" w:eastAsia="宋体"/>
                      <w:b w:val="0"/>
                      <w:bCs w:val="0"/>
                      <w:color w:val="auto"/>
                      <w:highlight w:val="none"/>
                      <w:vertAlign w:val="baseline"/>
                      <w:lang w:eastAsia="zh-CN"/>
                    </w:rPr>
                  </w:pPr>
                  <w:r>
                    <w:rPr>
                      <w:rFonts w:hint="eastAsia"/>
                      <w:b w:val="0"/>
                      <w:bCs w:val="0"/>
                      <w:color w:val="auto"/>
                      <w:highlight w:val="none"/>
                      <w:vertAlign w:val="baseline"/>
                      <w:lang w:eastAsia="zh-CN"/>
                    </w:rPr>
                    <w:t>项目</w:t>
                  </w:r>
                </w:p>
              </w:tc>
              <w:tc>
                <w:tcPr>
                  <w:tcW w:w="891" w:type="dxa"/>
                  <w:vAlign w:val="center"/>
                </w:tcPr>
                <w:p w14:paraId="02C04F53">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CODcr</w:t>
                  </w:r>
                </w:p>
              </w:tc>
              <w:tc>
                <w:tcPr>
                  <w:tcW w:w="946" w:type="dxa"/>
                  <w:vAlign w:val="center"/>
                </w:tcPr>
                <w:p w14:paraId="0C5B43E9">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总硬度</w:t>
                  </w:r>
                </w:p>
              </w:tc>
              <w:tc>
                <w:tcPr>
                  <w:tcW w:w="765" w:type="dxa"/>
                  <w:vAlign w:val="center"/>
                </w:tcPr>
                <w:p w14:paraId="52BE9E0F">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钙离子</w:t>
                  </w:r>
                </w:p>
              </w:tc>
              <w:tc>
                <w:tcPr>
                  <w:tcW w:w="765" w:type="dxa"/>
                  <w:vAlign w:val="center"/>
                </w:tcPr>
                <w:p w14:paraId="6698791F">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镁离子</w:t>
                  </w:r>
                </w:p>
              </w:tc>
              <w:tc>
                <w:tcPr>
                  <w:tcW w:w="825" w:type="dxa"/>
                  <w:vAlign w:val="center"/>
                </w:tcPr>
                <w:p w14:paraId="6B0F7DB3">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总碱度</w:t>
                  </w:r>
                </w:p>
              </w:tc>
              <w:tc>
                <w:tcPr>
                  <w:tcW w:w="1005" w:type="dxa"/>
                  <w:vAlign w:val="center"/>
                </w:tcPr>
                <w:p w14:paraId="3DB22D9C">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电导率</w:t>
                  </w:r>
                </w:p>
              </w:tc>
              <w:tc>
                <w:tcPr>
                  <w:tcW w:w="795" w:type="dxa"/>
                  <w:vAlign w:val="center"/>
                </w:tcPr>
                <w:p w14:paraId="3E2EF8EF">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氨氮</w:t>
                  </w:r>
                </w:p>
              </w:tc>
              <w:tc>
                <w:tcPr>
                  <w:tcW w:w="780" w:type="dxa"/>
                  <w:vAlign w:val="center"/>
                </w:tcPr>
                <w:p w14:paraId="095CC342">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总氮</w:t>
                  </w:r>
                </w:p>
              </w:tc>
              <w:tc>
                <w:tcPr>
                  <w:tcW w:w="844" w:type="dxa"/>
                  <w:vAlign w:val="center"/>
                </w:tcPr>
                <w:p w14:paraId="26FD38ED">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悬浮物</w:t>
                  </w:r>
                </w:p>
              </w:tc>
            </w:tr>
            <w:tr w14:paraId="406F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60" w:type="dxa"/>
                  <w:vAlign w:val="center"/>
                </w:tcPr>
                <w:p w14:paraId="27165E22">
                  <w:pPr>
                    <w:jc w:val="center"/>
                    <w:rPr>
                      <w:rFonts w:hint="eastAsia" w:eastAsia="宋体"/>
                      <w:b w:val="0"/>
                      <w:bCs w:val="0"/>
                      <w:color w:val="auto"/>
                      <w:highlight w:val="none"/>
                      <w:vertAlign w:val="baseline"/>
                      <w:lang w:eastAsia="zh-CN"/>
                    </w:rPr>
                  </w:pPr>
                  <w:r>
                    <w:rPr>
                      <w:rFonts w:hint="eastAsia"/>
                      <w:b w:val="0"/>
                      <w:bCs w:val="0"/>
                      <w:color w:val="auto"/>
                      <w:highlight w:val="none"/>
                      <w:vertAlign w:val="baseline"/>
                      <w:lang w:eastAsia="zh-CN"/>
                    </w:rPr>
                    <w:t>水质</w:t>
                  </w:r>
                </w:p>
              </w:tc>
              <w:tc>
                <w:tcPr>
                  <w:tcW w:w="891" w:type="dxa"/>
                  <w:vAlign w:val="center"/>
                </w:tcPr>
                <w:p w14:paraId="677F4680">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14000</w:t>
                  </w:r>
                </w:p>
              </w:tc>
              <w:tc>
                <w:tcPr>
                  <w:tcW w:w="946" w:type="dxa"/>
                  <w:vAlign w:val="center"/>
                </w:tcPr>
                <w:p w14:paraId="6F390490">
                  <w:pPr>
                    <w:jc w:val="center"/>
                    <w:rPr>
                      <w:rFonts w:hint="default"/>
                      <w:b w:val="0"/>
                      <w:bCs w:val="0"/>
                      <w:color w:val="auto"/>
                      <w:highlight w:val="none"/>
                      <w:vertAlign w:val="baseline"/>
                      <w:lang w:val="en-US"/>
                    </w:rPr>
                  </w:pPr>
                  <w:r>
                    <w:rPr>
                      <w:rFonts w:hint="eastAsia"/>
                      <w:b w:val="0"/>
                      <w:bCs w:val="0"/>
                      <w:color w:val="auto"/>
                      <w:highlight w:val="none"/>
                      <w:vertAlign w:val="baseline"/>
                      <w:lang w:val="en-US" w:eastAsia="zh-CN"/>
                    </w:rPr>
                    <w:t>3000</w:t>
                  </w:r>
                </w:p>
              </w:tc>
              <w:tc>
                <w:tcPr>
                  <w:tcW w:w="765" w:type="dxa"/>
                  <w:vAlign w:val="center"/>
                </w:tcPr>
                <w:p w14:paraId="65D99849">
                  <w:pPr>
                    <w:jc w:val="center"/>
                    <w:rPr>
                      <w:rFonts w:hint="default"/>
                      <w:b w:val="0"/>
                      <w:bCs w:val="0"/>
                      <w:color w:val="auto"/>
                      <w:highlight w:val="none"/>
                      <w:vertAlign w:val="baseline"/>
                      <w:lang w:val="en-US"/>
                    </w:rPr>
                  </w:pPr>
                  <w:r>
                    <w:rPr>
                      <w:rFonts w:hint="eastAsia"/>
                      <w:b w:val="0"/>
                      <w:bCs w:val="0"/>
                      <w:color w:val="auto"/>
                      <w:highlight w:val="none"/>
                      <w:vertAlign w:val="baseline"/>
                      <w:lang w:val="en-US" w:eastAsia="zh-CN"/>
                    </w:rPr>
                    <w:t>650</w:t>
                  </w:r>
                </w:p>
              </w:tc>
              <w:tc>
                <w:tcPr>
                  <w:tcW w:w="765" w:type="dxa"/>
                  <w:vAlign w:val="center"/>
                </w:tcPr>
                <w:p w14:paraId="390A9BE3">
                  <w:pPr>
                    <w:jc w:val="center"/>
                    <w:rPr>
                      <w:rFonts w:hint="default"/>
                      <w:b w:val="0"/>
                      <w:bCs w:val="0"/>
                      <w:color w:val="auto"/>
                      <w:highlight w:val="none"/>
                      <w:vertAlign w:val="baseline"/>
                      <w:lang w:val="en-US"/>
                    </w:rPr>
                  </w:pPr>
                  <w:r>
                    <w:rPr>
                      <w:rFonts w:hint="eastAsia"/>
                      <w:b w:val="0"/>
                      <w:bCs w:val="0"/>
                      <w:color w:val="auto"/>
                      <w:highlight w:val="none"/>
                      <w:vertAlign w:val="baseline"/>
                      <w:lang w:val="en-US" w:eastAsia="zh-CN"/>
                    </w:rPr>
                    <w:t>330</w:t>
                  </w:r>
                </w:p>
              </w:tc>
              <w:tc>
                <w:tcPr>
                  <w:tcW w:w="825" w:type="dxa"/>
                  <w:vAlign w:val="center"/>
                </w:tcPr>
                <w:p w14:paraId="5E143896">
                  <w:pPr>
                    <w:jc w:val="center"/>
                    <w:rPr>
                      <w:rFonts w:hint="default"/>
                      <w:b w:val="0"/>
                      <w:bCs w:val="0"/>
                      <w:color w:val="auto"/>
                      <w:highlight w:val="none"/>
                      <w:vertAlign w:val="baseline"/>
                      <w:lang w:val="en-US"/>
                    </w:rPr>
                  </w:pPr>
                  <w:r>
                    <w:rPr>
                      <w:rFonts w:hint="eastAsia"/>
                      <w:b w:val="0"/>
                      <w:bCs w:val="0"/>
                      <w:color w:val="auto"/>
                      <w:highlight w:val="none"/>
                      <w:vertAlign w:val="baseline"/>
                      <w:lang w:val="en-US" w:eastAsia="zh-CN"/>
                    </w:rPr>
                    <w:t>8800</w:t>
                  </w:r>
                </w:p>
              </w:tc>
              <w:tc>
                <w:tcPr>
                  <w:tcW w:w="1005" w:type="dxa"/>
                  <w:vAlign w:val="center"/>
                </w:tcPr>
                <w:p w14:paraId="22BB79B9">
                  <w:pPr>
                    <w:jc w:val="center"/>
                    <w:rPr>
                      <w:rFonts w:hint="default"/>
                      <w:b w:val="0"/>
                      <w:bCs w:val="0"/>
                      <w:color w:val="auto"/>
                      <w:highlight w:val="none"/>
                      <w:vertAlign w:val="baseline"/>
                      <w:lang w:val="en-US"/>
                    </w:rPr>
                  </w:pPr>
                  <w:r>
                    <w:rPr>
                      <w:rFonts w:hint="eastAsia"/>
                      <w:b w:val="0"/>
                      <w:bCs w:val="0"/>
                      <w:color w:val="auto"/>
                      <w:highlight w:val="none"/>
                      <w:vertAlign w:val="baseline"/>
                      <w:lang w:val="en-US" w:eastAsia="zh-CN"/>
                    </w:rPr>
                    <w:t>40000</w:t>
                  </w:r>
                </w:p>
              </w:tc>
              <w:tc>
                <w:tcPr>
                  <w:tcW w:w="795" w:type="dxa"/>
                  <w:vAlign w:val="center"/>
                </w:tcPr>
                <w:p w14:paraId="3B9E6424">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4100</w:t>
                  </w:r>
                </w:p>
              </w:tc>
              <w:tc>
                <w:tcPr>
                  <w:tcW w:w="780" w:type="dxa"/>
                  <w:vAlign w:val="center"/>
                </w:tcPr>
                <w:p w14:paraId="7E37C01B">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4400</w:t>
                  </w:r>
                </w:p>
              </w:tc>
              <w:tc>
                <w:tcPr>
                  <w:tcW w:w="844" w:type="dxa"/>
                  <w:vAlign w:val="center"/>
                </w:tcPr>
                <w:p w14:paraId="5B314B92">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200</w:t>
                  </w:r>
                </w:p>
              </w:tc>
            </w:tr>
            <w:tr w14:paraId="77A8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60" w:type="dxa"/>
                  <w:vAlign w:val="center"/>
                </w:tcPr>
                <w:p w14:paraId="2391E024">
                  <w:pPr>
                    <w:jc w:val="center"/>
                    <w:rPr>
                      <w:rFonts w:hint="eastAsia"/>
                      <w:b w:val="0"/>
                      <w:bCs w:val="0"/>
                      <w:color w:val="auto"/>
                      <w:highlight w:val="none"/>
                      <w:vertAlign w:val="baseline"/>
                      <w:lang w:eastAsia="zh-CN"/>
                    </w:rPr>
                  </w:pPr>
                  <w:r>
                    <w:rPr>
                      <w:rFonts w:hint="eastAsia"/>
                      <w:b w:val="0"/>
                      <w:bCs w:val="0"/>
                      <w:color w:val="auto"/>
                      <w:highlight w:val="none"/>
                      <w:vertAlign w:val="baseline"/>
                      <w:lang w:eastAsia="zh-CN"/>
                    </w:rPr>
                    <w:t>项目</w:t>
                  </w:r>
                </w:p>
              </w:tc>
              <w:tc>
                <w:tcPr>
                  <w:tcW w:w="891" w:type="dxa"/>
                  <w:shd w:val="clear" w:color="auto" w:fill="auto"/>
                  <w:vAlign w:val="center"/>
                </w:tcPr>
                <w:p w14:paraId="37E4E385">
                  <w:pPr>
                    <w:jc w:val="center"/>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eastAsia"/>
                      <w:b w:val="0"/>
                      <w:bCs w:val="0"/>
                      <w:color w:val="auto"/>
                      <w:highlight w:val="none"/>
                      <w:vertAlign w:val="baseline"/>
                      <w:lang w:val="en-US" w:eastAsia="zh-CN"/>
                    </w:rPr>
                    <w:t>TDS</w:t>
                  </w:r>
                </w:p>
              </w:tc>
              <w:tc>
                <w:tcPr>
                  <w:tcW w:w="946" w:type="dxa"/>
                  <w:shd w:val="clear" w:color="auto" w:fill="auto"/>
                  <w:vAlign w:val="center"/>
                </w:tcPr>
                <w:p w14:paraId="42106E1A">
                  <w:pPr>
                    <w:jc w:val="center"/>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eastAsia"/>
                      <w:b w:val="0"/>
                      <w:bCs w:val="0"/>
                      <w:color w:val="auto"/>
                      <w:highlight w:val="none"/>
                      <w:vertAlign w:val="baseline"/>
                      <w:lang w:val="en-US" w:eastAsia="zh-CN"/>
                    </w:rPr>
                    <w:t>BOD</w:t>
                  </w:r>
                  <w:r>
                    <w:rPr>
                      <w:rFonts w:hint="eastAsia"/>
                      <w:b w:val="0"/>
                      <w:bCs w:val="0"/>
                      <w:color w:val="auto"/>
                      <w:highlight w:val="none"/>
                      <w:vertAlign w:val="subscript"/>
                      <w:lang w:val="en-US" w:eastAsia="zh-CN"/>
                    </w:rPr>
                    <w:t>5</w:t>
                  </w:r>
                </w:p>
              </w:tc>
              <w:tc>
                <w:tcPr>
                  <w:tcW w:w="765" w:type="dxa"/>
                  <w:shd w:val="clear" w:color="auto" w:fill="auto"/>
                  <w:vAlign w:val="center"/>
                </w:tcPr>
                <w:p w14:paraId="5BD2D2B0">
                  <w:pPr>
                    <w:jc w:val="center"/>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eastAsia"/>
                      <w:b w:val="0"/>
                      <w:bCs w:val="0"/>
                      <w:color w:val="auto"/>
                      <w:highlight w:val="none"/>
                      <w:vertAlign w:val="baseline"/>
                      <w:lang w:val="en-US" w:eastAsia="zh-CN"/>
                    </w:rPr>
                    <w:t>总汞</w:t>
                  </w:r>
                </w:p>
              </w:tc>
              <w:tc>
                <w:tcPr>
                  <w:tcW w:w="765" w:type="dxa"/>
                  <w:shd w:val="clear" w:color="auto" w:fill="auto"/>
                  <w:vAlign w:val="center"/>
                </w:tcPr>
                <w:p w14:paraId="540B727D">
                  <w:pPr>
                    <w:jc w:val="center"/>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eastAsia"/>
                      <w:b w:val="0"/>
                      <w:bCs w:val="0"/>
                      <w:color w:val="auto"/>
                      <w:highlight w:val="none"/>
                      <w:vertAlign w:val="baseline"/>
                      <w:lang w:val="en-US" w:eastAsia="zh-CN"/>
                    </w:rPr>
                    <w:t>总镉</w:t>
                  </w:r>
                </w:p>
              </w:tc>
              <w:tc>
                <w:tcPr>
                  <w:tcW w:w="825" w:type="dxa"/>
                  <w:shd w:val="clear" w:color="auto" w:fill="auto"/>
                  <w:vAlign w:val="center"/>
                </w:tcPr>
                <w:p w14:paraId="56629DCC">
                  <w:pPr>
                    <w:jc w:val="center"/>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eastAsia"/>
                      <w:b w:val="0"/>
                      <w:bCs w:val="0"/>
                      <w:color w:val="auto"/>
                      <w:highlight w:val="none"/>
                      <w:vertAlign w:val="baseline"/>
                      <w:lang w:val="en-US" w:eastAsia="zh-CN"/>
                    </w:rPr>
                    <w:t>总铬</w:t>
                  </w:r>
                </w:p>
              </w:tc>
              <w:tc>
                <w:tcPr>
                  <w:tcW w:w="1005" w:type="dxa"/>
                  <w:shd w:val="clear" w:color="auto" w:fill="auto"/>
                  <w:vAlign w:val="center"/>
                </w:tcPr>
                <w:p w14:paraId="6F84CBB7">
                  <w:pPr>
                    <w:jc w:val="center"/>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eastAsia"/>
                      <w:b w:val="0"/>
                      <w:bCs w:val="0"/>
                      <w:color w:val="auto"/>
                      <w:highlight w:val="none"/>
                      <w:vertAlign w:val="baseline"/>
                      <w:lang w:val="en-US" w:eastAsia="zh-CN"/>
                    </w:rPr>
                    <w:t>六价铬</w:t>
                  </w:r>
                </w:p>
              </w:tc>
              <w:tc>
                <w:tcPr>
                  <w:tcW w:w="795" w:type="dxa"/>
                  <w:shd w:val="clear" w:color="auto" w:fill="auto"/>
                  <w:vAlign w:val="center"/>
                </w:tcPr>
                <w:p w14:paraId="370F0B09">
                  <w:pPr>
                    <w:jc w:val="center"/>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eastAsia"/>
                      <w:b w:val="0"/>
                      <w:bCs w:val="0"/>
                      <w:color w:val="auto"/>
                      <w:highlight w:val="none"/>
                      <w:vertAlign w:val="baseline"/>
                      <w:lang w:val="en-US" w:eastAsia="zh-CN"/>
                    </w:rPr>
                    <w:t>总砷</w:t>
                  </w:r>
                </w:p>
              </w:tc>
              <w:tc>
                <w:tcPr>
                  <w:tcW w:w="780" w:type="dxa"/>
                  <w:shd w:val="clear" w:color="auto" w:fill="auto"/>
                  <w:vAlign w:val="center"/>
                </w:tcPr>
                <w:p w14:paraId="064FA006">
                  <w:pPr>
                    <w:jc w:val="center"/>
                    <w:rPr>
                      <w:rFonts w:hint="eastAsia" w:ascii="Times New Roman" w:hAnsi="Times New Roman" w:eastAsia="宋体" w:cs="Times New Roman"/>
                      <w:b w:val="0"/>
                      <w:bCs w:val="0"/>
                      <w:color w:val="auto"/>
                      <w:kern w:val="2"/>
                      <w:sz w:val="21"/>
                      <w:szCs w:val="24"/>
                      <w:highlight w:val="none"/>
                      <w:vertAlign w:val="baseline"/>
                      <w:lang w:val="en-US" w:eastAsia="zh-CN" w:bidi="ar-SA"/>
                    </w:rPr>
                  </w:pPr>
                  <w:r>
                    <w:rPr>
                      <w:rFonts w:hint="eastAsia"/>
                      <w:b w:val="0"/>
                      <w:bCs w:val="0"/>
                      <w:color w:val="auto"/>
                      <w:highlight w:val="none"/>
                      <w:vertAlign w:val="baseline"/>
                      <w:lang w:val="en-US" w:eastAsia="zh-CN"/>
                    </w:rPr>
                    <w:t>总铅</w:t>
                  </w:r>
                </w:p>
              </w:tc>
              <w:tc>
                <w:tcPr>
                  <w:tcW w:w="844" w:type="dxa"/>
                  <w:vAlign w:val="center"/>
                </w:tcPr>
                <w:p w14:paraId="09E0EAEC">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w:t>
                  </w:r>
                </w:p>
              </w:tc>
            </w:tr>
            <w:tr w14:paraId="60F4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60" w:type="dxa"/>
                  <w:vAlign w:val="center"/>
                </w:tcPr>
                <w:p w14:paraId="4BB368CD">
                  <w:pPr>
                    <w:jc w:val="center"/>
                    <w:rPr>
                      <w:rFonts w:hint="eastAsia"/>
                      <w:b w:val="0"/>
                      <w:bCs w:val="0"/>
                      <w:color w:val="auto"/>
                      <w:highlight w:val="none"/>
                      <w:vertAlign w:val="baseline"/>
                      <w:lang w:eastAsia="zh-CN"/>
                    </w:rPr>
                  </w:pPr>
                  <w:r>
                    <w:rPr>
                      <w:rFonts w:hint="eastAsia"/>
                      <w:b w:val="0"/>
                      <w:bCs w:val="0"/>
                      <w:color w:val="auto"/>
                      <w:highlight w:val="none"/>
                      <w:vertAlign w:val="baseline"/>
                      <w:lang w:eastAsia="zh-CN"/>
                    </w:rPr>
                    <w:t>水质</w:t>
                  </w:r>
                </w:p>
              </w:tc>
              <w:tc>
                <w:tcPr>
                  <w:tcW w:w="891" w:type="dxa"/>
                  <w:shd w:val="clear" w:color="auto" w:fill="auto"/>
                  <w:vAlign w:val="center"/>
                </w:tcPr>
                <w:p w14:paraId="2E97387A">
                  <w:pPr>
                    <w:jc w:val="center"/>
                    <w:rPr>
                      <w:rFonts w:hint="eastAsia" w:ascii="Times New Roman" w:hAnsi="Times New Roman" w:eastAsia="宋体" w:cs="Times New Roman"/>
                      <w:b w:val="0"/>
                      <w:bCs w:val="0"/>
                      <w:color w:val="auto"/>
                      <w:kern w:val="2"/>
                      <w:sz w:val="21"/>
                      <w:szCs w:val="24"/>
                      <w:highlight w:val="none"/>
                      <w:vertAlign w:val="baseline"/>
                      <w:lang w:val="en-US" w:eastAsia="zh-CN" w:bidi="ar-SA"/>
                    </w:rPr>
                  </w:pPr>
                  <w:r>
                    <w:rPr>
                      <w:rFonts w:hint="eastAsia"/>
                      <w:b w:val="0"/>
                      <w:bCs w:val="0"/>
                      <w:color w:val="auto"/>
                      <w:highlight w:val="none"/>
                      <w:vertAlign w:val="baseline"/>
                      <w:lang w:val="en-US" w:eastAsia="zh-CN"/>
                    </w:rPr>
                    <w:t>34000</w:t>
                  </w:r>
                </w:p>
              </w:tc>
              <w:tc>
                <w:tcPr>
                  <w:tcW w:w="946" w:type="dxa"/>
                  <w:vAlign w:val="center"/>
                </w:tcPr>
                <w:p w14:paraId="6B4D6047">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12000</w:t>
                  </w:r>
                </w:p>
              </w:tc>
              <w:tc>
                <w:tcPr>
                  <w:tcW w:w="765" w:type="dxa"/>
                  <w:vAlign w:val="center"/>
                </w:tcPr>
                <w:p w14:paraId="25117904">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0.0052</w:t>
                  </w:r>
                </w:p>
              </w:tc>
              <w:tc>
                <w:tcPr>
                  <w:tcW w:w="765" w:type="dxa"/>
                  <w:vAlign w:val="center"/>
                </w:tcPr>
                <w:p w14:paraId="6A5F46B3">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0.004</w:t>
                  </w:r>
                </w:p>
              </w:tc>
              <w:tc>
                <w:tcPr>
                  <w:tcW w:w="825" w:type="dxa"/>
                  <w:vAlign w:val="center"/>
                </w:tcPr>
                <w:p w14:paraId="480BB62A">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0.44</w:t>
                  </w:r>
                </w:p>
              </w:tc>
              <w:tc>
                <w:tcPr>
                  <w:tcW w:w="1005" w:type="dxa"/>
                  <w:vAlign w:val="center"/>
                </w:tcPr>
                <w:p w14:paraId="54DAE331">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0.004</w:t>
                  </w:r>
                </w:p>
              </w:tc>
              <w:tc>
                <w:tcPr>
                  <w:tcW w:w="795" w:type="dxa"/>
                  <w:vAlign w:val="center"/>
                </w:tcPr>
                <w:p w14:paraId="3D92E7B7">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0.0366</w:t>
                  </w:r>
                </w:p>
              </w:tc>
              <w:tc>
                <w:tcPr>
                  <w:tcW w:w="780" w:type="dxa"/>
                  <w:vAlign w:val="center"/>
                </w:tcPr>
                <w:p w14:paraId="6335B4DD">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0.06</w:t>
                  </w:r>
                </w:p>
              </w:tc>
              <w:tc>
                <w:tcPr>
                  <w:tcW w:w="844" w:type="dxa"/>
                  <w:vAlign w:val="center"/>
                </w:tcPr>
                <w:p w14:paraId="22D5D957">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w:t>
                  </w:r>
                </w:p>
              </w:tc>
            </w:tr>
          </w:tbl>
          <w:p w14:paraId="03B16C93">
            <w:pPr>
              <w:rPr>
                <w:rFonts w:hint="eastAsia"/>
                <w:b w:val="0"/>
                <w:bCs w:val="0"/>
                <w:color w:val="auto"/>
                <w:highlight w:val="none"/>
              </w:rPr>
            </w:pPr>
          </w:p>
          <w:p w14:paraId="02EAE649">
            <w:pPr>
              <w:adjustRightInd w:val="0"/>
              <w:snapToGrid w:val="0"/>
              <w:spacing w:line="360" w:lineRule="auto"/>
              <w:jc w:val="left"/>
              <w:rPr>
                <w:rFonts w:hint="eastAsia"/>
                <w:b/>
                <w:bCs/>
                <w:color w:val="auto"/>
                <w:sz w:val="24"/>
                <w:highlight w:val="none"/>
                <w:lang w:eastAsia="zh-CN"/>
              </w:rPr>
            </w:pPr>
            <w:r>
              <w:rPr>
                <w:rFonts w:hint="eastAsia"/>
                <w:b/>
                <w:bCs/>
                <w:color w:val="auto"/>
                <w:sz w:val="24"/>
                <w:highlight w:val="none"/>
                <w:lang w:val="en-US" w:eastAsia="zh-CN"/>
              </w:rPr>
              <w:t>六</w:t>
            </w:r>
            <w:r>
              <w:rPr>
                <w:rFonts w:hint="eastAsia"/>
                <w:b/>
                <w:bCs/>
                <w:color w:val="auto"/>
                <w:sz w:val="24"/>
                <w:highlight w:val="none"/>
                <w:lang w:eastAsia="zh-CN"/>
              </w:rPr>
              <w:t>、设计出水水质</w:t>
            </w:r>
          </w:p>
          <w:p w14:paraId="325F96AB">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s="Times New Roman" w:eastAsiaTheme="minorEastAsia"/>
                <w:color w:val="auto"/>
                <w:sz w:val="24"/>
                <w:szCs w:val="24"/>
                <w:highlight w:val="none"/>
                <w:lang w:val="en-US" w:eastAsia="zh-CN"/>
              </w:rPr>
            </w:pPr>
            <w:r>
              <w:rPr>
                <w:rFonts w:hint="eastAsia"/>
                <w:b w:val="0"/>
                <w:bCs w:val="0"/>
                <w:color w:val="auto"/>
                <w:sz w:val="24"/>
                <w:highlight w:val="none"/>
                <w:lang w:val="en-US" w:eastAsia="zh-CN"/>
              </w:rPr>
              <w:t>根据</w:t>
            </w:r>
            <w:r>
              <w:rPr>
                <w:rFonts w:hint="eastAsia" w:cs="Times New Roman" w:eastAsiaTheme="minorEastAsia"/>
                <w:color w:val="auto"/>
                <w:sz w:val="24"/>
                <w:szCs w:val="24"/>
                <w:highlight w:val="none"/>
                <w:lang w:val="en-US" w:eastAsia="zh-CN"/>
              </w:rPr>
              <w:t>《玉溪市生态环境局澄江分局关于澄江县农村生活污水处理及人居环境提升工程环境影响报告书的批复》（澄环审</w:t>
            </w:r>
            <w:r>
              <w:rPr>
                <w:color w:val="auto"/>
                <w:highlight w:val="none"/>
                <w:lang w:bidi="ar"/>
              </w:rPr>
              <w:t>〔</w:t>
            </w:r>
            <w:r>
              <w:rPr>
                <w:rFonts w:hint="eastAsia" w:cs="Times New Roman" w:eastAsiaTheme="minorEastAsia"/>
                <w:color w:val="auto"/>
                <w:sz w:val="24"/>
                <w:szCs w:val="24"/>
                <w:highlight w:val="none"/>
                <w:lang w:val="en-US" w:eastAsia="zh-CN"/>
              </w:rPr>
              <w:t>2020</w:t>
            </w:r>
            <w:r>
              <w:rPr>
                <w:color w:val="auto"/>
                <w:highlight w:val="none"/>
                <w:lang w:bidi="ar"/>
              </w:rPr>
              <w:t>〕</w:t>
            </w:r>
            <w:r>
              <w:rPr>
                <w:rFonts w:hint="eastAsia" w:cs="Times New Roman" w:eastAsiaTheme="minorEastAsia"/>
                <w:color w:val="auto"/>
                <w:sz w:val="24"/>
                <w:szCs w:val="24"/>
                <w:highlight w:val="none"/>
                <w:lang w:val="en-US" w:eastAsia="zh-CN"/>
              </w:rPr>
              <w:t>14号），批复内容：生活垃圾填埋场渗滤液经自建渗滤液处理站（处理规模100m</w:t>
            </w:r>
            <w:r>
              <w:rPr>
                <w:rFonts w:hint="eastAsia" w:cs="Times New Roman" w:eastAsiaTheme="minorEastAsia"/>
                <w:color w:val="auto"/>
                <w:sz w:val="24"/>
                <w:szCs w:val="24"/>
                <w:highlight w:val="none"/>
                <w:vertAlign w:val="superscript"/>
                <w:lang w:val="en-US" w:eastAsia="zh-CN"/>
              </w:rPr>
              <w:t>3</w:t>
            </w:r>
            <w:r>
              <w:rPr>
                <w:rFonts w:hint="eastAsia" w:cs="Times New Roman" w:eastAsiaTheme="minorEastAsia"/>
                <w:color w:val="auto"/>
                <w:sz w:val="24"/>
                <w:szCs w:val="24"/>
                <w:highlight w:val="none"/>
                <w:lang w:val="en-US" w:eastAsia="zh-CN"/>
              </w:rPr>
              <w:t>/d）处理达到《生活垃圾填埋场污染控制标准》(GB16889-2008)表2和《城市污水再生利用农田灌溉用水水质》（GB20922-2007）中最严标准限值后，用于周边农田灌溉。</w:t>
            </w:r>
          </w:p>
          <w:p w14:paraId="21F072E9">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auto"/>
                <w:highlight w:val="none"/>
                <w:lang w:val="en-US" w:eastAsia="zh-CN"/>
              </w:rPr>
            </w:pPr>
            <w:r>
              <w:rPr>
                <w:rFonts w:hint="eastAsia" w:cs="Times New Roman" w:eastAsiaTheme="minorEastAsia"/>
                <w:color w:val="auto"/>
                <w:sz w:val="24"/>
                <w:szCs w:val="24"/>
                <w:highlight w:val="none"/>
                <w:lang w:val="en-US" w:eastAsia="zh-CN"/>
              </w:rPr>
              <w:t>由于项目一期垃圾填埋区已封场，填埋区绿化浇灌、管护需用水，同时为了减少对区域地表水环境的影响，根据项目可行性研究报告及初步设计方案，本项目对渗滤液处理站出水水质标准及回用方式变更调整为</w:t>
            </w:r>
            <w:r>
              <w:rPr>
                <w:rFonts w:hint="eastAsia"/>
                <w:b w:val="0"/>
                <w:bCs w:val="0"/>
                <w:color w:val="auto"/>
                <w:sz w:val="24"/>
                <w:highlight w:val="none"/>
                <w:lang w:eastAsia="zh-CN"/>
              </w:rPr>
              <w:t>：</w:t>
            </w:r>
            <w:r>
              <w:rPr>
                <w:rFonts w:hint="eastAsia"/>
                <w:b w:val="0"/>
                <w:bCs w:val="0"/>
                <w:color w:val="auto"/>
                <w:sz w:val="24"/>
                <w:highlight w:val="none"/>
                <w:lang w:val="en-US" w:eastAsia="zh-CN"/>
              </w:rPr>
              <w:t>项目处理站的出水水质</w:t>
            </w:r>
            <w:r>
              <w:rPr>
                <w:rFonts w:hint="eastAsia"/>
                <w:b w:val="0"/>
                <w:bCs w:val="0"/>
                <w:color w:val="auto"/>
                <w:sz w:val="24"/>
                <w:highlight w:val="none"/>
                <w:lang w:eastAsia="zh-CN"/>
              </w:rPr>
              <w:t>不得低于《城镇污水处理厂污染物排放标准》（</w:t>
            </w:r>
            <w:r>
              <w:rPr>
                <w:rFonts w:hint="eastAsia"/>
                <w:b w:val="0"/>
                <w:bCs w:val="0"/>
                <w:color w:val="auto"/>
                <w:sz w:val="24"/>
                <w:highlight w:val="none"/>
                <w:lang w:val="en-US" w:eastAsia="zh-CN"/>
              </w:rPr>
              <w:t>GB18918-2002</w:t>
            </w:r>
            <w:r>
              <w:rPr>
                <w:rFonts w:hint="eastAsia"/>
                <w:b w:val="0"/>
                <w:bCs w:val="0"/>
                <w:color w:val="auto"/>
                <w:sz w:val="24"/>
                <w:highlight w:val="none"/>
                <w:lang w:eastAsia="zh-CN"/>
              </w:rPr>
              <w:t>）中的一级</w:t>
            </w:r>
            <w:r>
              <w:rPr>
                <w:rFonts w:hint="eastAsia"/>
                <w:b w:val="0"/>
                <w:bCs w:val="0"/>
                <w:color w:val="auto"/>
                <w:sz w:val="24"/>
                <w:highlight w:val="none"/>
                <w:lang w:val="en-US" w:eastAsia="zh-CN"/>
              </w:rPr>
              <w:t>A标准及</w:t>
            </w:r>
            <w:r>
              <w:rPr>
                <w:rFonts w:hint="eastAsia" w:eastAsiaTheme="minorEastAsia"/>
                <w:color w:val="auto"/>
                <w:sz w:val="24"/>
                <w:highlight w:val="none"/>
              </w:rPr>
              <w:t>《城市污水再生利用 城市杂用水水质》（GB/T18920-2020）中城市绿化水质标准</w:t>
            </w:r>
            <w:r>
              <w:rPr>
                <w:rFonts w:hint="eastAsia"/>
                <w:b w:val="0"/>
                <w:bCs w:val="0"/>
                <w:color w:val="auto"/>
                <w:sz w:val="24"/>
                <w:highlight w:val="none"/>
                <w:lang w:val="en-US" w:eastAsia="zh-CN"/>
              </w:rPr>
              <w:t>，处理后尾水回用于填埋场绿化浇灌</w:t>
            </w:r>
            <w:r>
              <w:rPr>
                <w:rFonts w:hint="eastAsia"/>
                <w:b w:val="0"/>
                <w:bCs w:val="0"/>
                <w:color w:val="auto"/>
                <w:sz w:val="24"/>
                <w:highlight w:val="none"/>
                <w:lang w:eastAsia="zh-CN"/>
              </w:rPr>
              <w:t>。</w:t>
            </w:r>
            <w:r>
              <w:rPr>
                <w:rFonts w:hint="eastAsia"/>
                <w:b w:val="0"/>
                <w:bCs w:val="0"/>
                <w:color w:val="auto"/>
                <w:sz w:val="24"/>
                <w:highlight w:val="none"/>
                <w:lang w:val="en-US" w:eastAsia="zh-CN"/>
              </w:rPr>
              <w:t>具体出水水质</w:t>
            </w:r>
            <w:r>
              <w:rPr>
                <w:rFonts w:hint="eastAsia"/>
                <w:b w:val="0"/>
                <w:bCs w:val="0"/>
                <w:color w:val="auto"/>
                <w:sz w:val="24"/>
                <w:highlight w:val="none"/>
                <w:lang w:eastAsia="zh-CN"/>
              </w:rPr>
              <w:t>详见下表</w:t>
            </w:r>
            <w:r>
              <w:rPr>
                <w:rFonts w:hint="eastAsia"/>
                <w:b w:val="0"/>
                <w:bCs w:val="0"/>
                <w:color w:val="auto"/>
                <w:sz w:val="24"/>
                <w:highlight w:val="none"/>
                <w:lang w:val="en-US" w:eastAsia="zh-CN"/>
              </w:rPr>
              <w:t>。</w:t>
            </w:r>
          </w:p>
          <w:p w14:paraId="7143ACA6">
            <w:pPr>
              <w:pStyle w:val="37"/>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表</w:t>
            </w:r>
            <w:r>
              <w:rPr>
                <w:rFonts w:hint="default" w:ascii="Times New Roman" w:hAnsi="Times New Roman" w:cs="Times New Roman"/>
                <w:b/>
                <w:bCs/>
                <w:color w:val="auto"/>
                <w:sz w:val="24"/>
                <w:szCs w:val="24"/>
                <w:highlight w:val="none"/>
                <w:lang w:val="en-US" w:eastAsia="zh-CN"/>
              </w:rPr>
              <w:t>2-</w:t>
            </w:r>
            <w:r>
              <w:rPr>
                <w:rFonts w:hint="eastAsia" w:asci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 xml:space="preserve">  全量化渗滤液处理站设计</w:t>
            </w:r>
            <w:r>
              <w:rPr>
                <w:rFonts w:hint="eastAsia" w:ascii="Times New Roman" w:cs="Times New Roman"/>
                <w:b/>
                <w:bCs/>
                <w:color w:val="auto"/>
                <w:sz w:val="24"/>
                <w:szCs w:val="24"/>
                <w:highlight w:val="none"/>
                <w:lang w:val="en-US" w:eastAsia="zh-CN"/>
              </w:rPr>
              <w:t>出水</w:t>
            </w:r>
            <w:r>
              <w:rPr>
                <w:rFonts w:hint="default" w:ascii="Times New Roman" w:hAnsi="Times New Roman" w:cs="Times New Roman"/>
                <w:b/>
                <w:bCs/>
                <w:color w:val="auto"/>
                <w:sz w:val="24"/>
                <w:szCs w:val="24"/>
                <w:highlight w:val="none"/>
                <w:lang w:val="en-US" w:eastAsia="zh-CN"/>
              </w:rPr>
              <w:t>水质</w:t>
            </w:r>
            <w:r>
              <w:rPr>
                <w:rFonts w:hint="eastAsia" w:ascii="Times New Roman" w:cs="Times New Roman"/>
                <w:b/>
                <w:bCs/>
                <w:color w:val="auto"/>
                <w:sz w:val="24"/>
                <w:szCs w:val="24"/>
                <w:highlight w:val="none"/>
                <w:lang w:val="en-US" w:eastAsia="zh-CN"/>
              </w:rPr>
              <w:t xml:space="preserve">   单位：mg/L</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932"/>
              <w:gridCol w:w="931"/>
              <w:gridCol w:w="928"/>
              <w:gridCol w:w="929"/>
              <w:gridCol w:w="932"/>
              <w:gridCol w:w="930"/>
              <w:gridCol w:w="933"/>
              <w:gridCol w:w="933"/>
            </w:tblGrid>
            <w:tr w14:paraId="5B8F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28" w:type="dxa"/>
                  <w:vAlign w:val="center"/>
                </w:tcPr>
                <w:p w14:paraId="5A443314">
                  <w:pPr>
                    <w:jc w:val="center"/>
                    <w:rPr>
                      <w:rFonts w:hint="eastAsia" w:eastAsia="宋体"/>
                      <w:b w:val="0"/>
                      <w:bCs w:val="0"/>
                      <w:color w:val="auto"/>
                      <w:highlight w:val="none"/>
                      <w:vertAlign w:val="baseline"/>
                      <w:lang w:eastAsia="zh-CN"/>
                    </w:rPr>
                  </w:pPr>
                  <w:r>
                    <w:rPr>
                      <w:rFonts w:hint="eastAsia"/>
                      <w:b w:val="0"/>
                      <w:bCs w:val="0"/>
                      <w:color w:val="auto"/>
                      <w:highlight w:val="none"/>
                      <w:vertAlign w:val="baseline"/>
                      <w:lang w:eastAsia="zh-CN"/>
                    </w:rPr>
                    <w:t>项目</w:t>
                  </w:r>
                </w:p>
              </w:tc>
              <w:tc>
                <w:tcPr>
                  <w:tcW w:w="932" w:type="dxa"/>
                  <w:vAlign w:val="center"/>
                </w:tcPr>
                <w:p w14:paraId="09B7BFA1">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CODcr</w:t>
                  </w:r>
                </w:p>
              </w:tc>
              <w:tc>
                <w:tcPr>
                  <w:tcW w:w="931" w:type="dxa"/>
                  <w:vAlign w:val="center"/>
                </w:tcPr>
                <w:p w14:paraId="570ECC2B">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BOD</w:t>
                  </w:r>
                  <w:r>
                    <w:rPr>
                      <w:rFonts w:hint="eastAsia"/>
                      <w:b w:val="0"/>
                      <w:bCs w:val="0"/>
                      <w:color w:val="auto"/>
                      <w:highlight w:val="none"/>
                      <w:vertAlign w:val="subscript"/>
                      <w:lang w:val="en-US" w:eastAsia="zh-CN"/>
                    </w:rPr>
                    <w:t>5</w:t>
                  </w:r>
                </w:p>
              </w:tc>
              <w:tc>
                <w:tcPr>
                  <w:tcW w:w="928" w:type="dxa"/>
                  <w:vAlign w:val="center"/>
                </w:tcPr>
                <w:p w14:paraId="6233A3E6">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SS</w:t>
                  </w:r>
                </w:p>
              </w:tc>
              <w:tc>
                <w:tcPr>
                  <w:tcW w:w="929" w:type="dxa"/>
                  <w:vAlign w:val="center"/>
                </w:tcPr>
                <w:p w14:paraId="1F44E931">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TN</w:t>
                  </w:r>
                </w:p>
              </w:tc>
              <w:tc>
                <w:tcPr>
                  <w:tcW w:w="932" w:type="dxa"/>
                  <w:vAlign w:val="center"/>
                </w:tcPr>
                <w:p w14:paraId="5E1FB86B">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NH</w:t>
                  </w:r>
                  <w:r>
                    <w:rPr>
                      <w:rFonts w:hint="eastAsia"/>
                      <w:b w:val="0"/>
                      <w:bCs w:val="0"/>
                      <w:color w:val="auto"/>
                      <w:highlight w:val="none"/>
                      <w:vertAlign w:val="subscript"/>
                      <w:lang w:val="en-US" w:eastAsia="zh-CN"/>
                    </w:rPr>
                    <w:t>3</w:t>
                  </w:r>
                  <w:r>
                    <w:rPr>
                      <w:rFonts w:hint="eastAsia"/>
                      <w:b w:val="0"/>
                      <w:bCs w:val="0"/>
                      <w:color w:val="auto"/>
                      <w:highlight w:val="none"/>
                      <w:vertAlign w:val="baseline"/>
                      <w:lang w:val="en-US" w:eastAsia="zh-CN"/>
                    </w:rPr>
                    <w:t>-N</w:t>
                  </w:r>
                </w:p>
              </w:tc>
              <w:tc>
                <w:tcPr>
                  <w:tcW w:w="930" w:type="dxa"/>
                  <w:vAlign w:val="center"/>
                </w:tcPr>
                <w:p w14:paraId="637AF61E">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TP</w:t>
                  </w:r>
                </w:p>
              </w:tc>
              <w:tc>
                <w:tcPr>
                  <w:tcW w:w="933" w:type="dxa"/>
                  <w:vAlign w:val="center"/>
                </w:tcPr>
                <w:p w14:paraId="666935FE">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pH</w:t>
                  </w:r>
                </w:p>
              </w:tc>
              <w:tc>
                <w:tcPr>
                  <w:tcW w:w="933" w:type="dxa"/>
                  <w:vAlign w:val="center"/>
                </w:tcPr>
                <w:p w14:paraId="5F75D3E2">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粪大肠菌群数</w:t>
                  </w:r>
                </w:p>
              </w:tc>
            </w:tr>
            <w:tr w14:paraId="2A55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28" w:type="dxa"/>
                  <w:vAlign w:val="center"/>
                </w:tcPr>
                <w:p w14:paraId="3E10BFF6">
                  <w:pPr>
                    <w:jc w:val="center"/>
                    <w:rPr>
                      <w:rFonts w:hint="eastAsia" w:eastAsia="宋体"/>
                      <w:b w:val="0"/>
                      <w:bCs w:val="0"/>
                      <w:color w:val="auto"/>
                      <w:highlight w:val="none"/>
                      <w:vertAlign w:val="baseline"/>
                      <w:lang w:eastAsia="zh-CN"/>
                    </w:rPr>
                  </w:pPr>
                  <w:r>
                    <w:rPr>
                      <w:rFonts w:hint="eastAsia"/>
                      <w:b w:val="0"/>
                      <w:bCs w:val="0"/>
                      <w:color w:val="auto"/>
                      <w:highlight w:val="none"/>
                      <w:vertAlign w:val="baseline"/>
                      <w:lang w:eastAsia="zh-CN"/>
                    </w:rPr>
                    <w:t>出水水质</w:t>
                  </w:r>
                </w:p>
              </w:tc>
              <w:tc>
                <w:tcPr>
                  <w:tcW w:w="932" w:type="dxa"/>
                  <w:vAlign w:val="center"/>
                </w:tcPr>
                <w:p w14:paraId="18FA09F9">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≤50</w:t>
                  </w:r>
                </w:p>
              </w:tc>
              <w:tc>
                <w:tcPr>
                  <w:tcW w:w="931" w:type="dxa"/>
                  <w:vAlign w:val="center"/>
                </w:tcPr>
                <w:p w14:paraId="4C7FF84C">
                  <w:pPr>
                    <w:jc w:val="center"/>
                    <w:rPr>
                      <w:rFonts w:hint="default"/>
                      <w:b w:val="0"/>
                      <w:bCs w:val="0"/>
                      <w:color w:val="auto"/>
                      <w:highlight w:val="none"/>
                      <w:vertAlign w:val="baseline"/>
                      <w:lang w:val="en-US"/>
                    </w:rPr>
                  </w:pPr>
                  <w:r>
                    <w:rPr>
                      <w:rFonts w:hint="eastAsia"/>
                      <w:b w:val="0"/>
                      <w:bCs w:val="0"/>
                      <w:color w:val="auto"/>
                      <w:highlight w:val="none"/>
                      <w:vertAlign w:val="baseline"/>
                      <w:lang w:val="en-US" w:eastAsia="zh-CN"/>
                    </w:rPr>
                    <w:t>≤10</w:t>
                  </w:r>
                </w:p>
              </w:tc>
              <w:tc>
                <w:tcPr>
                  <w:tcW w:w="928" w:type="dxa"/>
                  <w:vAlign w:val="center"/>
                </w:tcPr>
                <w:p w14:paraId="16DB7DA7">
                  <w:pPr>
                    <w:jc w:val="center"/>
                    <w:rPr>
                      <w:rFonts w:hint="default"/>
                      <w:b w:val="0"/>
                      <w:bCs w:val="0"/>
                      <w:color w:val="auto"/>
                      <w:highlight w:val="none"/>
                      <w:vertAlign w:val="baseline"/>
                      <w:lang w:val="en-US"/>
                    </w:rPr>
                  </w:pPr>
                  <w:r>
                    <w:rPr>
                      <w:rFonts w:hint="eastAsia"/>
                      <w:b w:val="0"/>
                      <w:bCs w:val="0"/>
                      <w:color w:val="auto"/>
                      <w:highlight w:val="none"/>
                      <w:vertAlign w:val="baseline"/>
                      <w:lang w:val="en-US" w:eastAsia="zh-CN"/>
                    </w:rPr>
                    <w:t>≤10</w:t>
                  </w:r>
                </w:p>
              </w:tc>
              <w:tc>
                <w:tcPr>
                  <w:tcW w:w="929" w:type="dxa"/>
                  <w:vAlign w:val="center"/>
                </w:tcPr>
                <w:p w14:paraId="0229782D">
                  <w:pPr>
                    <w:jc w:val="center"/>
                    <w:rPr>
                      <w:rFonts w:hint="default"/>
                      <w:b w:val="0"/>
                      <w:bCs w:val="0"/>
                      <w:color w:val="auto"/>
                      <w:highlight w:val="none"/>
                      <w:vertAlign w:val="baseline"/>
                      <w:lang w:val="en-US"/>
                    </w:rPr>
                  </w:pPr>
                  <w:r>
                    <w:rPr>
                      <w:rFonts w:hint="eastAsia"/>
                      <w:b w:val="0"/>
                      <w:bCs w:val="0"/>
                      <w:color w:val="auto"/>
                      <w:highlight w:val="none"/>
                      <w:vertAlign w:val="baseline"/>
                      <w:lang w:val="en-US" w:eastAsia="zh-CN"/>
                    </w:rPr>
                    <w:t>≤15</w:t>
                  </w:r>
                </w:p>
              </w:tc>
              <w:tc>
                <w:tcPr>
                  <w:tcW w:w="932" w:type="dxa"/>
                  <w:vAlign w:val="center"/>
                </w:tcPr>
                <w:p w14:paraId="17AEBE3A">
                  <w:pPr>
                    <w:jc w:val="center"/>
                    <w:rPr>
                      <w:rFonts w:hint="default"/>
                      <w:b w:val="0"/>
                      <w:bCs w:val="0"/>
                      <w:color w:val="auto"/>
                      <w:highlight w:val="none"/>
                      <w:vertAlign w:val="baseline"/>
                      <w:lang w:val="en-US"/>
                    </w:rPr>
                  </w:pPr>
                  <w:r>
                    <w:rPr>
                      <w:rFonts w:hint="eastAsia"/>
                      <w:b w:val="0"/>
                      <w:bCs w:val="0"/>
                      <w:color w:val="auto"/>
                      <w:highlight w:val="none"/>
                      <w:vertAlign w:val="baseline"/>
                      <w:lang w:val="en-US" w:eastAsia="zh-CN"/>
                    </w:rPr>
                    <w:t>≤5</w:t>
                  </w:r>
                </w:p>
              </w:tc>
              <w:tc>
                <w:tcPr>
                  <w:tcW w:w="930" w:type="dxa"/>
                  <w:vAlign w:val="center"/>
                </w:tcPr>
                <w:p w14:paraId="36B1C324">
                  <w:pPr>
                    <w:jc w:val="center"/>
                    <w:rPr>
                      <w:rFonts w:hint="default"/>
                      <w:b w:val="0"/>
                      <w:bCs w:val="0"/>
                      <w:color w:val="auto"/>
                      <w:highlight w:val="none"/>
                      <w:vertAlign w:val="baseline"/>
                      <w:lang w:val="en-US"/>
                    </w:rPr>
                  </w:pPr>
                  <w:r>
                    <w:rPr>
                      <w:rFonts w:hint="eastAsia"/>
                      <w:b w:val="0"/>
                      <w:bCs w:val="0"/>
                      <w:color w:val="auto"/>
                      <w:highlight w:val="none"/>
                      <w:vertAlign w:val="baseline"/>
                      <w:lang w:val="en-US" w:eastAsia="zh-CN"/>
                    </w:rPr>
                    <w:t>≤0.5</w:t>
                  </w:r>
                </w:p>
              </w:tc>
              <w:tc>
                <w:tcPr>
                  <w:tcW w:w="933" w:type="dxa"/>
                  <w:vAlign w:val="center"/>
                </w:tcPr>
                <w:p w14:paraId="63FDD0A3">
                  <w:pPr>
                    <w:jc w:val="center"/>
                    <w:rPr>
                      <w:rFonts w:hint="default"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6~9</w:t>
                  </w:r>
                </w:p>
              </w:tc>
              <w:tc>
                <w:tcPr>
                  <w:tcW w:w="933" w:type="dxa"/>
                  <w:vAlign w:val="center"/>
                </w:tcPr>
                <w:p w14:paraId="43375352">
                  <w:p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≤10个/L</w:t>
                  </w:r>
                </w:p>
              </w:tc>
            </w:tr>
          </w:tbl>
          <w:p w14:paraId="16B99E1A">
            <w:pPr>
              <w:adjustRightInd w:val="0"/>
              <w:snapToGrid w:val="0"/>
              <w:spacing w:line="360" w:lineRule="auto"/>
              <w:jc w:val="left"/>
              <w:rPr>
                <w:bCs/>
                <w:color w:val="auto"/>
                <w:szCs w:val="21"/>
                <w:highlight w:val="none"/>
              </w:rPr>
            </w:pPr>
            <w:r>
              <w:rPr>
                <w:rFonts w:hint="eastAsia"/>
                <w:b/>
                <w:bCs/>
                <w:color w:val="auto"/>
                <w:sz w:val="24"/>
                <w:highlight w:val="none"/>
                <w:lang w:val="en-US" w:eastAsia="zh-CN"/>
              </w:rPr>
              <w:t>七</w:t>
            </w:r>
            <w:r>
              <w:rPr>
                <w:rFonts w:hint="eastAsia"/>
                <w:b/>
                <w:bCs/>
                <w:color w:val="auto"/>
                <w:sz w:val="24"/>
                <w:highlight w:val="none"/>
                <w:lang w:eastAsia="zh-CN"/>
              </w:rPr>
              <w:t>、</w:t>
            </w:r>
            <w:r>
              <w:rPr>
                <w:rFonts w:hint="eastAsia"/>
                <w:b/>
                <w:bCs/>
                <w:color w:val="auto"/>
                <w:sz w:val="24"/>
                <w:highlight w:val="none"/>
              </w:rPr>
              <w:t>主要原辅材料</w:t>
            </w:r>
            <w:r>
              <w:rPr>
                <w:rFonts w:hint="default" w:ascii="Times New Roman" w:hAnsi="Times New Roman" w:cs="Times New Roman"/>
                <w:b/>
                <w:bCs/>
                <w:color w:val="auto"/>
                <w:sz w:val="24"/>
                <w:szCs w:val="24"/>
                <w:highlight w:val="none"/>
                <w:lang w:val="en-US" w:eastAsia="zh-CN"/>
              </w:rPr>
              <w:t>及能源消耗情况</w:t>
            </w:r>
          </w:p>
          <w:p w14:paraId="6B53DC9B">
            <w:pPr>
              <w:adjustRightInd w:val="0"/>
              <w:snapToGrid w:val="0"/>
              <w:spacing w:line="360" w:lineRule="auto"/>
              <w:ind w:firstLine="482" w:firstLineChars="200"/>
              <w:rPr>
                <w:rFonts w:hint="default"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1、原辅材料用量</w:t>
            </w:r>
          </w:p>
          <w:p w14:paraId="2BB7BBFF">
            <w:pPr>
              <w:adjustRightInd w:val="0"/>
              <w:snapToGrid w:val="0"/>
              <w:spacing w:line="360" w:lineRule="auto"/>
              <w:ind w:firstLine="480" w:firstLineChars="200"/>
              <w:rPr>
                <w:rFonts w:hint="eastAsia"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w:t>
            </w:r>
            <w:r>
              <w:rPr>
                <w:rFonts w:hint="eastAsia" w:ascii="Times New Roman" w:hAnsi="Times New Roman" w:cs="Times New Roman"/>
                <w:color w:val="auto"/>
                <w:sz w:val="24"/>
                <w:highlight w:val="none"/>
                <w:lang w:val="en-US" w:eastAsia="zh-CN"/>
              </w:rPr>
              <w:t>主要原辅料及能源消耗情况见下表。</w:t>
            </w:r>
          </w:p>
          <w:p w14:paraId="0C69F903">
            <w:pPr>
              <w:adjustRightInd w:val="0"/>
              <w:snapToGrid w:val="0"/>
              <w:spacing w:line="360" w:lineRule="auto"/>
              <w:jc w:val="center"/>
              <w:rPr>
                <w:color w:val="auto"/>
                <w:highlight w:val="none"/>
                <w:lang w:val="en-US"/>
              </w:rPr>
            </w:pPr>
            <w:r>
              <w:rPr>
                <w:rFonts w:hint="default" w:ascii="Times New Roman" w:hAnsi="Times New Roman" w:eastAsia="宋体" w:cs="Times New Roman"/>
                <w:b/>
                <w:bCs/>
                <w:color w:val="auto"/>
                <w:spacing w:val="0"/>
                <w:kern w:val="24"/>
                <w:sz w:val="24"/>
                <w:szCs w:val="24"/>
                <w:highlight w:val="none"/>
                <w:lang w:val="zh-CN" w:eastAsia="zh-CN" w:bidi="ar-SA"/>
              </w:rPr>
              <w:t>表2-</w:t>
            </w:r>
            <w:r>
              <w:rPr>
                <w:rFonts w:hint="eastAsia" w:cs="Times New Roman"/>
                <w:b/>
                <w:bCs/>
                <w:color w:val="auto"/>
                <w:spacing w:val="0"/>
                <w:kern w:val="24"/>
                <w:sz w:val="24"/>
                <w:szCs w:val="24"/>
                <w:highlight w:val="none"/>
                <w:lang w:val="en-US" w:eastAsia="zh-CN" w:bidi="ar-SA"/>
              </w:rPr>
              <w:t>4</w:t>
            </w:r>
            <w:r>
              <w:rPr>
                <w:rFonts w:hint="eastAsia" w:ascii="Times New Roman" w:hAnsi="Times New Roman" w:eastAsia="宋体" w:cs="Times New Roman"/>
                <w:b/>
                <w:bCs/>
                <w:color w:val="auto"/>
                <w:spacing w:val="0"/>
                <w:kern w:val="24"/>
                <w:sz w:val="24"/>
                <w:szCs w:val="24"/>
                <w:highlight w:val="none"/>
                <w:lang w:val="en-US" w:eastAsia="zh-CN" w:bidi="ar-SA"/>
              </w:rPr>
              <w:t xml:space="preserve"> </w:t>
            </w:r>
            <w:r>
              <w:rPr>
                <w:rFonts w:hint="default" w:ascii="Times New Roman" w:hAnsi="Times New Roman" w:eastAsia="宋体" w:cs="Times New Roman"/>
                <w:b/>
                <w:bCs/>
                <w:color w:val="auto"/>
                <w:spacing w:val="0"/>
                <w:kern w:val="24"/>
                <w:sz w:val="24"/>
                <w:szCs w:val="24"/>
                <w:highlight w:val="none"/>
                <w:lang w:val="zh-CN" w:eastAsia="zh-CN" w:bidi="ar-SA"/>
              </w:rPr>
              <w:t xml:space="preserve"> 项目原辅材料及能源消耗情况一览表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590"/>
              <w:gridCol w:w="1805"/>
              <w:gridCol w:w="720"/>
              <w:gridCol w:w="825"/>
              <w:gridCol w:w="990"/>
              <w:gridCol w:w="915"/>
              <w:gridCol w:w="2533"/>
            </w:tblGrid>
            <w:tr w14:paraId="0ED6F66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50ABD1E2">
                  <w:pPr>
                    <w:pStyle w:val="112"/>
                    <w:snapToGrid/>
                    <w:contextualSpacing/>
                    <w:rPr>
                      <w:b/>
                      <w:bCs/>
                      <w:snapToGrid/>
                      <w:color w:val="auto"/>
                      <w:spacing w:val="0"/>
                      <w:w w:val="100"/>
                      <w:kern w:val="2"/>
                      <w:szCs w:val="21"/>
                      <w:highlight w:val="none"/>
                    </w:rPr>
                  </w:pPr>
                  <w:r>
                    <w:rPr>
                      <w:rFonts w:hint="eastAsia"/>
                      <w:b/>
                      <w:bCs/>
                      <w:snapToGrid/>
                      <w:color w:val="auto"/>
                      <w:spacing w:val="0"/>
                      <w:w w:val="100"/>
                      <w:kern w:val="2"/>
                      <w:szCs w:val="21"/>
                      <w:highlight w:val="none"/>
                    </w:rPr>
                    <w:t>序号</w:t>
                  </w:r>
                </w:p>
              </w:tc>
              <w:tc>
                <w:tcPr>
                  <w:tcW w:w="1805" w:type="dxa"/>
                  <w:tcBorders>
                    <w:tl2br w:val="nil"/>
                    <w:tr2bl w:val="nil"/>
                  </w:tcBorders>
                  <w:vAlign w:val="center"/>
                </w:tcPr>
                <w:p w14:paraId="3990A3B7">
                  <w:pPr>
                    <w:pStyle w:val="112"/>
                    <w:snapToGrid/>
                    <w:contextualSpacing/>
                    <w:rPr>
                      <w:b/>
                      <w:bCs/>
                      <w:snapToGrid/>
                      <w:color w:val="auto"/>
                      <w:spacing w:val="0"/>
                      <w:w w:val="100"/>
                      <w:kern w:val="2"/>
                      <w:szCs w:val="21"/>
                      <w:highlight w:val="none"/>
                    </w:rPr>
                  </w:pPr>
                  <w:r>
                    <w:rPr>
                      <w:rFonts w:hint="eastAsia"/>
                      <w:b/>
                      <w:bCs/>
                      <w:snapToGrid/>
                      <w:color w:val="auto"/>
                      <w:spacing w:val="0"/>
                      <w:w w:val="100"/>
                      <w:kern w:val="2"/>
                      <w:szCs w:val="21"/>
                      <w:highlight w:val="none"/>
                    </w:rPr>
                    <w:t>名称</w:t>
                  </w:r>
                </w:p>
              </w:tc>
              <w:tc>
                <w:tcPr>
                  <w:tcW w:w="720" w:type="dxa"/>
                  <w:tcBorders>
                    <w:tl2br w:val="nil"/>
                    <w:tr2bl w:val="nil"/>
                  </w:tcBorders>
                  <w:vAlign w:val="center"/>
                </w:tcPr>
                <w:p w14:paraId="1AAFFE1A">
                  <w:pPr>
                    <w:pStyle w:val="112"/>
                    <w:snapToGrid/>
                    <w:contextualSpacing/>
                    <w:rPr>
                      <w:b/>
                      <w:bCs/>
                      <w:snapToGrid/>
                      <w:color w:val="auto"/>
                      <w:spacing w:val="0"/>
                      <w:w w:val="100"/>
                      <w:kern w:val="2"/>
                      <w:szCs w:val="21"/>
                      <w:highlight w:val="none"/>
                    </w:rPr>
                  </w:pPr>
                  <w:r>
                    <w:rPr>
                      <w:rFonts w:hint="eastAsia"/>
                      <w:b/>
                      <w:bCs/>
                      <w:snapToGrid/>
                      <w:color w:val="auto"/>
                      <w:spacing w:val="0"/>
                      <w:w w:val="100"/>
                      <w:kern w:val="2"/>
                      <w:szCs w:val="21"/>
                      <w:highlight w:val="none"/>
                    </w:rPr>
                    <w:t>单位</w:t>
                  </w:r>
                </w:p>
              </w:tc>
              <w:tc>
                <w:tcPr>
                  <w:tcW w:w="825" w:type="dxa"/>
                  <w:tcBorders>
                    <w:tl2br w:val="nil"/>
                    <w:tr2bl w:val="nil"/>
                  </w:tcBorders>
                  <w:vAlign w:val="center"/>
                </w:tcPr>
                <w:p w14:paraId="3CCD2446">
                  <w:pPr>
                    <w:pStyle w:val="112"/>
                    <w:snapToGrid/>
                    <w:contextualSpacing/>
                    <w:rPr>
                      <w:b/>
                      <w:bCs/>
                      <w:snapToGrid/>
                      <w:color w:val="auto"/>
                      <w:spacing w:val="0"/>
                      <w:w w:val="100"/>
                      <w:kern w:val="2"/>
                      <w:szCs w:val="21"/>
                      <w:highlight w:val="none"/>
                    </w:rPr>
                  </w:pPr>
                  <w:r>
                    <w:rPr>
                      <w:rFonts w:hint="eastAsia"/>
                      <w:b/>
                      <w:bCs/>
                      <w:snapToGrid/>
                      <w:color w:val="auto"/>
                      <w:spacing w:val="0"/>
                      <w:w w:val="100"/>
                      <w:kern w:val="2"/>
                      <w:szCs w:val="21"/>
                      <w:highlight w:val="none"/>
                    </w:rPr>
                    <w:t>年用量</w:t>
                  </w:r>
                </w:p>
              </w:tc>
              <w:tc>
                <w:tcPr>
                  <w:tcW w:w="990" w:type="dxa"/>
                  <w:tcBorders>
                    <w:tl2br w:val="nil"/>
                    <w:tr2bl w:val="nil"/>
                  </w:tcBorders>
                  <w:vAlign w:val="center"/>
                </w:tcPr>
                <w:p w14:paraId="039AEA7B">
                  <w:pPr>
                    <w:pStyle w:val="112"/>
                    <w:snapToGrid/>
                    <w:contextualSpacing/>
                    <w:rPr>
                      <w:b/>
                      <w:bCs/>
                      <w:snapToGrid/>
                      <w:color w:val="auto"/>
                      <w:spacing w:val="0"/>
                      <w:w w:val="100"/>
                      <w:kern w:val="2"/>
                      <w:szCs w:val="21"/>
                      <w:highlight w:val="none"/>
                    </w:rPr>
                  </w:pPr>
                  <w:r>
                    <w:rPr>
                      <w:rFonts w:hint="eastAsia"/>
                      <w:b/>
                      <w:bCs/>
                      <w:snapToGrid/>
                      <w:color w:val="auto"/>
                      <w:spacing w:val="0"/>
                      <w:w w:val="100"/>
                      <w:kern w:val="2"/>
                      <w:szCs w:val="21"/>
                      <w:highlight w:val="none"/>
                    </w:rPr>
                    <w:t>最大存放量</w:t>
                  </w:r>
                </w:p>
              </w:tc>
              <w:tc>
                <w:tcPr>
                  <w:tcW w:w="915" w:type="dxa"/>
                  <w:tcBorders>
                    <w:tl2br w:val="nil"/>
                    <w:tr2bl w:val="nil"/>
                  </w:tcBorders>
                  <w:vAlign w:val="center"/>
                </w:tcPr>
                <w:p w14:paraId="6A337986">
                  <w:pPr>
                    <w:pStyle w:val="112"/>
                    <w:snapToGrid/>
                    <w:contextualSpacing/>
                    <w:rPr>
                      <w:b/>
                      <w:bCs/>
                      <w:snapToGrid/>
                      <w:color w:val="auto"/>
                      <w:spacing w:val="0"/>
                      <w:w w:val="100"/>
                      <w:kern w:val="2"/>
                      <w:szCs w:val="21"/>
                      <w:highlight w:val="none"/>
                    </w:rPr>
                  </w:pPr>
                  <w:r>
                    <w:rPr>
                      <w:rFonts w:hint="eastAsia"/>
                      <w:b/>
                      <w:bCs/>
                      <w:snapToGrid/>
                      <w:color w:val="auto"/>
                      <w:spacing w:val="0"/>
                      <w:w w:val="100"/>
                      <w:kern w:val="2"/>
                      <w:szCs w:val="21"/>
                      <w:highlight w:val="none"/>
                    </w:rPr>
                    <w:t>包装形式</w:t>
                  </w:r>
                </w:p>
              </w:tc>
              <w:tc>
                <w:tcPr>
                  <w:tcW w:w="2533" w:type="dxa"/>
                  <w:tcBorders>
                    <w:tl2br w:val="nil"/>
                    <w:tr2bl w:val="nil"/>
                  </w:tcBorders>
                  <w:vAlign w:val="center"/>
                </w:tcPr>
                <w:p w14:paraId="6391DF93">
                  <w:pPr>
                    <w:pStyle w:val="112"/>
                    <w:snapToGrid/>
                    <w:contextualSpacing/>
                    <w:rPr>
                      <w:b/>
                      <w:bCs/>
                      <w:snapToGrid/>
                      <w:color w:val="auto"/>
                      <w:spacing w:val="0"/>
                      <w:w w:val="100"/>
                      <w:kern w:val="2"/>
                      <w:szCs w:val="21"/>
                      <w:highlight w:val="none"/>
                    </w:rPr>
                  </w:pPr>
                  <w:r>
                    <w:rPr>
                      <w:rFonts w:hint="eastAsia"/>
                      <w:b/>
                      <w:bCs/>
                      <w:snapToGrid/>
                      <w:color w:val="auto"/>
                      <w:spacing w:val="0"/>
                      <w:w w:val="100"/>
                      <w:kern w:val="2"/>
                      <w:szCs w:val="21"/>
                      <w:highlight w:val="none"/>
                    </w:rPr>
                    <w:t>备注</w:t>
                  </w:r>
                </w:p>
              </w:tc>
            </w:tr>
            <w:tr w14:paraId="6E1BB22F">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590" w:type="dxa"/>
                  <w:tcBorders>
                    <w:tl2br w:val="nil"/>
                    <w:tr2bl w:val="nil"/>
                  </w:tcBorders>
                  <w:vAlign w:val="center"/>
                </w:tcPr>
                <w:p w14:paraId="467941F0">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1</w:t>
                  </w:r>
                </w:p>
              </w:tc>
              <w:tc>
                <w:tcPr>
                  <w:tcW w:w="1805" w:type="dxa"/>
                  <w:tcBorders>
                    <w:tl2br w:val="nil"/>
                    <w:tr2bl w:val="nil"/>
                  </w:tcBorders>
                  <w:vAlign w:val="center"/>
                </w:tcPr>
                <w:p w14:paraId="1D10F534">
                  <w:pPr>
                    <w:pStyle w:val="23"/>
                    <w:rPr>
                      <w:rFonts w:hint="default" w:eastAsia="宋体"/>
                      <w:color w:val="auto"/>
                      <w:highlight w:val="none"/>
                      <w:lang w:val="en-US" w:eastAsia="zh-CN"/>
                    </w:rPr>
                  </w:pPr>
                  <w:r>
                    <w:rPr>
                      <w:rFonts w:hint="eastAsia"/>
                      <w:color w:val="auto"/>
                      <w:highlight w:val="none"/>
                      <w:lang w:val="en-US" w:eastAsia="zh-CN"/>
                    </w:rPr>
                    <w:t>98%硫酸</w:t>
                  </w:r>
                </w:p>
              </w:tc>
              <w:tc>
                <w:tcPr>
                  <w:tcW w:w="720" w:type="dxa"/>
                  <w:vMerge w:val="restart"/>
                  <w:tcBorders>
                    <w:tl2br w:val="nil"/>
                    <w:tr2bl w:val="nil"/>
                  </w:tcBorders>
                  <w:vAlign w:val="center"/>
                </w:tcPr>
                <w:p w14:paraId="3E41C181">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t/a</w:t>
                  </w:r>
                </w:p>
              </w:tc>
              <w:tc>
                <w:tcPr>
                  <w:tcW w:w="825" w:type="dxa"/>
                  <w:tcBorders>
                    <w:tl2br w:val="nil"/>
                    <w:tr2bl w:val="nil"/>
                  </w:tcBorders>
                  <w:vAlign w:val="center"/>
                </w:tcPr>
                <w:p w14:paraId="7F52D13C">
                  <w:pPr>
                    <w:pStyle w:val="112"/>
                    <w:snapToGrid/>
                    <w:contextualSpacing/>
                    <w:rPr>
                      <w:rFonts w:hint="default" w:eastAsia="宋体"/>
                      <w:snapToGrid/>
                      <w:color w:val="auto"/>
                      <w:spacing w:val="0"/>
                      <w:w w:val="100"/>
                      <w:kern w:val="2"/>
                      <w:szCs w:val="21"/>
                      <w:highlight w:val="none"/>
                      <w:lang w:val="en-US" w:eastAsia="zh-CN"/>
                    </w:rPr>
                  </w:pPr>
                  <w:r>
                    <w:rPr>
                      <w:rFonts w:hint="eastAsia"/>
                      <w:snapToGrid/>
                      <w:color w:val="auto"/>
                      <w:spacing w:val="0"/>
                      <w:w w:val="100"/>
                      <w:kern w:val="2"/>
                      <w:szCs w:val="21"/>
                      <w:highlight w:val="none"/>
                      <w:lang w:val="en-US" w:eastAsia="zh-CN"/>
                    </w:rPr>
                    <w:t>290</w:t>
                  </w:r>
                </w:p>
              </w:tc>
              <w:tc>
                <w:tcPr>
                  <w:tcW w:w="990" w:type="dxa"/>
                  <w:tcBorders>
                    <w:tl2br w:val="nil"/>
                    <w:tr2bl w:val="nil"/>
                  </w:tcBorders>
                  <w:vAlign w:val="center"/>
                </w:tcPr>
                <w:p w14:paraId="17BA7AEC">
                  <w:pPr>
                    <w:pStyle w:val="112"/>
                    <w:snapToGrid/>
                    <w:contextualSpacing/>
                    <w:rPr>
                      <w:rFonts w:hint="default" w:eastAsia="宋体"/>
                      <w:snapToGrid/>
                      <w:color w:val="auto"/>
                      <w:spacing w:val="0"/>
                      <w:w w:val="100"/>
                      <w:kern w:val="2"/>
                      <w:szCs w:val="21"/>
                      <w:highlight w:val="none"/>
                      <w:lang w:val="en-US" w:eastAsia="zh-CN"/>
                    </w:rPr>
                  </w:pPr>
                  <w:r>
                    <w:rPr>
                      <w:rFonts w:hint="eastAsia"/>
                      <w:snapToGrid/>
                      <w:color w:val="auto"/>
                      <w:spacing w:val="0"/>
                      <w:w w:val="100"/>
                      <w:kern w:val="2"/>
                      <w:szCs w:val="21"/>
                      <w:highlight w:val="none"/>
                      <w:lang w:val="en-US" w:eastAsia="zh-CN"/>
                    </w:rPr>
                    <w:t>7.36</w:t>
                  </w:r>
                </w:p>
              </w:tc>
              <w:tc>
                <w:tcPr>
                  <w:tcW w:w="915" w:type="dxa"/>
                  <w:tcBorders>
                    <w:tl2br w:val="nil"/>
                    <w:tr2bl w:val="nil"/>
                  </w:tcBorders>
                  <w:vAlign w:val="center"/>
                </w:tcPr>
                <w:p w14:paraId="219AC471">
                  <w:pPr>
                    <w:pStyle w:val="112"/>
                    <w:snapToGrid/>
                    <w:contextualSpacing/>
                    <w:rPr>
                      <w:rFonts w:hint="eastAsia" w:eastAsia="宋体"/>
                      <w:snapToGrid/>
                      <w:color w:val="auto"/>
                      <w:spacing w:val="0"/>
                      <w:w w:val="100"/>
                      <w:kern w:val="2"/>
                      <w:szCs w:val="21"/>
                      <w:highlight w:val="none"/>
                      <w:lang w:eastAsia="zh-CN"/>
                    </w:rPr>
                  </w:pPr>
                  <w:r>
                    <w:rPr>
                      <w:rFonts w:hint="eastAsia"/>
                      <w:snapToGrid/>
                      <w:color w:val="auto"/>
                      <w:spacing w:val="0"/>
                      <w:w w:val="100"/>
                      <w:kern w:val="2"/>
                      <w:szCs w:val="21"/>
                      <w:highlight w:val="none"/>
                      <w:lang w:val="en-US" w:eastAsia="zh-CN"/>
                    </w:rPr>
                    <w:t>罐装</w:t>
                  </w:r>
                </w:p>
              </w:tc>
              <w:tc>
                <w:tcPr>
                  <w:tcW w:w="2533" w:type="dxa"/>
                  <w:tcBorders>
                    <w:tl2br w:val="nil"/>
                    <w:tr2bl w:val="nil"/>
                  </w:tcBorders>
                  <w:vAlign w:val="center"/>
                </w:tcPr>
                <w:p w14:paraId="61C7442B">
                  <w:pPr>
                    <w:pStyle w:val="112"/>
                    <w:snapToGrid/>
                    <w:contextualSpacing/>
                    <w:rPr>
                      <w:rFonts w:hint="default" w:eastAsia="宋体"/>
                      <w:snapToGrid/>
                      <w:color w:val="auto"/>
                      <w:spacing w:val="0"/>
                      <w:w w:val="100"/>
                      <w:kern w:val="2"/>
                      <w:szCs w:val="21"/>
                      <w:highlight w:val="none"/>
                      <w:lang w:val="en-US" w:eastAsia="zh-CN"/>
                    </w:rPr>
                  </w:pPr>
                  <w:r>
                    <w:rPr>
                      <w:rFonts w:hint="eastAsia"/>
                      <w:snapToGrid/>
                      <w:color w:val="auto"/>
                      <w:spacing w:val="0"/>
                      <w:w w:val="100"/>
                      <w:kern w:val="2"/>
                      <w:szCs w:val="21"/>
                      <w:highlight w:val="none"/>
                    </w:rPr>
                    <w:t>外购</w:t>
                  </w:r>
                </w:p>
              </w:tc>
            </w:tr>
            <w:tr w14:paraId="6311FD68">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590" w:type="dxa"/>
                  <w:tcBorders>
                    <w:tl2br w:val="nil"/>
                    <w:tr2bl w:val="nil"/>
                  </w:tcBorders>
                  <w:vAlign w:val="center"/>
                </w:tcPr>
                <w:p w14:paraId="1BEE251A">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2</w:t>
                  </w:r>
                </w:p>
              </w:tc>
              <w:tc>
                <w:tcPr>
                  <w:tcW w:w="1805" w:type="dxa"/>
                  <w:tcBorders>
                    <w:tl2br w:val="nil"/>
                    <w:tr2bl w:val="nil"/>
                  </w:tcBorders>
                  <w:vAlign w:val="center"/>
                </w:tcPr>
                <w:p w14:paraId="2D342C1D">
                  <w:pPr>
                    <w:pStyle w:val="23"/>
                    <w:rPr>
                      <w:color w:val="auto"/>
                      <w:highlight w:val="none"/>
                    </w:rPr>
                  </w:pPr>
                  <w:r>
                    <w:rPr>
                      <w:rFonts w:hint="eastAsia"/>
                      <w:color w:val="auto"/>
                      <w:highlight w:val="none"/>
                    </w:rPr>
                    <w:t>消泡剂（聚醚类）</w:t>
                  </w:r>
                </w:p>
              </w:tc>
              <w:tc>
                <w:tcPr>
                  <w:tcW w:w="720" w:type="dxa"/>
                  <w:vMerge w:val="continue"/>
                  <w:tcBorders>
                    <w:tl2br w:val="nil"/>
                    <w:tr2bl w:val="nil"/>
                  </w:tcBorders>
                  <w:vAlign w:val="center"/>
                </w:tcPr>
                <w:p w14:paraId="298BF8F2">
                  <w:pPr>
                    <w:pStyle w:val="112"/>
                    <w:snapToGrid/>
                    <w:contextualSpacing/>
                    <w:rPr>
                      <w:snapToGrid/>
                      <w:color w:val="auto"/>
                      <w:spacing w:val="0"/>
                      <w:w w:val="100"/>
                      <w:kern w:val="2"/>
                      <w:szCs w:val="21"/>
                      <w:highlight w:val="none"/>
                    </w:rPr>
                  </w:pPr>
                </w:p>
              </w:tc>
              <w:tc>
                <w:tcPr>
                  <w:tcW w:w="825" w:type="dxa"/>
                  <w:tcBorders>
                    <w:tl2br w:val="nil"/>
                    <w:tr2bl w:val="nil"/>
                  </w:tcBorders>
                  <w:shd w:val="clear" w:color="auto" w:fill="auto"/>
                  <w:vAlign w:val="center"/>
                </w:tcPr>
                <w:p w14:paraId="1A75F8FD">
                  <w:pPr>
                    <w:pStyle w:val="112"/>
                    <w:snapToGrid/>
                    <w:contextualSpacing/>
                    <w:rPr>
                      <w:rFonts w:hint="default" w:ascii="Times New Roman" w:hAnsi="Times New Roman" w:eastAsia="宋体" w:cs="Times New Roman"/>
                      <w:snapToGrid/>
                      <w:color w:val="auto"/>
                      <w:spacing w:val="0"/>
                      <w:w w:val="100"/>
                      <w:kern w:val="2"/>
                      <w:sz w:val="21"/>
                      <w:szCs w:val="21"/>
                      <w:highlight w:val="none"/>
                      <w:lang w:val="en-US" w:eastAsia="zh-CN" w:bidi="ar-SA"/>
                    </w:rPr>
                  </w:pPr>
                  <w:r>
                    <w:rPr>
                      <w:rFonts w:hint="eastAsia"/>
                      <w:snapToGrid/>
                      <w:color w:val="auto"/>
                      <w:spacing w:val="0"/>
                      <w:w w:val="100"/>
                      <w:kern w:val="2"/>
                      <w:szCs w:val="21"/>
                      <w:highlight w:val="none"/>
                      <w:lang w:val="en-US" w:eastAsia="zh-CN"/>
                    </w:rPr>
                    <w:t>2.1</w:t>
                  </w:r>
                </w:p>
              </w:tc>
              <w:tc>
                <w:tcPr>
                  <w:tcW w:w="990" w:type="dxa"/>
                  <w:tcBorders>
                    <w:tl2br w:val="nil"/>
                    <w:tr2bl w:val="nil"/>
                  </w:tcBorders>
                  <w:shd w:val="clear" w:color="auto" w:fill="auto"/>
                  <w:vAlign w:val="center"/>
                </w:tcPr>
                <w:p w14:paraId="194C6D05">
                  <w:pPr>
                    <w:pStyle w:val="112"/>
                    <w:snapToGrid/>
                    <w:contextualSpacing/>
                    <w:rPr>
                      <w:rFonts w:ascii="Times New Roman" w:hAnsi="Times New Roman" w:eastAsia="宋体" w:cs="Times New Roman"/>
                      <w:snapToGrid/>
                      <w:color w:val="auto"/>
                      <w:spacing w:val="0"/>
                      <w:w w:val="100"/>
                      <w:kern w:val="2"/>
                      <w:sz w:val="21"/>
                      <w:szCs w:val="21"/>
                      <w:highlight w:val="none"/>
                      <w:lang w:val="en-US" w:eastAsia="zh-CN" w:bidi="ar-SA"/>
                    </w:rPr>
                  </w:pPr>
                  <w:r>
                    <w:rPr>
                      <w:rFonts w:hint="eastAsia"/>
                      <w:snapToGrid/>
                      <w:color w:val="auto"/>
                      <w:spacing w:val="0"/>
                      <w:w w:val="100"/>
                      <w:kern w:val="2"/>
                      <w:szCs w:val="21"/>
                      <w:highlight w:val="none"/>
                    </w:rPr>
                    <w:t>0.2</w:t>
                  </w:r>
                </w:p>
              </w:tc>
              <w:tc>
                <w:tcPr>
                  <w:tcW w:w="915" w:type="dxa"/>
                  <w:tcBorders>
                    <w:tl2br w:val="nil"/>
                    <w:tr2bl w:val="nil"/>
                  </w:tcBorders>
                  <w:shd w:val="clear" w:color="auto" w:fill="auto"/>
                  <w:vAlign w:val="center"/>
                </w:tcPr>
                <w:p w14:paraId="3F129A2A">
                  <w:pPr>
                    <w:contextualSpacing/>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袋装</w:t>
                  </w:r>
                </w:p>
              </w:tc>
              <w:tc>
                <w:tcPr>
                  <w:tcW w:w="2533" w:type="dxa"/>
                  <w:tcBorders>
                    <w:tl2br w:val="nil"/>
                    <w:tr2bl w:val="nil"/>
                  </w:tcBorders>
                  <w:shd w:val="clear" w:color="auto" w:fill="auto"/>
                  <w:vAlign w:val="center"/>
                </w:tcPr>
                <w:p w14:paraId="680311FC">
                  <w:pPr>
                    <w:pStyle w:val="112"/>
                    <w:snapToGrid/>
                    <w:contextualSpacing/>
                    <w:rPr>
                      <w:rFonts w:ascii="Times New Roman" w:hAnsi="Times New Roman" w:eastAsia="宋体" w:cs="Times New Roman"/>
                      <w:snapToGrid/>
                      <w:color w:val="auto"/>
                      <w:spacing w:val="0"/>
                      <w:w w:val="100"/>
                      <w:kern w:val="2"/>
                      <w:sz w:val="21"/>
                      <w:szCs w:val="21"/>
                      <w:highlight w:val="none"/>
                      <w:lang w:val="en-US" w:eastAsia="zh-CN" w:bidi="ar-SA"/>
                    </w:rPr>
                  </w:pPr>
                  <w:r>
                    <w:rPr>
                      <w:rFonts w:hint="eastAsia"/>
                      <w:snapToGrid/>
                      <w:color w:val="auto"/>
                      <w:spacing w:val="0"/>
                      <w:w w:val="100"/>
                      <w:kern w:val="2"/>
                      <w:szCs w:val="21"/>
                      <w:highlight w:val="none"/>
                    </w:rPr>
                    <w:t>外购</w:t>
                  </w:r>
                </w:p>
              </w:tc>
            </w:tr>
            <w:tr w14:paraId="337DF728">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590" w:type="dxa"/>
                  <w:tcBorders>
                    <w:tl2br w:val="nil"/>
                    <w:tr2bl w:val="nil"/>
                  </w:tcBorders>
                  <w:vAlign w:val="center"/>
                </w:tcPr>
                <w:p w14:paraId="7C399B65">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3</w:t>
                  </w:r>
                </w:p>
              </w:tc>
              <w:tc>
                <w:tcPr>
                  <w:tcW w:w="1805" w:type="dxa"/>
                  <w:tcBorders>
                    <w:tl2br w:val="nil"/>
                    <w:tr2bl w:val="nil"/>
                  </w:tcBorders>
                  <w:vAlign w:val="center"/>
                </w:tcPr>
                <w:p w14:paraId="2950CB82">
                  <w:pPr>
                    <w:pStyle w:val="23"/>
                    <w:jc w:val="center"/>
                    <w:rPr>
                      <w:rFonts w:hint="eastAsia" w:eastAsia="宋体"/>
                      <w:color w:val="auto"/>
                      <w:highlight w:val="none"/>
                      <w:lang w:eastAsia="zh-CN"/>
                    </w:rPr>
                  </w:pPr>
                  <w:r>
                    <w:rPr>
                      <w:rFonts w:hint="eastAsia"/>
                      <w:snapToGrid/>
                      <w:color w:val="auto"/>
                      <w:spacing w:val="0"/>
                      <w:w w:val="100"/>
                      <w:kern w:val="2"/>
                      <w:szCs w:val="21"/>
                      <w:highlight w:val="none"/>
                    </w:rPr>
                    <w:t>膜阻垢剂</w:t>
                  </w:r>
                </w:p>
              </w:tc>
              <w:tc>
                <w:tcPr>
                  <w:tcW w:w="720" w:type="dxa"/>
                  <w:vMerge w:val="continue"/>
                  <w:tcBorders>
                    <w:tl2br w:val="nil"/>
                    <w:tr2bl w:val="nil"/>
                  </w:tcBorders>
                  <w:vAlign w:val="center"/>
                </w:tcPr>
                <w:p w14:paraId="785D2416">
                  <w:pPr>
                    <w:pStyle w:val="112"/>
                    <w:snapToGrid/>
                    <w:contextualSpacing/>
                    <w:rPr>
                      <w:snapToGrid/>
                      <w:color w:val="auto"/>
                      <w:spacing w:val="0"/>
                      <w:w w:val="100"/>
                      <w:kern w:val="2"/>
                      <w:szCs w:val="21"/>
                      <w:highlight w:val="none"/>
                    </w:rPr>
                  </w:pPr>
                </w:p>
              </w:tc>
              <w:tc>
                <w:tcPr>
                  <w:tcW w:w="825" w:type="dxa"/>
                  <w:tcBorders>
                    <w:tl2br w:val="nil"/>
                    <w:tr2bl w:val="nil"/>
                  </w:tcBorders>
                  <w:vAlign w:val="center"/>
                </w:tcPr>
                <w:p w14:paraId="0655B682">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3.65</w:t>
                  </w:r>
                </w:p>
              </w:tc>
              <w:tc>
                <w:tcPr>
                  <w:tcW w:w="990" w:type="dxa"/>
                  <w:tcBorders>
                    <w:tl2br w:val="nil"/>
                    <w:tr2bl w:val="nil"/>
                  </w:tcBorders>
                  <w:vAlign w:val="center"/>
                </w:tcPr>
                <w:p w14:paraId="036F2849">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0.5</w:t>
                  </w:r>
                </w:p>
              </w:tc>
              <w:tc>
                <w:tcPr>
                  <w:tcW w:w="915" w:type="dxa"/>
                  <w:tcBorders>
                    <w:tl2br w:val="nil"/>
                    <w:tr2bl w:val="nil"/>
                  </w:tcBorders>
                  <w:vAlign w:val="center"/>
                </w:tcPr>
                <w:p w14:paraId="322F8E3C">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袋装</w:t>
                  </w:r>
                </w:p>
              </w:tc>
              <w:tc>
                <w:tcPr>
                  <w:tcW w:w="2533" w:type="dxa"/>
                  <w:tcBorders>
                    <w:tl2br w:val="nil"/>
                    <w:tr2bl w:val="nil"/>
                  </w:tcBorders>
                  <w:vAlign w:val="center"/>
                </w:tcPr>
                <w:p w14:paraId="0903A40D">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外购</w:t>
                  </w:r>
                </w:p>
              </w:tc>
            </w:tr>
            <w:tr w14:paraId="5A38D5A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590" w:type="dxa"/>
                  <w:tcBorders>
                    <w:tl2br w:val="nil"/>
                    <w:tr2bl w:val="nil"/>
                  </w:tcBorders>
                  <w:vAlign w:val="center"/>
                </w:tcPr>
                <w:p w14:paraId="4FA6F54F">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4</w:t>
                  </w:r>
                </w:p>
              </w:tc>
              <w:tc>
                <w:tcPr>
                  <w:tcW w:w="1805" w:type="dxa"/>
                  <w:tcBorders>
                    <w:tl2br w:val="nil"/>
                    <w:tr2bl w:val="nil"/>
                  </w:tcBorders>
                  <w:vAlign w:val="center"/>
                </w:tcPr>
                <w:p w14:paraId="75A4541B">
                  <w:pPr>
                    <w:pStyle w:val="23"/>
                    <w:rPr>
                      <w:rFonts w:hint="eastAsia" w:eastAsia="宋体"/>
                      <w:color w:val="auto"/>
                      <w:highlight w:val="none"/>
                      <w:lang w:eastAsia="zh-CN"/>
                    </w:rPr>
                  </w:pPr>
                  <w:r>
                    <w:rPr>
                      <w:rFonts w:hint="eastAsia"/>
                      <w:color w:val="auto"/>
                      <w:highlight w:val="none"/>
                      <w:lang w:val="en-US" w:eastAsia="zh-CN"/>
                    </w:rPr>
                    <w:t>固化剂</w:t>
                  </w:r>
                </w:p>
              </w:tc>
              <w:tc>
                <w:tcPr>
                  <w:tcW w:w="720" w:type="dxa"/>
                  <w:vMerge w:val="continue"/>
                  <w:tcBorders>
                    <w:tl2br w:val="nil"/>
                    <w:tr2bl w:val="nil"/>
                  </w:tcBorders>
                  <w:vAlign w:val="center"/>
                </w:tcPr>
                <w:p w14:paraId="1A409E8F">
                  <w:pPr>
                    <w:pStyle w:val="112"/>
                    <w:snapToGrid/>
                    <w:contextualSpacing/>
                    <w:rPr>
                      <w:snapToGrid/>
                      <w:color w:val="auto"/>
                      <w:spacing w:val="0"/>
                      <w:w w:val="100"/>
                      <w:kern w:val="2"/>
                      <w:szCs w:val="21"/>
                      <w:highlight w:val="none"/>
                    </w:rPr>
                  </w:pPr>
                </w:p>
              </w:tc>
              <w:tc>
                <w:tcPr>
                  <w:tcW w:w="825" w:type="dxa"/>
                  <w:tcBorders>
                    <w:tl2br w:val="nil"/>
                    <w:tr2bl w:val="nil"/>
                  </w:tcBorders>
                  <w:vAlign w:val="center"/>
                </w:tcPr>
                <w:p w14:paraId="7C945B3A">
                  <w:pPr>
                    <w:pStyle w:val="112"/>
                    <w:snapToGrid/>
                    <w:contextualSpacing/>
                    <w:rPr>
                      <w:rFonts w:hint="default" w:eastAsia="宋体"/>
                      <w:snapToGrid/>
                      <w:color w:val="auto"/>
                      <w:spacing w:val="0"/>
                      <w:w w:val="100"/>
                      <w:kern w:val="2"/>
                      <w:szCs w:val="21"/>
                      <w:highlight w:val="none"/>
                      <w:lang w:val="en-US" w:eastAsia="zh-CN"/>
                    </w:rPr>
                  </w:pPr>
                  <w:r>
                    <w:rPr>
                      <w:rFonts w:hint="eastAsia"/>
                      <w:snapToGrid/>
                      <w:color w:val="auto"/>
                      <w:spacing w:val="0"/>
                      <w:w w:val="100"/>
                      <w:kern w:val="2"/>
                      <w:szCs w:val="21"/>
                      <w:highlight w:val="none"/>
                      <w:lang w:val="en-US" w:eastAsia="zh-CN"/>
                    </w:rPr>
                    <w:t>2737.5</w:t>
                  </w:r>
                </w:p>
              </w:tc>
              <w:tc>
                <w:tcPr>
                  <w:tcW w:w="990" w:type="dxa"/>
                  <w:tcBorders>
                    <w:tl2br w:val="nil"/>
                    <w:tr2bl w:val="nil"/>
                  </w:tcBorders>
                  <w:vAlign w:val="center"/>
                </w:tcPr>
                <w:p w14:paraId="27906280">
                  <w:pPr>
                    <w:pStyle w:val="112"/>
                    <w:snapToGrid/>
                    <w:contextualSpacing/>
                    <w:rPr>
                      <w:rFonts w:hint="default" w:eastAsia="宋体"/>
                      <w:snapToGrid/>
                      <w:color w:val="auto"/>
                      <w:spacing w:val="0"/>
                      <w:w w:val="100"/>
                      <w:kern w:val="2"/>
                      <w:szCs w:val="21"/>
                      <w:highlight w:val="none"/>
                      <w:lang w:val="en-US" w:eastAsia="zh-CN"/>
                    </w:rPr>
                  </w:pPr>
                  <w:r>
                    <w:rPr>
                      <w:rFonts w:hint="eastAsia"/>
                      <w:snapToGrid/>
                      <w:color w:val="auto"/>
                      <w:spacing w:val="0"/>
                      <w:w w:val="100"/>
                      <w:kern w:val="2"/>
                      <w:szCs w:val="21"/>
                      <w:highlight w:val="none"/>
                      <w:lang w:val="en-US" w:eastAsia="zh-CN"/>
                    </w:rPr>
                    <w:t>40</w:t>
                  </w:r>
                </w:p>
              </w:tc>
              <w:tc>
                <w:tcPr>
                  <w:tcW w:w="915" w:type="dxa"/>
                  <w:tcBorders>
                    <w:tl2br w:val="nil"/>
                    <w:tr2bl w:val="nil"/>
                  </w:tcBorders>
                  <w:vAlign w:val="center"/>
                </w:tcPr>
                <w:p w14:paraId="74D77CC4">
                  <w:pPr>
                    <w:contextualSpacing/>
                    <w:jc w:val="center"/>
                    <w:rPr>
                      <w:rFonts w:hint="eastAsia" w:eastAsia="宋体"/>
                      <w:color w:val="auto"/>
                      <w:sz w:val="21"/>
                      <w:szCs w:val="21"/>
                      <w:highlight w:val="none"/>
                      <w:lang w:eastAsia="zh-CN"/>
                    </w:rPr>
                  </w:pPr>
                  <w:r>
                    <w:rPr>
                      <w:rFonts w:hint="eastAsia"/>
                      <w:color w:val="auto"/>
                      <w:sz w:val="21"/>
                      <w:szCs w:val="21"/>
                      <w:highlight w:val="none"/>
                      <w:lang w:val="en-US" w:eastAsia="zh-CN"/>
                    </w:rPr>
                    <w:t>罐装</w:t>
                  </w:r>
                </w:p>
              </w:tc>
              <w:tc>
                <w:tcPr>
                  <w:tcW w:w="2533" w:type="dxa"/>
                  <w:tcBorders>
                    <w:tl2br w:val="nil"/>
                    <w:tr2bl w:val="nil"/>
                  </w:tcBorders>
                  <w:vAlign w:val="center"/>
                </w:tcPr>
                <w:p w14:paraId="72E7D973">
                  <w:pPr>
                    <w:pStyle w:val="112"/>
                    <w:snapToGrid/>
                    <w:contextualSpacing/>
                    <w:jc w:val="left"/>
                    <w:rPr>
                      <w:rFonts w:hint="default" w:eastAsia="宋体"/>
                      <w:snapToGrid/>
                      <w:color w:val="auto"/>
                      <w:spacing w:val="0"/>
                      <w:w w:val="100"/>
                      <w:kern w:val="2"/>
                      <w:szCs w:val="21"/>
                      <w:highlight w:val="none"/>
                      <w:lang w:val="en-US" w:eastAsia="zh-CN"/>
                    </w:rPr>
                  </w:pPr>
                  <w:r>
                    <w:rPr>
                      <w:rFonts w:hint="eastAsia"/>
                      <w:snapToGrid/>
                      <w:color w:val="auto"/>
                      <w:spacing w:val="0"/>
                      <w:w w:val="100"/>
                      <w:kern w:val="2"/>
                      <w:szCs w:val="21"/>
                      <w:highlight w:val="none"/>
                    </w:rPr>
                    <w:t>外购</w:t>
                  </w:r>
                  <w:r>
                    <w:rPr>
                      <w:rFonts w:hint="eastAsia"/>
                      <w:snapToGrid/>
                      <w:color w:val="auto"/>
                      <w:spacing w:val="0"/>
                      <w:w w:val="100"/>
                      <w:kern w:val="2"/>
                      <w:szCs w:val="21"/>
                      <w:highlight w:val="none"/>
                      <w:lang w:eastAsia="zh-CN"/>
                    </w:rPr>
                    <w:t>，</w:t>
                  </w:r>
                  <w:r>
                    <w:rPr>
                      <w:rFonts w:hint="eastAsia"/>
                      <w:snapToGrid/>
                      <w:color w:val="auto"/>
                      <w:spacing w:val="0"/>
                      <w:w w:val="100"/>
                      <w:kern w:val="2"/>
                      <w:szCs w:val="21"/>
                      <w:highlight w:val="none"/>
                      <w:lang w:val="en-US" w:eastAsia="zh-CN"/>
                    </w:rPr>
                    <w:t>蒸发母液固化剂，主要为水泥、粉煤灰</w:t>
                  </w:r>
                </w:p>
              </w:tc>
            </w:tr>
            <w:tr w14:paraId="3E5ABDB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0718BFF2">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5</w:t>
                  </w:r>
                </w:p>
              </w:tc>
              <w:tc>
                <w:tcPr>
                  <w:tcW w:w="1805" w:type="dxa"/>
                  <w:tcBorders>
                    <w:tl2br w:val="nil"/>
                    <w:tr2bl w:val="nil"/>
                  </w:tcBorders>
                  <w:vAlign w:val="center"/>
                </w:tcPr>
                <w:p w14:paraId="6897AB59">
                  <w:pPr>
                    <w:pStyle w:val="23"/>
                    <w:rPr>
                      <w:rFonts w:hint="eastAsia" w:eastAsia="宋体"/>
                      <w:color w:val="auto"/>
                      <w:highlight w:val="none"/>
                      <w:lang w:val="en-US" w:eastAsia="zh-CN"/>
                    </w:rPr>
                  </w:pPr>
                  <w:r>
                    <w:rPr>
                      <w:rFonts w:hint="eastAsia"/>
                      <w:color w:val="auto"/>
                      <w:highlight w:val="none"/>
                      <w:lang w:val="en-US" w:eastAsia="zh-CN"/>
                    </w:rPr>
                    <w:t>氢氧化钠</w:t>
                  </w:r>
                </w:p>
              </w:tc>
              <w:tc>
                <w:tcPr>
                  <w:tcW w:w="720" w:type="dxa"/>
                  <w:vMerge w:val="continue"/>
                  <w:tcBorders>
                    <w:tl2br w:val="nil"/>
                    <w:tr2bl w:val="nil"/>
                  </w:tcBorders>
                  <w:vAlign w:val="center"/>
                </w:tcPr>
                <w:p w14:paraId="009727D3">
                  <w:pPr>
                    <w:pStyle w:val="112"/>
                    <w:snapToGrid/>
                    <w:contextualSpacing/>
                    <w:rPr>
                      <w:snapToGrid/>
                      <w:color w:val="auto"/>
                      <w:spacing w:val="0"/>
                      <w:w w:val="100"/>
                      <w:kern w:val="2"/>
                      <w:szCs w:val="21"/>
                      <w:highlight w:val="none"/>
                    </w:rPr>
                  </w:pPr>
                </w:p>
              </w:tc>
              <w:tc>
                <w:tcPr>
                  <w:tcW w:w="825" w:type="dxa"/>
                  <w:tcBorders>
                    <w:tl2br w:val="nil"/>
                    <w:tr2bl w:val="nil"/>
                  </w:tcBorders>
                  <w:vAlign w:val="center"/>
                </w:tcPr>
                <w:p w14:paraId="67C10C56">
                  <w:pPr>
                    <w:pStyle w:val="112"/>
                    <w:snapToGrid/>
                    <w:contextualSpacing/>
                    <w:rPr>
                      <w:rFonts w:hint="default" w:eastAsia="宋体"/>
                      <w:snapToGrid/>
                      <w:color w:val="auto"/>
                      <w:spacing w:val="0"/>
                      <w:w w:val="100"/>
                      <w:kern w:val="2"/>
                      <w:szCs w:val="21"/>
                      <w:highlight w:val="none"/>
                      <w:lang w:val="en-US" w:eastAsia="zh-CN"/>
                    </w:rPr>
                  </w:pPr>
                  <w:r>
                    <w:rPr>
                      <w:rFonts w:hint="eastAsia"/>
                      <w:snapToGrid/>
                      <w:color w:val="auto"/>
                      <w:spacing w:val="0"/>
                      <w:w w:val="100"/>
                      <w:kern w:val="2"/>
                      <w:szCs w:val="21"/>
                      <w:highlight w:val="none"/>
                      <w:lang w:val="en-US" w:eastAsia="zh-CN"/>
                    </w:rPr>
                    <w:t>18.25</w:t>
                  </w:r>
                </w:p>
              </w:tc>
              <w:tc>
                <w:tcPr>
                  <w:tcW w:w="990" w:type="dxa"/>
                  <w:tcBorders>
                    <w:tl2br w:val="nil"/>
                    <w:tr2bl w:val="nil"/>
                  </w:tcBorders>
                  <w:vAlign w:val="center"/>
                </w:tcPr>
                <w:p w14:paraId="164F62C9">
                  <w:pPr>
                    <w:pStyle w:val="112"/>
                    <w:snapToGrid/>
                    <w:contextualSpacing/>
                    <w:rPr>
                      <w:rFonts w:hint="eastAsia" w:eastAsia="宋体"/>
                      <w:snapToGrid/>
                      <w:color w:val="auto"/>
                      <w:spacing w:val="0"/>
                      <w:w w:val="100"/>
                      <w:kern w:val="2"/>
                      <w:szCs w:val="21"/>
                      <w:highlight w:val="none"/>
                      <w:lang w:eastAsia="zh-CN"/>
                    </w:rPr>
                  </w:pPr>
                  <w:r>
                    <w:rPr>
                      <w:rFonts w:hint="eastAsia"/>
                      <w:snapToGrid/>
                      <w:color w:val="auto"/>
                      <w:spacing w:val="0"/>
                      <w:w w:val="100"/>
                      <w:kern w:val="2"/>
                      <w:szCs w:val="21"/>
                      <w:highlight w:val="none"/>
                      <w:lang w:val="en-US" w:eastAsia="zh-CN"/>
                    </w:rPr>
                    <w:t>2</w:t>
                  </w:r>
                </w:p>
              </w:tc>
              <w:tc>
                <w:tcPr>
                  <w:tcW w:w="915" w:type="dxa"/>
                  <w:tcBorders>
                    <w:tl2br w:val="nil"/>
                    <w:tr2bl w:val="nil"/>
                  </w:tcBorders>
                  <w:vAlign w:val="center"/>
                </w:tcPr>
                <w:p w14:paraId="1D1B855E">
                  <w:pPr>
                    <w:contextualSpacing/>
                    <w:jc w:val="center"/>
                    <w:rPr>
                      <w:rFonts w:hint="eastAsia" w:eastAsia="宋体"/>
                      <w:color w:val="auto"/>
                      <w:sz w:val="21"/>
                      <w:szCs w:val="21"/>
                      <w:highlight w:val="none"/>
                      <w:lang w:eastAsia="zh-CN"/>
                    </w:rPr>
                  </w:pPr>
                  <w:r>
                    <w:rPr>
                      <w:rFonts w:hint="eastAsia"/>
                      <w:color w:val="auto"/>
                      <w:sz w:val="21"/>
                      <w:szCs w:val="21"/>
                      <w:highlight w:val="none"/>
                      <w:lang w:val="en-US" w:eastAsia="zh-CN"/>
                    </w:rPr>
                    <w:t>桶装</w:t>
                  </w:r>
                </w:p>
              </w:tc>
              <w:tc>
                <w:tcPr>
                  <w:tcW w:w="2533" w:type="dxa"/>
                  <w:tcBorders>
                    <w:tl2br w:val="nil"/>
                    <w:tr2bl w:val="nil"/>
                  </w:tcBorders>
                  <w:vAlign w:val="center"/>
                </w:tcPr>
                <w:p w14:paraId="2DBB51E6">
                  <w:pPr>
                    <w:pStyle w:val="112"/>
                    <w:snapToGrid/>
                    <w:contextualSpacing/>
                    <w:jc w:val="left"/>
                    <w:rPr>
                      <w:rFonts w:hint="default" w:eastAsia="宋体"/>
                      <w:snapToGrid/>
                      <w:color w:val="auto"/>
                      <w:spacing w:val="0"/>
                      <w:w w:val="100"/>
                      <w:kern w:val="2"/>
                      <w:szCs w:val="21"/>
                      <w:highlight w:val="none"/>
                      <w:lang w:val="en-US" w:eastAsia="zh-CN"/>
                    </w:rPr>
                  </w:pPr>
                  <w:r>
                    <w:rPr>
                      <w:rFonts w:hint="eastAsia"/>
                      <w:snapToGrid/>
                      <w:color w:val="auto"/>
                      <w:spacing w:val="0"/>
                      <w:w w:val="100"/>
                      <w:kern w:val="2"/>
                      <w:szCs w:val="21"/>
                      <w:highlight w:val="none"/>
                    </w:rPr>
                    <w:t>外购</w:t>
                  </w:r>
                  <w:r>
                    <w:rPr>
                      <w:rFonts w:hint="eastAsia"/>
                      <w:snapToGrid/>
                      <w:color w:val="auto"/>
                      <w:spacing w:val="0"/>
                      <w:w w:val="100"/>
                      <w:kern w:val="2"/>
                      <w:szCs w:val="21"/>
                      <w:highlight w:val="none"/>
                      <w:lang w:eastAsia="zh-CN"/>
                    </w:rPr>
                    <w:t>，</w:t>
                  </w:r>
                  <w:r>
                    <w:rPr>
                      <w:rFonts w:hint="eastAsia"/>
                      <w:snapToGrid/>
                      <w:color w:val="auto"/>
                      <w:spacing w:val="0"/>
                      <w:w w:val="100"/>
                      <w:kern w:val="2"/>
                      <w:szCs w:val="21"/>
                      <w:highlight w:val="none"/>
                      <w:lang w:val="en-US" w:eastAsia="zh-CN"/>
                    </w:rPr>
                    <w:t>化学洗涤设备碱洗剂</w:t>
                  </w:r>
                </w:p>
              </w:tc>
            </w:tr>
            <w:tr w14:paraId="7284A3D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3BBBBDA5">
                  <w:pPr>
                    <w:pStyle w:val="112"/>
                    <w:snapToGrid/>
                    <w:contextualSpacing/>
                    <w:rPr>
                      <w:snapToGrid/>
                      <w:color w:val="auto"/>
                      <w:spacing w:val="0"/>
                      <w:w w:val="100"/>
                      <w:kern w:val="2"/>
                      <w:szCs w:val="21"/>
                      <w:highlight w:val="none"/>
                    </w:rPr>
                  </w:pPr>
                  <w:r>
                    <w:rPr>
                      <w:rFonts w:hint="eastAsia"/>
                      <w:snapToGrid/>
                      <w:color w:val="auto"/>
                      <w:spacing w:val="0"/>
                      <w:w w:val="100"/>
                      <w:kern w:val="2"/>
                      <w:szCs w:val="21"/>
                      <w:highlight w:val="none"/>
                    </w:rPr>
                    <w:t>6</w:t>
                  </w:r>
                </w:p>
              </w:tc>
              <w:tc>
                <w:tcPr>
                  <w:tcW w:w="1805" w:type="dxa"/>
                  <w:tcBorders>
                    <w:tl2br w:val="nil"/>
                    <w:tr2bl w:val="nil"/>
                  </w:tcBorders>
                  <w:shd w:val="clear" w:color="auto" w:fill="auto"/>
                  <w:vAlign w:val="center"/>
                </w:tcPr>
                <w:p w14:paraId="1DA698CB">
                  <w:pPr>
                    <w:pStyle w:val="23"/>
                    <w:ind w:firstLine="0" w:firstLineChars="0"/>
                    <w:rPr>
                      <w:rFonts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制冷剂</w:t>
                  </w:r>
                  <w:r>
                    <w:rPr>
                      <w:rFonts w:hint="default" w:ascii="Times New Roman" w:hAnsi="Times New Roman" w:eastAsia="宋体" w:cs="Times New Roman"/>
                      <w:color w:val="auto"/>
                      <w:kern w:val="2"/>
                      <w:sz w:val="21"/>
                      <w:szCs w:val="24"/>
                      <w:highlight w:val="none"/>
                      <w:lang w:val="en-US" w:eastAsia="zh-CN" w:bidi="ar-SA"/>
                    </w:rPr>
                    <w:t>R134a</w:t>
                  </w:r>
                </w:p>
              </w:tc>
              <w:tc>
                <w:tcPr>
                  <w:tcW w:w="720" w:type="dxa"/>
                  <w:vMerge w:val="continue"/>
                  <w:tcBorders>
                    <w:tl2br w:val="nil"/>
                    <w:tr2bl w:val="nil"/>
                  </w:tcBorders>
                  <w:shd w:val="clear" w:color="auto" w:fill="auto"/>
                  <w:vAlign w:val="center"/>
                </w:tcPr>
                <w:p w14:paraId="09AC877A">
                  <w:pPr>
                    <w:pStyle w:val="112"/>
                    <w:snapToGrid/>
                    <w:contextualSpacing/>
                    <w:rPr>
                      <w:rFonts w:ascii="Times New Roman" w:hAnsi="Times New Roman" w:eastAsia="宋体" w:cs="Times New Roman"/>
                      <w:snapToGrid/>
                      <w:color w:val="auto"/>
                      <w:spacing w:val="0"/>
                      <w:w w:val="100"/>
                      <w:kern w:val="2"/>
                      <w:sz w:val="21"/>
                      <w:szCs w:val="21"/>
                      <w:highlight w:val="none"/>
                      <w:lang w:val="en-US" w:eastAsia="zh-CN" w:bidi="ar-SA"/>
                    </w:rPr>
                  </w:pPr>
                </w:p>
              </w:tc>
              <w:tc>
                <w:tcPr>
                  <w:tcW w:w="825" w:type="dxa"/>
                  <w:tcBorders>
                    <w:tl2br w:val="nil"/>
                    <w:tr2bl w:val="nil"/>
                  </w:tcBorders>
                  <w:shd w:val="clear" w:color="auto" w:fill="auto"/>
                  <w:vAlign w:val="center"/>
                </w:tcPr>
                <w:p w14:paraId="5230EECD">
                  <w:pPr>
                    <w:pStyle w:val="112"/>
                    <w:snapToGrid/>
                    <w:contextualSpacing/>
                    <w:rPr>
                      <w:rFonts w:hint="default" w:ascii="Times New Roman" w:hAnsi="Times New Roman" w:eastAsia="宋体" w:cs="Times New Roman"/>
                      <w:snapToGrid/>
                      <w:color w:val="auto"/>
                      <w:spacing w:val="0"/>
                      <w:w w:val="100"/>
                      <w:kern w:val="2"/>
                      <w:sz w:val="21"/>
                      <w:szCs w:val="21"/>
                      <w:highlight w:val="none"/>
                      <w:lang w:val="en-US" w:eastAsia="zh-CN" w:bidi="ar-SA"/>
                    </w:rPr>
                  </w:pPr>
                  <w:r>
                    <w:rPr>
                      <w:rFonts w:hint="eastAsia"/>
                      <w:snapToGrid/>
                      <w:color w:val="auto"/>
                      <w:spacing w:val="0"/>
                      <w:w w:val="100"/>
                      <w:kern w:val="2"/>
                      <w:szCs w:val="21"/>
                      <w:highlight w:val="none"/>
                      <w:lang w:val="en-US" w:eastAsia="zh-CN"/>
                    </w:rPr>
                    <w:t>0.45</w:t>
                  </w:r>
                </w:p>
              </w:tc>
              <w:tc>
                <w:tcPr>
                  <w:tcW w:w="990" w:type="dxa"/>
                  <w:tcBorders>
                    <w:tl2br w:val="nil"/>
                    <w:tr2bl w:val="nil"/>
                  </w:tcBorders>
                  <w:shd w:val="clear" w:color="auto" w:fill="auto"/>
                  <w:vAlign w:val="center"/>
                </w:tcPr>
                <w:p w14:paraId="7EBFD142">
                  <w:pPr>
                    <w:pStyle w:val="112"/>
                    <w:snapToGrid/>
                    <w:contextualSpacing/>
                    <w:rPr>
                      <w:rFonts w:hint="default" w:ascii="Times New Roman" w:hAnsi="Times New Roman" w:eastAsia="宋体" w:cs="Times New Roman"/>
                      <w:snapToGrid/>
                      <w:color w:val="auto"/>
                      <w:spacing w:val="0"/>
                      <w:w w:val="100"/>
                      <w:kern w:val="2"/>
                      <w:sz w:val="21"/>
                      <w:szCs w:val="21"/>
                      <w:highlight w:val="none"/>
                      <w:lang w:val="en-US" w:eastAsia="zh-CN" w:bidi="ar-SA"/>
                    </w:rPr>
                  </w:pPr>
                  <w:r>
                    <w:rPr>
                      <w:rFonts w:hint="eastAsia"/>
                      <w:snapToGrid/>
                      <w:color w:val="auto"/>
                      <w:spacing w:val="0"/>
                      <w:w w:val="100"/>
                      <w:kern w:val="2"/>
                      <w:szCs w:val="21"/>
                      <w:highlight w:val="none"/>
                      <w:lang w:val="en-US" w:eastAsia="zh-CN"/>
                    </w:rPr>
                    <w:t>0.45</w:t>
                  </w:r>
                </w:p>
              </w:tc>
              <w:tc>
                <w:tcPr>
                  <w:tcW w:w="915" w:type="dxa"/>
                  <w:tcBorders>
                    <w:tl2br w:val="nil"/>
                    <w:tr2bl w:val="nil"/>
                  </w:tcBorders>
                  <w:shd w:val="clear" w:color="auto" w:fill="auto"/>
                  <w:vAlign w:val="center"/>
                </w:tcPr>
                <w:p w14:paraId="01605F33">
                  <w:pPr>
                    <w:pStyle w:val="112"/>
                    <w:snapToGrid/>
                    <w:contextualSpacing/>
                    <w:rPr>
                      <w:rFonts w:hint="eastAsia" w:ascii="Times New Roman" w:hAnsi="Times New Roman" w:eastAsia="宋体" w:cs="Times New Roman"/>
                      <w:snapToGrid/>
                      <w:color w:val="auto"/>
                      <w:spacing w:val="0"/>
                      <w:w w:val="100"/>
                      <w:kern w:val="2"/>
                      <w:sz w:val="21"/>
                      <w:szCs w:val="21"/>
                      <w:highlight w:val="none"/>
                      <w:lang w:val="en-US" w:eastAsia="zh-CN" w:bidi="ar-SA"/>
                    </w:rPr>
                  </w:pPr>
                  <w:r>
                    <w:rPr>
                      <w:rFonts w:hint="eastAsia"/>
                      <w:snapToGrid/>
                      <w:color w:val="auto"/>
                      <w:spacing w:val="0"/>
                      <w:w w:val="100"/>
                      <w:kern w:val="2"/>
                      <w:szCs w:val="21"/>
                      <w:highlight w:val="none"/>
                      <w:lang w:val="en-US" w:eastAsia="zh-CN"/>
                    </w:rPr>
                    <w:t>罐装</w:t>
                  </w:r>
                </w:p>
              </w:tc>
              <w:tc>
                <w:tcPr>
                  <w:tcW w:w="2533" w:type="dxa"/>
                  <w:tcBorders>
                    <w:tl2br w:val="nil"/>
                    <w:tr2bl w:val="nil"/>
                  </w:tcBorders>
                  <w:shd w:val="clear" w:color="auto" w:fill="auto"/>
                  <w:vAlign w:val="center"/>
                </w:tcPr>
                <w:p w14:paraId="311D5FE1">
                  <w:pPr>
                    <w:pStyle w:val="112"/>
                    <w:snapToGrid/>
                    <w:contextualSpacing/>
                    <w:jc w:val="left"/>
                    <w:rPr>
                      <w:rFonts w:hint="default" w:ascii="Times New Roman" w:hAnsi="Times New Roman" w:eastAsia="宋体" w:cs="Times New Roman"/>
                      <w:snapToGrid/>
                      <w:color w:val="auto"/>
                      <w:spacing w:val="0"/>
                      <w:w w:val="100"/>
                      <w:kern w:val="2"/>
                      <w:sz w:val="21"/>
                      <w:szCs w:val="21"/>
                      <w:highlight w:val="none"/>
                      <w:lang w:val="en-US" w:eastAsia="zh-CN" w:bidi="ar-SA"/>
                    </w:rPr>
                  </w:pPr>
                  <w:r>
                    <w:rPr>
                      <w:rFonts w:hint="eastAsia"/>
                      <w:snapToGrid/>
                      <w:color w:val="auto"/>
                      <w:spacing w:val="0"/>
                      <w:w w:val="100"/>
                      <w:kern w:val="2"/>
                      <w:szCs w:val="21"/>
                      <w:highlight w:val="none"/>
                    </w:rPr>
                    <w:t>外购</w:t>
                  </w:r>
                  <w:r>
                    <w:rPr>
                      <w:rFonts w:hint="eastAsia"/>
                      <w:snapToGrid/>
                      <w:color w:val="auto"/>
                      <w:spacing w:val="0"/>
                      <w:w w:val="100"/>
                      <w:kern w:val="2"/>
                      <w:szCs w:val="21"/>
                      <w:highlight w:val="none"/>
                      <w:lang w:eastAsia="zh-CN"/>
                    </w:rPr>
                    <w:t>，</w:t>
                  </w:r>
                  <w:r>
                    <w:rPr>
                      <w:rFonts w:hint="eastAsia"/>
                      <w:snapToGrid/>
                      <w:color w:val="auto"/>
                      <w:spacing w:val="0"/>
                      <w:w w:val="100"/>
                      <w:kern w:val="2"/>
                      <w:szCs w:val="21"/>
                      <w:highlight w:val="none"/>
                      <w:lang w:val="en-US" w:eastAsia="zh-CN"/>
                    </w:rPr>
                    <w:t>低温真空蒸发设备制冷剂</w:t>
                  </w:r>
                </w:p>
              </w:tc>
            </w:tr>
            <w:tr w14:paraId="7A890B6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5ECBEB6A">
                  <w:pPr>
                    <w:pStyle w:val="112"/>
                    <w:snapToGrid/>
                    <w:contextualSpacing/>
                    <w:rPr>
                      <w:rFonts w:hint="eastAsia" w:eastAsia="宋体"/>
                      <w:snapToGrid/>
                      <w:color w:val="auto"/>
                      <w:spacing w:val="0"/>
                      <w:w w:val="100"/>
                      <w:kern w:val="2"/>
                      <w:szCs w:val="21"/>
                      <w:highlight w:val="none"/>
                      <w:lang w:val="en-US" w:eastAsia="zh-CN"/>
                    </w:rPr>
                  </w:pPr>
                  <w:r>
                    <w:rPr>
                      <w:rFonts w:hint="eastAsia"/>
                      <w:snapToGrid/>
                      <w:color w:val="auto"/>
                      <w:spacing w:val="0"/>
                      <w:w w:val="100"/>
                      <w:kern w:val="2"/>
                      <w:szCs w:val="21"/>
                      <w:highlight w:val="none"/>
                      <w:lang w:val="en-US" w:eastAsia="zh-CN"/>
                    </w:rPr>
                    <w:t>7</w:t>
                  </w:r>
                </w:p>
              </w:tc>
              <w:tc>
                <w:tcPr>
                  <w:tcW w:w="1805" w:type="dxa"/>
                  <w:tcBorders>
                    <w:tl2br w:val="nil"/>
                    <w:tr2bl w:val="nil"/>
                  </w:tcBorders>
                  <w:shd w:val="clear" w:color="auto" w:fill="auto"/>
                  <w:vAlign w:val="center"/>
                </w:tcPr>
                <w:p w14:paraId="2BA897BA">
                  <w:pPr>
                    <w:pStyle w:val="23"/>
                    <w:ind w:firstLine="0" w:firstLineChars="0"/>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电能</w:t>
                  </w:r>
                </w:p>
              </w:tc>
              <w:tc>
                <w:tcPr>
                  <w:tcW w:w="720" w:type="dxa"/>
                  <w:tcBorders>
                    <w:tl2br w:val="nil"/>
                    <w:tr2bl w:val="nil"/>
                  </w:tcBorders>
                  <w:shd w:val="clear" w:color="auto" w:fill="auto"/>
                  <w:vAlign w:val="center"/>
                </w:tcPr>
                <w:p w14:paraId="505087B4">
                  <w:pPr>
                    <w:pStyle w:val="112"/>
                    <w:snapToGrid/>
                    <w:contextualSpacing/>
                    <w:rPr>
                      <w:rFonts w:hint="default" w:ascii="Times New Roman" w:hAnsi="Times New Roman" w:eastAsia="宋体" w:cs="Times New Roman"/>
                      <w:snapToGrid/>
                      <w:color w:val="auto"/>
                      <w:spacing w:val="0"/>
                      <w:w w:val="100"/>
                      <w:kern w:val="2"/>
                      <w:sz w:val="21"/>
                      <w:szCs w:val="21"/>
                      <w:highlight w:val="none"/>
                      <w:lang w:val="en-US" w:eastAsia="zh-CN" w:bidi="ar-SA"/>
                    </w:rPr>
                  </w:pPr>
                  <w:r>
                    <w:rPr>
                      <w:rFonts w:hint="eastAsia" w:cs="Times New Roman"/>
                      <w:snapToGrid/>
                      <w:color w:val="auto"/>
                      <w:spacing w:val="0"/>
                      <w:w w:val="100"/>
                      <w:kern w:val="2"/>
                      <w:sz w:val="21"/>
                      <w:szCs w:val="21"/>
                      <w:highlight w:val="none"/>
                      <w:lang w:val="en-US" w:eastAsia="zh-CN" w:bidi="ar-SA"/>
                    </w:rPr>
                    <w:t>kWh</w:t>
                  </w:r>
                </w:p>
              </w:tc>
              <w:tc>
                <w:tcPr>
                  <w:tcW w:w="825" w:type="dxa"/>
                  <w:tcBorders>
                    <w:tl2br w:val="nil"/>
                    <w:tr2bl w:val="nil"/>
                  </w:tcBorders>
                  <w:shd w:val="clear" w:color="auto" w:fill="auto"/>
                  <w:vAlign w:val="center"/>
                </w:tcPr>
                <w:p w14:paraId="2E57786F">
                  <w:pPr>
                    <w:pStyle w:val="112"/>
                    <w:snapToGrid/>
                    <w:contextualSpacing/>
                    <w:rPr>
                      <w:rFonts w:hint="default"/>
                      <w:snapToGrid/>
                      <w:color w:val="auto"/>
                      <w:spacing w:val="0"/>
                      <w:w w:val="100"/>
                      <w:kern w:val="2"/>
                      <w:szCs w:val="21"/>
                      <w:highlight w:val="none"/>
                      <w:lang w:val="en-US" w:eastAsia="zh-CN"/>
                    </w:rPr>
                  </w:pPr>
                  <w:r>
                    <w:rPr>
                      <w:rFonts w:hint="eastAsia"/>
                      <w:snapToGrid/>
                      <w:color w:val="auto"/>
                      <w:spacing w:val="0"/>
                      <w:w w:val="100"/>
                      <w:kern w:val="2"/>
                      <w:szCs w:val="21"/>
                      <w:highlight w:val="none"/>
                      <w:lang w:val="en-US" w:eastAsia="zh-CN"/>
                    </w:rPr>
                    <w:t>12万</w:t>
                  </w:r>
                </w:p>
              </w:tc>
              <w:tc>
                <w:tcPr>
                  <w:tcW w:w="990" w:type="dxa"/>
                  <w:tcBorders>
                    <w:tl2br w:val="nil"/>
                    <w:tr2bl w:val="nil"/>
                  </w:tcBorders>
                  <w:shd w:val="clear" w:color="auto" w:fill="auto"/>
                  <w:vAlign w:val="center"/>
                </w:tcPr>
                <w:p w14:paraId="1A2A38D8">
                  <w:pPr>
                    <w:pStyle w:val="112"/>
                    <w:snapToGrid/>
                    <w:contextualSpacing/>
                    <w:rPr>
                      <w:rFonts w:hint="default"/>
                      <w:snapToGrid/>
                      <w:color w:val="auto"/>
                      <w:spacing w:val="0"/>
                      <w:w w:val="100"/>
                      <w:kern w:val="2"/>
                      <w:szCs w:val="21"/>
                      <w:highlight w:val="none"/>
                      <w:lang w:val="en-US" w:eastAsia="zh-CN"/>
                    </w:rPr>
                  </w:pPr>
                  <w:r>
                    <w:rPr>
                      <w:rFonts w:hint="eastAsia"/>
                      <w:snapToGrid/>
                      <w:color w:val="auto"/>
                      <w:spacing w:val="0"/>
                      <w:w w:val="100"/>
                      <w:kern w:val="2"/>
                      <w:szCs w:val="21"/>
                      <w:highlight w:val="none"/>
                      <w:lang w:val="en-US" w:eastAsia="zh-CN"/>
                    </w:rPr>
                    <w:t>/</w:t>
                  </w:r>
                </w:p>
              </w:tc>
              <w:tc>
                <w:tcPr>
                  <w:tcW w:w="915" w:type="dxa"/>
                  <w:tcBorders>
                    <w:tl2br w:val="nil"/>
                    <w:tr2bl w:val="nil"/>
                  </w:tcBorders>
                  <w:shd w:val="clear" w:color="auto" w:fill="auto"/>
                  <w:vAlign w:val="center"/>
                </w:tcPr>
                <w:p w14:paraId="138127A5">
                  <w:pPr>
                    <w:pStyle w:val="112"/>
                    <w:snapToGrid/>
                    <w:contextualSpacing/>
                    <w:rPr>
                      <w:rFonts w:hint="default"/>
                      <w:snapToGrid/>
                      <w:color w:val="auto"/>
                      <w:spacing w:val="0"/>
                      <w:w w:val="100"/>
                      <w:kern w:val="2"/>
                      <w:szCs w:val="21"/>
                      <w:highlight w:val="none"/>
                      <w:lang w:val="en-US" w:eastAsia="zh-CN"/>
                    </w:rPr>
                  </w:pPr>
                  <w:r>
                    <w:rPr>
                      <w:rFonts w:hint="eastAsia"/>
                      <w:snapToGrid/>
                      <w:color w:val="auto"/>
                      <w:spacing w:val="0"/>
                      <w:w w:val="100"/>
                      <w:kern w:val="2"/>
                      <w:szCs w:val="21"/>
                      <w:highlight w:val="none"/>
                      <w:lang w:val="en-US" w:eastAsia="zh-CN"/>
                    </w:rPr>
                    <w:t>/</w:t>
                  </w:r>
                </w:p>
              </w:tc>
              <w:tc>
                <w:tcPr>
                  <w:tcW w:w="2533" w:type="dxa"/>
                  <w:tcBorders>
                    <w:tl2br w:val="nil"/>
                    <w:tr2bl w:val="nil"/>
                  </w:tcBorders>
                  <w:shd w:val="clear" w:color="auto" w:fill="auto"/>
                  <w:vAlign w:val="center"/>
                </w:tcPr>
                <w:p w14:paraId="04EE4F50">
                  <w:pPr>
                    <w:pStyle w:val="112"/>
                    <w:snapToGrid/>
                    <w:contextualSpacing/>
                    <w:jc w:val="left"/>
                    <w:rPr>
                      <w:rFonts w:hint="default" w:eastAsia="宋体"/>
                      <w:snapToGrid/>
                      <w:color w:val="auto"/>
                      <w:spacing w:val="0"/>
                      <w:w w:val="100"/>
                      <w:kern w:val="2"/>
                      <w:szCs w:val="21"/>
                      <w:highlight w:val="none"/>
                      <w:lang w:val="en-US" w:eastAsia="zh-CN"/>
                    </w:rPr>
                  </w:pPr>
                  <w:r>
                    <w:rPr>
                      <w:rFonts w:hint="eastAsia"/>
                      <w:snapToGrid/>
                      <w:color w:val="auto"/>
                      <w:spacing w:val="0"/>
                      <w:w w:val="100"/>
                      <w:kern w:val="2"/>
                      <w:szCs w:val="21"/>
                      <w:highlight w:val="none"/>
                      <w:lang w:val="en-US" w:eastAsia="zh-CN"/>
                    </w:rPr>
                    <w:t>搭接现有供电系统</w:t>
                  </w:r>
                </w:p>
              </w:tc>
            </w:tr>
          </w:tbl>
          <w:p w14:paraId="45148F5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b/>
                <w:bCs/>
                <w:color w:val="auto"/>
                <w:sz w:val="24"/>
                <w:highlight w:val="none"/>
                <w:lang w:val="en-US" w:eastAsia="zh-CN"/>
              </w:rPr>
            </w:pPr>
            <w:r>
              <w:rPr>
                <w:rFonts w:hint="eastAsia"/>
                <w:b/>
                <w:bCs/>
                <w:color w:val="auto"/>
                <w:sz w:val="24"/>
                <w:highlight w:val="none"/>
                <w:lang w:val="en-US" w:eastAsia="zh-CN"/>
              </w:rPr>
              <w:t>2、原辅材料特性</w:t>
            </w:r>
          </w:p>
          <w:p w14:paraId="2DEC9EB0">
            <w:pPr>
              <w:adjustRightInd w:val="0"/>
              <w:snapToGrid w:val="0"/>
              <w:spacing w:line="360" w:lineRule="auto"/>
              <w:ind w:firstLine="480" w:firstLineChars="200"/>
              <w:rPr>
                <w:rFonts w:hint="eastAsia" w:cs="Times New Roman"/>
                <w:snapToGrid w:val="0"/>
                <w:color w:val="auto"/>
                <w:sz w:val="24"/>
                <w:highlight w:val="none"/>
                <w:lang w:val="en-US" w:eastAsia="zh-CN"/>
              </w:rPr>
            </w:pPr>
            <w:r>
              <w:rPr>
                <w:rFonts w:hint="default" w:ascii="Times New Roman" w:hAnsi="Times New Roman" w:cs="Times New Roman"/>
                <w:snapToGrid w:val="0"/>
                <w:color w:val="auto"/>
                <w:sz w:val="24"/>
                <w:highlight w:val="none"/>
                <w:lang w:eastAsia="zh-CN"/>
              </w:rPr>
              <w:t>（</w:t>
            </w:r>
            <w:r>
              <w:rPr>
                <w:rFonts w:hint="eastAsia" w:cs="Times New Roman"/>
                <w:snapToGrid w:val="0"/>
                <w:color w:val="auto"/>
                <w:sz w:val="24"/>
                <w:highlight w:val="none"/>
                <w:lang w:val="en-US" w:eastAsia="zh-CN"/>
              </w:rPr>
              <w:t>1</w:t>
            </w:r>
            <w:r>
              <w:rPr>
                <w:rFonts w:hint="default" w:ascii="Times New Roman" w:hAnsi="Times New Roman" w:cs="Times New Roman"/>
                <w:snapToGrid w:val="0"/>
                <w:color w:val="auto"/>
                <w:sz w:val="24"/>
                <w:highlight w:val="none"/>
                <w:lang w:eastAsia="zh-CN"/>
              </w:rPr>
              <w:t>）</w:t>
            </w:r>
            <w:r>
              <w:rPr>
                <w:rFonts w:hint="eastAsia"/>
                <w:snapToGrid w:val="0"/>
                <w:color w:val="auto"/>
                <w:sz w:val="24"/>
                <w:highlight w:val="none"/>
                <w:lang w:val="en-US" w:eastAsia="zh-CN"/>
              </w:rPr>
              <w:t>硫酸：</w:t>
            </w:r>
            <w:r>
              <w:rPr>
                <w:snapToGrid w:val="0"/>
                <w:color w:val="auto"/>
                <w:sz w:val="24"/>
                <w:highlight w:val="none"/>
              </w:rPr>
              <w:t>化学式H</w:t>
            </w:r>
            <w:r>
              <w:rPr>
                <w:rFonts w:hint="eastAsia"/>
                <w:snapToGrid w:val="0"/>
                <w:color w:val="auto"/>
                <w:sz w:val="24"/>
                <w:highlight w:val="none"/>
                <w:vertAlign w:val="subscript"/>
                <w:lang w:val="en-US" w:eastAsia="zh-CN"/>
              </w:rPr>
              <w:t>2</w:t>
            </w:r>
            <w:r>
              <w:rPr>
                <w:snapToGrid w:val="0"/>
                <w:color w:val="auto"/>
                <w:sz w:val="24"/>
                <w:highlight w:val="none"/>
              </w:rPr>
              <w:t>SO</w:t>
            </w:r>
            <w:r>
              <w:rPr>
                <w:rFonts w:hint="eastAsia"/>
                <w:snapToGrid w:val="0"/>
                <w:color w:val="auto"/>
                <w:sz w:val="24"/>
                <w:highlight w:val="none"/>
                <w:vertAlign w:val="subscript"/>
                <w:lang w:val="en-US" w:eastAsia="zh-CN"/>
              </w:rPr>
              <w:t>4</w:t>
            </w:r>
            <w:r>
              <w:rPr>
                <w:snapToGrid w:val="0"/>
                <w:color w:val="auto"/>
                <w:sz w:val="24"/>
                <w:highlight w:val="none"/>
              </w:rPr>
              <w:t>，硫的最重要的</w:t>
            </w:r>
            <w:r>
              <w:rPr>
                <w:rFonts w:hint="default"/>
                <w:snapToGrid w:val="0"/>
                <w:color w:val="auto"/>
                <w:sz w:val="24"/>
                <w:highlight w:val="none"/>
              </w:rPr>
              <w:fldChar w:fldCharType="begin"/>
            </w:r>
            <w:r>
              <w:rPr>
                <w:rFonts w:hint="default"/>
                <w:snapToGrid w:val="0"/>
                <w:color w:val="auto"/>
                <w:sz w:val="24"/>
                <w:highlight w:val="none"/>
              </w:rPr>
              <w:instrText xml:space="preserve"> HYPERLINK "https://baike.so.com/doc/6647222-6861039.html" \t "https://baike.so.com/doc/_blank" </w:instrText>
            </w:r>
            <w:r>
              <w:rPr>
                <w:rFonts w:hint="default"/>
                <w:snapToGrid w:val="0"/>
                <w:color w:val="auto"/>
                <w:sz w:val="24"/>
                <w:highlight w:val="none"/>
              </w:rPr>
              <w:fldChar w:fldCharType="separate"/>
            </w:r>
            <w:r>
              <w:rPr>
                <w:rFonts w:hint="default"/>
                <w:snapToGrid w:val="0"/>
                <w:color w:val="auto"/>
                <w:sz w:val="24"/>
                <w:highlight w:val="none"/>
              </w:rPr>
              <w:t>含氧酸</w:t>
            </w:r>
            <w:r>
              <w:rPr>
                <w:rFonts w:hint="default"/>
                <w:snapToGrid w:val="0"/>
                <w:color w:val="auto"/>
                <w:sz w:val="24"/>
                <w:highlight w:val="none"/>
              </w:rPr>
              <w:fldChar w:fldCharType="end"/>
            </w:r>
            <w:r>
              <w:rPr>
                <w:rFonts w:hint="default"/>
                <w:snapToGrid w:val="0"/>
                <w:color w:val="auto"/>
                <w:sz w:val="24"/>
                <w:highlight w:val="none"/>
              </w:rPr>
              <w:t>。无水硫酸为无色油状液体，10.36℃时结晶，通常使用的是它的各种不同浓度的水溶液，用</w:t>
            </w:r>
            <w:r>
              <w:rPr>
                <w:rFonts w:hint="default"/>
                <w:snapToGrid w:val="0"/>
                <w:color w:val="auto"/>
                <w:sz w:val="24"/>
                <w:highlight w:val="none"/>
              </w:rPr>
              <w:fldChar w:fldCharType="begin"/>
            </w:r>
            <w:r>
              <w:rPr>
                <w:rFonts w:hint="default"/>
                <w:snapToGrid w:val="0"/>
                <w:color w:val="auto"/>
                <w:sz w:val="24"/>
                <w:highlight w:val="none"/>
              </w:rPr>
              <w:instrText xml:space="preserve"> HYPERLINK "https://baike.so.com/doc/4883217-5101179.html" \t "https://baike.so.com/doc/_blank" </w:instrText>
            </w:r>
            <w:r>
              <w:rPr>
                <w:rFonts w:hint="default"/>
                <w:snapToGrid w:val="0"/>
                <w:color w:val="auto"/>
                <w:sz w:val="24"/>
                <w:highlight w:val="none"/>
              </w:rPr>
              <w:fldChar w:fldCharType="separate"/>
            </w:r>
            <w:r>
              <w:rPr>
                <w:rFonts w:hint="default"/>
                <w:snapToGrid w:val="0"/>
                <w:color w:val="auto"/>
                <w:sz w:val="24"/>
                <w:highlight w:val="none"/>
              </w:rPr>
              <w:t>塔式法</w:t>
            </w:r>
            <w:r>
              <w:rPr>
                <w:rFonts w:hint="default"/>
                <w:snapToGrid w:val="0"/>
                <w:color w:val="auto"/>
                <w:sz w:val="24"/>
                <w:highlight w:val="none"/>
              </w:rPr>
              <w:fldChar w:fldCharType="end"/>
            </w:r>
            <w:r>
              <w:rPr>
                <w:rFonts w:hint="default"/>
                <w:snapToGrid w:val="0"/>
                <w:color w:val="auto"/>
                <w:sz w:val="24"/>
                <w:highlight w:val="none"/>
              </w:rPr>
              <w:t>和</w:t>
            </w:r>
            <w:r>
              <w:rPr>
                <w:rFonts w:hint="default"/>
                <w:snapToGrid w:val="0"/>
                <w:color w:val="auto"/>
                <w:sz w:val="24"/>
                <w:highlight w:val="none"/>
              </w:rPr>
              <w:fldChar w:fldCharType="begin"/>
            </w:r>
            <w:r>
              <w:rPr>
                <w:rFonts w:hint="default"/>
                <w:snapToGrid w:val="0"/>
                <w:color w:val="auto"/>
                <w:sz w:val="24"/>
                <w:highlight w:val="none"/>
              </w:rPr>
              <w:instrText xml:space="preserve"> HYPERLINK "https://baike.so.com/doc/6290327-6503821.html" \t "https://baike.so.com/doc/_blank" </w:instrText>
            </w:r>
            <w:r>
              <w:rPr>
                <w:rFonts w:hint="default"/>
                <w:snapToGrid w:val="0"/>
                <w:color w:val="auto"/>
                <w:sz w:val="24"/>
                <w:highlight w:val="none"/>
              </w:rPr>
              <w:fldChar w:fldCharType="separate"/>
            </w:r>
            <w:r>
              <w:rPr>
                <w:rFonts w:hint="default"/>
                <w:snapToGrid w:val="0"/>
                <w:color w:val="auto"/>
                <w:sz w:val="24"/>
                <w:highlight w:val="none"/>
              </w:rPr>
              <w:t>接触法</w:t>
            </w:r>
            <w:r>
              <w:rPr>
                <w:rFonts w:hint="default"/>
                <w:snapToGrid w:val="0"/>
                <w:color w:val="auto"/>
                <w:sz w:val="24"/>
                <w:highlight w:val="none"/>
              </w:rPr>
              <w:fldChar w:fldCharType="end"/>
            </w:r>
            <w:r>
              <w:rPr>
                <w:rFonts w:hint="default"/>
                <w:snapToGrid w:val="0"/>
                <w:color w:val="auto"/>
                <w:sz w:val="24"/>
                <w:highlight w:val="none"/>
              </w:rPr>
              <w:t>制取。</w:t>
            </w:r>
            <w:r>
              <w:rPr>
                <w:rFonts w:hint="eastAsia"/>
                <w:snapToGrid w:val="0"/>
                <w:color w:val="auto"/>
                <w:sz w:val="24"/>
                <w:highlight w:val="none"/>
                <w:lang w:eastAsia="zh-CN"/>
              </w:rPr>
              <w:t>熔点</w:t>
            </w:r>
            <w:r>
              <w:rPr>
                <w:snapToGrid w:val="0"/>
                <w:color w:val="auto"/>
                <w:sz w:val="24"/>
                <w:highlight w:val="none"/>
              </w:rPr>
              <w:t>10.371 ℃</w:t>
            </w:r>
            <w:r>
              <w:rPr>
                <w:rFonts w:hint="eastAsia"/>
                <w:snapToGrid w:val="0"/>
                <w:color w:val="auto"/>
                <w:sz w:val="24"/>
                <w:highlight w:val="none"/>
                <w:lang w:eastAsia="zh-CN"/>
              </w:rPr>
              <w:t>，密度</w:t>
            </w:r>
            <w:r>
              <w:rPr>
                <w:rFonts w:hint="eastAsia"/>
                <w:snapToGrid w:val="0"/>
                <w:color w:val="auto"/>
                <w:sz w:val="24"/>
                <w:highlight w:val="none"/>
                <w:lang w:val="en-US" w:eastAsia="zh-CN"/>
              </w:rPr>
              <w:t>1.8305g/cm</w:t>
            </w:r>
            <w:r>
              <w:rPr>
                <w:rFonts w:hint="eastAsia"/>
                <w:snapToGrid w:val="0"/>
                <w:color w:val="auto"/>
                <w:sz w:val="24"/>
                <w:highlight w:val="none"/>
                <w:vertAlign w:val="superscript"/>
                <w:lang w:val="en-US" w:eastAsia="zh-CN"/>
              </w:rPr>
              <w:t>3</w:t>
            </w:r>
            <w:r>
              <w:rPr>
                <w:rFonts w:hint="eastAsia"/>
                <w:snapToGrid w:val="0"/>
                <w:color w:val="auto"/>
                <w:sz w:val="24"/>
                <w:highlight w:val="none"/>
                <w:lang w:val="en-US" w:eastAsia="zh-CN"/>
              </w:rPr>
              <w:t>，沸点337℃，CAS号7664-93-9，分子量98.078。</w:t>
            </w:r>
            <w:r>
              <w:rPr>
                <w:snapToGrid w:val="0"/>
                <w:color w:val="auto"/>
                <w:sz w:val="24"/>
                <w:highlight w:val="none"/>
              </w:rPr>
              <w:t>属中等毒性。急性毒性:LD502140mg/kg(大鼠经口)</w:t>
            </w:r>
            <w:r>
              <w:rPr>
                <w:rFonts w:hint="eastAsia"/>
                <w:snapToGrid w:val="0"/>
                <w:color w:val="auto"/>
                <w:sz w:val="24"/>
                <w:highlight w:val="none"/>
                <w:lang w:eastAsia="zh-CN"/>
              </w:rPr>
              <w:t>；</w:t>
            </w:r>
            <w:r>
              <w:rPr>
                <w:snapToGrid w:val="0"/>
                <w:color w:val="auto"/>
                <w:sz w:val="24"/>
                <w:highlight w:val="none"/>
              </w:rPr>
              <w:t>LC50510mg/m³，2小时(大鼠吸入)</w:t>
            </w:r>
            <w:r>
              <w:rPr>
                <w:rFonts w:hint="eastAsia"/>
                <w:snapToGrid w:val="0"/>
                <w:color w:val="auto"/>
                <w:sz w:val="24"/>
                <w:highlight w:val="none"/>
                <w:lang w:eastAsia="zh-CN"/>
              </w:rPr>
              <w:t>；</w:t>
            </w:r>
            <w:r>
              <w:rPr>
                <w:snapToGrid w:val="0"/>
                <w:color w:val="auto"/>
                <w:sz w:val="24"/>
                <w:highlight w:val="none"/>
              </w:rPr>
              <w:t>320mg/m³，2小时(小鼠吸入)</w:t>
            </w:r>
            <w:r>
              <w:rPr>
                <w:rFonts w:hint="eastAsia"/>
                <w:snapToGrid w:val="0"/>
                <w:color w:val="auto"/>
                <w:sz w:val="24"/>
                <w:highlight w:val="none"/>
                <w:lang w:eastAsia="zh-CN"/>
              </w:rPr>
              <w:t>。</w:t>
            </w:r>
          </w:p>
          <w:p w14:paraId="5E3ABD3A">
            <w:pPr>
              <w:adjustRightInd w:val="0"/>
              <w:snapToGrid w:val="0"/>
              <w:spacing w:line="360" w:lineRule="auto"/>
              <w:ind w:firstLine="480" w:firstLineChars="200"/>
              <w:rPr>
                <w:rFonts w:hint="eastAsia"/>
                <w:snapToGrid w:val="0"/>
                <w:color w:val="auto"/>
                <w:sz w:val="24"/>
                <w:highlight w:val="none"/>
                <w:lang w:val="en-US" w:eastAsia="zh-CN"/>
              </w:rPr>
            </w:pPr>
            <w:r>
              <w:rPr>
                <w:rFonts w:hint="eastAsia"/>
                <w:snapToGrid w:val="0"/>
                <w:color w:val="auto"/>
                <w:sz w:val="24"/>
                <w:highlight w:val="none"/>
                <w:lang w:eastAsia="zh-CN"/>
              </w:rPr>
              <w:t>（</w:t>
            </w:r>
            <w:r>
              <w:rPr>
                <w:rFonts w:hint="eastAsia"/>
                <w:snapToGrid w:val="0"/>
                <w:color w:val="auto"/>
                <w:sz w:val="24"/>
                <w:highlight w:val="none"/>
                <w:lang w:val="en-US" w:eastAsia="zh-CN"/>
              </w:rPr>
              <w:t>2</w:t>
            </w:r>
            <w:r>
              <w:rPr>
                <w:rFonts w:hint="eastAsia"/>
                <w:snapToGrid w:val="0"/>
                <w:color w:val="auto"/>
                <w:sz w:val="24"/>
                <w:highlight w:val="none"/>
                <w:lang w:eastAsia="zh-CN"/>
              </w:rPr>
              <w:t>）消泡剂（聚醚类）：</w:t>
            </w:r>
            <w:r>
              <w:rPr>
                <w:rFonts w:hint="eastAsia"/>
                <w:snapToGrid w:val="0"/>
                <w:color w:val="auto"/>
                <w:sz w:val="24"/>
                <w:highlight w:val="none"/>
                <w:lang w:val="en-US" w:eastAsia="zh-CN"/>
              </w:rPr>
              <w:t>性状为透明或淡黄色液体，无臭，易溶于水，常温常压下稳定。主要用途：消泡剂可以用于垃圾渗透液中消泡、抑泡；具有抑泡时间长、效果好、消泡速度快、热稳定性好。</w:t>
            </w:r>
          </w:p>
          <w:p w14:paraId="76B284DA">
            <w:pPr>
              <w:adjustRightInd w:val="0"/>
              <w:snapToGrid w:val="0"/>
              <w:spacing w:line="360" w:lineRule="auto"/>
              <w:ind w:firstLine="480" w:firstLineChars="200"/>
              <w:rPr>
                <w:rFonts w:hint="eastAsia"/>
                <w:snapToGrid w:val="0"/>
                <w:color w:val="auto"/>
                <w:sz w:val="24"/>
                <w:highlight w:val="none"/>
                <w:lang w:val="en-US" w:eastAsia="zh-CN"/>
              </w:rPr>
            </w:pPr>
            <w:r>
              <w:rPr>
                <w:rFonts w:hint="eastAsia"/>
                <w:snapToGrid w:val="0"/>
                <w:color w:val="auto"/>
                <w:sz w:val="24"/>
                <w:highlight w:val="none"/>
                <w:lang w:val="en-US" w:eastAsia="zh-CN"/>
              </w:rPr>
              <w:t>（3）阻垢剂（有机磷酸盐和聚丙烯酸脂等）：性状为透明或黄色液体，无臭。易溶于水，常温常压下稳定，主要用途：阻垢剂适用于渗滤液处理反渗透膜系统，能够有效防止硅酸盐、硫酸盐等各种无机盐结垢。</w:t>
            </w:r>
          </w:p>
          <w:p w14:paraId="5355D3F0">
            <w:pPr>
              <w:adjustRightInd w:val="0"/>
              <w:snapToGrid w:val="0"/>
              <w:spacing w:line="360" w:lineRule="auto"/>
              <w:ind w:firstLine="480" w:firstLineChars="200"/>
              <w:rPr>
                <w:snapToGrid w:val="0"/>
                <w:color w:val="auto"/>
                <w:sz w:val="24"/>
                <w:highlight w:val="none"/>
              </w:rPr>
            </w:pPr>
            <w:r>
              <w:rPr>
                <w:rFonts w:hint="eastAsia" w:eastAsia="宋体" w:cs="Times New Roman"/>
                <w:snapToGrid w:val="0"/>
                <w:color w:val="auto"/>
                <w:sz w:val="24"/>
                <w:highlight w:val="none"/>
                <w:lang w:eastAsia="zh-CN"/>
              </w:rPr>
              <w:t>（</w:t>
            </w:r>
            <w:r>
              <w:rPr>
                <w:rFonts w:hint="eastAsia" w:cs="Times New Roman"/>
                <w:snapToGrid w:val="0"/>
                <w:color w:val="auto"/>
                <w:sz w:val="24"/>
                <w:highlight w:val="none"/>
                <w:lang w:val="en-US" w:eastAsia="zh-CN"/>
              </w:rPr>
              <w:t>4</w:t>
            </w:r>
            <w:r>
              <w:rPr>
                <w:rFonts w:hint="eastAsia" w:eastAsia="宋体" w:cs="Times New Roman"/>
                <w:snapToGrid w:val="0"/>
                <w:color w:val="auto"/>
                <w:sz w:val="24"/>
                <w:highlight w:val="none"/>
                <w:lang w:eastAsia="zh-CN"/>
              </w:rPr>
              <w:t>）</w:t>
            </w:r>
            <w:r>
              <w:rPr>
                <w:rFonts w:hint="default" w:ascii="Times New Roman" w:hAnsi="Times New Roman" w:cs="Times New Roman"/>
                <w:snapToGrid w:val="0"/>
                <w:color w:val="auto"/>
                <w:sz w:val="24"/>
                <w:highlight w:val="none"/>
              </w:rPr>
              <w:t>氢氧化钠</w:t>
            </w:r>
            <w:r>
              <w:rPr>
                <w:rFonts w:hint="eastAsia" w:cs="Times New Roman"/>
                <w:snapToGrid w:val="0"/>
                <w:color w:val="auto"/>
                <w:sz w:val="24"/>
                <w:highlight w:val="none"/>
                <w:lang w:eastAsia="zh-CN"/>
              </w:rPr>
              <w:t>：</w:t>
            </w:r>
            <w:r>
              <w:rPr>
                <w:rFonts w:hint="default" w:ascii="Times New Roman" w:hAnsi="Times New Roman" w:cs="Times New Roman"/>
                <w:snapToGrid w:val="0"/>
                <w:color w:val="auto"/>
                <w:sz w:val="24"/>
                <w:highlight w:val="none"/>
              </w:rPr>
              <w:t>化学式为NaOH，俗称</w:t>
            </w:r>
            <w:r>
              <w:rPr>
                <w:snapToGrid w:val="0"/>
                <w:color w:val="auto"/>
                <w:sz w:val="24"/>
                <w:highlight w:val="none"/>
              </w:rPr>
              <w:t>烧碱、火碱、苛性钠，为一种具有强腐蚀性的强碱，一般为片状或块状形态，易溶于水（溶于水时放热）并形成碱性溶液，另有潮解性，易吸取空气中的水蒸气（潮解）和二氧化碳（变质）。纯品是无色透明的晶体。密度2.130g/cm³。熔点318.4℃。沸点1390℃。工业品含有少量的氯化钠和碳酸钠，是白色不透明的晶体。有块状，片状，粒状和棒状等。</w:t>
            </w:r>
            <w:r>
              <w:rPr>
                <w:rFonts w:hint="eastAsia"/>
                <w:snapToGrid w:val="0"/>
                <w:color w:val="auto"/>
                <w:sz w:val="24"/>
                <w:highlight w:val="none"/>
                <w:lang w:val="en-US" w:eastAsia="zh-CN"/>
              </w:rPr>
              <w:t>分子</w:t>
            </w:r>
            <w:r>
              <w:rPr>
                <w:snapToGrid w:val="0"/>
                <w:color w:val="auto"/>
                <w:sz w:val="24"/>
                <w:highlight w:val="none"/>
              </w:rPr>
              <w:t>量39.997。氢氧化钠在水处理中可作为碱性清洗剂，溶于乙醇和甘油；不溶于丙醇、乙醚。与氯、溴、碘等卤素发生歧化反应。与酸类起中和作用而生成盐和水。</w:t>
            </w:r>
          </w:p>
          <w:p w14:paraId="5C29C122">
            <w:pPr>
              <w:adjustRightInd w:val="0"/>
              <w:snapToGrid w:val="0"/>
              <w:spacing w:line="360" w:lineRule="auto"/>
              <w:ind w:firstLine="480" w:firstLineChars="200"/>
              <w:rPr>
                <w:rFonts w:hint="eastAsia"/>
                <w:snapToGrid w:val="0"/>
                <w:color w:val="auto"/>
                <w:sz w:val="24"/>
                <w:highlight w:val="none"/>
                <w:lang w:val="en-US" w:eastAsia="zh-CN"/>
              </w:rPr>
            </w:pPr>
            <w:r>
              <w:rPr>
                <w:rFonts w:hint="eastAsia"/>
                <w:snapToGrid w:val="0"/>
                <w:color w:val="auto"/>
                <w:sz w:val="24"/>
                <w:highlight w:val="none"/>
                <w:lang w:eastAsia="zh-CN"/>
              </w:rPr>
              <w:t>（</w:t>
            </w:r>
            <w:r>
              <w:rPr>
                <w:rFonts w:hint="eastAsia"/>
                <w:snapToGrid w:val="0"/>
                <w:color w:val="auto"/>
                <w:sz w:val="24"/>
                <w:highlight w:val="none"/>
                <w:lang w:val="en-US" w:eastAsia="zh-CN"/>
              </w:rPr>
              <w:t>5</w:t>
            </w:r>
            <w:r>
              <w:rPr>
                <w:rFonts w:hint="eastAsia"/>
                <w:snapToGrid w:val="0"/>
                <w:color w:val="auto"/>
                <w:sz w:val="24"/>
                <w:highlight w:val="none"/>
                <w:lang w:eastAsia="zh-CN"/>
              </w:rPr>
              <w:t>）</w:t>
            </w:r>
            <w:r>
              <w:rPr>
                <w:rFonts w:hint="eastAsia"/>
                <w:snapToGrid w:val="0"/>
                <w:color w:val="auto"/>
                <w:sz w:val="24"/>
                <w:highlight w:val="none"/>
                <w:lang w:val="en-US" w:eastAsia="zh-CN"/>
              </w:rPr>
              <w:t>制冷剂R134a：主要作为R12的环保替代品，广泛用于汽车空调、冰箱、中央空调、商业制冷等制冷空调系统。凝固点-96.6℃，别称：四氟乙烷，临界温度101.1℃，分子量102.03，沸点-26.26℃，无色、无味、无毒、不易燃，对大气臭氧层无破坏作用，安全性好，不燃、不爆、无毒、无刺激性，具有类似的传热性能，比R12更容易提高传热性能。</w:t>
            </w:r>
          </w:p>
          <w:p w14:paraId="376BED09">
            <w:pPr>
              <w:adjustRightInd w:val="0"/>
              <w:snapToGrid w:val="0"/>
              <w:spacing w:line="360" w:lineRule="auto"/>
              <w:jc w:val="left"/>
              <w:rPr>
                <w:b/>
                <w:bCs/>
                <w:color w:val="auto"/>
                <w:sz w:val="24"/>
                <w:highlight w:val="none"/>
              </w:rPr>
            </w:pPr>
            <w:r>
              <w:rPr>
                <w:rFonts w:hint="eastAsia"/>
                <w:b/>
                <w:bCs/>
                <w:color w:val="auto"/>
                <w:sz w:val="24"/>
                <w:highlight w:val="none"/>
                <w:lang w:val="en-US" w:eastAsia="zh-CN"/>
              </w:rPr>
              <w:t>八</w:t>
            </w:r>
            <w:r>
              <w:rPr>
                <w:rFonts w:hint="eastAsia"/>
                <w:b/>
                <w:bCs/>
                <w:color w:val="auto"/>
                <w:sz w:val="24"/>
                <w:highlight w:val="none"/>
              </w:rPr>
              <w:t>、</w:t>
            </w:r>
            <w:r>
              <w:rPr>
                <w:b/>
                <w:bCs/>
                <w:color w:val="auto"/>
                <w:sz w:val="24"/>
                <w:highlight w:val="none"/>
              </w:rPr>
              <w:t>主要生产设备</w:t>
            </w:r>
          </w:p>
          <w:p w14:paraId="3D53D1A5">
            <w:pPr>
              <w:adjustRightInd w:val="0"/>
              <w:snapToGrid w:val="0"/>
              <w:spacing w:line="360" w:lineRule="auto"/>
              <w:ind w:firstLine="480" w:firstLineChars="200"/>
              <w:rPr>
                <w:color w:val="auto"/>
                <w:kern w:val="24"/>
                <w:sz w:val="24"/>
                <w:highlight w:val="none"/>
              </w:rPr>
            </w:pPr>
            <w:r>
              <w:rPr>
                <w:color w:val="auto"/>
                <w:kern w:val="24"/>
                <w:sz w:val="24"/>
                <w:highlight w:val="none"/>
              </w:rPr>
              <w:t>项目主要生产设备详见表</w:t>
            </w:r>
            <w:r>
              <w:rPr>
                <w:rFonts w:hint="eastAsia"/>
                <w:color w:val="auto"/>
                <w:kern w:val="24"/>
                <w:sz w:val="24"/>
                <w:highlight w:val="none"/>
              </w:rPr>
              <w:t>2</w:t>
            </w:r>
            <w:r>
              <w:rPr>
                <w:color w:val="auto"/>
                <w:kern w:val="24"/>
                <w:sz w:val="24"/>
                <w:highlight w:val="none"/>
              </w:rPr>
              <w:t>-</w:t>
            </w:r>
            <w:r>
              <w:rPr>
                <w:rFonts w:hint="eastAsia"/>
                <w:color w:val="auto"/>
                <w:kern w:val="24"/>
                <w:sz w:val="24"/>
                <w:highlight w:val="none"/>
                <w:lang w:val="en-US" w:eastAsia="zh-CN"/>
              </w:rPr>
              <w:t>5</w:t>
            </w:r>
            <w:r>
              <w:rPr>
                <w:color w:val="auto"/>
                <w:kern w:val="24"/>
                <w:sz w:val="24"/>
                <w:highlight w:val="none"/>
              </w:rPr>
              <w:t>。</w:t>
            </w:r>
          </w:p>
          <w:p w14:paraId="715383D9">
            <w:pPr>
              <w:adjustRightInd w:val="0"/>
              <w:snapToGrid w:val="0"/>
              <w:spacing w:line="360" w:lineRule="auto"/>
              <w:ind w:firstLine="482" w:firstLineChars="200"/>
              <w:jc w:val="center"/>
              <w:rPr>
                <w:rFonts w:hint="default" w:ascii="Times New Roman" w:hAnsi="Times New Roman" w:cs="Times New Roman"/>
                <w:b/>
                <w:bCs/>
                <w:color w:val="auto"/>
                <w:kern w:val="24"/>
                <w:sz w:val="24"/>
                <w:szCs w:val="24"/>
                <w:highlight w:val="none"/>
              </w:rPr>
            </w:pPr>
            <w:r>
              <w:rPr>
                <w:rFonts w:hint="default" w:ascii="Times New Roman" w:hAnsi="Times New Roman" w:cs="Times New Roman"/>
                <w:b/>
                <w:bCs/>
                <w:color w:val="auto"/>
                <w:kern w:val="24"/>
                <w:sz w:val="24"/>
                <w:szCs w:val="24"/>
                <w:highlight w:val="none"/>
              </w:rPr>
              <w:t>表2-</w:t>
            </w:r>
            <w:r>
              <w:rPr>
                <w:rFonts w:hint="eastAsia" w:cs="Times New Roman"/>
                <w:b/>
                <w:bCs/>
                <w:color w:val="auto"/>
                <w:kern w:val="24"/>
                <w:sz w:val="24"/>
                <w:szCs w:val="24"/>
                <w:highlight w:val="none"/>
                <w:lang w:val="en-US" w:eastAsia="zh-CN"/>
              </w:rPr>
              <w:t>5</w:t>
            </w:r>
            <w:r>
              <w:rPr>
                <w:rFonts w:hint="default" w:ascii="Times New Roman" w:hAnsi="Times New Roman" w:cs="Times New Roman"/>
                <w:b/>
                <w:bCs/>
                <w:color w:val="auto"/>
                <w:kern w:val="24"/>
                <w:sz w:val="24"/>
                <w:szCs w:val="24"/>
                <w:highlight w:val="none"/>
                <w:lang w:val="en-US" w:eastAsia="zh-CN"/>
              </w:rPr>
              <w:t xml:space="preserve">  </w:t>
            </w:r>
            <w:r>
              <w:rPr>
                <w:rFonts w:hint="eastAsia" w:cs="Times New Roman"/>
                <w:b/>
                <w:bCs/>
                <w:color w:val="auto"/>
                <w:kern w:val="24"/>
                <w:sz w:val="24"/>
                <w:szCs w:val="24"/>
                <w:highlight w:val="none"/>
                <w:lang w:val="en-US" w:eastAsia="zh-CN"/>
              </w:rPr>
              <w:t>项目渗滤液处理站</w:t>
            </w:r>
            <w:r>
              <w:rPr>
                <w:rFonts w:hint="default" w:ascii="Times New Roman" w:hAnsi="Times New Roman" w:cs="Times New Roman"/>
                <w:b/>
                <w:bCs/>
                <w:color w:val="auto"/>
                <w:kern w:val="24"/>
                <w:sz w:val="24"/>
                <w:szCs w:val="24"/>
                <w:highlight w:val="none"/>
              </w:rPr>
              <w:t>设备</w:t>
            </w:r>
            <w:r>
              <w:rPr>
                <w:rFonts w:hint="eastAsia" w:cs="Times New Roman"/>
                <w:b/>
                <w:bCs/>
                <w:color w:val="auto"/>
                <w:kern w:val="24"/>
                <w:sz w:val="24"/>
                <w:szCs w:val="24"/>
                <w:highlight w:val="none"/>
                <w:lang w:eastAsia="zh-CN"/>
              </w:rPr>
              <w:t>清单</w:t>
            </w:r>
            <w:r>
              <w:rPr>
                <w:rFonts w:hint="default" w:ascii="Times New Roman" w:hAnsi="Times New Roman" w:cs="Times New Roman"/>
                <w:b/>
                <w:bCs/>
                <w:color w:val="auto"/>
                <w:kern w:val="24"/>
                <w:sz w:val="24"/>
                <w:szCs w:val="24"/>
                <w:highlight w:val="none"/>
              </w:rPr>
              <w:t>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927"/>
              <w:gridCol w:w="4504"/>
              <w:gridCol w:w="1258"/>
            </w:tblGrid>
            <w:tr w14:paraId="6F34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0F03AF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kern w:val="24"/>
                      <w:sz w:val="21"/>
                      <w:szCs w:val="21"/>
                      <w:highlight w:val="none"/>
                      <w:vertAlign w:val="baseline"/>
                      <w:lang w:eastAsia="zh-CN"/>
                    </w:rPr>
                  </w:pPr>
                  <w:r>
                    <w:rPr>
                      <w:rFonts w:hint="eastAsia" w:cs="Times New Roman"/>
                      <w:b/>
                      <w:bCs/>
                      <w:color w:val="auto"/>
                      <w:kern w:val="24"/>
                      <w:sz w:val="21"/>
                      <w:szCs w:val="21"/>
                      <w:highlight w:val="none"/>
                      <w:vertAlign w:val="baseline"/>
                      <w:lang w:eastAsia="zh-CN"/>
                    </w:rPr>
                    <w:t>序号</w:t>
                  </w:r>
                </w:p>
              </w:tc>
              <w:tc>
                <w:tcPr>
                  <w:tcW w:w="1146" w:type="pct"/>
                  <w:tcBorders>
                    <w:tl2br w:val="nil"/>
                    <w:tr2bl w:val="nil"/>
                  </w:tcBorders>
                  <w:vAlign w:val="center"/>
                </w:tcPr>
                <w:p w14:paraId="48A6F0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kern w:val="24"/>
                      <w:sz w:val="21"/>
                      <w:szCs w:val="21"/>
                      <w:highlight w:val="none"/>
                      <w:vertAlign w:val="baseline"/>
                      <w:lang w:eastAsia="zh-CN"/>
                    </w:rPr>
                  </w:pPr>
                  <w:r>
                    <w:rPr>
                      <w:rFonts w:hint="eastAsia" w:cs="Times New Roman"/>
                      <w:b/>
                      <w:bCs/>
                      <w:color w:val="auto"/>
                      <w:kern w:val="24"/>
                      <w:sz w:val="21"/>
                      <w:szCs w:val="21"/>
                      <w:highlight w:val="none"/>
                      <w:vertAlign w:val="baseline"/>
                      <w:lang w:eastAsia="zh-CN"/>
                    </w:rPr>
                    <w:t>设备名称</w:t>
                  </w:r>
                </w:p>
              </w:tc>
              <w:tc>
                <w:tcPr>
                  <w:tcW w:w="2679" w:type="pct"/>
                  <w:tcBorders>
                    <w:tl2br w:val="nil"/>
                    <w:tr2bl w:val="nil"/>
                  </w:tcBorders>
                  <w:vAlign w:val="center"/>
                </w:tcPr>
                <w:p w14:paraId="76206F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kern w:val="24"/>
                      <w:sz w:val="21"/>
                      <w:szCs w:val="21"/>
                      <w:highlight w:val="none"/>
                      <w:vertAlign w:val="baseline"/>
                      <w:lang w:eastAsia="zh-CN"/>
                    </w:rPr>
                  </w:pPr>
                  <w:r>
                    <w:rPr>
                      <w:rFonts w:hint="eastAsia" w:cs="Times New Roman"/>
                      <w:b/>
                      <w:bCs/>
                      <w:color w:val="auto"/>
                      <w:kern w:val="24"/>
                      <w:sz w:val="21"/>
                      <w:szCs w:val="21"/>
                      <w:highlight w:val="none"/>
                      <w:vertAlign w:val="baseline"/>
                      <w:lang w:eastAsia="zh-CN"/>
                    </w:rPr>
                    <w:t>型号参数</w:t>
                  </w:r>
                </w:p>
              </w:tc>
              <w:tc>
                <w:tcPr>
                  <w:tcW w:w="747" w:type="pct"/>
                  <w:tcBorders>
                    <w:tl2br w:val="nil"/>
                    <w:tr2bl w:val="nil"/>
                  </w:tcBorders>
                  <w:vAlign w:val="center"/>
                </w:tcPr>
                <w:p w14:paraId="727748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kern w:val="24"/>
                      <w:sz w:val="21"/>
                      <w:szCs w:val="21"/>
                      <w:highlight w:val="none"/>
                      <w:vertAlign w:val="baseline"/>
                      <w:lang w:eastAsia="zh-CN"/>
                    </w:rPr>
                  </w:pPr>
                  <w:r>
                    <w:rPr>
                      <w:rFonts w:hint="eastAsia" w:cs="Times New Roman"/>
                      <w:b/>
                      <w:bCs/>
                      <w:color w:val="auto"/>
                      <w:kern w:val="24"/>
                      <w:sz w:val="21"/>
                      <w:szCs w:val="21"/>
                      <w:highlight w:val="none"/>
                      <w:vertAlign w:val="baseline"/>
                      <w:lang w:eastAsia="zh-CN"/>
                    </w:rPr>
                    <w:t>数量</w:t>
                  </w:r>
                </w:p>
              </w:tc>
            </w:tr>
            <w:tr w14:paraId="2C2D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165FCB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一</w:t>
                  </w:r>
                </w:p>
              </w:tc>
              <w:tc>
                <w:tcPr>
                  <w:tcW w:w="4573" w:type="pct"/>
                  <w:gridSpan w:val="3"/>
                  <w:tcBorders>
                    <w:tl2br w:val="nil"/>
                    <w:tr2bl w:val="nil"/>
                  </w:tcBorders>
                  <w:vAlign w:val="center"/>
                </w:tcPr>
                <w:p w14:paraId="5EDEADB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
                      <w:bCs/>
                      <w:color w:val="auto"/>
                      <w:kern w:val="24"/>
                      <w:sz w:val="21"/>
                      <w:szCs w:val="21"/>
                      <w:highlight w:val="none"/>
                      <w:vertAlign w:val="baseline"/>
                      <w:lang w:eastAsia="zh-CN"/>
                    </w:rPr>
                  </w:pPr>
                  <w:r>
                    <w:rPr>
                      <w:rFonts w:hint="eastAsia" w:cs="Times New Roman"/>
                      <w:b/>
                      <w:bCs/>
                      <w:color w:val="auto"/>
                      <w:kern w:val="24"/>
                      <w:sz w:val="21"/>
                      <w:szCs w:val="21"/>
                      <w:highlight w:val="none"/>
                      <w:vertAlign w:val="baseline"/>
                      <w:lang w:val="en-US" w:eastAsia="zh-CN"/>
                    </w:rPr>
                    <w:t>调节池提泵单元</w:t>
                  </w:r>
                </w:p>
              </w:tc>
            </w:tr>
            <w:tr w14:paraId="1EA7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76B71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1</w:t>
                  </w:r>
                </w:p>
              </w:tc>
              <w:tc>
                <w:tcPr>
                  <w:tcW w:w="1146" w:type="pct"/>
                  <w:tcBorders>
                    <w:tl2br w:val="nil"/>
                    <w:tr2bl w:val="nil"/>
                  </w:tcBorders>
                  <w:vAlign w:val="center"/>
                </w:tcPr>
                <w:p w14:paraId="51331C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调节池提升泵组</w:t>
                  </w:r>
                </w:p>
              </w:tc>
              <w:tc>
                <w:tcPr>
                  <w:tcW w:w="2679" w:type="pct"/>
                  <w:tcBorders>
                    <w:tl2br w:val="nil"/>
                    <w:tr2bl w:val="nil"/>
                  </w:tcBorders>
                  <w:vAlign w:val="center"/>
                </w:tcPr>
                <w:p w14:paraId="4C601E01">
                  <w:pPr>
                    <w:keepNext w:val="0"/>
                    <w:keepLines w:val="0"/>
                    <w:widowControl/>
                    <w:suppressLineNumbers w:val="0"/>
                    <w:jc w:val="left"/>
                    <w:rPr>
                      <w:rFonts w:hint="eastAsia" w:cs="Times New Roman"/>
                      <w:b w:val="0"/>
                      <w:bCs w:val="0"/>
                      <w:color w:val="auto"/>
                      <w:kern w:val="24"/>
                      <w:sz w:val="21"/>
                      <w:szCs w:val="21"/>
                      <w:highlight w:val="none"/>
                      <w:vertAlign w:val="baseline"/>
                      <w:lang w:eastAsia="zh-CN"/>
                    </w:rPr>
                  </w:pPr>
                  <w:r>
                    <w:rPr>
                      <w:rFonts w:hint="default" w:ascii="Times New Roman" w:hAnsi="Times New Roman" w:eastAsia="宋体" w:cs="Times New Roman"/>
                      <w:color w:val="auto"/>
                      <w:kern w:val="0"/>
                      <w:sz w:val="22"/>
                      <w:szCs w:val="22"/>
                      <w:highlight w:val="none"/>
                      <w:lang w:val="en-US" w:eastAsia="zh-CN" w:bidi="ar"/>
                    </w:rPr>
                    <w:t>Q=6m</w:t>
                  </w:r>
                  <w:r>
                    <w:rPr>
                      <w:rFonts w:hint="eastAsia" w:ascii="宋体" w:hAnsi="宋体" w:eastAsia="宋体" w:cs="宋体"/>
                      <w:color w:val="auto"/>
                      <w:kern w:val="0"/>
                      <w:sz w:val="22"/>
                      <w:szCs w:val="22"/>
                      <w:highlight w:val="none"/>
                      <w:lang w:val="en-US" w:eastAsia="zh-CN" w:bidi="ar"/>
                    </w:rPr>
                    <w:t>³</w:t>
                  </w:r>
                  <w:r>
                    <w:rPr>
                      <w:rFonts w:hint="default" w:ascii="Times New Roman" w:hAnsi="Times New Roman" w:eastAsia="宋体" w:cs="Times New Roman"/>
                      <w:color w:val="auto"/>
                      <w:kern w:val="0"/>
                      <w:sz w:val="22"/>
                      <w:szCs w:val="22"/>
                      <w:highlight w:val="none"/>
                      <w:lang w:val="en-US" w:eastAsia="zh-CN" w:bidi="ar"/>
                    </w:rPr>
                    <w:t>/h</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H=20m</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P=0.75kW</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 xml:space="preserve">SS316 </w:t>
                  </w:r>
                  <w:r>
                    <w:rPr>
                      <w:rFonts w:hint="eastAsia" w:ascii="宋体" w:hAnsi="宋体" w:eastAsia="宋体" w:cs="宋体"/>
                      <w:color w:val="auto"/>
                      <w:kern w:val="0"/>
                      <w:sz w:val="22"/>
                      <w:szCs w:val="22"/>
                      <w:highlight w:val="none"/>
                      <w:lang w:val="en-US" w:eastAsia="zh-CN" w:bidi="ar"/>
                    </w:rPr>
                    <w:t>材质</w:t>
                  </w:r>
                </w:p>
              </w:tc>
              <w:tc>
                <w:tcPr>
                  <w:tcW w:w="747" w:type="pct"/>
                  <w:tcBorders>
                    <w:tl2br w:val="nil"/>
                    <w:tr2bl w:val="nil"/>
                  </w:tcBorders>
                  <w:vAlign w:val="center"/>
                </w:tcPr>
                <w:p w14:paraId="6586D6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7B71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265DB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2</w:t>
                  </w:r>
                </w:p>
              </w:tc>
              <w:tc>
                <w:tcPr>
                  <w:tcW w:w="1146" w:type="pct"/>
                  <w:tcBorders>
                    <w:tl2br w:val="nil"/>
                    <w:tr2bl w:val="nil"/>
                  </w:tcBorders>
                  <w:vAlign w:val="center"/>
                </w:tcPr>
                <w:p w14:paraId="342F53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提升泵安装组件</w:t>
                  </w:r>
                </w:p>
              </w:tc>
              <w:tc>
                <w:tcPr>
                  <w:tcW w:w="2679" w:type="pct"/>
                  <w:tcBorders>
                    <w:tl2br w:val="nil"/>
                    <w:tr2bl w:val="nil"/>
                  </w:tcBorders>
                  <w:vAlign w:val="center"/>
                </w:tcPr>
                <w:p w14:paraId="00584C36">
                  <w:pPr>
                    <w:keepNext w:val="0"/>
                    <w:keepLines w:val="0"/>
                    <w:widowControl/>
                    <w:suppressLineNumbers w:val="0"/>
                    <w:jc w:val="left"/>
                    <w:rPr>
                      <w:rFonts w:hint="default" w:cs="Times New Roman"/>
                      <w:b w:val="0"/>
                      <w:bCs w:val="0"/>
                      <w:color w:val="auto"/>
                      <w:kern w:val="24"/>
                      <w:sz w:val="21"/>
                      <w:szCs w:val="21"/>
                      <w:highlight w:val="none"/>
                      <w:vertAlign w:val="baseline"/>
                      <w:lang w:val="en-US" w:eastAsia="zh-CN"/>
                    </w:rPr>
                  </w:pPr>
                  <w:r>
                    <w:rPr>
                      <w:rFonts w:hint="eastAsia" w:ascii="宋体" w:hAnsi="宋体" w:eastAsia="宋体" w:cs="宋体"/>
                      <w:color w:val="auto"/>
                      <w:kern w:val="0"/>
                      <w:sz w:val="22"/>
                      <w:szCs w:val="22"/>
                      <w:highlight w:val="none"/>
                      <w:lang w:val="en-US" w:eastAsia="zh-CN" w:bidi="ar"/>
                    </w:rPr>
                    <w:t>漂浮安装，与泵配套</w:t>
                  </w:r>
                </w:p>
              </w:tc>
              <w:tc>
                <w:tcPr>
                  <w:tcW w:w="747" w:type="pct"/>
                  <w:tcBorders>
                    <w:tl2br w:val="nil"/>
                    <w:tr2bl w:val="nil"/>
                  </w:tcBorders>
                  <w:vAlign w:val="center"/>
                </w:tcPr>
                <w:p w14:paraId="22D8D1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1套</w:t>
                  </w:r>
                </w:p>
              </w:tc>
            </w:tr>
            <w:tr w14:paraId="7FC4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3E9BC0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3</w:t>
                  </w:r>
                </w:p>
              </w:tc>
              <w:tc>
                <w:tcPr>
                  <w:tcW w:w="1146" w:type="pct"/>
                  <w:tcBorders>
                    <w:tl2br w:val="nil"/>
                    <w:tr2bl w:val="nil"/>
                  </w:tcBorders>
                  <w:vAlign w:val="center"/>
                </w:tcPr>
                <w:p w14:paraId="793E72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ascii="Times New Roman" w:hAnsi="Times New Roman" w:eastAsia="宋体" w:cs="Times New Roman"/>
                      <w:b w:val="0"/>
                      <w:bCs w:val="0"/>
                      <w:color w:val="auto"/>
                      <w:kern w:val="24"/>
                      <w:sz w:val="21"/>
                      <w:szCs w:val="21"/>
                      <w:highlight w:val="none"/>
                      <w:vertAlign w:val="baseline"/>
                      <w:lang w:val="en-US" w:eastAsia="zh-CN"/>
                    </w:rPr>
                    <w:t>进水篮式过滤</w:t>
                  </w:r>
                </w:p>
              </w:tc>
              <w:tc>
                <w:tcPr>
                  <w:tcW w:w="2679" w:type="pct"/>
                  <w:tcBorders>
                    <w:tl2br w:val="nil"/>
                    <w:tr2bl w:val="nil"/>
                  </w:tcBorders>
                  <w:vAlign w:val="center"/>
                </w:tcPr>
                <w:p w14:paraId="537B9265">
                  <w:pPr>
                    <w:keepNext w:val="0"/>
                    <w:keepLines w:val="0"/>
                    <w:widowControl/>
                    <w:suppressLineNumbers w:val="0"/>
                    <w:jc w:val="left"/>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φ</w:t>
                  </w:r>
                  <w:r>
                    <w:rPr>
                      <w:rFonts w:hint="default" w:ascii="Times New Roman" w:hAnsi="Times New Roman" w:eastAsia="宋体" w:cs="Times New Roman"/>
                      <w:color w:val="auto"/>
                      <w:kern w:val="0"/>
                      <w:sz w:val="22"/>
                      <w:szCs w:val="22"/>
                      <w:highlight w:val="none"/>
                      <w:lang w:val="en-US" w:eastAsia="zh-CN" w:bidi="ar"/>
                    </w:rPr>
                    <w:t>219.1</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1mm</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 xml:space="preserve">SS316 </w:t>
                  </w:r>
                  <w:r>
                    <w:rPr>
                      <w:rFonts w:hint="eastAsia" w:ascii="宋体" w:hAnsi="宋体" w:eastAsia="宋体" w:cs="宋体"/>
                      <w:color w:val="auto"/>
                      <w:kern w:val="0"/>
                      <w:sz w:val="22"/>
                      <w:szCs w:val="22"/>
                      <w:highlight w:val="none"/>
                      <w:lang w:val="en-US" w:eastAsia="zh-CN" w:bidi="ar"/>
                    </w:rPr>
                    <w:t>材质</w:t>
                  </w:r>
                </w:p>
              </w:tc>
              <w:tc>
                <w:tcPr>
                  <w:tcW w:w="747" w:type="pct"/>
                  <w:tcBorders>
                    <w:tl2br w:val="nil"/>
                    <w:tr2bl w:val="nil"/>
                  </w:tcBorders>
                  <w:vAlign w:val="center"/>
                </w:tcPr>
                <w:p w14:paraId="6FE674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445C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28C4C3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二</w:t>
                  </w:r>
                </w:p>
              </w:tc>
              <w:tc>
                <w:tcPr>
                  <w:tcW w:w="4573" w:type="pct"/>
                  <w:gridSpan w:val="3"/>
                  <w:tcBorders>
                    <w:tl2br w:val="nil"/>
                    <w:tr2bl w:val="nil"/>
                  </w:tcBorders>
                  <w:vAlign w:val="center"/>
                </w:tcPr>
                <w:p w14:paraId="300A366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原水罐及加酸系统</w:t>
                  </w:r>
                </w:p>
              </w:tc>
            </w:tr>
            <w:tr w14:paraId="6297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62B71C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w:t>
                  </w:r>
                </w:p>
              </w:tc>
              <w:tc>
                <w:tcPr>
                  <w:tcW w:w="1146" w:type="pct"/>
                  <w:tcBorders>
                    <w:tl2br w:val="nil"/>
                    <w:tr2bl w:val="nil"/>
                  </w:tcBorders>
                  <w:vAlign w:val="center"/>
                </w:tcPr>
                <w:p w14:paraId="2F0968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eastAsia="zh-CN"/>
                    </w:rPr>
                  </w:pPr>
                  <w:r>
                    <w:rPr>
                      <w:rFonts w:hint="eastAsia" w:ascii="Times New Roman" w:hAnsi="Times New Roman" w:eastAsia="宋体" w:cs="Times New Roman"/>
                      <w:b w:val="0"/>
                      <w:bCs w:val="0"/>
                      <w:color w:val="auto"/>
                      <w:kern w:val="24"/>
                      <w:sz w:val="21"/>
                      <w:szCs w:val="21"/>
                      <w:highlight w:val="none"/>
                      <w:vertAlign w:val="baseline"/>
                      <w:lang w:val="en-US" w:eastAsia="zh-CN"/>
                    </w:rPr>
                    <w:t>渗滤液原水储罐</w:t>
                  </w:r>
                </w:p>
              </w:tc>
              <w:tc>
                <w:tcPr>
                  <w:tcW w:w="2679" w:type="pct"/>
                  <w:tcBorders>
                    <w:tl2br w:val="nil"/>
                    <w:tr2bl w:val="nil"/>
                  </w:tcBorders>
                  <w:vAlign w:val="center"/>
                </w:tcPr>
                <w:p w14:paraId="123523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cs="Times New Roman"/>
                      <w:b w:val="0"/>
                      <w:bCs w:val="0"/>
                      <w:color w:val="auto"/>
                      <w:kern w:val="24"/>
                      <w:sz w:val="21"/>
                      <w:szCs w:val="21"/>
                      <w:highlight w:val="none"/>
                      <w:vertAlign w:val="baseline"/>
                      <w:lang w:val="en-US" w:eastAsia="zh-CN"/>
                    </w:rPr>
                    <w:t>V=5000L，材质 PE</w:t>
                  </w:r>
                </w:p>
              </w:tc>
              <w:tc>
                <w:tcPr>
                  <w:tcW w:w="747" w:type="pct"/>
                  <w:tcBorders>
                    <w:tl2br w:val="nil"/>
                    <w:tr2bl w:val="nil"/>
                  </w:tcBorders>
                  <w:vAlign w:val="center"/>
                </w:tcPr>
                <w:p w14:paraId="0D2081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1个</w:t>
                  </w:r>
                </w:p>
              </w:tc>
            </w:tr>
            <w:tr w14:paraId="7CA0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5E4293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2</w:t>
                  </w:r>
                </w:p>
              </w:tc>
              <w:tc>
                <w:tcPr>
                  <w:tcW w:w="1146" w:type="pct"/>
                  <w:tcBorders>
                    <w:tl2br w:val="nil"/>
                    <w:tr2bl w:val="nil"/>
                  </w:tcBorders>
                  <w:vAlign w:val="center"/>
                </w:tcPr>
                <w:p w14:paraId="67EA89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eastAsia="zh-CN"/>
                    </w:rPr>
                  </w:pPr>
                  <w:r>
                    <w:rPr>
                      <w:rFonts w:hint="eastAsia" w:ascii="Times New Roman" w:hAnsi="Times New Roman" w:eastAsia="宋体" w:cs="Times New Roman"/>
                      <w:b w:val="0"/>
                      <w:bCs w:val="0"/>
                      <w:color w:val="auto"/>
                      <w:kern w:val="24"/>
                      <w:sz w:val="21"/>
                      <w:szCs w:val="21"/>
                      <w:highlight w:val="none"/>
                      <w:vertAlign w:val="baseline"/>
                      <w:lang w:val="en-US" w:eastAsia="zh-CN"/>
                    </w:rPr>
                    <w:t>加酸搅拌离心泵</w:t>
                  </w:r>
                </w:p>
              </w:tc>
              <w:tc>
                <w:tcPr>
                  <w:tcW w:w="2679" w:type="pct"/>
                  <w:tcBorders>
                    <w:tl2br w:val="nil"/>
                    <w:tr2bl w:val="nil"/>
                  </w:tcBorders>
                  <w:vAlign w:val="center"/>
                </w:tcPr>
                <w:p w14:paraId="36FCCC34">
                  <w:pPr>
                    <w:keepNext w:val="0"/>
                    <w:keepLines w:val="0"/>
                    <w:widowControl/>
                    <w:suppressLineNumbers w:val="0"/>
                    <w:jc w:val="left"/>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eastAsia="宋体" w:cs="Times New Roman"/>
                      <w:color w:val="auto"/>
                      <w:kern w:val="0"/>
                      <w:sz w:val="22"/>
                      <w:szCs w:val="22"/>
                      <w:highlight w:val="none"/>
                      <w:lang w:val="en-US" w:eastAsia="zh-CN" w:bidi="ar"/>
                    </w:rPr>
                    <w:t>Q=6m</w:t>
                  </w:r>
                  <w:r>
                    <w:rPr>
                      <w:rFonts w:hint="eastAsia" w:ascii="宋体" w:hAnsi="宋体" w:eastAsia="宋体" w:cs="宋体"/>
                      <w:color w:val="auto"/>
                      <w:kern w:val="0"/>
                      <w:sz w:val="22"/>
                      <w:szCs w:val="22"/>
                      <w:highlight w:val="none"/>
                      <w:lang w:val="en-US" w:eastAsia="zh-CN" w:bidi="ar"/>
                    </w:rPr>
                    <w:t>³</w:t>
                  </w:r>
                  <w:r>
                    <w:rPr>
                      <w:rFonts w:hint="default" w:ascii="Times New Roman" w:hAnsi="Times New Roman" w:eastAsia="宋体" w:cs="Times New Roman"/>
                      <w:color w:val="auto"/>
                      <w:kern w:val="0"/>
                      <w:sz w:val="22"/>
                      <w:szCs w:val="22"/>
                      <w:highlight w:val="none"/>
                      <w:lang w:val="en-US" w:eastAsia="zh-CN" w:bidi="ar"/>
                    </w:rPr>
                    <w:t>/h</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H=20m</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P=0.55kW</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 xml:space="preserve">SS316 </w:t>
                  </w:r>
                  <w:r>
                    <w:rPr>
                      <w:rFonts w:hint="eastAsia" w:ascii="宋体" w:hAnsi="宋体" w:eastAsia="宋体" w:cs="宋体"/>
                      <w:color w:val="auto"/>
                      <w:kern w:val="0"/>
                      <w:sz w:val="22"/>
                      <w:szCs w:val="22"/>
                      <w:highlight w:val="none"/>
                      <w:lang w:val="en-US" w:eastAsia="zh-CN" w:bidi="ar"/>
                    </w:rPr>
                    <w:t>材质</w:t>
                  </w:r>
                </w:p>
              </w:tc>
              <w:tc>
                <w:tcPr>
                  <w:tcW w:w="747" w:type="pct"/>
                  <w:tcBorders>
                    <w:tl2br w:val="nil"/>
                    <w:tr2bl w:val="nil"/>
                  </w:tcBorders>
                  <w:vAlign w:val="center"/>
                </w:tcPr>
                <w:p w14:paraId="0F1597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65F0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5D389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3</w:t>
                  </w:r>
                </w:p>
              </w:tc>
              <w:tc>
                <w:tcPr>
                  <w:tcW w:w="1146" w:type="pct"/>
                  <w:tcBorders>
                    <w:tl2br w:val="nil"/>
                    <w:tr2bl w:val="nil"/>
                  </w:tcBorders>
                  <w:vAlign w:val="center"/>
                </w:tcPr>
                <w:p w14:paraId="7A89BE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储酸罐</w:t>
                  </w:r>
                </w:p>
              </w:tc>
              <w:tc>
                <w:tcPr>
                  <w:tcW w:w="2679" w:type="pct"/>
                  <w:tcBorders>
                    <w:tl2br w:val="nil"/>
                    <w:tr2bl w:val="nil"/>
                  </w:tcBorders>
                  <w:vAlign w:val="center"/>
                </w:tcPr>
                <w:p w14:paraId="42D552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lang w:val="en-US" w:eastAsia="zh-CN"/>
                    </w:rPr>
                  </w:pPr>
                  <w:r>
                    <w:rPr>
                      <w:rFonts w:hint="default" w:ascii="Times New Roman" w:hAnsi="Times New Roman" w:cs="Times New Roman"/>
                      <w:b w:val="0"/>
                      <w:bCs w:val="0"/>
                      <w:color w:val="auto"/>
                      <w:kern w:val="24"/>
                      <w:sz w:val="21"/>
                      <w:szCs w:val="21"/>
                      <w:highlight w:val="none"/>
                      <w:vertAlign w:val="baseline"/>
                      <w:lang w:val="en-US" w:eastAsia="zh-CN"/>
                    </w:rPr>
                    <w:t>V=5000L，Q235材质</w:t>
                  </w:r>
                </w:p>
              </w:tc>
              <w:tc>
                <w:tcPr>
                  <w:tcW w:w="747" w:type="pct"/>
                  <w:tcBorders>
                    <w:tl2br w:val="nil"/>
                    <w:tr2bl w:val="nil"/>
                  </w:tcBorders>
                  <w:vAlign w:val="center"/>
                </w:tcPr>
                <w:p w14:paraId="0458EC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1个</w:t>
                  </w:r>
                </w:p>
              </w:tc>
            </w:tr>
            <w:tr w14:paraId="3073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149DA1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4</w:t>
                  </w:r>
                </w:p>
              </w:tc>
              <w:tc>
                <w:tcPr>
                  <w:tcW w:w="1146" w:type="pct"/>
                  <w:tcBorders>
                    <w:tl2br w:val="nil"/>
                    <w:tr2bl w:val="nil"/>
                  </w:tcBorders>
                  <w:vAlign w:val="center"/>
                </w:tcPr>
                <w:p w14:paraId="038210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酸添加计量泵</w:t>
                  </w:r>
                </w:p>
              </w:tc>
              <w:tc>
                <w:tcPr>
                  <w:tcW w:w="2679" w:type="pct"/>
                  <w:tcBorders>
                    <w:tl2br w:val="nil"/>
                    <w:tr2bl w:val="nil"/>
                  </w:tcBorders>
                  <w:vAlign w:val="center"/>
                </w:tcPr>
                <w:p w14:paraId="047B9A42">
                  <w:pPr>
                    <w:keepNext w:val="0"/>
                    <w:keepLines w:val="0"/>
                    <w:widowControl/>
                    <w:suppressLineNumbers w:val="0"/>
                    <w:jc w:val="left"/>
                    <w:rPr>
                      <w:rFonts w:hint="default" w:ascii="Times New Roman" w:hAnsi="Times New Roman" w:cs="Times New Roman"/>
                      <w:b w:val="0"/>
                      <w:bCs w:val="0"/>
                      <w:color w:val="auto"/>
                      <w:kern w:val="24"/>
                      <w:sz w:val="21"/>
                      <w:szCs w:val="21"/>
                      <w:highlight w:val="none"/>
                      <w:vertAlign w:val="baseline"/>
                      <w:lang w:val="en-US" w:eastAsia="zh-CN"/>
                    </w:rPr>
                  </w:pPr>
                  <w:r>
                    <w:rPr>
                      <w:rFonts w:hint="default" w:ascii="Times New Roman" w:hAnsi="Times New Roman" w:eastAsia="宋体" w:cs="Times New Roman"/>
                      <w:color w:val="auto"/>
                      <w:kern w:val="0"/>
                      <w:sz w:val="22"/>
                      <w:szCs w:val="22"/>
                      <w:highlight w:val="none"/>
                      <w:lang w:val="en-US" w:eastAsia="zh-CN" w:bidi="ar"/>
                    </w:rPr>
                    <w:t>Q=63L/h</w:t>
                  </w:r>
                  <w:r>
                    <w:rPr>
                      <w:rFonts w:hint="eastAsia" w:ascii="宋体" w:hAnsi="宋体" w:eastAsia="宋体" w:cs="宋体"/>
                      <w:color w:val="auto"/>
                      <w:kern w:val="0"/>
                      <w:sz w:val="22"/>
                      <w:szCs w:val="22"/>
                      <w:highlight w:val="none"/>
                      <w:lang w:val="en-US" w:eastAsia="zh-CN" w:bidi="ar"/>
                    </w:rPr>
                    <w:t xml:space="preserve">，最大背压 </w:t>
                  </w:r>
                  <w:r>
                    <w:rPr>
                      <w:rFonts w:hint="default" w:ascii="Times New Roman" w:hAnsi="Times New Roman" w:eastAsia="宋体" w:cs="Times New Roman"/>
                      <w:color w:val="auto"/>
                      <w:kern w:val="0"/>
                      <w:sz w:val="22"/>
                      <w:szCs w:val="22"/>
                      <w:highlight w:val="none"/>
                      <w:lang w:val="en-US" w:eastAsia="zh-CN" w:bidi="ar"/>
                    </w:rPr>
                    <w:t>7bar</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P=0.11kW</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4-20mA</w:t>
                  </w:r>
                  <w:r>
                    <w:rPr>
                      <w:rFonts w:hint="eastAsia" w:ascii="宋体" w:hAnsi="宋体" w:eastAsia="宋体" w:cs="宋体"/>
                      <w:color w:val="auto"/>
                      <w:kern w:val="0"/>
                      <w:sz w:val="22"/>
                      <w:szCs w:val="22"/>
                      <w:highlight w:val="none"/>
                      <w:lang w:val="en-US" w:eastAsia="zh-CN" w:bidi="ar"/>
                    </w:rPr>
                    <w:t>外控</w:t>
                  </w:r>
                </w:p>
              </w:tc>
              <w:tc>
                <w:tcPr>
                  <w:tcW w:w="747" w:type="pct"/>
                  <w:tcBorders>
                    <w:tl2br w:val="nil"/>
                    <w:tr2bl w:val="nil"/>
                  </w:tcBorders>
                  <w:vAlign w:val="center"/>
                </w:tcPr>
                <w:p w14:paraId="3B1EB4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4878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1E020D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三</w:t>
                  </w:r>
                </w:p>
              </w:tc>
              <w:tc>
                <w:tcPr>
                  <w:tcW w:w="4573" w:type="pct"/>
                  <w:gridSpan w:val="3"/>
                  <w:tcBorders>
                    <w:tl2br w:val="nil"/>
                    <w:tr2bl w:val="nil"/>
                  </w:tcBorders>
                  <w:vAlign w:val="center"/>
                </w:tcPr>
                <w:p w14:paraId="138C27A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预过滤单元</w:t>
                  </w:r>
                </w:p>
              </w:tc>
            </w:tr>
            <w:tr w14:paraId="4644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7D77B6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w:t>
                  </w:r>
                </w:p>
              </w:tc>
              <w:tc>
                <w:tcPr>
                  <w:tcW w:w="1146" w:type="pct"/>
                  <w:tcBorders>
                    <w:tl2br w:val="nil"/>
                    <w:tr2bl w:val="nil"/>
                  </w:tcBorders>
                  <w:vAlign w:val="center"/>
                </w:tcPr>
                <w:p w14:paraId="19711A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cs="Times New Roman"/>
                      <w:b w:val="0"/>
                      <w:bCs w:val="0"/>
                      <w:color w:val="auto"/>
                      <w:kern w:val="24"/>
                      <w:sz w:val="21"/>
                      <w:szCs w:val="21"/>
                      <w:highlight w:val="none"/>
                      <w:vertAlign w:val="baseline"/>
                      <w:lang w:val="en-US" w:eastAsia="zh-CN"/>
                    </w:rPr>
                    <w:t>砂滤进水泵</w:t>
                  </w:r>
                </w:p>
              </w:tc>
              <w:tc>
                <w:tcPr>
                  <w:tcW w:w="2679" w:type="pct"/>
                  <w:tcBorders>
                    <w:tl2br w:val="nil"/>
                    <w:tr2bl w:val="nil"/>
                  </w:tcBorders>
                  <w:vAlign w:val="center"/>
                </w:tcPr>
                <w:p w14:paraId="0E46FC8C">
                  <w:pPr>
                    <w:keepNext w:val="0"/>
                    <w:keepLines w:val="0"/>
                    <w:widowControl/>
                    <w:suppressLineNumbers w:val="0"/>
                    <w:jc w:val="left"/>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eastAsia="宋体" w:cs="Times New Roman"/>
                      <w:color w:val="auto"/>
                      <w:kern w:val="0"/>
                      <w:sz w:val="22"/>
                      <w:szCs w:val="22"/>
                      <w:highlight w:val="none"/>
                      <w:lang w:val="en-US" w:eastAsia="zh-CN" w:bidi="ar"/>
                    </w:rPr>
                    <w:t>Q=6m</w:t>
                  </w:r>
                  <w:r>
                    <w:rPr>
                      <w:rFonts w:hint="eastAsia" w:ascii="宋体" w:hAnsi="宋体" w:eastAsia="宋体" w:cs="宋体"/>
                      <w:color w:val="auto"/>
                      <w:kern w:val="0"/>
                      <w:sz w:val="22"/>
                      <w:szCs w:val="22"/>
                      <w:highlight w:val="none"/>
                      <w:lang w:val="en-US" w:eastAsia="zh-CN" w:bidi="ar"/>
                    </w:rPr>
                    <w:t>³</w:t>
                  </w:r>
                  <w:r>
                    <w:rPr>
                      <w:rFonts w:hint="default" w:ascii="Times New Roman" w:hAnsi="Times New Roman" w:eastAsia="宋体" w:cs="Times New Roman"/>
                      <w:color w:val="auto"/>
                      <w:kern w:val="0"/>
                      <w:sz w:val="22"/>
                      <w:szCs w:val="22"/>
                      <w:highlight w:val="none"/>
                      <w:lang w:val="en-US" w:eastAsia="zh-CN" w:bidi="ar"/>
                    </w:rPr>
                    <w:t>/h</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H=20m</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P=0.55kW</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 xml:space="preserve">SS316 </w:t>
                  </w:r>
                  <w:r>
                    <w:rPr>
                      <w:rFonts w:hint="eastAsia" w:ascii="宋体" w:hAnsi="宋体" w:eastAsia="宋体" w:cs="宋体"/>
                      <w:color w:val="auto"/>
                      <w:kern w:val="0"/>
                      <w:sz w:val="22"/>
                      <w:szCs w:val="22"/>
                      <w:highlight w:val="none"/>
                      <w:lang w:val="en-US" w:eastAsia="zh-CN" w:bidi="ar"/>
                    </w:rPr>
                    <w:t>材质</w:t>
                  </w:r>
                </w:p>
              </w:tc>
              <w:tc>
                <w:tcPr>
                  <w:tcW w:w="747" w:type="pct"/>
                  <w:tcBorders>
                    <w:tl2br w:val="nil"/>
                    <w:tr2bl w:val="nil"/>
                  </w:tcBorders>
                  <w:vAlign w:val="center"/>
                </w:tcPr>
                <w:p w14:paraId="25A363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41F1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60D6FD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2</w:t>
                  </w:r>
                </w:p>
              </w:tc>
              <w:tc>
                <w:tcPr>
                  <w:tcW w:w="1146" w:type="pct"/>
                  <w:tcBorders>
                    <w:tl2br w:val="nil"/>
                    <w:tr2bl w:val="nil"/>
                  </w:tcBorders>
                  <w:vAlign w:val="center"/>
                </w:tcPr>
                <w:p w14:paraId="10DA81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eastAsia="zh-CN"/>
                    </w:rPr>
                  </w:pPr>
                  <w:r>
                    <w:rPr>
                      <w:rFonts w:hint="eastAsia" w:ascii="Times New Roman" w:hAnsi="Times New Roman" w:eastAsia="宋体" w:cs="Times New Roman"/>
                      <w:b w:val="0"/>
                      <w:bCs w:val="0"/>
                      <w:color w:val="auto"/>
                      <w:kern w:val="24"/>
                      <w:sz w:val="21"/>
                      <w:szCs w:val="21"/>
                      <w:highlight w:val="none"/>
                      <w:vertAlign w:val="baseline"/>
                      <w:lang w:val="en-US" w:eastAsia="zh-CN"/>
                    </w:rPr>
                    <w:t>砂滤器</w:t>
                  </w:r>
                </w:p>
              </w:tc>
              <w:tc>
                <w:tcPr>
                  <w:tcW w:w="2679" w:type="pct"/>
                  <w:tcBorders>
                    <w:tl2br w:val="nil"/>
                    <w:tr2bl w:val="nil"/>
                  </w:tcBorders>
                  <w:vAlign w:val="center"/>
                </w:tcPr>
                <w:p w14:paraId="57C38907">
                  <w:pPr>
                    <w:keepNext w:val="0"/>
                    <w:keepLines w:val="0"/>
                    <w:widowControl/>
                    <w:suppressLineNumbers w:val="0"/>
                    <w:jc w:val="center"/>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eastAsia="宋体" w:cs="Times New Roman"/>
                      <w:color w:val="auto"/>
                      <w:kern w:val="0"/>
                      <w:sz w:val="22"/>
                      <w:szCs w:val="22"/>
                      <w:highlight w:val="none"/>
                      <w:lang w:val="en-US" w:eastAsia="zh-CN" w:bidi="ar"/>
                    </w:rPr>
                    <w:t>φ1020*2400mm</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 xml:space="preserve">FRP </w:t>
                  </w:r>
                  <w:r>
                    <w:rPr>
                      <w:rFonts w:hint="eastAsia" w:ascii="宋体" w:hAnsi="宋体" w:eastAsia="宋体" w:cs="宋体"/>
                      <w:color w:val="auto"/>
                      <w:kern w:val="0"/>
                      <w:sz w:val="22"/>
                      <w:szCs w:val="22"/>
                      <w:highlight w:val="none"/>
                      <w:lang w:val="en-US" w:eastAsia="zh-CN" w:bidi="ar"/>
                    </w:rPr>
                    <w:t>材质</w:t>
                  </w:r>
                </w:p>
              </w:tc>
              <w:tc>
                <w:tcPr>
                  <w:tcW w:w="747" w:type="pct"/>
                  <w:tcBorders>
                    <w:tl2br w:val="nil"/>
                    <w:tr2bl w:val="nil"/>
                  </w:tcBorders>
                  <w:vAlign w:val="center"/>
                </w:tcPr>
                <w:p w14:paraId="55E91E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1个</w:t>
                  </w:r>
                </w:p>
              </w:tc>
            </w:tr>
            <w:tr w14:paraId="388C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0CE4B5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3</w:t>
                  </w:r>
                </w:p>
              </w:tc>
              <w:tc>
                <w:tcPr>
                  <w:tcW w:w="1146" w:type="pct"/>
                  <w:tcBorders>
                    <w:tl2br w:val="nil"/>
                    <w:tr2bl w:val="nil"/>
                  </w:tcBorders>
                  <w:vAlign w:val="center"/>
                </w:tcPr>
                <w:p w14:paraId="6BC61F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砂滤风机</w:t>
                  </w:r>
                </w:p>
              </w:tc>
              <w:tc>
                <w:tcPr>
                  <w:tcW w:w="2679" w:type="pct"/>
                  <w:tcBorders>
                    <w:tl2br w:val="nil"/>
                    <w:tr2bl w:val="nil"/>
                  </w:tcBorders>
                  <w:vAlign w:val="center"/>
                </w:tcPr>
                <w:p w14:paraId="619606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lang w:val="en-US" w:eastAsia="zh-CN"/>
                    </w:rPr>
                  </w:pPr>
                  <w:r>
                    <w:rPr>
                      <w:rFonts w:hint="default" w:ascii="Times New Roman" w:hAnsi="Times New Roman" w:cs="Times New Roman"/>
                      <w:b w:val="0"/>
                      <w:bCs w:val="0"/>
                      <w:color w:val="auto"/>
                      <w:kern w:val="24"/>
                      <w:sz w:val="21"/>
                      <w:szCs w:val="21"/>
                      <w:highlight w:val="none"/>
                      <w:vertAlign w:val="baseline"/>
                      <w:lang w:val="en-US" w:eastAsia="zh-CN"/>
                    </w:rPr>
                    <w:t>KDT3.60，3kW</w:t>
                  </w:r>
                </w:p>
              </w:tc>
              <w:tc>
                <w:tcPr>
                  <w:tcW w:w="747" w:type="pct"/>
                  <w:tcBorders>
                    <w:tl2br w:val="nil"/>
                    <w:tr2bl w:val="nil"/>
                  </w:tcBorders>
                  <w:vAlign w:val="center"/>
                </w:tcPr>
                <w:p w14:paraId="2A92A3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6381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10661E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4</w:t>
                  </w:r>
                </w:p>
              </w:tc>
              <w:tc>
                <w:tcPr>
                  <w:tcW w:w="1146" w:type="pct"/>
                  <w:tcBorders>
                    <w:tl2br w:val="nil"/>
                    <w:tr2bl w:val="nil"/>
                  </w:tcBorders>
                  <w:vAlign w:val="center"/>
                </w:tcPr>
                <w:p w14:paraId="0F9143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芯式过滤器</w:t>
                  </w:r>
                </w:p>
              </w:tc>
              <w:tc>
                <w:tcPr>
                  <w:tcW w:w="2679" w:type="pct"/>
                  <w:tcBorders>
                    <w:tl2br w:val="nil"/>
                    <w:tr2bl w:val="nil"/>
                  </w:tcBorders>
                  <w:vAlign w:val="center"/>
                </w:tcPr>
                <w:p w14:paraId="318275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Q=3.7m³/h，10μm，SS316 材质</w:t>
                  </w:r>
                </w:p>
              </w:tc>
              <w:tc>
                <w:tcPr>
                  <w:tcW w:w="747" w:type="pct"/>
                  <w:tcBorders>
                    <w:tl2br w:val="nil"/>
                    <w:tr2bl w:val="nil"/>
                  </w:tcBorders>
                  <w:vAlign w:val="center"/>
                </w:tcPr>
                <w:p w14:paraId="229817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1个</w:t>
                  </w:r>
                </w:p>
              </w:tc>
            </w:tr>
            <w:tr w14:paraId="7FA0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278DB5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5</w:t>
                  </w:r>
                </w:p>
              </w:tc>
              <w:tc>
                <w:tcPr>
                  <w:tcW w:w="1146" w:type="pct"/>
                  <w:tcBorders>
                    <w:tl2br w:val="nil"/>
                    <w:tr2bl w:val="nil"/>
                  </w:tcBorders>
                  <w:vAlign w:val="center"/>
                </w:tcPr>
                <w:p w14:paraId="6E64D0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阻垢剂储罐</w:t>
                  </w:r>
                </w:p>
              </w:tc>
              <w:tc>
                <w:tcPr>
                  <w:tcW w:w="2679" w:type="pct"/>
                  <w:tcBorders>
                    <w:tl2br w:val="nil"/>
                    <w:tr2bl w:val="nil"/>
                  </w:tcBorders>
                  <w:vAlign w:val="center"/>
                </w:tcPr>
                <w:p w14:paraId="1902BA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V=100L，材质 PE</w:t>
                  </w:r>
                </w:p>
              </w:tc>
              <w:tc>
                <w:tcPr>
                  <w:tcW w:w="747" w:type="pct"/>
                  <w:tcBorders>
                    <w:tl2br w:val="nil"/>
                    <w:tr2bl w:val="nil"/>
                  </w:tcBorders>
                  <w:vAlign w:val="center"/>
                </w:tcPr>
                <w:p w14:paraId="4D1DD1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1个</w:t>
                  </w:r>
                </w:p>
              </w:tc>
            </w:tr>
            <w:tr w14:paraId="261B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4BFEE8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6</w:t>
                  </w:r>
                </w:p>
              </w:tc>
              <w:tc>
                <w:tcPr>
                  <w:tcW w:w="1146" w:type="pct"/>
                  <w:tcBorders>
                    <w:tl2br w:val="nil"/>
                    <w:tr2bl w:val="nil"/>
                  </w:tcBorders>
                  <w:vAlign w:val="center"/>
                </w:tcPr>
                <w:p w14:paraId="0B30C3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阻垢剂计量泵</w:t>
                  </w:r>
                </w:p>
              </w:tc>
              <w:tc>
                <w:tcPr>
                  <w:tcW w:w="2679" w:type="pct"/>
                  <w:tcBorders>
                    <w:tl2br w:val="nil"/>
                    <w:tr2bl w:val="nil"/>
                  </w:tcBorders>
                  <w:vAlign w:val="center"/>
                </w:tcPr>
                <w:p w14:paraId="30F1F9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 xml:space="preserve">Q=2.1L/h，最大背压 16bar，P=0.018kW， </w:t>
                  </w:r>
                </w:p>
                <w:p w14:paraId="3ABACF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PP 泵头</w:t>
                  </w:r>
                </w:p>
              </w:tc>
              <w:tc>
                <w:tcPr>
                  <w:tcW w:w="747" w:type="pct"/>
                  <w:tcBorders>
                    <w:tl2br w:val="nil"/>
                    <w:tr2bl w:val="nil"/>
                  </w:tcBorders>
                  <w:vAlign w:val="center"/>
                </w:tcPr>
                <w:p w14:paraId="085ADA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1541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36BB7F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7</w:t>
                  </w:r>
                </w:p>
              </w:tc>
              <w:tc>
                <w:tcPr>
                  <w:tcW w:w="1146" w:type="pct"/>
                  <w:tcBorders>
                    <w:tl2br w:val="nil"/>
                    <w:tr2bl w:val="nil"/>
                  </w:tcBorders>
                  <w:vAlign w:val="center"/>
                </w:tcPr>
                <w:p w14:paraId="56FD8B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val="en-US" w:eastAsia="zh-CN"/>
                    </w:rPr>
                  </w:pPr>
                  <w:r>
                    <w:rPr>
                      <w:rFonts w:hint="eastAsia" w:ascii="Times New Roman" w:hAnsi="Times New Roman" w:eastAsia="宋体" w:cs="Times New Roman"/>
                      <w:b w:val="0"/>
                      <w:bCs w:val="0"/>
                      <w:color w:val="auto"/>
                      <w:kern w:val="24"/>
                      <w:sz w:val="21"/>
                      <w:szCs w:val="21"/>
                      <w:highlight w:val="none"/>
                      <w:vertAlign w:val="baseline"/>
                      <w:lang w:val="en-US" w:eastAsia="zh-CN"/>
                    </w:rPr>
                    <w:t>消泡剂储罐</w:t>
                  </w:r>
                </w:p>
              </w:tc>
              <w:tc>
                <w:tcPr>
                  <w:tcW w:w="2679" w:type="pct"/>
                  <w:tcBorders>
                    <w:tl2br w:val="nil"/>
                    <w:tr2bl w:val="nil"/>
                  </w:tcBorders>
                  <w:vAlign w:val="center"/>
                </w:tcPr>
                <w:p w14:paraId="04F722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V=100L，材质PE，含搅拌器 0.37kW</w:t>
                  </w:r>
                </w:p>
              </w:tc>
              <w:tc>
                <w:tcPr>
                  <w:tcW w:w="747" w:type="pct"/>
                  <w:tcBorders>
                    <w:tl2br w:val="nil"/>
                    <w:tr2bl w:val="nil"/>
                  </w:tcBorders>
                  <w:vAlign w:val="center"/>
                </w:tcPr>
                <w:p w14:paraId="42D3DE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1个</w:t>
                  </w:r>
                </w:p>
              </w:tc>
            </w:tr>
            <w:tr w14:paraId="6C58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3AAF8D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8</w:t>
                  </w:r>
                </w:p>
              </w:tc>
              <w:tc>
                <w:tcPr>
                  <w:tcW w:w="1146" w:type="pct"/>
                  <w:tcBorders>
                    <w:tl2br w:val="nil"/>
                    <w:tr2bl w:val="nil"/>
                  </w:tcBorders>
                  <w:vAlign w:val="center"/>
                </w:tcPr>
                <w:p w14:paraId="686064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消泡剂计量泵</w:t>
                  </w:r>
                </w:p>
              </w:tc>
              <w:tc>
                <w:tcPr>
                  <w:tcW w:w="2679" w:type="pct"/>
                  <w:tcBorders>
                    <w:tl2br w:val="nil"/>
                    <w:tr2bl w:val="nil"/>
                  </w:tcBorders>
                  <w:vAlign w:val="center"/>
                </w:tcPr>
                <w:p w14:paraId="4E321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 xml:space="preserve">Q=2.1L/h，最大背压 16bar，P=0.018kW， </w:t>
                  </w:r>
                </w:p>
                <w:p w14:paraId="6A4F0E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PP 泵头</w:t>
                  </w:r>
                </w:p>
              </w:tc>
              <w:tc>
                <w:tcPr>
                  <w:tcW w:w="747" w:type="pct"/>
                  <w:tcBorders>
                    <w:tl2br w:val="nil"/>
                    <w:tr2bl w:val="nil"/>
                  </w:tcBorders>
                  <w:vAlign w:val="center"/>
                </w:tcPr>
                <w:p w14:paraId="4E042A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505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1CFFD9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四</w:t>
                  </w:r>
                </w:p>
              </w:tc>
              <w:tc>
                <w:tcPr>
                  <w:tcW w:w="1146" w:type="pct"/>
                  <w:tcBorders>
                    <w:tl2br w:val="nil"/>
                    <w:tr2bl w:val="nil"/>
                  </w:tcBorders>
                  <w:vAlign w:val="center"/>
                </w:tcPr>
                <w:p w14:paraId="041D25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一级</w:t>
                  </w:r>
                  <w:r>
                    <w:rPr>
                      <w:rFonts w:hint="eastAsia" w:ascii="Times New Roman" w:hAnsi="Times New Roman" w:eastAsia="宋体" w:cs="Times New Roman"/>
                      <w:b w:val="0"/>
                      <w:bCs w:val="0"/>
                      <w:color w:val="auto"/>
                      <w:kern w:val="24"/>
                      <w:sz w:val="21"/>
                      <w:szCs w:val="21"/>
                      <w:highlight w:val="none"/>
                      <w:vertAlign w:val="baseline"/>
                      <w:lang w:val="en-US" w:eastAsia="zh-CN"/>
                    </w:rPr>
                    <w:t>DT</w:t>
                  </w:r>
                  <w:r>
                    <w:rPr>
                      <w:rFonts w:hint="eastAsia" w:cs="Times New Roman"/>
                      <w:b w:val="0"/>
                      <w:bCs w:val="0"/>
                      <w:color w:val="auto"/>
                      <w:kern w:val="24"/>
                      <w:sz w:val="21"/>
                      <w:szCs w:val="21"/>
                      <w:highlight w:val="none"/>
                      <w:vertAlign w:val="baseline"/>
                      <w:lang w:val="en-US" w:eastAsia="zh-CN"/>
                    </w:rPr>
                    <w:t>RO系统</w:t>
                  </w:r>
                </w:p>
              </w:tc>
              <w:tc>
                <w:tcPr>
                  <w:tcW w:w="2679" w:type="pct"/>
                  <w:tcBorders>
                    <w:tl2br w:val="nil"/>
                    <w:tr2bl w:val="nil"/>
                  </w:tcBorders>
                  <w:vAlign w:val="center"/>
                </w:tcPr>
                <w:p w14:paraId="271C55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按设计配套，处理规模74.9</w:t>
                  </w:r>
                  <w:r>
                    <w:rPr>
                      <w:rFonts w:hint="eastAsia" w:cs="Times New Roman"/>
                      <w:b w:val="0"/>
                      <w:bCs w:val="0"/>
                      <w:color w:val="auto"/>
                      <w:kern w:val="24"/>
                      <w:sz w:val="21"/>
                      <w:szCs w:val="21"/>
                      <w:highlight w:val="none"/>
                      <w:vertAlign w:val="baseline"/>
                      <w:lang w:val="en-US" w:eastAsia="zh-CN"/>
                    </w:rPr>
                    <w:t>t</w:t>
                  </w:r>
                  <w:r>
                    <w:rPr>
                      <w:rFonts w:hint="default" w:cs="Times New Roman"/>
                      <w:b w:val="0"/>
                      <w:bCs w:val="0"/>
                      <w:color w:val="auto"/>
                      <w:kern w:val="24"/>
                      <w:sz w:val="21"/>
                      <w:szCs w:val="21"/>
                      <w:highlight w:val="none"/>
                      <w:vertAlign w:val="baseline"/>
                      <w:lang w:val="en-US" w:eastAsia="zh-CN"/>
                    </w:rPr>
                    <w:t>/d，含28支120bar</w:t>
                  </w:r>
                  <w:r>
                    <w:rPr>
                      <w:rFonts w:hint="eastAsia" w:ascii="Times New Roman" w:hAnsi="Times New Roman" w:eastAsia="宋体" w:cs="Times New Roman"/>
                      <w:b w:val="0"/>
                      <w:bCs w:val="0"/>
                      <w:color w:val="auto"/>
                      <w:kern w:val="24"/>
                      <w:sz w:val="21"/>
                      <w:szCs w:val="21"/>
                      <w:highlight w:val="none"/>
                      <w:vertAlign w:val="baseline"/>
                      <w:lang w:val="en-US" w:eastAsia="zh-CN"/>
                    </w:rPr>
                    <w:t>DT</w:t>
                  </w:r>
                  <w:r>
                    <w:rPr>
                      <w:rFonts w:hint="default" w:cs="Times New Roman"/>
                      <w:b w:val="0"/>
                      <w:bCs w:val="0"/>
                      <w:color w:val="auto"/>
                      <w:kern w:val="24"/>
                      <w:sz w:val="21"/>
                      <w:szCs w:val="21"/>
                      <w:highlight w:val="none"/>
                      <w:vertAlign w:val="baseline"/>
                      <w:lang w:val="en-US" w:eastAsia="zh-CN"/>
                    </w:rPr>
                    <w:t>RO膜柱</w:t>
                  </w:r>
                </w:p>
              </w:tc>
              <w:tc>
                <w:tcPr>
                  <w:tcW w:w="747" w:type="pct"/>
                  <w:tcBorders>
                    <w:tl2br w:val="nil"/>
                    <w:tr2bl w:val="nil"/>
                  </w:tcBorders>
                  <w:vAlign w:val="center"/>
                </w:tcPr>
                <w:p w14:paraId="6DC7D8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1套</w:t>
                  </w:r>
                </w:p>
              </w:tc>
            </w:tr>
            <w:tr w14:paraId="22D6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04B2B5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五</w:t>
                  </w:r>
                </w:p>
              </w:tc>
              <w:tc>
                <w:tcPr>
                  <w:tcW w:w="1146" w:type="pct"/>
                  <w:tcBorders>
                    <w:tl2br w:val="nil"/>
                    <w:tr2bl w:val="nil"/>
                  </w:tcBorders>
                  <w:vAlign w:val="center"/>
                </w:tcPr>
                <w:p w14:paraId="6D77C1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eastAsia="zh-CN"/>
                    </w:rPr>
                  </w:pPr>
                  <w:r>
                    <w:rPr>
                      <w:rFonts w:hint="eastAsia" w:ascii="Times New Roman" w:hAnsi="Times New Roman" w:eastAsia="宋体" w:cs="Times New Roman"/>
                      <w:b w:val="0"/>
                      <w:bCs w:val="0"/>
                      <w:color w:val="auto"/>
                      <w:kern w:val="24"/>
                      <w:sz w:val="21"/>
                      <w:szCs w:val="21"/>
                      <w:highlight w:val="none"/>
                      <w:vertAlign w:val="baseline"/>
                      <w:lang w:val="en-US" w:eastAsia="zh-CN"/>
                    </w:rPr>
                    <w:t>二级DTRO系统</w:t>
                  </w:r>
                </w:p>
              </w:tc>
              <w:tc>
                <w:tcPr>
                  <w:tcW w:w="2679" w:type="pct"/>
                  <w:tcBorders>
                    <w:tl2br w:val="nil"/>
                    <w:tr2bl w:val="nil"/>
                  </w:tcBorders>
                  <w:vAlign w:val="center"/>
                </w:tcPr>
                <w:p w14:paraId="709B4B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cs="Times New Roman"/>
                      <w:b w:val="0"/>
                      <w:bCs w:val="0"/>
                      <w:color w:val="auto"/>
                      <w:kern w:val="24"/>
                      <w:sz w:val="21"/>
                      <w:szCs w:val="21"/>
                      <w:highlight w:val="none"/>
                      <w:vertAlign w:val="baseline"/>
                      <w:lang w:val="en-US" w:eastAsia="zh-CN"/>
                    </w:rPr>
                    <w:t xml:space="preserve">按设计配套，处理规模51.7t/d，含7支 </w:t>
                  </w:r>
                </w:p>
                <w:p w14:paraId="23F510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cs="Times New Roman"/>
                      <w:b w:val="0"/>
                      <w:bCs w:val="0"/>
                      <w:color w:val="auto"/>
                      <w:kern w:val="24"/>
                      <w:sz w:val="21"/>
                      <w:szCs w:val="21"/>
                      <w:highlight w:val="none"/>
                      <w:vertAlign w:val="baseline"/>
                      <w:lang w:val="en-US" w:eastAsia="zh-CN"/>
                    </w:rPr>
                    <w:t>75barDTRO膜柱</w:t>
                  </w:r>
                </w:p>
              </w:tc>
              <w:tc>
                <w:tcPr>
                  <w:tcW w:w="747" w:type="pct"/>
                  <w:tcBorders>
                    <w:tl2br w:val="nil"/>
                    <w:tr2bl w:val="nil"/>
                  </w:tcBorders>
                  <w:vAlign w:val="center"/>
                </w:tcPr>
                <w:p w14:paraId="463775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1套</w:t>
                  </w:r>
                </w:p>
              </w:tc>
            </w:tr>
            <w:tr w14:paraId="0B78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709FD8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六</w:t>
                  </w:r>
                </w:p>
              </w:tc>
              <w:tc>
                <w:tcPr>
                  <w:tcW w:w="4573" w:type="pct"/>
                  <w:gridSpan w:val="3"/>
                  <w:tcBorders>
                    <w:tl2br w:val="nil"/>
                    <w:tr2bl w:val="nil"/>
                  </w:tcBorders>
                  <w:vAlign w:val="center"/>
                </w:tcPr>
                <w:p w14:paraId="242A93B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
                      <w:bCs/>
                      <w:color w:val="auto"/>
                      <w:kern w:val="24"/>
                      <w:sz w:val="21"/>
                      <w:szCs w:val="21"/>
                      <w:highlight w:val="none"/>
                      <w:vertAlign w:val="baseline"/>
                      <w:lang w:val="en-US" w:eastAsia="zh-CN"/>
                    </w:rPr>
                  </w:pPr>
                  <w:r>
                    <w:rPr>
                      <w:rFonts w:hint="eastAsia" w:ascii="Times New Roman" w:hAnsi="Times New Roman" w:eastAsia="宋体" w:cs="Times New Roman"/>
                      <w:b/>
                      <w:bCs/>
                      <w:color w:val="auto"/>
                      <w:kern w:val="24"/>
                      <w:sz w:val="21"/>
                      <w:szCs w:val="21"/>
                      <w:highlight w:val="none"/>
                      <w:vertAlign w:val="baseline"/>
                      <w:lang w:val="en-US" w:eastAsia="zh-CN"/>
                    </w:rPr>
                    <w:t>DTRO清洗单元</w:t>
                  </w:r>
                </w:p>
              </w:tc>
            </w:tr>
            <w:tr w14:paraId="490D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76A614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w:t>
                  </w:r>
                </w:p>
              </w:tc>
              <w:tc>
                <w:tcPr>
                  <w:tcW w:w="1146" w:type="pct"/>
                  <w:tcBorders>
                    <w:tl2br w:val="nil"/>
                    <w:tr2bl w:val="nil"/>
                  </w:tcBorders>
                  <w:vAlign w:val="center"/>
                </w:tcPr>
                <w:p w14:paraId="1C0279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val="en-US" w:eastAsia="zh-CN"/>
                    </w:rPr>
                  </w:pPr>
                  <w:r>
                    <w:rPr>
                      <w:rFonts w:hint="eastAsia" w:ascii="Times New Roman" w:hAnsi="Times New Roman" w:eastAsia="宋体" w:cs="Times New Roman"/>
                      <w:b w:val="0"/>
                      <w:bCs w:val="0"/>
                      <w:color w:val="auto"/>
                      <w:kern w:val="24"/>
                      <w:sz w:val="21"/>
                      <w:szCs w:val="21"/>
                      <w:highlight w:val="none"/>
                      <w:vertAlign w:val="baseline"/>
                      <w:lang w:val="en-US" w:eastAsia="zh-CN"/>
                    </w:rPr>
                    <w:t>清洗罐</w:t>
                  </w:r>
                </w:p>
              </w:tc>
              <w:tc>
                <w:tcPr>
                  <w:tcW w:w="2679" w:type="pct"/>
                  <w:tcBorders>
                    <w:tl2br w:val="nil"/>
                    <w:tr2bl w:val="nil"/>
                  </w:tcBorders>
                  <w:vAlign w:val="center"/>
                </w:tcPr>
                <w:p w14:paraId="41C646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lang w:val="en-US" w:eastAsia="zh-CN"/>
                    </w:rPr>
                  </w:pPr>
                  <w:r>
                    <w:rPr>
                      <w:rFonts w:hint="default" w:ascii="Times New Roman" w:hAnsi="Times New Roman" w:cs="Times New Roman"/>
                      <w:b w:val="0"/>
                      <w:bCs w:val="0"/>
                      <w:color w:val="auto"/>
                      <w:kern w:val="24"/>
                      <w:sz w:val="21"/>
                      <w:szCs w:val="21"/>
                      <w:highlight w:val="none"/>
                      <w:vertAlign w:val="baseline"/>
                      <w:lang w:val="en-US" w:eastAsia="zh-CN"/>
                    </w:rPr>
                    <w:t>V=400~800L，PP材质</w:t>
                  </w:r>
                </w:p>
              </w:tc>
              <w:tc>
                <w:tcPr>
                  <w:tcW w:w="747" w:type="pct"/>
                  <w:tcBorders>
                    <w:tl2br w:val="nil"/>
                    <w:tr2bl w:val="nil"/>
                  </w:tcBorders>
                  <w:vAlign w:val="center"/>
                </w:tcPr>
                <w:p w14:paraId="638BA2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1个</w:t>
                  </w:r>
                </w:p>
              </w:tc>
            </w:tr>
            <w:tr w14:paraId="613A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221410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2</w:t>
                  </w:r>
                </w:p>
              </w:tc>
              <w:tc>
                <w:tcPr>
                  <w:tcW w:w="1146" w:type="pct"/>
                  <w:tcBorders>
                    <w:tl2br w:val="nil"/>
                    <w:tr2bl w:val="nil"/>
                  </w:tcBorders>
                  <w:vAlign w:val="center"/>
                </w:tcPr>
                <w:p w14:paraId="73DC4C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cs="Times New Roman"/>
                      <w:b w:val="0"/>
                      <w:bCs w:val="0"/>
                      <w:color w:val="auto"/>
                      <w:kern w:val="24"/>
                      <w:sz w:val="21"/>
                      <w:szCs w:val="21"/>
                      <w:highlight w:val="none"/>
                      <w:vertAlign w:val="baseline"/>
                      <w:lang w:val="en-US" w:eastAsia="zh-CN"/>
                    </w:rPr>
                    <w:t>清洗剂桶泵</w:t>
                  </w:r>
                </w:p>
              </w:tc>
              <w:tc>
                <w:tcPr>
                  <w:tcW w:w="2679" w:type="pct"/>
                  <w:tcBorders>
                    <w:tl2br w:val="nil"/>
                    <w:tr2bl w:val="nil"/>
                  </w:tcBorders>
                  <w:vAlign w:val="center"/>
                </w:tcPr>
                <w:p w14:paraId="462D1F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default" w:ascii="Times New Roman" w:hAnsi="Times New Roman" w:eastAsia="宋体" w:cs="Times New Roman"/>
                      <w:b w:val="0"/>
                      <w:bCs w:val="0"/>
                      <w:color w:val="auto"/>
                      <w:kern w:val="24"/>
                      <w:sz w:val="21"/>
                      <w:szCs w:val="21"/>
                      <w:highlight w:val="none"/>
                      <w:vertAlign w:val="baseline"/>
                      <w:lang w:val="en-US" w:eastAsia="zh-CN"/>
                    </w:rPr>
                    <w:t>Q=3m³/h，H=5m，P=0.25kW，PP材质</w:t>
                  </w:r>
                </w:p>
              </w:tc>
              <w:tc>
                <w:tcPr>
                  <w:tcW w:w="747" w:type="pct"/>
                  <w:tcBorders>
                    <w:tl2br w:val="nil"/>
                    <w:tr2bl w:val="nil"/>
                  </w:tcBorders>
                  <w:vAlign w:val="center"/>
                </w:tcPr>
                <w:p w14:paraId="1F8654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1个</w:t>
                  </w:r>
                </w:p>
              </w:tc>
            </w:tr>
            <w:tr w14:paraId="139D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3A2D33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七</w:t>
                  </w:r>
                </w:p>
              </w:tc>
              <w:tc>
                <w:tcPr>
                  <w:tcW w:w="4573" w:type="pct"/>
                  <w:gridSpan w:val="3"/>
                  <w:tcBorders>
                    <w:tl2br w:val="nil"/>
                    <w:tr2bl w:val="nil"/>
                  </w:tcBorders>
                  <w:vAlign w:val="center"/>
                </w:tcPr>
                <w:p w14:paraId="371509E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清水罐及加碱单元</w:t>
                  </w:r>
                </w:p>
              </w:tc>
            </w:tr>
            <w:tr w14:paraId="33D5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387A8B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w:t>
                  </w:r>
                </w:p>
              </w:tc>
              <w:tc>
                <w:tcPr>
                  <w:tcW w:w="1146" w:type="pct"/>
                  <w:tcBorders>
                    <w:tl2br w:val="nil"/>
                    <w:tr2bl w:val="nil"/>
                  </w:tcBorders>
                  <w:vAlign w:val="center"/>
                </w:tcPr>
                <w:p w14:paraId="0107F6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lang w:val="en-US" w:eastAsia="zh-CN"/>
                    </w:rPr>
                  </w:pPr>
                  <w:r>
                    <w:rPr>
                      <w:rFonts w:hint="default" w:ascii="Times New Roman" w:hAnsi="Times New Roman" w:cs="Times New Roman"/>
                      <w:b w:val="0"/>
                      <w:bCs w:val="0"/>
                      <w:color w:val="auto"/>
                      <w:kern w:val="24"/>
                      <w:sz w:val="21"/>
                      <w:szCs w:val="21"/>
                      <w:highlight w:val="none"/>
                      <w:vertAlign w:val="baseline"/>
                      <w:lang w:val="en-US" w:eastAsia="zh-CN"/>
                    </w:rPr>
                    <w:t>净水储罐+脱气塔</w:t>
                  </w:r>
                </w:p>
              </w:tc>
              <w:tc>
                <w:tcPr>
                  <w:tcW w:w="2679" w:type="pct"/>
                  <w:tcBorders>
                    <w:tl2br w:val="nil"/>
                    <w:tr2bl w:val="nil"/>
                  </w:tcBorders>
                  <w:vAlign w:val="center"/>
                </w:tcPr>
                <w:p w14:paraId="4F71BD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default" w:ascii="Times New Roman" w:hAnsi="Times New Roman" w:eastAsia="宋体" w:cs="Times New Roman"/>
                      <w:b w:val="0"/>
                      <w:bCs w:val="0"/>
                      <w:color w:val="auto"/>
                      <w:kern w:val="24"/>
                      <w:sz w:val="21"/>
                      <w:szCs w:val="21"/>
                      <w:highlight w:val="none"/>
                      <w:vertAlign w:val="baseline"/>
                      <w:lang w:val="en-US" w:eastAsia="zh-CN"/>
                    </w:rPr>
                    <w:t>Q=4m³/h，3000L，材质 PP</w:t>
                  </w:r>
                </w:p>
              </w:tc>
              <w:tc>
                <w:tcPr>
                  <w:tcW w:w="747" w:type="pct"/>
                  <w:tcBorders>
                    <w:tl2br w:val="nil"/>
                    <w:tr2bl w:val="nil"/>
                  </w:tcBorders>
                  <w:vAlign w:val="center"/>
                </w:tcPr>
                <w:p w14:paraId="21FF59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262A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292CB5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2</w:t>
                  </w:r>
                </w:p>
              </w:tc>
              <w:tc>
                <w:tcPr>
                  <w:tcW w:w="1146" w:type="pct"/>
                  <w:tcBorders>
                    <w:tl2br w:val="nil"/>
                    <w:tr2bl w:val="nil"/>
                  </w:tcBorders>
                  <w:vAlign w:val="center"/>
                </w:tcPr>
                <w:p w14:paraId="549CBC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lang w:val="en-US" w:eastAsia="zh-CN"/>
                    </w:rPr>
                  </w:pPr>
                  <w:r>
                    <w:rPr>
                      <w:rFonts w:hint="default" w:ascii="Times New Roman" w:hAnsi="Times New Roman" w:cs="Times New Roman"/>
                      <w:b w:val="0"/>
                      <w:bCs w:val="0"/>
                      <w:color w:val="auto"/>
                      <w:kern w:val="24"/>
                      <w:sz w:val="21"/>
                      <w:szCs w:val="21"/>
                      <w:highlight w:val="none"/>
                      <w:vertAlign w:val="baseline"/>
                      <w:lang w:val="en-US" w:eastAsia="zh-CN"/>
                    </w:rPr>
                    <w:t>脱气塔风机</w:t>
                  </w:r>
                </w:p>
              </w:tc>
              <w:tc>
                <w:tcPr>
                  <w:tcW w:w="2679" w:type="pct"/>
                  <w:tcBorders>
                    <w:tl2br w:val="nil"/>
                    <w:tr2bl w:val="nil"/>
                  </w:tcBorders>
                  <w:vAlign w:val="center"/>
                </w:tcPr>
                <w:p w14:paraId="73DFE0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default" w:ascii="Times New Roman" w:hAnsi="Times New Roman" w:eastAsia="宋体" w:cs="Times New Roman"/>
                      <w:b w:val="0"/>
                      <w:bCs w:val="0"/>
                      <w:color w:val="auto"/>
                      <w:kern w:val="24"/>
                      <w:sz w:val="21"/>
                      <w:szCs w:val="21"/>
                      <w:highlight w:val="none"/>
                      <w:vertAlign w:val="baseline"/>
                      <w:lang w:val="en-US" w:eastAsia="zh-CN"/>
                    </w:rPr>
                    <w:t>Q=1000m³/h，2.5kpa，1.5kW，380V</w:t>
                  </w:r>
                </w:p>
              </w:tc>
              <w:tc>
                <w:tcPr>
                  <w:tcW w:w="747" w:type="pct"/>
                  <w:tcBorders>
                    <w:tl2br w:val="nil"/>
                    <w:tr2bl w:val="nil"/>
                  </w:tcBorders>
                  <w:vAlign w:val="center"/>
                </w:tcPr>
                <w:p w14:paraId="3BDDEA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3A51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6A3E66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3</w:t>
                  </w:r>
                </w:p>
              </w:tc>
              <w:tc>
                <w:tcPr>
                  <w:tcW w:w="1146" w:type="pct"/>
                  <w:tcBorders>
                    <w:tl2br w:val="nil"/>
                    <w:tr2bl w:val="nil"/>
                  </w:tcBorders>
                  <w:vAlign w:val="center"/>
                </w:tcPr>
                <w:p w14:paraId="0E37F0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lang w:val="en-US" w:eastAsia="zh-CN"/>
                    </w:rPr>
                  </w:pPr>
                  <w:r>
                    <w:rPr>
                      <w:rFonts w:hint="default" w:ascii="Times New Roman" w:hAnsi="Times New Roman" w:cs="Times New Roman"/>
                      <w:b w:val="0"/>
                      <w:bCs w:val="0"/>
                      <w:color w:val="auto"/>
                      <w:kern w:val="24"/>
                      <w:sz w:val="21"/>
                      <w:szCs w:val="21"/>
                      <w:highlight w:val="none"/>
                      <w:vertAlign w:val="baseline"/>
                      <w:lang w:val="en-US" w:eastAsia="zh-CN"/>
                    </w:rPr>
                    <w:t>清水输送离心泵</w:t>
                  </w:r>
                </w:p>
              </w:tc>
              <w:tc>
                <w:tcPr>
                  <w:tcW w:w="2679" w:type="pct"/>
                  <w:tcBorders>
                    <w:tl2br w:val="nil"/>
                    <w:tr2bl w:val="nil"/>
                  </w:tcBorders>
                  <w:vAlign w:val="center"/>
                </w:tcPr>
                <w:p w14:paraId="3C6A1915">
                  <w:pPr>
                    <w:keepNext w:val="0"/>
                    <w:keepLines w:val="0"/>
                    <w:widowControl/>
                    <w:suppressLineNumbers w:val="0"/>
                    <w:jc w:val="left"/>
                    <w:rPr>
                      <w:rFonts w:hint="default" w:cs="Times New Roman"/>
                      <w:b w:val="0"/>
                      <w:bCs w:val="0"/>
                      <w:color w:val="auto"/>
                      <w:kern w:val="24"/>
                      <w:sz w:val="21"/>
                      <w:szCs w:val="21"/>
                      <w:highlight w:val="none"/>
                      <w:vertAlign w:val="baseline"/>
                      <w:lang w:val="en-US" w:eastAsia="zh-CN"/>
                    </w:rPr>
                  </w:pPr>
                  <w:r>
                    <w:rPr>
                      <w:rFonts w:hint="default" w:ascii="Times New Roman" w:hAnsi="Times New Roman" w:eastAsia="宋体" w:cs="Times New Roman"/>
                      <w:color w:val="auto"/>
                      <w:kern w:val="0"/>
                      <w:sz w:val="22"/>
                      <w:szCs w:val="22"/>
                      <w:highlight w:val="none"/>
                      <w:lang w:val="en-US" w:eastAsia="zh-CN" w:bidi="ar"/>
                    </w:rPr>
                    <w:t>Q=6m</w:t>
                  </w:r>
                  <w:r>
                    <w:rPr>
                      <w:rFonts w:hint="eastAsia" w:ascii="宋体" w:hAnsi="宋体" w:eastAsia="宋体" w:cs="宋体"/>
                      <w:color w:val="auto"/>
                      <w:kern w:val="0"/>
                      <w:sz w:val="22"/>
                      <w:szCs w:val="22"/>
                      <w:highlight w:val="none"/>
                      <w:lang w:val="en-US" w:eastAsia="zh-CN" w:bidi="ar"/>
                    </w:rPr>
                    <w:t>³</w:t>
                  </w:r>
                  <w:r>
                    <w:rPr>
                      <w:rFonts w:hint="default" w:ascii="Times New Roman" w:hAnsi="Times New Roman" w:eastAsia="宋体" w:cs="Times New Roman"/>
                      <w:color w:val="auto"/>
                      <w:kern w:val="0"/>
                      <w:sz w:val="22"/>
                      <w:szCs w:val="22"/>
                      <w:highlight w:val="none"/>
                      <w:lang w:val="en-US" w:eastAsia="zh-CN" w:bidi="ar"/>
                    </w:rPr>
                    <w:t>/h</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H=20m</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P=0.55kW</w:t>
                  </w: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SS304</w:t>
                  </w:r>
                  <w:r>
                    <w:rPr>
                      <w:rFonts w:hint="eastAsia" w:ascii="宋体" w:hAnsi="宋体" w:eastAsia="宋体" w:cs="宋体"/>
                      <w:color w:val="auto"/>
                      <w:kern w:val="0"/>
                      <w:sz w:val="22"/>
                      <w:szCs w:val="22"/>
                      <w:highlight w:val="none"/>
                      <w:lang w:val="en-US" w:eastAsia="zh-CN" w:bidi="ar"/>
                    </w:rPr>
                    <w:t>材质</w:t>
                  </w:r>
                </w:p>
              </w:tc>
              <w:tc>
                <w:tcPr>
                  <w:tcW w:w="747" w:type="pct"/>
                  <w:tcBorders>
                    <w:tl2br w:val="nil"/>
                    <w:tr2bl w:val="nil"/>
                  </w:tcBorders>
                  <w:vAlign w:val="center"/>
                </w:tcPr>
                <w:p w14:paraId="52655C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5D51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17291B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4</w:t>
                  </w:r>
                </w:p>
              </w:tc>
              <w:tc>
                <w:tcPr>
                  <w:tcW w:w="1146" w:type="pct"/>
                  <w:tcBorders>
                    <w:tl2br w:val="nil"/>
                    <w:tr2bl w:val="nil"/>
                  </w:tcBorders>
                  <w:vAlign w:val="center"/>
                </w:tcPr>
                <w:p w14:paraId="31A31C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碱添加计量泵</w:t>
                  </w:r>
                </w:p>
              </w:tc>
              <w:tc>
                <w:tcPr>
                  <w:tcW w:w="2679" w:type="pct"/>
                  <w:tcBorders>
                    <w:tl2br w:val="nil"/>
                    <w:tr2bl w:val="nil"/>
                  </w:tcBorders>
                  <w:vAlign w:val="center"/>
                </w:tcPr>
                <w:p w14:paraId="774778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 xml:space="preserve">Q=7.2L/h，最大背压8bar，P=0.018kW， </w:t>
                  </w:r>
                </w:p>
                <w:p w14:paraId="5FA809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4-20mA控制</w:t>
                  </w:r>
                </w:p>
              </w:tc>
              <w:tc>
                <w:tcPr>
                  <w:tcW w:w="747" w:type="pct"/>
                  <w:tcBorders>
                    <w:tl2br w:val="nil"/>
                    <w:tr2bl w:val="nil"/>
                  </w:tcBorders>
                  <w:vAlign w:val="center"/>
                </w:tcPr>
                <w:p w14:paraId="4DB246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6A73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706C74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5</w:t>
                  </w:r>
                </w:p>
              </w:tc>
              <w:tc>
                <w:tcPr>
                  <w:tcW w:w="1146" w:type="pct"/>
                  <w:tcBorders>
                    <w:tl2br w:val="nil"/>
                    <w:tr2bl w:val="nil"/>
                  </w:tcBorders>
                  <w:vAlign w:val="center"/>
                </w:tcPr>
                <w:p w14:paraId="105E77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氢氧化钠储罐</w:t>
                  </w:r>
                </w:p>
              </w:tc>
              <w:tc>
                <w:tcPr>
                  <w:tcW w:w="2679" w:type="pct"/>
                  <w:tcBorders>
                    <w:tl2br w:val="nil"/>
                    <w:tr2bl w:val="nil"/>
                  </w:tcBorders>
                  <w:vAlign w:val="center"/>
                </w:tcPr>
                <w:p w14:paraId="294BAA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V=100L，材质 PE</w:t>
                  </w:r>
                </w:p>
              </w:tc>
              <w:tc>
                <w:tcPr>
                  <w:tcW w:w="747" w:type="pct"/>
                  <w:tcBorders>
                    <w:tl2br w:val="nil"/>
                    <w:tr2bl w:val="nil"/>
                  </w:tcBorders>
                  <w:vAlign w:val="center"/>
                </w:tcPr>
                <w:p w14:paraId="03A587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1个</w:t>
                  </w:r>
                </w:p>
              </w:tc>
            </w:tr>
            <w:tr w14:paraId="4F42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25FC59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6</w:t>
                  </w:r>
                </w:p>
              </w:tc>
              <w:tc>
                <w:tcPr>
                  <w:tcW w:w="1146" w:type="pct"/>
                  <w:tcBorders>
                    <w:tl2br w:val="nil"/>
                    <w:tr2bl w:val="nil"/>
                  </w:tcBorders>
                  <w:vAlign w:val="center"/>
                </w:tcPr>
                <w:p w14:paraId="3CFF97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空压机及气源处理</w:t>
                  </w:r>
                </w:p>
              </w:tc>
              <w:tc>
                <w:tcPr>
                  <w:tcW w:w="2679" w:type="pct"/>
                  <w:tcBorders>
                    <w:tl2br w:val="nil"/>
                    <w:tr2bl w:val="nil"/>
                  </w:tcBorders>
                  <w:vAlign w:val="center"/>
                </w:tcPr>
                <w:p w14:paraId="6799EF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default" w:cs="Times New Roman"/>
                      <w:b w:val="0"/>
                      <w:bCs w:val="0"/>
                      <w:color w:val="auto"/>
                      <w:kern w:val="24"/>
                      <w:sz w:val="21"/>
                      <w:szCs w:val="21"/>
                      <w:highlight w:val="none"/>
                      <w:vertAlign w:val="baseline"/>
                      <w:lang w:val="en-US" w:eastAsia="zh-CN"/>
                    </w:rPr>
                    <w:t>Q=0.28m³/min，7bar，P=2.2kW</w:t>
                  </w:r>
                </w:p>
              </w:tc>
              <w:tc>
                <w:tcPr>
                  <w:tcW w:w="747" w:type="pct"/>
                  <w:tcBorders>
                    <w:tl2br w:val="nil"/>
                    <w:tr2bl w:val="nil"/>
                  </w:tcBorders>
                  <w:vAlign w:val="center"/>
                </w:tcPr>
                <w:p w14:paraId="1ECE7C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4E6A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5C9856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八</w:t>
                  </w:r>
                </w:p>
              </w:tc>
              <w:tc>
                <w:tcPr>
                  <w:tcW w:w="4573" w:type="pct"/>
                  <w:gridSpan w:val="3"/>
                  <w:tcBorders>
                    <w:tl2br w:val="nil"/>
                    <w:tr2bl w:val="nil"/>
                  </w:tcBorders>
                  <w:vAlign w:val="center"/>
                </w:tcPr>
                <w:p w14:paraId="6C33722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低温蒸发单元</w:t>
                  </w:r>
                </w:p>
              </w:tc>
            </w:tr>
            <w:tr w14:paraId="41EB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04087E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w:t>
                  </w:r>
                </w:p>
              </w:tc>
              <w:tc>
                <w:tcPr>
                  <w:tcW w:w="1146" w:type="pct"/>
                  <w:tcBorders>
                    <w:tl2br w:val="nil"/>
                    <w:tr2bl w:val="nil"/>
                  </w:tcBorders>
                  <w:vAlign w:val="center"/>
                </w:tcPr>
                <w:p w14:paraId="04DAF2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浓缩液</w:t>
                  </w:r>
                  <w:r>
                    <w:rPr>
                      <w:rFonts w:hint="eastAsia" w:ascii="Times New Roman" w:hAnsi="Times New Roman" w:eastAsia="宋体" w:cs="Times New Roman"/>
                      <w:b w:val="0"/>
                      <w:bCs w:val="0"/>
                      <w:color w:val="auto"/>
                      <w:kern w:val="24"/>
                      <w:sz w:val="21"/>
                      <w:szCs w:val="21"/>
                      <w:highlight w:val="none"/>
                      <w:vertAlign w:val="baseline"/>
                      <w:lang w:val="en-US" w:eastAsia="zh-CN"/>
                    </w:rPr>
                    <w:t>进水罐</w:t>
                  </w:r>
                </w:p>
              </w:tc>
              <w:tc>
                <w:tcPr>
                  <w:tcW w:w="2679" w:type="pct"/>
                  <w:tcBorders>
                    <w:tl2br w:val="nil"/>
                    <w:tr2bl w:val="nil"/>
                  </w:tcBorders>
                  <w:vAlign w:val="center"/>
                </w:tcPr>
                <w:p w14:paraId="0A5D41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val="en-US" w:eastAsia="zh-CN"/>
                    </w:rPr>
                  </w:pPr>
                  <w:r>
                    <w:rPr>
                      <w:rFonts w:hint="default" w:ascii="Times New Roman" w:hAnsi="Times New Roman" w:cs="Times New Roman"/>
                      <w:b w:val="0"/>
                      <w:bCs w:val="0"/>
                      <w:color w:val="auto"/>
                      <w:kern w:val="24"/>
                      <w:sz w:val="21"/>
                      <w:szCs w:val="21"/>
                      <w:highlight w:val="none"/>
                      <w:vertAlign w:val="baseline"/>
                      <w:lang w:val="en-US" w:eastAsia="zh-CN"/>
                    </w:rPr>
                    <w:t>V=10m³，材质 PE</w:t>
                  </w:r>
                </w:p>
              </w:tc>
              <w:tc>
                <w:tcPr>
                  <w:tcW w:w="747" w:type="pct"/>
                  <w:tcBorders>
                    <w:tl2br w:val="nil"/>
                    <w:tr2bl w:val="nil"/>
                  </w:tcBorders>
                  <w:vAlign w:val="center"/>
                </w:tcPr>
                <w:p w14:paraId="470320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1个</w:t>
                  </w:r>
                </w:p>
              </w:tc>
            </w:tr>
            <w:tr w14:paraId="18BC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763984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2</w:t>
                  </w:r>
                </w:p>
              </w:tc>
              <w:tc>
                <w:tcPr>
                  <w:tcW w:w="1146" w:type="pct"/>
                  <w:tcBorders>
                    <w:tl2br w:val="nil"/>
                    <w:tr2bl w:val="nil"/>
                  </w:tcBorders>
                  <w:vAlign w:val="center"/>
                </w:tcPr>
                <w:p w14:paraId="730F7B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cs="Times New Roman"/>
                      <w:b w:val="0"/>
                      <w:bCs w:val="0"/>
                      <w:color w:val="auto"/>
                      <w:kern w:val="24"/>
                      <w:sz w:val="21"/>
                      <w:szCs w:val="21"/>
                      <w:highlight w:val="none"/>
                      <w:vertAlign w:val="baseline"/>
                      <w:lang w:val="en-US" w:eastAsia="zh-CN"/>
                    </w:rPr>
                    <w:t>酸投加泵</w:t>
                  </w:r>
                </w:p>
              </w:tc>
              <w:tc>
                <w:tcPr>
                  <w:tcW w:w="2679" w:type="pct"/>
                  <w:tcBorders>
                    <w:tl2br w:val="nil"/>
                    <w:tr2bl w:val="nil"/>
                  </w:tcBorders>
                  <w:vAlign w:val="center"/>
                </w:tcPr>
                <w:p w14:paraId="0A1239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cs="Times New Roman"/>
                      <w:b w:val="0"/>
                      <w:bCs w:val="0"/>
                      <w:color w:val="auto"/>
                      <w:kern w:val="24"/>
                      <w:sz w:val="21"/>
                      <w:szCs w:val="21"/>
                      <w:highlight w:val="none"/>
                      <w:vertAlign w:val="baseline"/>
                      <w:lang w:val="en-US" w:eastAsia="zh-CN"/>
                    </w:rPr>
                    <w:t xml:space="preserve">Q=63L/h，最大背压7bar，P=0.11kW，PVDF </w:t>
                  </w:r>
                </w:p>
                <w:p w14:paraId="1D5B80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rPr>
                  </w:pPr>
                  <w:r>
                    <w:rPr>
                      <w:rFonts w:hint="default" w:ascii="Times New Roman" w:hAnsi="Times New Roman" w:cs="Times New Roman"/>
                      <w:b w:val="0"/>
                      <w:bCs w:val="0"/>
                      <w:color w:val="auto"/>
                      <w:kern w:val="24"/>
                      <w:sz w:val="21"/>
                      <w:szCs w:val="21"/>
                      <w:highlight w:val="none"/>
                      <w:vertAlign w:val="baseline"/>
                      <w:lang w:val="en-US" w:eastAsia="zh-CN"/>
                    </w:rPr>
                    <w:t>材质</w:t>
                  </w:r>
                </w:p>
              </w:tc>
              <w:tc>
                <w:tcPr>
                  <w:tcW w:w="747" w:type="pct"/>
                  <w:tcBorders>
                    <w:tl2br w:val="nil"/>
                    <w:tr2bl w:val="nil"/>
                  </w:tcBorders>
                  <w:vAlign w:val="center"/>
                </w:tcPr>
                <w:p w14:paraId="1D090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1套</w:t>
                  </w:r>
                </w:p>
              </w:tc>
            </w:tr>
            <w:tr w14:paraId="7123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043B36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3</w:t>
                  </w:r>
                </w:p>
              </w:tc>
              <w:tc>
                <w:tcPr>
                  <w:tcW w:w="1146" w:type="pct"/>
                  <w:tcBorders>
                    <w:tl2br w:val="nil"/>
                    <w:tr2bl w:val="nil"/>
                  </w:tcBorders>
                  <w:vAlign w:val="center"/>
                </w:tcPr>
                <w:p w14:paraId="02AE94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eastAsia="zh-CN"/>
                    </w:rPr>
                  </w:pPr>
                  <w:r>
                    <w:rPr>
                      <w:rFonts w:hint="eastAsia" w:ascii="Times New Roman" w:hAnsi="Times New Roman" w:eastAsia="宋体" w:cs="Times New Roman"/>
                      <w:b w:val="0"/>
                      <w:bCs w:val="0"/>
                      <w:color w:val="auto"/>
                      <w:kern w:val="24"/>
                      <w:sz w:val="21"/>
                      <w:szCs w:val="21"/>
                      <w:highlight w:val="none"/>
                      <w:vertAlign w:val="baseline"/>
                      <w:lang w:val="en-US" w:eastAsia="zh-CN"/>
                    </w:rPr>
                    <w:t>消泡剂投加系统</w:t>
                  </w:r>
                </w:p>
              </w:tc>
              <w:tc>
                <w:tcPr>
                  <w:tcW w:w="2679" w:type="pct"/>
                  <w:tcBorders>
                    <w:tl2br w:val="nil"/>
                    <w:tr2bl w:val="nil"/>
                  </w:tcBorders>
                  <w:vAlign w:val="center"/>
                </w:tcPr>
                <w:p w14:paraId="58DB1E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w:t>
                  </w:r>
                </w:p>
              </w:tc>
              <w:tc>
                <w:tcPr>
                  <w:tcW w:w="747" w:type="pct"/>
                  <w:tcBorders>
                    <w:tl2br w:val="nil"/>
                    <w:tr2bl w:val="nil"/>
                  </w:tcBorders>
                  <w:vAlign w:val="center"/>
                </w:tcPr>
                <w:p w14:paraId="4F5E4E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1套</w:t>
                  </w:r>
                </w:p>
              </w:tc>
            </w:tr>
            <w:tr w14:paraId="68E1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5DDC9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4</w:t>
                  </w:r>
                </w:p>
              </w:tc>
              <w:tc>
                <w:tcPr>
                  <w:tcW w:w="1146" w:type="pct"/>
                  <w:tcBorders>
                    <w:tl2br w:val="nil"/>
                    <w:tr2bl w:val="nil"/>
                  </w:tcBorders>
                  <w:vAlign w:val="center"/>
                </w:tcPr>
                <w:p w14:paraId="16C0B3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低温蒸发一体化装置</w:t>
                  </w:r>
                </w:p>
              </w:tc>
              <w:tc>
                <w:tcPr>
                  <w:tcW w:w="2679" w:type="pct"/>
                  <w:tcBorders>
                    <w:tl2br w:val="nil"/>
                    <w:tr2bl w:val="nil"/>
                  </w:tcBorders>
                  <w:vAlign w:val="center"/>
                </w:tcPr>
                <w:p w14:paraId="726B84FA">
                  <w:pPr>
                    <w:keepNext w:val="0"/>
                    <w:keepLines w:val="0"/>
                    <w:widowControl/>
                    <w:suppressLineNumbers w:val="0"/>
                    <w:jc w:val="center"/>
                    <w:rPr>
                      <w:rFonts w:hint="default" w:ascii="Times New Roman" w:hAnsi="Times New Roman" w:cs="Times New Roman"/>
                      <w:b w:val="0"/>
                      <w:bCs w:val="0"/>
                      <w:color w:val="auto"/>
                      <w:kern w:val="24"/>
                      <w:sz w:val="21"/>
                      <w:szCs w:val="21"/>
                      <w:highlight w:val="none"/>
                      <w:vertAlign w:val="baseline"/>
                      <w:lang w:val="en-US" w:eastAsia="zh-CN"/>
                    </w:rPr>
                  </w:pPr>
                  <w:r>
                    <w:rPr>
                      <w:rFonts w:hint="eastAsia" w:ascii="宋体" w:hAnsi="宋体" w:eastAsia="宋体" w:cs="宋体"/>
                      <w:color w:val="auto"/>
                      <w:kern w:val="0"/>
                      <w:sz w:val="22"/>
                      <w:szCs w:val="22"/>
                      <w:highlight w:val="none"/>
                      <w:lang w:val="en-US" w:eastAsia="zh-CN" w:bidi="ar"/>
                    </w:rPr>
                    <w:t>设计处理量</w:t>
                  </w:r>
                  <w:r>
                    <w:rPr>
                      <w:rFonts w:hint="default" w:ascii="Times New Roman" w:hAnsi="Times New Roman" w:eastAsia="宋体" w:cs="Times New Roman"/>
                      <w:color w:val="auto"/>
                      <w:kern w:val="0"/>
                      <w:sz w:val="22"/>
                      <w:szCs w:val="22"/>
                      <w:highlight w:val="none"/>
                      <w:lang w:val="en-US" w:eastAsia="zh-CN" w:bidi="ar"/>
                    </w:rPr>
                    <w:t>Q=23.7t/d</w:t>
                  </w:r>
                </w:p>
              </w:tc>
              <w:tc>
                <w:tcPr>
                  <w:tcW w:w="747" w:type="pct"/>
                  <w:tcBorders>
                    <w:tl2br w:val="nil"/>
                    <w:tr2bl w:val="nil"/>
                  </w:tcBorders>
                  <w:vAlign w:val="center"/>
                </w:tcPr>
                <w:p w14:paraId="404E38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1套</w:t>
                  </w:r>
                </w:p>
              </w:tc>
            </w:tr>
            <w:tr w14:paraId="05B1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63D8E6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5</w:t>
                  </w:r>
                </w:p>
              </w:tc>
              <w:tc>
                <w:tcPr>
                  <w:tcW w:w="1146" w:type="pct"/>
                  <w:tcBorders>
                    <w:tl2br w:val="nil"/>
                    <w:tr2bl w:val="nil"/>
                  </w:tcBorders>
                  <w:vAlign w:val="center"/>
                </w:tcPr>
                <w:p w14:paraId="5A643F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空压机</w:t>
                  </w:r>
                </w:p>
              </w:tc>
              <w:tc>
                <w:tcPr>
                  <w:tcW w:w="2679" w:type="pct"/>
                  <w:tcBorders>
                    <w:tl2br w:val="nil"/>
                    <w:tr2bl w:val="nil"/>
                  </w:tcBorders>
                  <w:vAlign w:val="center"/>
                </w:tcPr>
                <w:p w14:paraId="56DF76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lang w:val="en-US" w:eastAsia="zh-CN"/>
                    </w:rPr>
                  </w:pPr>
                  <w:r>
                    <w:rPr>
                      <w:rFonts w:hint="default" w:ascii="Times New Roman" w:hAnsi="Times New Roman" w:cs="Times New Roman"/>
                      <w:b w:val="0"/>
                      <w:bCs w:val="0"/>
                      <w:color w:val="auto"/>
                      <w:kern w:val="24"/>
                      <w:sz w:val="21"/>
                      <w:szCs w:val="21"/>
                      <w:highlight w:val="none"/>
                      <w:vertAlign w:val="baseline"/>
                      <w:lang w:val="en-US" w:eastAsia="zh-CN"/>
                    </w:rPr>
                    <w:t>Q=0.5m³/min，6bar，7.5kW</w:t>
                  </w:r>
                </w:p>
              </w:tc>
              <w:tc>
                <w:tcPr>
                  <w:tcW w:w="747" w:type="pct"/>
                  <w:tcBorders>
                    <w:tl2br w:val="nil"/>
                    <w:tr2bl w:val="nil"/>
                  </w:tcBorders>
                  <w:vAlign w:val="center"/>
                </w:tcPr>
                <w:p w14:paraId="5F784C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1台</w:t>
                  </w:r>
                </w:p>
              </w:tc>
            </w:tr>
            <w:tr w14:paraId="045F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2CB7BA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九</w:t>
                  </w:r>
                </w:p>
              </w:tc>
              <w:tc>
                <w:tcPr>
                  <w:tcW w:w="4573" w:type="pct"/>
                  <w:gridSpan w:val="3"/>
                  <w:tcBorders>
                    <w:tl2br w:val="nil"/>
                    <w:tr2bl w:val="nil"/>
                  </w:tcBorders>
                  <w:vAlign w:val="center"/>
                </w:tcPr>
                <w:p w14:paraId="2E060B5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s="Times New Roman"/>
                      <w:b w:val="0"/>
                      <w:bCs w:val="0"/>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固化单元</w:t>
                  </w:r>
                </w:p>
              </w:tc>
            </w:tr>
            <w:tr w14:paraId="11CC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758048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w:t>
                  </w:r>
                </w:p>
              </w:tc>
              <w:tc>
                <w:tcPr>
                  <w:tcW w:w="1146" w:type="pct"/>
                  <w:tcBorders>
                    <w:tl2br w:val="nil"/>
                    <w:tr2bl w:val="nil"/>
                  </w:tcBorders>
                  <w:vAlign w:val="center"/>
                </w:tcPr>
                <w:p w14:paraId="166B59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蒸发母液进水罐</w:t>
                  </w:r>
                </w:p>
              </w:tc>
              <w:tc>
                <w:tcPr>
                  <w:tcW w:w="2679" w:type="pct"/>
                  <w:tcBorders>
                    <w:tl2br w:val="nil"/>
                    <w:tr2bl w:val="nil"/>
                  </w:tcBorders>
                  <w:vAlign w:val="center"/>
                </w:tcPr>
                <w:p w14:paraId="20BF1E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lang w:val="en-US" w:eastAsia="zh-CN"/>
                    </w:rPr>
                  </w:pPr>
                  <w:r>
                    <w:rPr>
                      <w:rFonts w:hint="default" w:ascii="Times New Roman" w:hAnsi="Times New Roman" w:cs="Times New Roman"/>
                      <w:b w:val="0"/>
                      <w:bCs w:val="0"/>
                      <w:color w:val="auto"/>
                      <w:kern w:val="24"/>
                      <w:sz w:val="21"/>
                      <w:szCs w:val="21"/>
                      <w:highlight w:val="none"/>
                      <w:vertAlign w:val="baseline"/>
                      <w:lang w:val="en-US" w:eastAsia="zh-CN"/>
                    </w:rPr>
                    <w:t>V=10m³，材质 PE</w:t>
                  </w:r>
                </w:p>
              </w:tc>
              <w:tc>
                <w:tcPr>
                  <w:tcW w:w="747" w:type="pct"/>
                  <w:tcBorders>
                    <w:tl2br w:val="nil"/>
                    <w:tr2bl w:val="nil"/>
                  </w:tcBorders>
                  <w:vAlign w:val="center"/>
                </w:tcPr>
                <w:p w14:paraId="2C57D7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1套</w:t>
                  </w:r>
                </w:p>
              </w:tc>
            </w:tr>
            <w:tr w14:paraId="6F7F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2A4E06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2</w:t>
                  </w:r>
                </w:p>
              </w:tc>
              <w:tc>
                <w:tcPr>
                  <w:tcW w:w="1146" w:type="pct"/>
                  <w:tcBorders>
                    <w:tl2br w:val="nil"/>
                    <w:tr2bl w:val="nil"/>
                  </w:tcBorders>
                  <w:vAlign w:val="center"/>
                </w:tcPr>
                <w:p w14:paraId="72F716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4"/>
                      <w:sz w:val="21"/>
                      <w:szCs w:val="21"/>
                      <w:highlight w:val="none"/>
                      <w:vertAlign w:val="baseline"/>
                      <w:lang w:eastAsia="zh-CN"/>
                    </w:rPr>
                  </w:pPr>
                  <w:r>
                    <w:rPr>
                      <w:rFonts w:hint="eastAsia" w:cs="Times New Roman"/>
                      <w:b w:val="0"/>
                      <w:bCs w:val="0"/>
                      <w:color w:val="auto"/>
                      <w:kern w:val="24"/>
                      <w:sz w:val="21"/>
                      <w:szCs w:val="21"/>
                      <w:highlight w:val="none"/>
                      <w:vertAlign w:val="baseline"/>
                      <w:lang w:val="en-US" w:eastAsia="zh-CN"/>
                    </w:rPr>
                    <w:t>固化设备</w:t>
                  </w:r>
                </w:p>
              </w:tc>
              <w:tc>
                <w:tcPr>
                  <w:tcW w:w="2679" w:type="pct"/>
                  <w:tcBorders>
                    <w:tl2br w:val="nil"/>
                    <w:tr2bl w:val="nil"/>
                  </w:tcBorders>
                  <w:vAlign w:val="center"/>
                </w:tcPr>
                <w:p w14:paraId="3572DE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4"/>
                      <w:sz w:val="21"/>
                      <w:szCs w:val="21"/>
                      <w:highlight w:val="none"/>
                      <w:vertAlign w:val="baseline"/>
                      <w:lang w:val="en-US" w:eastAsia="zh-CN"/>
                    </w:rPr>
                  </w:pPr>
                  <w:r>
                    <w:rPr>
                      <w:rFonts w:hint="default" w:ascii="Times New Roman" w:hAnsi="Times New Roman" w:cs="Times New Roman"/>
                      <w:b w:val="0"/>
                      <w:bCs w:val="0"/>
                      <w:color w:val="auto"/>
                      <w:kern w:val="24"/>
                      <w:sz w:val="21"/>
                      <w:szCs w:val="21"/>
                      <w:highlight w:val="none"/>
                      <w:vertAlign w:val="baseline"/>
                      <w:lang w:val="en-US" w:eastAsia="zh-CN"/>
                    </w:rPr>
                    <w:t>含固化剂料仓、搅拌机、电气控制系统组成</w:t>
                  </w:r>
                </w:p>
              </w:tc>
              <w:tc>
                <w:tcPr>
                  <w:tcW w:w="747" w:type="pct"/>
                  <w:tcBorders>
                    <w:tl2br w:val="nil"/>
                    <w:tr2bl w:val="nil"/>
                  </w:tcBorders>
                  <w:vAlign w:val="center"/>
                </w:tcPr>
                <w:p w14:paraId="79C4F2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4"/>
                      <w:sz w:val="21"/>
                      <w:szCs w:val="21"/>
                      <w:highlight w:val="none"/>
                      <w:vertAlign w:val="baseline"/>
                      <w:lang w:val="en-US" w:eastAsia="zh-CN"/>
                    </w:rPr>
                  </w:pPr>
                  <w:r>
                    <w:rPr>
                      <w:rFonts w:hint="eastAsia" w:cs="Times New Roman"/>
                      <w:b w:val="0"/>
                      <w:bCs w:val="0"/>
                      <w:color w:val="auto"/>
                      <w:kern w:val="24"/>
                      <w:sz w:val="21"/>
                      <w:szCs w:val="21"/>
                      <w:highlight w:val="none"/>
                      <w:vertAlign w:val="baseline"/>
                      <w:lang w:val="en-US" w:eastAsia="zh-CN"/>
                    </w:rPr>
                    <w:t>1套</w:t>
                  </w:r>
                </w:p>
              </w:tc>
            </w:tr>
            <w:tr w14:paraId="0A81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742FFF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十</w:t>
                  </w:r>
                </w:p>
              </w:tc>
              <w:tc>
                <w:tcPr>
                  <w:tcW w:w="1146" w:type="pct"/>
                  <w:tcBorders>
                    <w:tl2br w:val="nil"/>
                    <w:tr2bl w:val="nil"/>
                  </w:tcBorders>
                  <w:vAlign w:val="center"/>
                </w:tcPr>
                <w:p w14:paraId="47E9EB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喷淋系统</w:t>
                  </w:r>
                </w:p>
              </w:tc>
              <w:tc>
                <w:tcPr>
                  <w:tcW w:w="2679" w:type="pct"/>
                  <w:tcBorders>
                    <w:tl2br w:val="nil"/>
                    <w:tr2bl w:val="nil"/>
                  </w:tcBorders>
                  <w:vAlign w:val="center"/>
                </w:tcPr>
                <w:p w14:paraId="6F54F3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w:t>
                  </w:r>
                </w:p>
              </w:tc>
              <w:tc>
                <w:tcPr>
                  <w:tcW w:w="747" w:type="pct"/>
                  <w:tcBorders>
                    <w:tl2br w:val="nil"/>
                    <w:tr2bl w:val="nil"/>
                  </w:tcBorders>
                  <w:vAlign w:val="center"/>
                </w:tcPr>
                <w:p w14:paraId="44828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1套</w:t>
                  </w:r>
                </w:p>
              </w:tc>
            </w:tr>
            <w:tr w14:paraId="2635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610D39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十一</w:t>
                  </w:r>
                </w:p>
              </w:tc>
              <w:tc>
                <w:tcPr>
                  <w:tcW w:w="1146" w:type="pct"/>
                  <w:tcBorders>
                    <w:tl2br w:val="nil"/>
                    <w:tr2bl w:val="nil"/>
                  </w:tcBorders>
                  <w:vAlign w:val="center"/>
                </w:tcPr>
                <w:p w14:paraId="60CEE3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离子交换系统</w:t>
                  </w:r>
                </w:p>
              </w:tc>
              <w:tc>
                <w:tcPr>
                  <w:tcW w:w="2679" w:type="pct"/>
                  <w:tcBorders>
                    <w:tl2br w:val="nil"/>
                    <w:tr2bl w:val="nil"/>
                  </w:tcBorders>
                  <w:vAlign w:val="center"/>
                </w:tcPr>
                <w:p w14:paraId="799F6D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w:t>
                  </w:r>
                </w:p>
              </w:tc>
              <w:tc>
                <w:tcPr>
                  <w:tcW w:w="747" w:type="pct"/>
                  <w:tcBorders>
                    <w:tl2br w:val="nil"/>
                    <w:tr2bl w:val="nil"/>
                  </w:tcBorders>
                  <w:vAlign w:val="center"/>
                </w:tcPr>
                <w:p w14:paraId="09106A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1套</w:t>
                  </w:r>
                </w:p>
              </w:tc>
            </w:tr>
            <w:tr w14:paraId="0B28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76557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十二</w:t>
                  </w:r>
                </w:p>
              </w:tc>
              <w:tc>
                <w:tcPr>
                  <w:tcW w:w="1146" w:type="pct"/>
                  <w:tcBorders>
                    <w:tl2br w:val="nil"/>
                    <w:tr2bl w:val="nil"/>
                  </w:tcBorders>
                  <w:vAlign w:val="center"/>
                </w:tcPr>
                <w:p w14:paraId="43F0D1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管路系统及支架</w:t>
                  </w:r>
                </w:p>
              </w:tc>
              <w:tc>
                <w:tcPr>
                  <w:tcW w:w="2679" w:type="pct"/>
                  <w:tcBorders>
                    <w:tl2br w:val="nil"/>
                    <w:tr2bl w:val="nil"/>
                  </w:tcBorders>
                  <w:vAlign w:val="center"/>
                </w:tcPr>
                <w:p w14:paraId="723DF3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w:t>
                  </w:r>
                </w:p>
              </w:tc>
              <w:tc>
                <w:tcPr>
                  <w:tcW w:w="747" w:type="pct"/>
                  <w:tcBorders>
                    <w:tl2br w:val="nil"/>
                    <w:tr2bl w:val="nil"/>
                  </w:tcBorders>
                  <w:vAlign w:val="center"/>
                </w:tcPr>
                <w:p w14:paraId="2BBB7D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1套</w:t>
                  </w:r>
                </w:p>
              </w:tc>
            </w:tr>
            <w:tr w14:paraId="7A1F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2D899F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十三</w:t>
                  </w:r>
                </w:p>
              </w:tc>
              <w:tc>
                <w:tcPr>
                  <w:tcW w:w="1146" w:type="pct"/>
                  <w:tcBorders>
                    <w:tl2br w:val="nil"/>
                    <w:tr2bl w:val="nil"/>
                  </w:tcBorders>
                  <w:vAlign w:val="center"/>
                </w:tcPr>
                <w:p w14:paraId="3CC932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电气及控制系统</w:t>
                  </w:r>
                </w:p>
              </w:tc>
              <w:tc>
                <w:tcPr>
                  <w:tcW w:w="2679" w:type="pct"/>
                  <w:tcBorders>
                    <w:tl2br w:val="nil"/>
                    <w:tr2bl w:val="nil"/>
                  </w:tcBorders>
                  <w:vAlign w:val="center"/>
                </w:tcPr>
                <w:p w14:paraId="68946A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w:t>
                  </w:r>
                </w:p>
              </w:tc>
              <w:tc>
                <w:tcPr>
                  <w:tcW w:w="747" w:type="pct"/>
                  <w:tcBorders>
                    <w:tl2br w:val="nil"/>
                    <w:tr2bl w:val="nil"/>
                  </w:tcBorders>
                  <w:vAlign w:val="center"/>
                </w:tcPr>
                <w:p w14:paraId="198BE0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1套</w:t>
                  </w:r>
                </w:p>
              </w:tc>
            </w:tr>
            <w:tr w14:paraId="1D35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 w:type="pct"/>
                  <w:tcBorders>
                    <w:tl2br w:val="nil"/>
                    <w:tr2bl w:val="nil"/>
                  </w:tcBorders>
                  <w:vAlign w:val="center"/>
                </w:tcPr>
                <w:p w14:paraId="64D0AB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十四</w:t>
                  </w:r>
                </w:p>
              </w:tc>
              <w:tc>
                <w:tcPr>
                  <w:tcW w:w="1146" w:type="pct"/>
                  <w:tcBorders>
                    <w:tl2br w:val="nil"/>
                    <w:tr2bl w:val="nil"/>
                  </w:tcBorders>
                  <w:vAlign w:val="center"/>
                </w:tcPr>
                <w:p w14:paraId="09FA2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专用工具</w:t>
                  </w:r>
                </w:p>
              </w:tc>
              <w:tc>
                <w:tcPr>
                  <w:tcW w:w="2679" w:type="pct"/>
                  <w:tcBorders>
                    <w:tl2br w:val="nil"/>
                    <w:tr2bl w:val="nil"/>
                  </w:tcBorders>
                  <w:vAlign w:val="center"/>
                </w:tcPr>
                <w:p w14:paraId="264B54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w:t>
                  </w:r>
                </w:p>
              </w:tc>
              <w:tc>
                <w:tcPr>
                  <w:tcW w:w="747" w:type="pct"/>
                  <w:tcBorders>
                    <w:tl2br w:val="nil"/>
                    <w:tr2bl w:val="nil"/>
                  </w:tcBorders>
                  <w:vAlign w:val="center"/>
                </w:tcPr>
                <w:p w14:paraId="7B44D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4"/>
                      <w:sz w:val="21"/>
                      <w:szCs w:val="21"/>
                      <w:highlight w:val="none"/>
                      <w:vertAlign w:val="baseline"/>
                      <w:lang w:val="en-US" w:eastAsia="zh-CN"/>
                    </w:rPr>
                  </w:pPr>
                  <w:r>
                    <w:rPr>
                      <w:rFonts w:hint="eastAsia" w:cs="Times New Roman"/>
                      <w:b/>
                      <w:bCs/>
                      <w:color w:val="auto"/>
                      <w:kern w:val="24"/>
                      <w:sz w:val="21"/>
                      <w:szCs w:val="21"/>
                      <w:highlight w:val="none"/>
                      <w:vertAlign w:val="baseline"/>
                      <w:lang w:val="en-US" w:eastAsia="zh-CN"/>
                    </w:rPr>
                    <w:t>1套</w:t>
                  </w:r>
                </w:p>
              </w:tc>
            </w:tr>
          </w:tbl>
          <w:p w14:paraId="1F4996D8">
            <w:pPr>
              <w:adjustRightInd/>
              <w:spacing w:after="0" w:line="321" w:lineRule="auto"/>
              <w:jc w:val="center"/>
              <w:rPr>
                <w:rFonts w:hint="default" w:ascii="Times New Roman" w:hAnsi="Times New Roman" w:eastAsia="宋体" w:cs="Times New Roman"/>
                <w:b/>
                <w:bCs/>
                <w:color w:val="auto"/>
                <w:sz w:val="21"/>
                <w:szCs w:val="21"/>
                <w:highlight w:val="none"/>
              </w:rPr>
            </w:pPr>
          </w:p>
          <w:p w14:paraId="18F77D6A">
            <w:pPr>
              <w:adjustRightInd w:val="0"/>
              <w:snapToGrid w:val="0"/>
              <w:spacing w:line="360" w:lineRule="auto"/>
              <w:jc w:val="left"/>
              <w:rPr>
                <w:rFonts w:hint="eastAsia"/>
                <w:b/>
                <w:bCs/>
                <w:color w:val="auto"/>
                <w:sz w:val="24"/>
                <w:highlight w:val="none"/>
              </w:rPr>
            </w:pPr>
            <w:r>
              <w:rPr>
                <w:rFonts w:hint="eastAsia"/>
                <w:b/>
                <w:bCs/>
                <w:color w:val="auto"/>
                <w:sz w:val="24"/>
                <w:highlight w:val="none"/>
                <w:lang w:val="en-US" w:eastAsia="zh-CN"/>
              </w:rPr>
              <w:t>八</w:t>
            </w:r>
            <w:r>
              <w:rPr>
                <w:rFonts w:hint="eastAsia"/>
                <w:b/>
                <w:bCs/>
                <w:color w:val="auto"/>
                <w:sz w:val="24"/>
                <w:highlight w:val="none"/>
              </w:rPr>
              <w:t>、</w:t>
            </w:r>
            <w:r>
              <w:rPr>
                <w:rFonts w:hint="eastAsia"/>
                <w:b/>
                <w:bCs/>
                <w:color w:val="auto"/>
                <w:sz w:val="24"/>
                <w:highlight w:val="none"/>
                <w:lang w:eastAsia="zh-CN"/>
              </w:rPr>
              <w:t>公用工程</w:t>
            </w:r>
          </w:p>
          <w:p w14:paraId="0257D7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36"/>
                <w:highlight w:val="none"/>
              </w:rPr>
            </w:pPr>
            <w:r>
              <w:rPr>
                <w:rFonts w:hint="eastAsia"/>
                <w:color w:val="auto"/>
                <w:sz w:val="24"/>
                <w:szCs w:val="36"/>
                <w:highlight w:val="none"/>
              </w:rPr>
              <w:t>（1）供电</w:t>
            </w:r>
          </w:p>
          <w:p w14:paraId="2E5635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36"/>
                <w:highlight w:val="none"/>
                <w:lang w:val="en-US"/>
              </w:rPr>
            </w:pPr>
            <w:r>
              <w:rPr>
                <w:rFonts w:hint="eastAsia"/>
                <w:color w:val="auto"/>
                <w:sz w:val="24"/>
                <w:szCs w:val="36"/>
                <w:highlight w:val="none"/>
                <w:lang w:val="en-US"/>
              </w:rPr>
              <w:t>项目用电</w:t>
            </w:r>
            <w:r>
              <w:rPr>
                <w:rFonts w:hint="eastAsia"/>
                <w:color w:val="auto"/>
                <w:sz w:val="24"/>
                <w:szCs w:val="36"/>
                <w:highlight w:val="none"/>
                <w:lang w:val="en-US" w:eastAsia="zh-CN"/>
              </w:rPr>
              <w:t>搭接现有大山生活垃圾填埋场供电电网</w:t>
            </w:r>
            <w:r>
              <w:rPr>
                <w:rFonts w:hint="eastAsia"/>
                <w:color w:val="auto"/>
                <w:sz w:val="24"/>
                <w:szCs w:val="36"/>
                <w:highlight w:val="none"/>
                <w:lang w:val="en-US"/>
              </w:rPr>
              <w:t>。</w:t>
            </w:r>
          </w:p>
          <w:p w14:paraId="6395D3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36"/>
                <w:highlight w:val="none"/>
                <w:lang w:val="en-US" w:eastAsia="zh-CN"/>
              </w:rPr>
            </w:pPr>
            <w:r>
              <w:rPr>
                <w:rFonts w:hint="eastAsia"/>
                <w:color w:val="auto"/>
                <w:sz w:val="24"/>
                <w:szCs w:val="36"/>
                <w:highlight w:val="none"/>
              </w:rPr>
              <w:t>（</w:t>
            </w:r>
            <w:r>
              <w:rPr>
                <w:rFonts w:hint="eastAsia"/>
                <w:color w:val="auto"/>
                <w:sz w:val="24"/>
                <w:szCs w:val="36"/>
                <w:highlight w:val="none"/>
                <w:lang w:val="en-US" w:eastAsia="zh-CN"/>
              </w:rPr>
              <w:t>2</w:t>
            </w:r>
            <w:r>
              <w:rPr>
                <w:rFonts w:hint="eastAsia"/>
                <w:color w:val="auto"/>
                <w:sz w:val="24"/>
                <w:szCs w:val="36"/>
                <w:highlight w:val="none"/>
              </w:rPr>
              <w:t>）</w:t>
            </w:r>
            <w:r>
              <w:rPr>
                <w:rFonts w:hint="eastAsia"/>
                <w:color w:val="auto"/>
                <w:sz w:val="24"/>
                <w:szCs w:val="36"/>
                <w:highlight w:val="none"/>
                <w:lang w:val="en-US" w:eastAsia="zh-CN"/>
              </w:rPr>
              <w:t>给水</w:t>
            </w:r>
          </w:p>
          <w:p w14:paraId="206BED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36"/>
                <w:highlight w:val="none"/>
                <w:lang w:val="en-US" w:eastAsia="zh-CN"/>
              </w:rPr>
            </w:pPr>
            <w:r>
              <w:rPr>
                <w:rFonts w:hint="eastAsia"/>
                <w:color w:val="auto"/>
                <w:sz w:val="24"/>
                <w:szCs w:val="36"/>
                <w:highlight w:val="none"/>
                <w:lang w:val="en-US"/>
              </w:rPr>
              <w:t>项目用水主要有生活用水，用水</w:t>
            </w:r>
            <w:r>
              <w:rPr>
                <w:rFonts w:hint="eastAsia"/>
                <w:color w:val="auto"/>
                <w:sz w:val="24"/>
                <w:szCs w:val="36"/>
                <w:highlight w:val="none"/>
                <w:lang w:val="en-US" w:eastAsia="zh-CN"/>
              </w:rPr>
              <w:t>搭接现状供水管网</w:t>
            </w:r>
            <w:r>
              <w:rPr>
                <w:rFonts w:hint="eastAsia"/>
                <w:color w:val="auto"/>
                <w:sz w:val="24"/>
                <w:szCs w:val="36"/>
                <w:highlight w:val="none"/>
                <w:lang w:val="en-US"/>
              </w:rPr>
              <w:t>，满足用水要求</w:t>
            </w:r>
            <w:r>
              <w:rPr>
                <w:rFonts w:hint="eastAsia"/>
                <w:color w:val="auto"/>
                <w:sz w:val="24"/>
                <w:szCs w:val="36"/>
                <w:highlight w:val="none"/>
                <w:lang w:val="en-US" w:eastAsia="zh-CN"/>
              </w:rPr>
              <w:t>。</w:t>
            </w:r>
          </w:p>
          <w:p w14:paraId="2D7CD3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36"/>
                <w:highlight w:val="none"/>
                <w:lang w:eastAsia="zh-CN"/>
              </w:rPr>
            </w:pPr>
            <w:r>
              <w:rPr>
                <w:rFonts w:hint="eastAsia"/>
                <w:color w:val="auto"/>
                <w:sz w:val="24"/>
                <w:szCs w:val="36"/>
                <w:highlight w:val="none"/>
              </w:rPr>
              <w:t>（</w:t>
            </w:r>
            <w:r>
              <w:rPr>
                <w:rFonts w:hint="eastAsia"/>
                <w:color w:val="auto"/>
                <w:sz w:val="24"/>
                <w:szCs w:val="36"/>
                <w:highlight w:val="none"/>
                <w:lang w:val="en-US" w:eastAsia="zh-CN"/>
              </w:rPr>
              <w:t>3</w:t>
            </w:r>
            <w:r>
              <w:rPr>
                <w:rFonts w:hint="eastAsia"/>
                <w:color w:val="auto"/>
                <w:sz w:val="24"/>
                <w:szCs w:val="36"/>
                <w:highlight w:val="none"/>
              </w:rPr>
              <w:t>）</w:t>
            </w:r>
            <w:r>
              <w:rPr>
                <w:rFonts w:hint="eastAsia"/>
                <w:color w:val="auto"/>
                <w:sz w:val="24"/>
                <w:szCs w:val="36"/>
                <w:highlight w:val="none"/>
                <w:lang w:val="en-US" w:eastAsia="zh-CN"/>
              </w:rPr>
              <w:t>排水</w:t>
            </w:r>
          </w:p>
          <w:p w14:paraId="1F425E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auto"/>
                <w:sz w:val="24"/>
                <w:szCs w:val="36"/>
                <w:highlight w:val="none"/>
                <w:lang w:eastAsia="zh-CN"/>
              </w:rPr>
            </w:pPr>
            <w:r>
              <w:rPr>
                <w:rFonts w:hint="eastAsia"/>
                <w:color w:val="auto"/>
                <w:sz w:val="24"/>
                <w:szCs w:val="36"/>
                <w:highlight w:val="none"/>
                <w:lang w:val="en-US" w:eastAsia="zh-CN"/>
              </w:rPr>
              <w:t>项目排水采用雨污分流的排水方式：填埋场区内雨水经厂区截洪沟及雨水沟收集后排入填埋场外排水沟；</w:t>
            </w:r>
            <w:r>
              <w:rPr>
                <w:rFonts w:hint="eastAsia"/>
                <w:color w:val="auto"/>
                <w:sz w:val="24"/>
                <w:szCs w:val="36"/>
                <w:highlight w:val="none"/>
              </w:rPr>
              <w:t>员工生活污水排入填埋场现有的调节池，与填埋场渗滤液一起排入全量化处理站进行处理，处理达到《城镇污水处理厂污染物排放标准》（GB18918-2002）中一级A标排放标准及《城市污水再生利用 城市杂用水水质》（GB/T18920-2020）中城市绿化水质标准要求后，回用于填埋场区绿化灌溉，不外排。</w:t>
            </w:r>
          </w:p>
          <w:p w14:paraId="07B9C1F7">
            <w:pPr>
              <w:adjustRightInd w:val="0"/>
              <w:snapToGrid w:val="0"/>
              <w:spacing w:line="360" w:lineRule="auto"/>
              <w:jc w:val="left"/>
              <w:rPr>
                <w:b/>
                <w:bCs/>
                <w:color w:val="auto"/>
                <w:sz w:val="24"/>
                <w:highlight w:val="none"/>
              </w:rPr>
            </w:pPr>
            <w:r>
              <w:rPr>
                <w:rFonts w:hint="eastAsia"/>
                <w:b/>
                <w:bCs/>
                <w:color w:val="auto"/>
                <w:sz w:val="24"/>
                <w:highlight w:val="none"/>
                <w:lang w:val="en-US" w:eastAsia="zh-CN"/>
              </w:rPr>
              <w:t>九</w:t>
            </w:r>
            <w:r>
              <w:rPr>
                <w:rFonts w:hint="eastAsia"/>
                <w:b/>
                <w:bCs/>
                <w:color w:val="auto"/>
                <w:sz w:val="24"/>
                <w:highlight w:val="none"/>
                <w:lang w:eastAsia="zh-CN"/>
              </w:rPr>
              <w:t>、</w:t>
            </w:r>
            <w:r>
              <w:rPr>
                <w:rFonts w:hint="eastAsia"/>
                <w:b/>
                <w:bCs/>
                <w:color w:val="auto"/>
                <w:sz w:val="24"/>
                <w:highlight w:val="none"/>
              </w:rPr>
              <w:t>工作制度和劳动定员</w:t>
            </w:r>
          </w:p>
          <w:p w14:paraId="300628E4">
            <w:pPr>
              <w:adjustRightInd w:val="0"/>
              <w:snapToGrid w:val="0"/>
              <w:spacing w:line="360" w:lineRule="auto"/>
              <w:ind w:firstLine="480" w:firstLineChars="200"/>
              <w:rPr>
                <w:rFonts w:hint="default" w:eastAsia="宋体"/>
                <w:color w:val="auto"/>
                <w:kern w:val="24"/>
                <w:sz w:val="24"/>
                <w:highlight w:val="none"/>
                <w:lang w:val="en-US" w:eastAsia="zh-CN"/>
              </w:rPr>
            </w:pPr>
            <w:r>
              <w:rPr>
                <w:rFonts w:hint="eastAsia"/>
                <w:color w:val="auto"/>
                <w:kern w:val="24"/>
                <w:sz w:val="24"/>
                <w:highlight w:val="none"/>
                <w:lang w:val="en-US" w:eastAsia="zh-CN"/>
              </w:rPr>
              <w:t>本项目建成后设置工作人员5人，负责渗滤液处理站的日常运行，实行四班三运转模式，</w:t>
            </w:r>
            <w:r>
              <w:rPr>
                <w:rFonts w:hint="default"/>
                <w:color w:val="auto"/>
                <w:kern w:val="24"/>
                <w:sz w:val="24"/>
                <w:highlight w:val="none"/>
                <w:lang w:eastAsia="zh-CN"/>
              </w:rPr>
              <w:t>年工作365天</w:t>
            </w:r>
            <w:r>
              <w:rPr>
                <w:color w:val="auto"/>
                <w:kern w:val="24"/>
                <w:sz w:val="24"/>
                <w:highlight w:val="none"/>
              </w:rPr>
              <w:t>。</w:t>
            </w:r>
            <w:r>
              <w:rPr>
                <w:rFonts w:hint="eastAsia"/>
                <w:color w:val="auto"/>
                <w:kern w:val="24"/>
                <w:sz w:val="24"/>
                <w:highlight w:val="none"/>
                <w:lang w:val="en-US" w:eastAsia="zh-CN"/>
              </w:rPr>
              <w:t>厂区不设食堂。</w:t>
            </w:r>
          </w:p>
          <w:p w14:paraId="523B2503">
            <w:pPr>
              <w:adjustRightInd w:val="0"/>
              <w:snapToGrid w:val="0"/>
              <w:spacing w:line="360" w:lineRule="auto"/>
              <w:jc w:val="left"/>
              <w:rPr>
                <w:b/>
                <w:bCs/>
                <w:color w:val="auto"/>
                <w:sz w:val="24"/>
                <w:highlight w:val="none"/>
              </w:rPr>
            </w:pPr>
            <w:r>
              <w:rPr>
                <w:rFonts w:hint="eastAsia"/>
                <w:b/>
                <w:bCs/>
                <w:color w:val="auto"/>
                <w:sz w:val="24"/>
                <w:highlight w:val="none"/>
                <w:lang w:eastAsia="zh-CN"/>
              </w:rPr>
              <w:t>十、</w:t>
            </w:r>
            <w:r>
              <w:rPr>
                <w:rFonts w:hint="eastAsia"/>
                <w:b/>
                <w:bCs/>
                <w:color w:val="auto"/>
                <w:sz w:val="24"/>
                <w:highlight w:val="none"/>
              </w:rPr>
              <w:t>建设项目水平衡分析</w:t>
            </w:r>
          </w:p>
          <w:p w14:paraId="53DD56A9">
            <w:pPr>
              <w:adjustRightInd w:val="0"/>
              <w:snapToGrid w:val="0"/>
              <w:spacing w:line="360" w:lineRule="auto"/>
              <w:ind w:firstLine="482" w:firstLineChars="200"/>
              <w:rPr>
                <w:rFonts w:hint="default" w:ascii="Times New Roman" w:hAnsi="Times New Roman" w:eastAsia="宋体" w:cs="Times New Roman"/>
                <w:b/>
                <w:bCs/>
                <w:color w:val="auto"/>
                <w:kern w:val="0"/>
                <w:sz w:val="24"/>
                <w:szCs w:val="21"/>
                <w:highlight w:val="none"/>
                <w:lang w:val="en-US" w:eastAsia="zh-CN" w:bidi="ar-SA"/>
              </w:rPr>
            </w:pPr>
            <w:r>
              <w:rPr>
                <w:rFonts w:hint="eastAsia" w:cs="Times New Roman"/>
                <w:b/>
                <w:bCs/>
                <w:color w:val="auto"/>
                <w:kern w:val="0"/>
                <w:sz w:val="24"/>
                <w:szCs w:val="21"/>
                <w:highlight w:val="none"/>
                <w:lang w:val="en-US" w:eastAsia="zh-CN" w:bidi="ar-SA"/>
              </w:rPr>
              <w:t>（一）</w:t>
            </w:r>
            <w:r>
              <w:rPr>
                <w:rFonts w:hint="eastAsia" w:ascii="Times New Roman" w:hAnsi="Times New Roman" w:eastAsia="宋体" w:cs="Times New Roman"/>
                <w:b/>
                <w:bCs/>
                <w:color w:val="auto"/>
                <w:kern w:val="0"/>
                <w:sz w:val="24"/>
                <w:szCs w:val="21"/>
                <w:highlight w:val="none"/>
                <w:lang w:val="en-US" w:eastAsia="zh-CN" w:bidi="ar-SA"/>
              </w:rPr>
              <w:t>用水量</w:t>
            </w:r>
          </w:p>
          <w:p w14:paraId="37F1223E">
            <w:pPr>
              <w:adjustRightInd w:val="0"/>
              <w:snapToGrid w:val="0"/>
              <w:spacing w:line="360" w:lineRule="auto"/>
              <w:ind w:firstLine="480" w:firstLineChars="200"/>
              <w:rPr>
                <w:rFonts w:hint="eastAsia" w:ascii="Times New Roman" w:hAnsi="Times New Roman" w:eastAsia="宋体" w:cs="Times New Roman"/>
                <w:color w:val="auto"/>
                <w:kern w:val="0"/>
                <w:sz w:val="24"/>
                <w:szCs w:val="21"/>
                <w:highlight w:val="none"/>
                <w:lang w:val="en-US" w:eastAsia="zh-CN" w:bidi="ar-SA"/>
              </w:rPr>
            </w:pPr>
            <w:r>
              <w:rPr>
                <w:rFonts w:hint="eastAsia" w:ascii="Times New Roman" w:hAnsi="Times New Roman" w:eastAsia="宋体" w:cs="Times New Roman"/>
                <w:color w:val="auto"/>
                <w:kern w:val="0"/>
                <w:sz w:val="24"/>
                <w:szCs w:val="21"/>
                <w:highlight w:val="none"/>
                <w:lang w:val="en-US" w:eastAsia="zh-CN" w:bidi="ar-SA"/>
              </w:rPr>
              <w:t>项目用水主要为</w:t>
            </w:r>
            <w:r>
              <w:rPr>
                <w:rFonts w:hint="eastAsia" w:cs="Times New Roman"/>
                <w:color w:val="auto"/>
                <w:kern w:val="0"/>
                <w:sz w:val="24"/>
                <w:szCs w:val="21"/>
                <w:highlight w:val="none"/>
                <w:lang w:val="en-US" w:eastAsia="zh-CN" w:bidi="ar-SA"/>
              </w:rPr>
              <w:t>员工生活用水、</w:t>
            </w:r>
            <w:r>
              <w:rPr>
                <w:rFonts w:hint="eastAsia"/>
                <w:color w:val="auto"/>
                <w:kern w:val="0"/>
                <w:sz w:val="24"/>
                <w:szCs w:val="21"/>
                <w:highlight w:val="none"/>
              </w:rPr>
              <w:t>生产用水（两级DTRO膜组件清洗用水、离子交换树脂再生用水）</w:t>
            </w:r>
            <w:r>
              <w:rPr>
                <w:rFonts w:hint="eastAsia" w:cs="Times New Roman"/>
                <w:color w:val="auto"/>
                <w:kern w:val="0"/>
                <w:sz w:val="24"/>
                <w:szCs w:val="21"/>
                <w:highlight w:val="none"/>
                <w:lang w:val="en-US" w:eastAsia="zh-CN" w:bidi="ar-SA"/>
              </w:rPr>
              <w:t>、离子交换树脂再生用水、绿化用水</w:t>
            </w:r>
            <w:r>
              <w:rPr>
                <w:rFonts w:hint="eastAsia" w:ascii="Times New Roman" w:hAnsi="Times New Roman" w:eastAsia="宋体" w:cs="Times New Roman"/>
                <w:color w:val="auto"/>
                <w:kern w:val="0"/>
                <w:sz w:val="24"/>
                <w:szCs w:val="21"/>
                <w:highlight w:val="none"/>
                <w:lang w:val="en-US" w:eastAsia="zh-CN" w:bidi="ar-SA"/>
              </w:rPr>
              <w:t>。</w:t>
            </w:r>
          </w:p>
          <w:p w14:paraId="5A0BF974">
            <w:pPr>
              <w:adjustRightInd w:val="0"/>
              <w:snapToGrid w:val="0"/>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1、生活用水</w:t>
            </w:r>
          </w:p>
          <w:p w14:paraId="4E8011A6">
            <w:pPr>
              <w:adjustRightInd w:val="0"/>
              <w:snapToGrid w:val="0"/>
              <w:spacing w:line="360" w:lineRule="auto"/>
              <w:ind w:firstLine="480"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项目全厂劳动定员</w:t>
            </w:r>
            <w:r>
              <w:rPr>
                <w:rFonts w:hint="eastAsia"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lang w:val="en-US" w:eastAsia="zh-CN"/>
              </w:rPr>
              <w:t>人，</w:t>
            </w:r>
            <w:r>
              <w:rPr>
                <w:rFonts w:hint="eastAsia"/>
                <w:color w:val="auto"/>
                <w:kern w:val="24"/>
                <w:sz w:val="24"/>
                <w:highlight w:val="none"/>
                <w:lang w:val="en-US" w:eastAsia="zh-CN"/>
              </w:rPr>
              <w:t>不设食堂</w:t>
            </w:r>
            <w:r>
              <w:rPr>
                <w:rFonts w:hint="default" w:ascii="Times New Roman" w:hAnsi="Times New Roman" w:cs="Times New Roman"/>
                <w:b w:val="0"/>
                <w:bCs w:val="0"/>
                <w:color w:val="auto"/>
                <w:sz w:val="24"/>
                <w:szCs w:val="24"/>
                <w:highlight w:val="none"/>
                <w:lang w:val="en-US" w:eastAsia="zh-CN"/>
              </w:rPr>
              <w:t>，根据《云南省地方标准用水定额》（DB53/T168-2019），本环评按用水量110L/人.d计，则本项目生活用水量</w:t>
            </w:r>
            <w:r>
              <w:rPr>
                <w:rFonts w:hint="eastAsia" w:cs="Times New Roman"/>
                <w:b w:val="0"/>
                <w:bCs w:val="0"/>
                <w:color w:val="auto"/>
                <w:sz w:val="24"/>
                <w:szCs w:val="24"/>
                <w:highlight w:val="none"/>
                <w:lang w:val="en-US" w:eastAsia="zh-CN"/>
              </w:rPr>
              <w:t>0.55</w:t>
            </w:r>
            <w:r>
              <w:rPr>
                <w:rFonts w:hint="default" w:ascii="Times New Roman" w:hAnsi="Times New Roman" w:cs="Times New Roman"/>
                <w:b w:val="0"/>
                <w:bCs w:val="0"/>
                <w:color w:val="auto"/>
                <w:sz w:val="24"/>
                <w:szCs w:val="24"/>
                <w:highlight w:val="none"/>
                <w:lang w:val="en-US" w:eastAsia="zh-CN"/>
              </w:rPr>
              <w:t>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val="en-US" w:eastAsia="zh-CN"/>
              </w:rPr>
              <w:t>/d、</w:t>
            </w:r>
            <w:r>
              <w:rPr>
                <w:rFonts w:hint="eastAsia" w:cs="Times New Roman"/>
                <w:b w:val="0"/>
                <w:bCs w:val="0"/>
                <w:color w:val="auto"/>
                <w:sz w:val="24"/>
                <w:szCs w:val="24"/>
                <w:highlight w:val="none"/>
                <w:lang w:val="en-US" w:eastAsia="zh-CN"/>
              </w:rPr>
              <w:t>200.75</w:t>
            </w:r>
            <w:r>
              <w:rPr>
                <w:rFonts w:hint="default" w:ascii="Times New Roman" w:hAnsi="Times New Roman" w:cs="Times New Roman"/>
                <w:b w:val="0"/>
                <w:bCs w:val="0"/>
                <w:color w:val="auto"/>
                <w:sz w:val="24"/>
                <w:szCs w:val="24"/>
                <w:highlight w:val="none"/>
                <w:lang w:val="en-US" w:eastAsia="zh-CN"/>
              </w:rPr>
              <w:t>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val="en-US" w:eastAsia="zh-CN"/>
              </w:rPr>
              <w:t>/a。</w:t>
            </w:r>
          </w:p>
          <w:p w14:paraId="362614CF">
            <w:pPr>
              <w:pStyle w:val="84"/>
              <w:ind w:firstLine="480"/>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2、生产用水</w:t>
            </w:r>
          </w:p>
          <w:p w14:paraId="5288A671">
            <w:pPr>
              <w:pStyle w:val="84"/>
              <w:ind w:firstLine="480"/>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（1）两级DTRO膜组件清洗用水</w:t>
            </w:r>
          </w:p>
          <w:p w14:paraId="1DA671E0">
            <w:pPr>
              <w:pStyle w:val="84"/>
              <w:ind w:firstLine="480"/>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本项目两级DTRO膜组件需定期清洗，根据项目可行性研究报告及设计方案，每天用水量约3</w:t>
            </w:r>
            <w:r>
              <w:rPr>
                <w:rFonts w:hint="default" w:ascii="Times New Roman" w:hAnsi="Times New Roman" w:cs="Times New Roman"/>
                <w:b w:val="0"/>
                <w:bCs w:val="0"/>
                <w:color w:val="auto"/>
                <w:sz w:val="24"/>
                <w:szCs w:val="24"/>
                <w:highlight w:val="none"/>
                <w:lang w:val="en-US" w:eastAsia="zh-CN"/>
              </w:rPr>
              <w:t>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val="en-US" w:eastAsia="zh-CN"/>
              </w:rPr>
              <w:t>/d、</w:t>
            </w:r>
            <w:r>
              <w:rPr>
                <w:rFonts w:hint="eastAsia" w:cs="Times New Roman"/>
                <w:b w:val="0"/>
                <w:bCs w:val="0"/>
                <w:color w:val="auto"/>
                <w:sz w:val="24"/>
                <w:szCs w:val="24"/>
                <w:highlight w:val="none"/>
                <w:lang w:val="en-US" w:eastAsia="zh-CN"/>
              </w:rPr>
              <w:t>1095</w:t>
            </w:r>
            <w:r>
              <w:rPr>
                <w:rFonts w:hint="default" w:ascii="Times New Roman" w:hAnsi="Times New Roman" w:cs="Times New Roman"/>
                <w:b w:val="0"/>
                <w:bCs w:val="0"/>
                <w:color w:val="auto"/>
                <w:sz w:val="24"/>
                <w:szCs w:val="24"/>
                <w:highlight w:val="none"/>
                <w:lang w:val="en-US" w:eastAsia="zh-CN"/>
              </w:rPr>
              <w:t>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val="en-US" w:eastAsia="zh-CN"/>
              </w:rPr>
              <w:t>/a，</w:t>
            </w:r>
            <w:r>
              <w:rPr>
                <w:rFonts w:hint="eastAsia" w:ascii="Times New Roman" w:hAnsi="Times New Roman" w:cs="Times New Roman"/>
                <w:b w:val="0"/>
                <w:bCs w:val="0"/>
                <w:color w:val="auto"/>
                <w:sz w:val="24"/>
                <w:szCs w:val="24"/>
                <w:highlight w:val="none"/>
                <w:lang w:val="en-US" w:eastAsia="zh-CN"/>
              </w:rPr>
              <w:t>用水来源于渗滤液处理站处理后的尾水。</w:t>
            </w:r>
          </w:p>
          <w:p w14:paraId="26ABDAC0">
            <w:pPr>
              <w:pStyle w:val="84"/>
              <w:ind w:firstLine="480"/>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（2）离子交换再生用水</w:t>
            </w:r>
          </w:p>
          <w:p w14:paraId="5ECF2BFB">
            <w:pPr>
              <w:pStyle w:val="84"/>
              <w:ind w:firstLine="480"/>
              <w:rPr>
                <w:rFonts w:hint="eastAsia" w:ascii="Times New Roman" w:eastAsia="宋体"/>
                <w:b/>
                <w:bCs w:val="0"/>
                <w:color w:val="auto"/>
                <w:kern w:val="2"/>
                <w:sz w:val="24"/>
                <w:szCs w:val="24"/>
                <w:highlight w:val="none"/>
                <w:lang w:val="en-US" w:eastAsia="zh-CN"/>
              </w:rPr>
            </w:pPr>
            <w:r>
              <w:rPr>
                <w:rFonts w:hint="eastAsia"/>
                <w:b w:val="0"/>
                <w:bCs/>
                <w:color w:val="auto"/>
                <w:kern w:val="2"/>
                <w:sz w:val="24"/>
                <w:szCs w:val="24"/>
                <w:highlight w:val="none"/>
                <w:lang w:val="en-US" w:eastAsia="zh-CN"/>
              </w:rPr>
              <w:t>本项目全量化处理末端设有离子交换系统，运行过程中需对树脂进行定期冲洗。根据设计单位提供资料，树脂平均每7天再生1次，单次再生废水产生量约</w:t>
            </w: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eastAsia" w:ascii="Times New Roman" w:hAnsi="Times New Roman" w:cs="Times New Roman"/>
                <w:b w:val="0"/>
                <w:bCs/>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年产生量约104</w:t>
            </w:r>
            <w:r>
              <w:rPr>
                <w:color w:val="auto"/>
                <w:kern w:val="24"/>
                <w:sz w:val="24"/>
                <w:highlight w:val="none"/>
              </w:rPr>
              <w:t>m³/a</w:t>
            </w:r>
            <w:r>
              <w:rPr>
                <w:rFonts w:hint="eastAsia"/>
                <w:color w:val="auto"/>
                <w:kern w:val="24"/>
                <w:sz w:val="24"/>
                <w:highlight w:val="none"/>
                <w:lang w:eastAsia="zh-CN"/>
              </w:rPr>
              <w:t>，</w:t>
            </w:r>
            <w:r>
              <w:rPr>
                <w:rFonts w:hint="eastAsia" w:ascii="Times New Roman" w:hAnsi="Times New Roman" w:cs="Times New Roman"/>
                <w:b w:val="0"/>
                <w:bCs w:val="0"/>
                <w:color w:val="auto"/>
                <w:sz w:val="24"/>
                <w:szCs w:val="24"/>
                <w:highlight w:val="none"/>
                <w:lang w:val="en-US" w:eastAsia="zh-CN"/>
              </w:rPr>
              <w:t>用水来源于渗滤液处理站处理后的尾水。</w:t>
            </w:r>
          </w:p>
          <w:p w14:paraId="678B7FFA">
            <w:pPr>
              <w:pStyle w:val="84"/>
              <w:ind w:firstLine="480"/>
              <w:rPr>
                <w:rFonts w:hint="eastAsia" w:ascii="Times New Roman"/>
                <w:b/>
                <w:bCs w:val="0"/>
                <w:color w:val="auto"/>
                <w:kern w:val="2"/>
                <w:sz w:val="24"/>
                <w:szCs w:val="24"/>
                <w:highlight w:val="none"/>
                <w:lang w:val="en-US" w:eastAsia="zh-CN"/>
              </w:rPr>
            </w:pPr>
            <w:r>
              <w:rPr>
                <w:rFonts w:hint="eastAsia"/>
                <w:b/>
                <w:bCs w:val="0"/>
                <w:color w:val="auto"/>
                <w:kern w:val="2"/>
                <w:sz w:val="24"/>
                <w:szCs w:val="24"/>
                <w:highlight w:val="none"/>
                <w:lang w:val="en-US" w:eastAsia="zh-CN"/>
              </w:rPr>
              <w:t>3、</w:t>
            </w:r>
            <w:r>
              <w:rPr>
                <w:rFonts w:hint="eastAsia" w:ascii="Times New Roman"/>
                <w:b/>
                <w:bCs w:val="0"/>
                <w:color w:val="auto"/>
                <w:kern w:val="2"/>
                <w:sz w:val="24"/>
                <w:szCs w:val="24"/>
                <w:highlight w:val="none"/>
                <w:lang w:val="en-US" w:eastAsia="zh-CN"/>
              </w:rPr>
              <w:t>绿化用水</w:t>
            </w:r>
          </w:p>
          <w:p w14:paraId="6150CADE">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lang w:val="en-US" w:eastAsia="zh-CN"/>
              </w:rPr>
              <w:t>本项目建成后，</w:t>
            </w:r>
            <w:r>
              <w:rPr>
                <w:rFonts w:hint="eastAsia" w:cs="Times New Roman"/>
                <w:color w:val="auto"/>
                <w:sz w:val="24"/>
                <w:szCs w:val="24"/>
                <w:highlight w:val="none"/>
                <w:lang w:val="en-US" w:eastAsia="zh-CN"/>
              </w:rPr>
              <w:t>渗滤液全量化处理站内</w:t>
            </w:r>
            <w:r>
              <w:rPr>
                <w:rFonts w:hint="eastAsia" w:cs="Times New Roman"/>
                <w:color w:val="auto"/>
                <w:sz w:val="24"/>
                <w:szCs w:val="24"/>
                <w:highlight w:val="none"/>
                <w:lang w:eastAsia="zh-CN"/>
              </w:rPr>
              <w:t>绿化面积</w:t>
            </w:r>
            <w:r>
              <w:rPr>
                <w:rFonts w:hint="eastAsia" w:cs="Times New Roman"/>
                <w:color w:val="auto"/>
                <w:sz w:val="24"/>
                <w:szCs w:val="24"/>
                <w:highlight w:val="none"/>
                <w:lang w:val="en-US" w:eastAsia="zh-CN"/>
              </w:rPr>
              <w:t>2448.69m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，一期填埋区封场绿化面积约15580</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，总</w:t>
            </w:r>
            <w:r>
              <w:rPr>
                <w:color w:val="auto"/>
                <w:kern w:val="24"/>
                <w:sz w:val="24"/>
                <w:highlight w:val="none"/>
              </w:rPr>
              <w:t>绿化面积</w:t>
            </w:r>
            <w:r>
              <w:rPr>
                <w:rFonts w:hint="eastAsia"/>
                <w:color w:val="auto"/>
                <w:sz w:val="24"/>
                <w:highlight w:val="none"/>
                <w:lang w:val="en-US" w:eastAsia="zh-CN"/>
              </w:rPr>
              <w:t>18028.69</w:t>
            </w:r>
            <w:r>
              <w:rPr>
                <w:color w:val="auto"/>
                <w:sz w:val="24"/>
                <w:highlight w:val="none"/>
              </w:rPr>
              <w:t>m</w:t>
            </w:r>
            <w:r>
              <w:rPr>
                <w:color w:val="auto"/>
                <w:sz w:val="24"/>
                <w:highlight w:val="none"/>
                <w:vertAlign w:val="superscript"/>
              </w:rPr>
              <w:t>2</w:t>
            </w:r>
            <w:r>
              <w:rPr>
                <w:color w:val="auto"/>
                <w:kern w:val="24"/>
                <w:sz w:val="24"/>
                <w:highlight w:val="none"/>
              </w:rPr>
              <w:t>，依据《云南省地方标准—用水定额》（DB53/T168-2019）标准，绿化用水按3L/m</w:t>
            </w:r>
            <w:r>
              <w:rPr>
                <w:color w:val="auto"/>
                <w:kern w:val="24"/>
                <w:sz w:val="24"/>
                <w:highlight w:val="none"/>
                <w:vertAlign w:val="superscript"/>
              </w:rPr>
              <w:t>2</w:t>
            </w:r>
            <w:r>
              <w:rPr>
                <w:color w:val="auto"/>
                <w:kern w:val="24"/>
                <w:sz w:val="24"/>
                <w:highlight w:val="none"/>
              </w:rPr>
              <w:t>·次计，用水时间扣除下雨天，按2</w:t>
            </w:r>
            <w:r>
              <w:rPr>
                <w:rFonts w:hint="eastAsia"/>
                <w:color w:val="auto"/>
                <w:kern w:val="24"/>
                <w:sz w:val="24"/>
                <w:highlight w:val="none"/>
                <w:lang w:val="en-US" w:eastAsia="zh-CN"/>
              </w:rPr>
              <w:t>5</w:t>
            </w:r>
            <w:r>
              <w:rPr>
                <w:color w:val="auto"/>
                <w:kern w:val="24"/>
                <w:sz w:val="24"/>
                <w:highlight w:val="none"/>
              </w:rPr>
              <w:t>0d计，则绿化用水量为</w:t>
            </w:r>
            <w:r>
              <w:rPr>
                <w:rFonts w:hint="eastAsia"/>
                <w:color w:val="auto"/>
                <w:kern w:val="24"/>
                <w:sz w:val="24"/>
                <w:highlight w:val="none"/>
                <w:lang w:val="en-US" w:eastAsia="zh-CN"/>
              </w:rPr>
              <w:t>54.09</w:t>
            </w:r>
            <w:r>
              <w:rPr>
                <w:color w:val="auto"/>
                <w:kern w:val="24"/>
                <w:sz w:val="24"/>
                <w:highlight w:val="none"/>
              </w:rPr>
              <w:t>m³/d</w:t>
            </w:r>
            <w:r>
              <w:rPr>
                <w:rFonts w:hint="eastAsia"/>
                <w:color w:val="auto"/>
                <w:kern w:val="24"/>
                <w:sz w:val="24"/>
                <w:highlight w:val="none"/>
              </w:rPr>
              <w:t>、</w:t>
            </w:r>
            <w:r>
              <w:rPr>
                <w:rFonts w:hint="eastAsia"/>
                <w:color w:val="auto"/>
                <w:kern w:val="24"/>
                <w:sz w:val="24"/>
                <w:highlight w:val="none"/>
                <w:lang w:val="en-US" w:eastAsia="zh-CN"/>
              </w:rPr>
              <w:t>13522.5</w:t>
            </w:r>
            <w:r>
              <w:rPr>
                <w:color w:val="auto"/>
                <w:kern w:val="24"/>
                <w:sz w:val="24"/>
                <w:highlight w:val="none"/>
              </w:rPr>
              <w:t>m³/a。</w:t>
            </w:r>
            <w:r>
              <w:rPr>
                <w:rFonts w:hint="eastAsia" w:ascii="Times New Roman" w:hAnsi="Times New Roman" w:cs="Times New Roman"/>
                <w:b w:val="0"/>
                <w:bCs w:val="0"/>
                <w:color w:val="auto"/>
                <w:sz w:val="24"/>
                <w:szCs w:val="24"/>
                <w:highlight w:val="none"/>
                <w:lang w:val="en-US" w:eastAsia="zh-CN"/>
              </w:rPr>
              <w:t>用水来源于渗滤液处理站处理后的尾水。</w:t>
            </w:r>
          </w:p>
          <w:p w14:paraId="50E0ED7A">
            <w:pPr>
              <w:adjustRightInd w:val="0"/>
              <w:snapToGrid w:val="0"/>
              <w:spacing w:line="360" w:lineRule="auto"/>
              <w:ind w:firstLine="482" w:firstLineChars="200"/>
              <w:rPr>
                <w:rFonts w:hint="eastAsia" w:ascii="Times New Roman" w:hAnsi="Times New Roman" w:cs="Times New Roman"/>
                <w:b/>
                <w:color w:val="auto"/>
                <w:sz w:val="24"/>
                <w:highlight w:val="none"/>
                <w:lang w:val="en-US" w:eastAsia="zh-CN"/>
              </w:rPr>
            </w:pPr>
            <w:r>
              <w:rPr>
                <w:rFonts w:hint="eastAsia"/>
                <w:b/>
                <w:bCs/>
                <w:color w:val="auto"/>
                <w:kern w:val="24"/>
                <w:sz w:val="24"/>
                <w:highlight w:val="none"/>
                <w:lang w:val="en-US" w:eastAsia="zh-CN"/>
              </w:rPr>
              <w:t>（二）</w:t>
            </w:r>
            <w:r>
              <w:rPr>
                <w:rFonts w:hint="eastAsia" w:ascii="Times New Roman" w:hAnsi="Times New Roman" w:cs="Times New Roman"/>
                <w:b/>
                <w:color w:val="auto"/>
                <w:sz w:val="24"/>
                <w:highlight w:val="none"/>
                <w:lang w:val="en-US" w:eastAsia="zh-CN"/>
              </w:rPr>
              <w:t>废水量</w:t>
            </w:r>
          </w:p>
          <w:p w14:paraId="6D2719E6">
            <w:pPr>
              <w:adjustRightInd w:val="0"/>
              <w:snapToGrid w:val="0"/>
              <w:spacing w:line="360" w:lineRule="auto"/>
              <w:ind w:firstLine="480" w:firstLineChars="200"/>
              <w:rPr>
                <w:rFonts w:hint="eastAsia" w:cs="Times New Roman"/>
                <w:b w:val="0"/>
                <w:bCs w:val="0"/>
                <w:color w:val="auto"/>
                <w:kern w:val="0"/>
                <w:sz w:val="24"/>
                <w:szCs w:val="24"/>
                <w:highlight w:val="none"/>
                <w:lang w:val="en-US" w:eastAsia="zh-CN" w:bidi="ar-SA"/>
              </w:rPr>
            </w:pPr>
            <w:r>
              <w:rPr>
                <w:rFonts w:hint="eastAsia"/>
                <w:color w:val="auto"/>
                <w:kern w:val="0"/>
                <w:sz w:val="24"/>
                <w:highlight w:val="none"/>
              </w:rPr>
              <w:t>项目废水主要为垃圾填埋场产生的渗滤液、</w:t>
            </w:r>
            <w:r>
              <w:rPr>
                <w:color w:val="auto"/>
                <w:kern w:val="0"/>
                <w:sz w:val="24"/>
                <w:highlight w:val="none"/>
              </w:rPr>
              <w:t>员工</w:t>
            </w:r>
            <w:r>
              <w:rPr>
                <w:color w:val="auto"/>
                <w:sz w:val="24"/>
                <w:highlight w:val="none"/>
              </w:rPr>
              <w:t>生活</w:t>
            </w:r>
            <w:r>
              <w:rPr>
                <w:rFonts w:hint="eastAsia"/>
                <w:color w:val="auto"/>
                <w:sz w:val="24"/>
                <w:highlight w:val="none"/>
              </w:rPr>
              <w:t>污水、生产废水（</w:t>
            </w:r>
            <w:r>
              <w:rPr>
                <w:rFonts w:hint="eastAsia"/>
                <w:color w:val="auto"/>
                <w:kern w:val="24"/>
                <w:sz w:val="24"/>
                <w:highlight w:val="none"/>
              </w:rPr>
              <w:t>化学洗涤塔废水、两级DTRO膜组件清洗废水、离子交换再生废水</w:t>
            </w:r>
            <w:r>
              <w:rPr>
                <w:rFonts w:hint="eastAsia"/>
                <w:color w:val="auto"/>
                <w:sz w:val="24"/>
                <w:highlight w:val="none"/>
              </w:rPr>
              <w:t>）、</w:t>
            </w:r>
            <w:r>
              <w:rPr>
                <w:rFonts w:hint="eastAsia"/>
                <w:color w:val="auto"/>
                <w:kern w:val="24"/>
                <w:sz w:val="24"/>
                <w:highlight w:val="none"/>
              </w:rPr>
              <w:t>蒸发母液。</w:t>
            </w:r>
          </w:p>
          <w:p w14:paraId="33B961C4">
            <w:pPr>
              <w:adjustRightInd w:val="0"/>
              <w:snapToGrid w:val="0"/>
              <w:spacing w:line="360" w:lineRule="auto"/>
              <w:ind w:firstLine="480" w:firstLineChars="200"/>
              <w:rPr>
                <w:rFonts w:hint="default"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1、垃圾填埋场产生的渗滤液：</w:t>
            </w:r>
            <w:r>
              <w:rPr>
                <w:rFonts w:hint="eastAsia"/>
                <w:color w:val="auto"/>
                <w:sz w:val="24"/>
                <w:highlight w:val="none"/>
              </w:rPr>
              <w:t>根据项目可行性研究报告及设计方案，项目建成后预计</w:t>
            </w:r>
            <w:r>
              <w:rPr>
                <w:rFonts w:hint="eastAsia"/>
                <w:color w:val="auto"/>
                <w:kern w:val="0"/>
                <w:sz w:val="24"/>
                <w:highlight w:val="none"/>
              </w:rPr>
              <w:t>垃圾填埋场的渗滤液日平均产生量47</w:t>
            </w:r>
            <w:r>
              <w:rPr>
                <w:color w:val="auto"/>
                <w:kern w:val="0"/>
                <w:sz w:val="24"/>
                <w:highlight w:val="none"/>
              </w:rPr>
              <w:t>~50</w:t>
            </w:r>
            <w:r>
              <w:rPr>
                <w:rFonts w:hint="eastAsia"/>
                <w:color w:val="auto"/>
                <w:kern w:val="0"/>
                <w:sz w:val="24"/>
                <w:highlight w:val="none"/>
              </w:rPr>
              <w:t>t/d</w:t>
            </w:r>
            <w:r>
              <w:rPr>
                <w:rFonts w:hint="eastAsia"/>
                <w:color w:val="auto"/>
                <w:sz w:val="24"/>
                <w:highlight w:val="none"/>
              </w:rPr>
              <w:t>，经渗滤液收集池收集后，</w:t>
            </w:r>
            <w:r>
              <w:rPr>
                <w:rFonts w:hint="eastAsia"/>
                <w:bCs/>
                <w:color w:val="auto"/>
                <w:sz w:val="24"/>
                <w:highlight w:val="none"/>
              </w:rPr>
              <w:t>排入1000m</w:t>
            </w:r>
            <w:r>
              <w:rPr>
                <w:rFonts w:hint="eastAsia"/>
                <w:bCs/>
                <w:color w:val="auto"/>
                <w:sz w:val="24"/>
                <w:highlight w:val="none"/>
                <w:vertAlign w:val="superscript"/>
              </w:rPr>
              <w:t>3</w:t>
            </w:r>
            <w:r>
              <w:rPr>
                <w:rFonts w:hint="eastAsia"/>
                <w:bCs/>
                <w:color w:val="auto"/>
                <w:sz w:val="24"/>
                <w:highlight w:val="none"/>
              </w:rPr>
              <w:t>渗滤液调节池，再进入</w:t>
            </w:r>
            <w:r>
              <w:rPr>
                <w:rFonts w:hint="eastAsia"/>
                <w:color w:val="auto"/>
                <w:kern w:val="0"/>
                <w:sz w:val="24"/>
                <w:highlight w:val="none"/>
              </w:rPr>
              <w:t>全量化处理站处理系统处理</w:t>
            </w:r>
            <w:r>
              <w:rPr>
                <w:color w:val="auto"/>
                <w:kern w:val="24"/>
                <w:sz w:val="24"/>
                <w:highlight w:val="none"/>
              </w:rPr>
              <w:t>。</w:t>
            </w:r>
          </w:p>
          <w:p w14:paraId="24E48821">
            <w:pPr>
              <w:adjustRightInd w:val="0"/>
              <w:snapToGrid w:val="0"/>
              <w:spacing w:line="360" w:lineRule="auto"/>
              <w:ind w:firstLine="480" w:firstLineChars="200"/>
              <w:rPr>
                <w:rFonts w:hint="default" w:ascii="Times New Roman" w:hAnsi="Times New Roman" w:cs="Times New Roman"/>
                <w:color w:val="auto"/>
                <w:kern w:val="24"/>
                <w:sz w:val="24"/>
                <w:szCs w:val="24"/>
                <w:highlight w:val="none"/>
                <w:lang w:eastAsia="zh-CN"/>
              </w:rPr>
            </w:pPr>
            <w:r>
              <w:rPr>
                <w:rFonts w:hint="eastAsia" w:cs="Times New Roman"/>
                <w:b w:val="0"/>
                <w:bCs w:val="0"/>
                <w:color w:val="auto"/>
                <w:kern w:val="24"/>
                <w:sz w:val="24"/>
                <w:highlight w:val="none"/>
                <w:lang w:val="en-US" w:eastAsia="zh-CN"/>
              </w:rPr>
              <w:t>2、</w:t>
            </w:r>
            <w:r>
              <w:rPr>
                <w:rFonts w:hint="default" w:ascii="Times New Roman" w:hAnsi="Times New Roman" w:cs="Times New Roman"/>
                <w:b w:val="0"/>
                <w:bCs w:val="0"/>
                <w:color w:val="auto"/>
                <w:kern w:val="0"/>
                <w:sz w:val="24"/>
                <w:szCs w:val="24"/>
                <w:highlight w:val="none"/>
                <w:lang w:val="en-US" w:eastAsia="zh-CN" w:bidi="ar-SA"/>
              </w:rPr>
              <w:t>员工</w:t>
            </w:r>
            <w:r>
              <w:rPr>
                <w:rFonts w:hint="default" w:ascii="Times New Roman" w:hAnsi="Times New Roman" w:cs="Times New Roman"/>
                <w:b w:val="0"/>
                <w:bCs w:val="0"/>
                <w:color w:val="auto"/>
                <w:sz w:val="24"/>
                <w:szCs w:val="24"/>
                <w:highlight w:val="none"/>
                <w:lang w:val="en-US" w:eastAsia="zh-CN"/>
              </w:rPr>
              <w:t>生活</w:t>
            </w:r>
            <w:r>
              <w:rPr>
                <w:rFonts w:hint="eastAsia" w:ascii="Times New Roman" w:hAnsi="Times New Roman" w:cs="Times New Roman"/>
                <w:b w:val="0"/>
                <w:bCs w:val="0"/>
                <w:color w:val="auto"/>
                <w:sz w:val="24"/>
                <w:szCs w:val="24"/>
                <w:highlight w:val="none"/>
                <w:lang w:val="en-US" w:eastAsia="zh-CN"/>
              </w:rPr>
              <w:t>污水：</w:t>
            </w:r>
            <w:r>
              <w:rPr>
                <w:color w:val="auto"/>
                <w:sz w:val="24"/>
                <w:highlight w:val="none"/>
              </w:rPr>
              <w:t>废水产生系数按0.8计，废水产生量约为</w:t>
            </w:r>
            <w:r>
              <w:rPr>
                <w:rFonts w:hint="eastAsia"/>
                <w:color w:val="auto"/>
                <w:sz w:val="24"/>
                <w:highlight w:val="none"/>
              </w:rPr>
              <w:t>0.44</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160.6</w:t>
            </w:r>
            <w:r>
              <w:rPr>
                <w:color w:val="auto"/>
                <w:sz w:val="24"/>
                <w:highlight w:val="none"/>
              </w:rPr>
              <w:t>m</w:t>
            </w:r>
            <w:r>
              <w:rPr>
                <w:color w:val="auto"/>
                <w:sz w:val="24"/>
                <w:highlight w:val="none"/>
                <w:vertAlign w:val="superscript"/>
              </w:rPr>
              <w:t>3</w:t>
            </w:r>
            <w:r>
              <w:rPr>
                <w:color w:val="auto"/>
                <w:sz w:val="24"/>
                <w:highlight w:val="none"/>
              </w:rPr>
              <w:t>/a</w:t>
            </w:r>
            <w:r>
              <w:rPr>
                <w:rFonts w:hint="eastAsia"/>
                <w:bCs/>
                <w:color w:val="auto"/>
                <w:sz w:val="24"/>
                <w:highlight w:val="none"/>
              </w:rPr>
              <w:t>，经化粪池处理后排入1000m</w:t>
            </w:r>
            <w:r>
              <w:rPr>
                <w:rFonts w:hint="eastAsia"/>
                <w:bCs/>
                <w:color w:val="auto"/>
                <w:sz w:val="24"/>
                <w:highlight w:val="none"/>
                <w:vertAlign w:val="superscript"/>
              </w:rPr>
              <w:t>3</w:t>
            </w:r>
            <w:r>
              <w:rPr>
                <w:rFonts w:hint="eastAsia"/>
                <w:bCs/>
                <w:color w:val="auto"/>
                <w:sz w:val="24"/>
                <w:highlight w:val="none"/>
              </w:rPr>
              <w:t>渗滤液调节池，再进入</w:t>
            </w:r>
            <w:r>
              <w:rPr>
                <w:rFonts w:hint="eastAsia"/>
                <w:color w:val="auto"/>
                <w:kern w:val="0"/>
                <w:sz w:val="24"/>
                <w:highlight w:val="none"/>
              </w:rPr>
              <w:t>全量化处理站处理系统处理</w:t>
            </w:r>
            <w:r>
              <w:rPr>
                <w:rFonts w:hint="default" w:ascii="Times New Roman" w:hAnsi="Times New Roman" w:cs="Times New Roman"/>
                <w:color w:val="auto"/>
                <w:kern w:val="24"/>
                <w:sz w:val="24"/>
                <w:szCs w:val="24"/>
                <w:highlight w:val="none"/>
                <w:lang w:eastAsia="zh-CN"/>
              </w:rPr>
              <w:t>。</w:t>
            </w:r>
          </w:p>
          <w:p w14:paraId="7B58E42F">
            <w:pPr>
              <w:adjustRightInd w:val="0"/>
              <w:snapToGrid w:val="0"/>
              <w:spacing w:line="360" w:lineRule="auto"/>
              <w:ind w:firstLine="480" w:firstLineChars="200"/>
              <w:rPr>
                <w:rFonts w:hint="default" w:cs="Times New Roman"/>
                <w:b w:val="0"/>
                <w:bCs w:val="0"/>
                <w:color w:val="auto"/>
                <w:kern w:val="24"/>
                <w:sz w:val="24"/>
                <w:highlight w:val="none"/>
                <w:lang w:val="en-US" w:eastAsia="zh-CN"/>
              </w:rPr>
            </w:pPr>
            <w:r>
              <w:rPr>
                <w:rFonts w:hint="eastAsia" w:cs="Times New Roman"/>
                <w:b w:val="0"/>
                <w:bCs w:val="0"/>
                <w:color w:val="auto"/>
                <w:kern w:val="24"/>
                <w:sz w:val="24"/>
                <w:highlight w:val="none"/>
                <w:lang w:val="en-US" w:eastAsia="zh-CN"/>
              </w:rPr>
              <w:t>3、生产废水</w:t>
            </w:r>
          </w:p>
          <w:p w14:paraId="128F6862">
            <w:pPr>
              <w:adjustRightInd w:val="0"/>
              <w:snapToGrid w:val="0"/>
              <w:spacing w:line="360" w:lineRule="auto"/>
              <w:ind w:firstLine="480" w:firstLineChars="200"/>
              <w:rPr>
                <w:rFonts w:hint="default" w:cs="Times New Roman"/>
                <w:b w:val="0"/>
                <w:bCs w:val="0"/>
                <w:color w:val="auto"/>
                <w:kern w:val="24"/>
                <w:sz w:val="24"/>
                <w:highlight w:val="none"/>
                <w:lang w:val="en-US" w:eastAsia="zh-CN"/>
              </w:rPr>
            </w:pPr>
            <w:r>
              <w:rPr>
                <w:rFonts w:hint="eastAsia" w:cs="Times New Roman"/>
                <w:b w:val="0"/>
                <w:bCs w:val="0"/>
                <w:color w:val="auto"/>
                <w:kern w:val="24"/>
                <w:sz w:val="24"/>
                <w:highlight w:val="none"/>
                <w:lang w:val="en-US" w:eastAsia="zh-CN"/>
              </w:rPr>
              <w:t>（1）化学洗涤塔废水：</w:t>
            </w:r>
            <w:r>
              <w:rPr>
                <w:rFonts w:hint="eastAsia"/>
                <w:color w:val="auto"/>
                <w:kern w:val="24"/>
                <w:sz w:val="24"/>
                <w:highlight w:val="none"/>
              </w:rPr>
              <w:t>项目运行过程中产生的恶臭气体经1套化学洗涤塔处理，洗涤剂经循环使用一段时间后需更换，产生化学洗涤塔废水。根据设计方案，化学洗涤塔废水产生量约0.05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r>
              <w:rPr>
                <w:rFonts w:hint="eastAsia"/>
                <w:color w:val="auto"/>
                <w:kern w:val="24"/>
                <w:sz w:val="24"/>
                <w:highlight w:val="none"/>
              </w:rPr>
              <w:t>排入</w:t>
            </w:r>
            <w:r>
              <w:rPr>
                <w:rFonts w:hint="eastAsia"/>
                <w:bCs/>
                <w:color w:val="auto"/>
                <w:sz w:val="24"/>
                <w:highlight w:val="none"/>
              </w:rPr>
              <w:t>1000m</w:t>
            </w:r>
            <w:r>
              <w:rPr>
                <w:rFonts w:hint="eastAsia"/>
                <w:bCs/>
                <w:color w:val="auto"/>
                <w:sz w:val="24"/>
                <w:highlight w:val="none"/>
                <w:vertAlign w:val="superscript"/>
              </w:rPr>
              <w:t>3</w:t>
            </w:r>
            <w:r>
              <w:rPr>
                <w:rFonts w:hint="eastAsia"/>
                <w:bCs/>
                <w:color w:val="auto"/>
                <w:sz w:val="24"/>
                <w:highlight w:val="none"/>
              </w:rPr>
              <w:t>渗滤液调节池，再进入</w:t>
            </w:r>
            <w:r>
              <w:rPr>
                <w:rFonts w:hint="eastAsia"/>
                <w:color w:val="auto"/>
                <w:kern w:val="0"/>
                <w:sz w:val="24"/>
                <w:highlight w:val="none"/>
              </w:rPr>
              <w:t>全量化处理站处理系统处理</w:t>
            </w:r>
            <w:r>
              <w:rPr>
                <w:rFonts w:hint="eastAsia"/>
                <w:color w:val="auto"/>
                <w:kern w:val="24"/>
                <w:sz w:val="24"/>
                <w:highlight w:val="none"/>
              </w:rPr>
              <w:t>。</w:t>
            </w:r>
          </w:p>
          <w:p w14:paraId="5801CBE5">
            <w:pPr>
              <w:adjustRightInd w:val="0"/>
              <w:snapToGrid w:val="0"/>
              <w:spacing w:line="360" w:lineRule="auto"/>
              <w:ind w:firstLine="480" w:firstLineChars="200"/>
              <w:rPr>
                <w:rFonts w:hint="default" w:cs="Times New Roman"/>
                <w:b w:val="0"/>
                <w:bCs w:val="0"/>
                <w:color w:val="auto"/>
                <w:kern w:val="24"/>
                <w:sz w:val="24"/>
                <w:highlight w:val="none"/>
                <w:lang w:val="en-US" w:eastAsia="zh-CN"/>
              </w:rPr>
            </w:pPr>
            <w:r>
              <w:rPr>
                <w:rFonts w:hint="eastAsia" w:cs="Times New Roman"/>
                <w:b w:val="0"/>
                <w:bCs w:val="0"/>
                <w:color w:val="auto"/>
                <w:kern w:val="24"/>
                <w:sz w:val="24"/>
                <w:highlight w:val="none"/>
                <w:lang w:val="en-US" w:eastAsia="zh-CN"/>
              </w:rPr>
              <w:t>（2）两级DTRO膜组件清洗废水：</w:t>
            </w:r>
            <w:r>
              <w:rPr>
                <w:rFonts w:hint="eastAsia"/>
                <w:color w:val="auto"/>
                <w:kern w:val="24"/>
                <w:sz w:val="24"/>
                <w:highlight w:val="none"/>
              </w:rPr>
              <w:t>根据设备方提供参数，</w:t>
            </w:r>
            <w:r>
              <w:rPr>
                <w:rFonts w:hint="eastAsia"/>
                <w:color w:val="auto"/>
                <w:sz w:val="24"/>
                <w:highlight w:val="none"/>
              </w:rPr>
              <w:t>产生量约3</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104</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kern w:val="24"/>
                <w:sz w:val="24"/>
                <w:highlight w:val="none"/>
              </w:rPr>
              <w:t>排入</w:t>
            </w:r>
            <w:r>
              <w:rPr>
                <w:rFonts w:hint="eastAsia"/>
                <w:bCs/>
                <w:color w:val="auto"/>
                <w:sz w:val="24"/>
                <w:highlight w:val="none"/>
              </w:rPr>
              <w:t>1000m</w:t>
            </w:r>
            <w:r>
              <w:rPr>
                <w:rFonts w:hint="eastAsia"/>
                <w:bCs/>
                <w:color w:val="auto"/>
                <w:sz w:val="24"/>
                <w:highlight w:val="none"/>
                <w:vertAlign w:val="superscript"/>
              </w:rPr>
              <w:t>3</w:t>
            </w:r>
            <w:r>
              <w:rPr>
                <w:rFonts w:hint="eastAsia"/>
                <w:bCs/>
                <w:color w:val="auto"/>
                <w:sz w:val="24"/>
                <w:highlight w:val="none"/>
              </w:rPr>
              <w:t>渗滤液调节池，再进入</w:t>
            </w:r>
            <w:r>
              <w:rPr>
                <w:rFonts w:hint="eastAsia"/>
                <w:color w:val="auto"/>
                <w:kern w:val="0"/>
                <w:sz w:val="24"/>
                <w:highlight w:val="none"/>
              </w:rPr>
              <w:t>全量化处理站处理系统处理</w:t>
            </w:r>
            <w:r>
              <w:rPr>
                <w:rFonts w:hint="default" w:ascii="Times New Roman" w:hAnsi="Times New Roman" w:cs="Times New Roman"/>
                <w:color w:val="auto"/>
                <w:kern w:val="24"/>
                <w:sz w:val="24"/>
                <w:szCs w:val="24"/>
                <w:highlight w:val="none"/>
                <w:lang w:eastAsia="zh-CN"/>
              </w:rPr>
              <w:t>。</w:t>
            </w:r>
          </w:p>
          <w:p w14:paraId="53AA4504">
            <w:pPr>
              <w:adjustRightInd w:val="0"/>
              <w:snapToGrid w:val="0"/>
              <w:spacing w:line="360" w:lineRule="auto"/>
              <w:ind w:firstLine="480" w:firstLineChars="200"/>
              <w:rPr>
                <w:rFonts w:hint="default" w:cs="Times New Roman"/>
                <w:b w:val="0"/>
                <w:bCs w:val="0"/>
                <w:color w:val="auto"/>
                <w:kern w:val="24"/>
                <w:sz w:val="24"/>
                <w:highlight w:val="none"/>
                <w:lang w:val="en-US" w:eastAsia="zh-CN"/>
              </w:rPr>
            </w:pPr>
            <w:r>
              <w:rPr>
                <w:rFonts w:hint="eastAsia" w:cs="Times New Roman"/>
                <w:b w:val="0"/>
                <w:bCs w:val="0"/>
                <w:color w:val="auto"/>
                <w:kern w:val="24"/>
                <w:sz w:val="24"/>
                <w:highlight w:val="none"/>
                <w:lang w:val="en-US" w:eastAsia="zh-CN"/>
              </w:rPr>
              <w:t>（3）离子交换再生废水：</w:t>
            </w:r>
            <w:r>
              <w:rPr>
                <w:rFonts w:hint="eastAsia"/>
                <w:color w:val="auto"/>
                <w:kern w:val="24"/>
                <w:sz w:val="24"/>
                <w:highlight w:val="none"/>
              </w:rPr>
              <w:t>根据设备方提供参数，</w:t>
            </w:r>
            <w:r>
              <w:rPr>
                <w:rFonts w:hint="eastAsia"/>
                <w:color w:val="auto"/>
                <w:sz w:val="24"/>
                <w:highlight w:val="none"/>
              </w:rPr>
              <w:t>产生量约0.285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104</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kern w:val="24"/>
                <w:sz w:val="24"/>
                <w:highlight w:val="none"/>
              </w:rPr>
              <w:t>排入</w:t>
            </w:r>
            <w:r>
              <w:rPr>
                <w:rFonts w:hint="eastAsia"/>
                <w:bCs/>
                <w:color w:val="auto"/>
                <w:sz w:val="24"/>
                <w:highlight w:val="none"/>
              </w:rPr>
              <w:t>1000m</w:t>
            </w:r>
            <w:r>
              <w:rPr>
                <w:rFonts w:hint="eastAsia"/>
                <w:bCs/>
                <w:color w:val="auto"/>
                <w:sz w:val="24"/>
                <w:highlight w:val="none"/>
                <w:vertAlign w:val="superscript"/>
              </w:rPr>
              <w:t>3</w:t>
            </w:r>
            <w:r>
              <w:rPr>
                <w:rFonts w:hint="eastAsia"/>
                <w:bCs/>
                <w:color w:val="auto"/>
                <w:sz w:val="24"/>
                <w:highlight w:val="none"/>
              </w:rPr>
              <w:t>渗滤液调节池，再进入</w:t>
            </w:r>
            <w:r>
              <w:rPr>
                <w:rFonts w:hint="eastAsia"/>
                <w:color w:val="auto"/>
                <w:kern w:val="0"/>
                <w:sz w:val="24"/>
                <w:highlight w:val="none"/>
              </w:rPr>
              <w:t>全量化处理站处理系统处理</w:t>
            </w:r>
            <w:r>
              <w:rPr>
                <w:rFonts w:hint="default" w:ascii="Times New Roman" w:hAnsi="Times New Roman" w:cs="Times New Roman"/>
                <w:color w:val="auto"/>
                <w:kern w:val="24"/>
                <w:sz w:val="24"/>
                <w:szCs w:val="24"/>
                <w:highlight w:val="none"/>
                <w:lang w:eastAsia="zh-CN"/>
              </w:rPr>
              <w:t>。</w:t>
            </w:r>
          </w:p>
          <w:p w14:paraId="064D859C">
            <w:pPr>
              <w:adjustRightInd w:val="0"/>
              <w:snapToGrid w:val="0"/>
              <w:spacing w:line="360" w:lineRule="auto"/>
              <w:ind w:firstLine="480" w:firstLineChars="200"/>
              <w:rPr>
                <w:rFonts w:hint="eastAsia" w:cs="Times New Roman"/>
                <w:b w:val="0"/>
                <w:bCs w:val="0"/>
                <w:color w:val="auto"/>
                <w:kern w:val="24"/>
                <w:sz w:val="24"/>
                <w:highlight w:val="none"/>
                <w:lang w:val="en-US" w:eastAsia="zh-CN"/>
              </w:rPr>
            </w:pPr>
            <w:r>
              <w:rPr>
                <w:rFonts w:hint="eastAsia" w:cs="Times New Roman"/>
                <w:b w:val="0"/>
                <w:bCs w:val="0"/>
                <w:color w:val="auto"/>
                <w:kern w:val="24"/>
                <w:sz w:val="24"/>
                <w:highlight w:val="none"/>
                <w:lang w:val="en-US" w:eastAsia="zh-CN"/>
              </w:rPr>
              <w:t>4、蒸发母液</w:t>
            </w:r>
          </w:p>
          <w:p w14:paraId="165900DA">
            <w:pPr>
              <w:adjustRightInd w:val="0"/>
              <w:snapToGrid w:val="0"/>
              <w:spacing w:line="360" w:lineRule="auto"/>
              <w:ind w:firstLine="480" w:firstLineChars="200"/>
              <w:rPr>
                <w:rFonts w:hint="default" w:cs="Times New Roman"/>
                <w:b w:val="0"/>
                <w:bCs w:val="0"/>
                <w:color w:val="auto"/>
                <w:kern w:val="24"/>
                <w:sz w:val="24"/>
                <w:highlight w:val="none"/>
                <w:lang w:val="en-US" w:eastAsia="zh-CN"/>
              </w:rPr>
            </w:pPr>
            <w:r>
              <w:rPr>
                <w:rFonts w:hint="eastAsia"/>
                <w:color w:val="auto"/>
                <w:kern w:val="24"/>
                <w:sz w:val="24"/>
                <w:highlight w:val="none"/>
              </w:rPr>
              <w:t>本项目蒸发母液主要来源于一级DTRO处理后产生的浓缩液。项目渗滤液处理站设计处理能力为</w:t>
            </w:r>
            <w:r>
              <w:rPr>
                <w:rFonts w:hint="eastAsia"/>
                <w:color w:val="auto"/>
                <w:sz w:val="24"/>
                <w:highlight w:val="none"/>
              </w:rPr>
              <w:t>50</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，按每天满负荷处理50m</w:t>
            </w:r>
            <w:r>
              <w:rPr>
                <w:rFonts w:hint="eastAsia"/>
                <w:color w:val="auto"/>
                <w:sz w:val="24"/>
                <w:highlight w:val="none"/>
                <w:vertAlign w:val="superscript"/>
              </w:rPr>
              <w:t>3</w:t>
            </w:r>
            <w:r>
              <w:rPr>
                <w:rFonts w:hint="eastAsia"/>
                <w:color w:val="auto"/>
                <w:sz w:val="24"/>
                <w:highlight w:val="none"/>
              </w:rPr>
              <w:t>/d渗滤液考虑，</w:t>
            </w:r>
            <w:r>
              <w:rPr>
                <w:rFonts w:hint="eastAsia"/>
                <w:color w:val="auto"/>
                <w:kern w:val="24"/>
                <w:sz w:val="24"/>
                <w:highlight w:val="none"/>
              </w:rPr>
              <w:t>处理过程中一级DTRO回收率约69%，则每天产生浓缩液约15.5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，浓缩液经低温</w:t>
            </w:r>
            <w:r>
              <w:rPr>
                <w:rFonts w:hint="eastAsia"/>
                <w:color w:val="auto"/>
                <w:kern w:val="24"/>
                <w:sz w:val="24"/>
                <w:highlight w:val="none"/>
              </w:rPr>
              <w:t>真空蒸发后会产生约5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、1825</w:t>
            </w:r>
            <w:r>
              <w:rPr>
                <w:color w:val="auto"/>
                <w:sz w:val="24"/>
                <w:highlight w:val="none"/>
              </w:rPr>
              <w:t>m</w:t>
            </w:r>
            <w:r>
              <w:rPr>
                <w:color w:val="auto"/>
                <w:sz w:val="24"/>
                <w:highlight w:val="none"/>
                <w:vertAlign w:val="superscript"/>
              </w:rPr>
              <w:t>3</w:t>
            </w:r>
            <w:r>
              <w:rPr>
                <w:rFonts w:hint="eastAsia"/>
                <w:color w:val="auto"/>
                <w:sz w:val="24"/>
                <w:highlight w:val="none"/>
              </w:rPr>
              <w:t>/a的蒸发母液，采用固化剂固化处理，采用吨袋打包后委托具有资质的单位处置；蒸发后的冷凝水</w:t>
            </w:r>
            <w:r>
              <w:rPr>
                <w:rFonts w:hint="eastAsia"/>
                <w:color w:val="auto"/>
                <w:kern w:val="24"/>
                <w:sz w:val="24"/>
                <w:highlight w:val="none"/>
              </w:rPr>
              <w:t>10.5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3832.5</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rPr>
              <w:t>，直接回到全量化处理站前端，与进水混合后循环处理</w:t>
            </w:r>
            <w:r>
              <w:rPr>
                <w:rFonts w:hint="eastAsia" w:cs="Times New Roman"/>
                <w:b w:val="0"/>
                <w:bCs w:val="0"/>
                <w:color w:val="auto"/>
                <w:sz w:val="24"/>
                <w:szCs w:val="24"/>
                <w:highlight w:val="none"/>
                <w:lang w:val="en-US" w:eastAsia="zh-CN"/>
              </w:rPr>
              <w:t>。</w:t>
            </w:r>
          </w:p>
          <w:p w14:paraId="4088A2F3">
            <w:pPr>
              <w:adjustRightInd w:val="0"/>
              <w:snapToGrid w:val="0"/>
              <w:spacing w:line="360" w:lineRule="auto"/>
              <w:ind w:firstLine="482" w:firstLineChars="200"/>
              <w:rPr>
                <w:rFonts w:hint="default" w:ascii="Times New Roman" w:hAnsi="Times New Roman" w:cs="Times New Roman"/>
                <w:b/>
                <w:color w:val="auto"/>
                <w:sz w:val="24"/>
                <w:highlight w:val="none"/>
                <w:lang w:val="en-US" w:eastAsia="zh-CN"/>
              </w:rPr>
            </w:pPr>
            <w:r>
              <w:rPr>
                <w:rFonts w:hint="eastAsia" w:cs="Times New Roman"/>
                <w:b/>
                <w:bCs/>
                <w:color w:val="auto"/>
                <w:kern w:val="24"/>
                <w:sz w:val="24"/>
                <w:highlight w:val="none"/>
                <w:lang w:val="en-US" w:eastAsia="zh-CN"/>
              </w:rPr>
              <w:t>（三）</w:t>
            </w:r>
            <w:r>
              <w:rPr>
                <w:rFonts w:hint="eastAsia" w:ascii="Times New Roman" w:hAnsi="Times New Roman" w:cs="Times New Roman"/>
                <w:b/>
                <w:color w:val="auto"/>
                <w:sz w:val="24"/>
                <w:highlight w:val="none"/>
                <w:lang w:val="en-US" w:eastAsia="zh-CN"/>
              </w:rPr>
              <w:t>废水排放去向</w:t>
            </w:r>
          </w:p>
          <w:p w14:paraId="17047A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kern w:val="0"/>
                <w:szCs w:val="21"/>
                <w:highlight w:val="none"/>
              </w:rPr>
            </w:pPr>
            <w:r>
              <w:rPr>
                <w:rFonts w:hint="eastAsia"/>
                <w:color w:val="auto"/>
                <w:sz w:val="24"/>
                <w:szCs w:val="36"/>
                <w:highlight w:val="none"/>
              </w:rPr>
              <w:t>项目采用雨污分流制排水方式。</w:t>
            </w:r>
            <w:r>
              <w:rPr>
                <w:rFonts w:hint="eastAsia"/>
                <w:color w:val="auto"/>
                <w:sz w:val="24"/>
                <w:szCs w:val="36"/>
                <w:highlight w:val="none"/>
                <w:lang w:val="en-US" w:eastAsia="zh-CN"/>
              </w:rPr>
              <w:t>雨水经厂区雨水沟收集后排入填埋场外排水沟</w:t>
            </w:r>
            <w:r>
              <w:rPr>
                <w:rFonts w:hint="eastAsia" w:ascii="Times New Roman" w:hAnsi="Times New Roman" w:cs="Times New Roman"/>
                <w:color w:val="auto"/>
                <w:kern w:val="0"/>
                <w:szCs w:val="21"/>
                <w:highlight w:val="none"/>
              </w:rPr>
              <w:t>。</w:t>
            </w:r>
            <w:r>
              <w:rPr>
                <w:rFonts w:hint="eastAsia"/>
                <w:color w:val="auto"/>
                <w:sz w:val="24"/>
                <w:szCs w:val="36"/>
                <w:highlight w:val="none"/>
              </w:rPr>
              <w:t>本项目生活垃圾填埋场渗滤液、员工生活污水、生产废水分别排入全量化调节池后，再进入全量化处理站处理，处理达到《城镇污水处理厂污染物排放标准》（GB18918-2002）中一级A标排放标准及《城市污水再生利用 城市杂用水水质》（GB/T18920-2020）中城市绿化水质标准要求后，回用于场区绿化灌溉，不外排。全量化处理站产生的蒸发母液采用固化剂固化处理后委托具有资质的单位处置。</w:t>
            </w:r>
          </w:p>
          <w:p w14:paraId="733A4055">
            <w:pPr>
              <w:pStyle w:val="29"/>
              <w:adjustRightInd w:val="0"/>
              <w:snapToGrid w:val="0"/>
              <w:ind w:firstLine="480" w:firstLineChars="200"/>
              <w:rPr>
                <w:rFonts w:hint="eastAsia" w:ascii="Times New Roman" w:hAnsi="Times New Roman" w:eastAsia="宋体" w:cs="Times New Roman"/>
                <w:color w:val="auto"/>
                <w:kern w:val="0"/>
                <w:sz w:val="24"/>
                <w:szCs w:val="21"/>
                <w:highlight w:val="none"/>
                <w:lang w:val="en-US" w:eastAsia="zh-CN" w:bidi="ar-SA"/>
              </w:rPr>
            </w:pPr>
            <w:r>
              <w:rPr>
                <w:rFonts w:hint="eastAsia" w:ascii="Times New Roman" w:hAnsi="Times New Roman" w:eastAsia="宋体" w:cs="Times New Roman"/>
                <w:color w:val="auto"/>
                <w:kern w:val="0"/>
                <w:sz w:val="24"/>
                <w:szCs w:val="21"/>
                <w:highlight w:val="none"/>
                <w:lang w:val="en-US" w:eastAsia="zh-CN" w:bidi="ar-SA"/>
              </w:rPr>
              <w:t>项目水平衡图如下所示：</w:t>
            </w:r>
          </w:p>
          <w:p w14:paraId="342C2B38">
            <w:pPr>
              <w:rPr>
                <w:rFonts w:hint="eastAsia" w:ascii="Times New Roman" w:hAnsi="Times New Roman" w:eastAsia="宋体" w:cs="Times New Roman"/>
                <w:color w:val="auto"/>
                <w:kern w:val="0"/>
                <w:sz w:val="24"/>
                <w:szCs w:val="21"/>
                <w:highlight w:val="none"/>
                <w:lang w:val="en-US" w:eastAsia="zh-CN" w:bidi="ar-SA"/>
              </w:rPr>
            </w:pPr>
          </w:p>
          <w:p w14:paraId="592E3E5F">
            <w:pPr>
              <w:rPr>
                <w:rFonts w:hint="eastAsia" w:ascii="Times New Roman" w:hAnsi="Times New Roman" w:eastAsia="宋体" w:cs="Times New Roman"/>
                <w:color w:val="auto"/>
                <w:kern w:val="0"/>
                <w:sz w:val="24"/>
                <w:szCs w:val="21"/>
                <w:highlight w:val="none"/>
                <w:lang w:val="en-US" w:eastAsia="zh-CN" w:bidi="ar-SA"/>
              </w:rPr>
            </w:pPr>
          </w:p>
          <w:p w14:paraId="6F2524CB">
            <w:pPr>
              <w:rPr>
                <w:rFonts w:hint="eastAsia" w:ascii="Times New Roman" w:hAnsi="Times New Roman" w:eastAsia="宋体" w:cs="Times New Roman"/>
                <w:color w:val="auto"/>
                <w:kern w:val="0"/>
                <w:sz w:val="24"/>
                <w:szCs w:val="21"/>
                <w:highlight w:val="none"/>
                <w:lang w:val="en-US" w:eastAsia="zh-CN" w:bidi="ar-SA"/>
              </w:rPr>
            </w:pPr>
          </w:p>
          <w:p w14:paraId="6B83BD0A">
            <w:pPr>
              <w:rPr>
                <w:rFonts w:hint="eastAsia" w:ascii="Times New Roman" w:hAnsi="Times New Roman" w:eastAsia="宋体" w:cs="Times New Roman"/>
                <w:color w:val="auto"/>
                <w:kern w:val="0"/>
                <w:sz w:val="24"/>
                <w:szCs w:val="21"/>
                <w:highlight w:val="none"/>
                <w:lang w:val="en-US" w:eastAsia="zh-CN" w:bidi="ar-SA"/>
              </w:rPr>
            </w:pPr>
          </w:p>
          <w:p w14:paraId="380F7764">
            <w:pPr>
              <w:rPr>
                <w:rFonts w:hint="eastAsia" w:ascii="Times New Roman" w:hAnsi="Times New Roman" w:eastAsia="宋体" w:cs="Times New Roman"/>
                <w:color w:val="auto"/>
                <w:kern w:val="0"/>
                <w:sz w:val="24"/>
                <w:szCs w:val="21"/>
                <w:highlight w:val="none"/>
                <w:lang w:val="en-US" w:eastAsia="zh-CN" w:bidi="ar-SA"/>
              </w:rPr>
            </w:pPr>
          </w:p>
          <w:p w14:paraId="1246B968">
            <w:pPr>
              <w:rPr>
                <w:rFonts w:hint="eastAsia" w:ascii="Times New Roman" w:hAnsi="Times New Roman" w:eastAsia="宋体" w:cs="Times New Roman"/>
                <w:color w:val="auto"/>
                <w:kern w:val="0"/>
                <w:sz w:val="24"/>
                <w:szCs w:val="21"/>
                <w:highlight w:val="none"/>
                <w:lang w:val="en-US" w:eastAsia="zh-CN" w:bidi="ar-SA"/>
              </w:rPr>
            </w:pPr>
          </w:p>
          <w:p w14:paraId="5BEA1726">
            <w:pPr>
              <w:rPr>
                <w:rFonts w:hint="eastAsia" w:ascii="Times New Roman" w:hAnsi="Times New Roman" w:eastAsia="宋体" w:cs="Times New Roman"/>
                <w:color w:val="auto"/>
                <w:kern w:val="0"/>
                <w:sz w:val="24"/>
                <w:szCs w:val="21"/>
                <w:highlight w:val="none"/>
                <w:lang w:val="en-US" w:eastAsia="zh-CN" w:bidi="ar-SA"/>
              </w:rPr>
            </w:pPr>
          </w:p>
          <w:p w14:paraId="558FA7F4">
            <w:pPr>
              <w:rPr>
                <w:rFonts w:hint="eastAsia" w:ascii="Times New Roman" w:hAnsi="Times New Roman" w:eastAsia="宋体" w:cs="Times New Roman"/>
                <w:color w:val="auto"/>
                <w:kern w:val="0"/>
                <w:sz w:val="24"/>
                <w:szCs w:val="21"/>
                <w:highlight w:val="none"/>
                <w:lang w:val="en-US" w:eastAsia="zh-CN" w:bidi="ar-SA"/>
              </w:rPr>
            </w:pPr>
          </w:p>
          <w:p w14:paraId="2A238AFA">
            <w:pPr>
              <w:rPr>
                <w:rFonts w:hint="eastAsia" w:ascii="Times New Roman" w:hAnsi="Times New Roman" w:eastAsia="宋体" w:cs="Times New Roman"/>
                <w:color w:val="auto"/>
                <w:kern w:val="0"/>
                <w:sz w:val="24"/>
                <w:szCs w:val="21"/>
                <w:highlight w:val="none"/>
                <w:lang w:val="en-US" w:eastAsia="zh-CN" w:bidi="ar-SA"/>
              </w:rPr>
            </w:pPr>
          </w:p>
          <w:p w14:paraId="7502995D">
            <w:pPr>
              <w:rPr>
                <w:rFonts w:hint="eastAsia" w:ascii="Times New Roman" w:hAnsi="Times New Roman" w:eastAsia="宋体" w:cs="Times New Roman"/>
                <w:color w:val="auto"/>
                <w:kern w:val="0"/>
                <w:sz w:val="24"/>
                <w:szCs w:val="21"/>
                <w:highlight w:val="none"/>
                <w:lang w:val="en-US" w:eastAsia="zh-CN" w:bidi="ar-SA"/>
              </w:rPr>
            </w:pPr>
          </w:p>
          <w:p w14:paraId="7905F011">
            <w:pPr>
              <w:rPr>
                <w:rFonts w:hint="eastAsia" w:ascii="Times New Roman" w:hAnsi="Times New Roman" w:eastAsia="宋体" w:cs="Times New Roman"/>
                <w:color w:val="auto"/>
                <w:kern w:val="0"/>
                <w:sz w:val="24"/>
                <w:szCs w:val="21"/>
                <w:highlight w:val="none"/>
                <w:lang w:val="en-US" w:eastAsia="zh-CN" w:bidi="ar-SA"/>
              </w:rPr>
            </w:pPr>
          </w:p>
          <w:p w14:paraId="108EA039">
            <w:pPr>
              <w:rPr>
                <w:rFonts w:hint="eastAsia" w:ascii="Times New Roman" w:hAnsi="Times New Roman" w:eastAsia="宋体" w:cs="Times New Roman"/>
                <w:color w:val="auto"/>
                <w:kern w:val="0"/>
                <w:sz w:val="24"/>
                <w:szCs w:val="21"/>
                <w:highlight w:val="none"/>
                <w:lang w:val="en-US" w:eastAsia="zh-CN" w:bidi="ar-SA"/>
              </w:rPr>
            </w:pPr>
          </w:p>
          <w:p w14:paraId="3C19283C">
            <w:pPr>
              <w:rPr>
                <w:rFonts w:hint="eastAsia" w:ascii="Times New Roman" w:hAnsi="Times New Roman" w:eastAsia="宋体" w:cs="Times New Roman"/>
                <w:color w:val="auto"/>
                <w:kern w:val="0"/>
                <w:sz w:val="24"/>
                <w:szCs w:val="21"/>
                <w:highlight w:val="none"/>
                <w:lang w:val="en-US" w:eastAsia="zh-CN" w:bidi="ar-SA"/>
              </w:rPr>
            </w:pPr>
          </w:p>
          <w:p w14:paraId="51402BEC">
            <w:pPr>
              <w:pStyle w:val="62"/>
              <w:spacing w:line="360" w:lineRule="auto"/>
              <w:jc w:val="both"/>
              <w:rPr>
                <w:color w:val="auto"/>
                <w:highlight w:val="none"/>
              </w:rPr>
            </w:pPr>
          </w:p>
          <w:p w14:paraId="1B2B7A9E">
            <w:pPr>
              <w:pStyle w:val="62"/>
              <w:spacing w:line="360" w:lineRule="auto"/>
              <w:jc w:val="both"/>
              <w:rPr>
                <w:rFonts w:hint="default" w:ascii="Times New Roman" w:hAnsi="Times New Roman" w:eastAsia="宋体" w:cs="Times New Roman"/>
                <w:b/>
                <w:bCs/>
                <w:color w:val="auto"/>
                <w:sz w:val="21"/>
                <w:szCs w:val="21"/>
                <w:highlight w:val="none"/>
                <w:lang w:eastAsia="zh-CN"/>
              </w:rPr>
            </w:pPr>
            <w:r>
              <w:rPr>
                <w:color w:val="auto"/>
                <w:highlight w:val="none"/>
              </w:rPr>
              <w:object>
                <v:shape id="_x0000_i1025" o:spt="75" type="#_x0000_t75" style="height:255pt;width:420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14:paraId="522C969E">
            <w:pPr>
              <w:pStyle w:val="62"/>
              <w:spacing w:line="360" w:lineRule="auto"/>
              <w:ind w:firstLine="422" w:firstLineChars="200"/>
              <w:jc w:val="center"/>
              <w:rPr>
                <w:rFonts w:hint="eastAsia" w:ascii="Times New Roman" w:hAnsi="Times New Roman" w:cs="Times New Roman"/>
                <w:b/>
                <w:color w:val="auto"/>
                <w:kern w:val="24"/>
                <w:sz w:val="21"/>
                <w:szCs w:val="21"/>
                <w:highlight w:val="none"/>
                <w:lang w:val="en-US" w:eastAsia="zh-CN"/>
              </w:rPr>
            </w:pPr>
            <w:r>
              <w:rPr>
                <w:rFonts w:ascii="Times New Roman" w:cs="Times New Roman"/>
                <w:b/>
                <w:color w:val="auto"/>
                <w:kern w:val="24"/>
                <w:sz w:val="21"/>
                <w:szCs w:val="21"/>
                <w:highlight w:val="none"/>
              </w:rPr>
              <w:t>图</w:t>
            </w:r>
            <w:r>
              <w:rPr>
                <w:rFonts w:hint="eastAsia" w:ascii="Times New Roman" w:hAnsi="Times New Roman" w:cs="Times New Roman"/>
                <w:b/>
                <w:color w:val="auto"/>
                <w:kern w:val="24"/>
                <w:sz w:val="21"/>
                <w:szCs w:val="21"/>
                <w:highlight w:val="none"/>
              </w:rPr>
              <w:t>2-</w:t>
            </w:r>
            <w:r>
              <w:rPr>
                <w:rFonts w:hint="eastAsia" w:ascii="Times New Roman" w:hAnsi="Times New Roman" w:cs="Times New Roman"/>
                <w:b/>
                <w:color w:val="auto"/>
                <w:kern w:val="24"/>
                <w:sz w:val="21"/>
                <w:szCs w:val="21"/>
                <w:highlight w:val="none"/>
                <w:lang w:val="en-US" w:eastAsia="zh-CN"/>
              </w:rPr>
              <w:t>2</w:t>
            </w:r>
            <w:r>
              <w:rPr>
                <w:rFonts w:ascii="Times New Roman" w:hAnsi="Times New Roman" w:cs="Times New Roman"/>
                <w:b/>
                <w:color w:val="auto"/>
                <w:kern w:val="24"/>
                <w:sz w:val="21"/>
                <w:szCs w:val="21"/>
                <w:highlight w:val="none"/>
              </w:rPr>
              <w:t xml:space="preserve">  </w:t>
            </w:r>
            <w:r>
              <w:rPr>
                <w:rFonts w:hint="eastAsia" w:ascii="Times New Roman" w:hAnsi="Times New Roman" w:cs="Times New Roman"/>
                <w:b/>
                <w:color w:val="auto"/>
                <w:kern w:val="24"/>
                <w:sz w:val="21"/>
                <w:szCs w:val="21"/>
                <w:highlight w:val="none"/>
                <w:lang w:eastAsia="zh-CN"/>
              </w:rPr>
              <w:t>本项目</w:t>
            </w:r>
            <w:r>
              <w:rPr>
                <w:rFonts w:ascii="Times New Roman" w:cs="Times New Roman"/>
                <w:b/>
                <w:color w:val="auto"/>
                <w:kern w:val="24"/>
                <w:sz w:val="21"/>
                <w:szCs w:val="21"/>
                <w:highlight w:val="none"/>
              </w:rPr>
              <w:t>水平衡图</w:t>
            </w:r>
            <w:r>
              <w:rPr>
                <w:rFonts w:hint="eastAsia" w:ascii="Times New Roman" w:cs="Times New Roman"/>
                <w:b/>
                <w:color w:val="auto"/>
                <w:kern w:val="24"/>
                <w:sz w:val="21"/>
                <w:szCs w:val="21"/>
                <w:highlight w:val="none"/>
                <w:lang w:eastAsia="zh-CN"/>
              </w:rPr>
              <w:t>（</w:t>
            </w:r>
            <w:r>
              <w:rPr>
                <w:rFonts w:hint="eastAsia" w:ascii="Times New Roman" w:cs="Times New Roman"/>
                <w:b/>
                <w:color w:val="auto"/>
                <w:kern w:val="24"/>
                <w:sz w:val="21"/>
                <w:szCs w:val="21"/>
                <w:highlight w:val="none"/>
                <w:lang w:val="en-US" w:eastAsia="zh-CN"/>
              </w:rPr>
              <w:t>晴天</w:t>
            </w:r>
            <w:r>
              <w:rPr>
                <w:rFonts w:hint="eastAsia" w:ascii="Times New Roman" w:cs="Times New Roman"/>
                <w:b/>
                <w:color w:val="auto"/>
                <w:kern w:val="24"/>
                <w:sz w:val="21"/>
                <w:szCs w:val="21"/>
                <w:highlight w:val="none"/>
                <w:lang w:eastAsia="zh-CN"/>
              </w:rPr>
              <w:t>）</w:t>
            </w:r>
            <w:r>
              <w:rPr>
                <w:rFonts w:ascii="Times New Roman" w:hAnsi="Times New Roman" w:cs="Times New Roman"/>
                <w:b/>
                <w:color w:val="auto"/>
                <w:kern w:val="24"/>
                <w:sz w:val="21"/>
                <w:szCs w:val="21"/>
                <w:highlight w:val="none"/>
              </w:rPr>
              <w:t xml:space="preserve">  </w:t>
            </w:r>
            <w:r>
              <w:rPr>
                <w:rFonts w:ascii="Times New Roman" w:cs="Times New Roman"/>
                <w:b/>
                <w:color w:val="auto"/>
                <w:kern w:val="24"/>
                <w:sz w:val="21"/>
                <w:szCs w:val="21"/>
                <w:highlight w:val="none"/>
              </w:rPr>
              <w:t>单位：</w:t>
            </w:r>
            <w:r>
              <w:rPr>
                <w:rFonts w:hint="eastAsia" w:ascii="Times New Roman" w:hAnsi="Times New Roman" w:cs="Times New Roman"/>
                <w:b/>
                <w:color w:val="auto"/>
                <w:kern w:val="24"/>
                <w:sz w:val="21"/>
                <w:szCs w:val="21"/>
                <w:highlight w:val="none"/>
                <w:lang w:val="en-US" w:eastAsia="zh-CN"/>
              </w:rPr>
              <w:t>m</w:t>
            </w:r>
            <w:r>
              <w:rPr>
                <w:rFonts w:hint="eastAsia" w:ascii="Times New Roman" w:hAnsi="Times New Roman" w:cs="Times New Roman"/>
                <w:b/>
                <w:color w:val="auto"/>
                <w:kern w:val="24"/>
                <w:sz w:val="21"/>
                <w:szCs w:val="21"/>
                <w:highlight w:val="none"/>
                <w:vertAlign w:val="superscript"/>
                <w:lang w:val="en-US" w:eastAsia="zh-CN"/>
              </w:rPr>
              <w:t>3</w:t>
            </w:r>
            <w:r>
              <w:rPr>
                <w:rFonts w:hint="eastAsia" w:ascii="Times New Roman" w:hAnsi="Times New Roman" w:cs="Times New Roman"/>
                <w:b/>
                <w:color w:val="auto"/>
                <w:kern w:val="24"/>
                <w:sz w:val="21"/>
                <w:szCs w:val="21"/>
                <w:highlight w:val="none"/>
                <w:lang w:val="en-US" w:eastAsia="zh-CN"/>
              </w:rPr>
              <w:t>/d</w:t>
            </w:r>
          </w:p>
          <w:p w14:paraId="27A00E93">
            <w:pPr>
              <w:pStyle w:val="62"/>
              <w:spacing w:line="360" w:lineRule="auto"/>
              <w:ind w:firstLine="422" w:firstLineChars="200"/>
              <w:jc w:val="center"/>
              <w:rPr>
                <w:rFonts w:hint="eastAsia" w:ascii="Times New Roman" w:hAnsi="Times New Roman" w:cs="Times New Roman"/>
                <w:b/>
                <w:color w:val="auto"/>
                <w:kern w:val="24"/>
                <w:sz w:val="21"/>
                <w:szCs w:val="21"/>
                <w:highlight w:val="none"/>
                <w:lang w:val="en-US" w:eastAsia="zh-CN"/>
              </w:rPr>
            </w:pPr>
          </w:p>
          <w:p w14:paraId="0E015C33">
            <w:pPr>
              <w:pStyle w:val="62"/>
              <w:spacing w:line="360" w:lineRule="auto"/>
              <w:ind w:firstLine="422" w:firstLineChars="200"/>
              <w:jc w:val="center"/>
              <w:rPr>
                <w:rFonts w:hint="eastAsia" w:ascii="Times New Roman" w:hAnsi="Times New Roman" w:cs="Times New Roman"/>
                <w:b/>
                <w:color w:val="auto"/>
                <w:kern w:val="24"/>
                <w:sz w:val="21"/>
                <w:szCs w:val="21"/>
                <w:highlight w:val="none"/>
                <w:lang w:val="en-US" w:eastAsia="zh-CN"/>
              </w:rPr>
            </w:pPr>
          </w:p>
          <w:p w14:paraId="3316EA83">
            <w:pPr>
              <w:pStyle w:val="62"/>
              <w:spacing w:line="360" w:lineRule="auto"/>
              <w:jc w:val="both"/>
              <w:rPr>
                <w:rFonts w:hint="eastAsia" w:ascii="Times New Roman" w:hAnsi="Times New Roman" w:cs="Times New Roman"/>
                <w:b/>
                <w:color w:val="auto"/>
                <w:kern w:val="24"/>
                <w:sz w:val="21"/>
                <w:szCs w:val="21"/>
                <w:highlight w:val="none"/>
                <w:lang w:val="en-US" w:eastAsia="zh-CN"/>
              </w:rPr>
            </w:pPr>
            <w:r>
              <w:rPr>
                <w:color w:val="auto"/>
                <w:highlight w:val="none"/>
              </w:rPr>
              <w:object>
                <v:shape id="_x0000_i1026" o:spt="75" type="#_x0000_t75" style="height:282pt;width:420.75pt;" o:ole="t" filled="f" o:preferrelative="t" stroked="f" coordsize="21600,21600">
                  <v:path/>
                  <v:fill on="f" focussize="0,0"/>
                  <v:stroke on="f" joinstyle="miter"/>
                  <v:imagedata r:id="rId11" o:title=""/>
                  <o:lock v:ext="edit" aspectratio="t"/>
                  <w10:wrap type="none"/>
                  <w10:anchorlock/>
                </v:shape>
                <o:OLEObject Type="Embed" ProgID="Visio.Drawing.15" ShapeID="_x0000_i1026" DrawAspect="Content" ObjectID="_1468075726" r:id="rId10">
                  <o:LockedField>false</o:LockedField>
                </o:OLEObject>
              </w:object>
            </w:r>
          </w:p>
          <w:p w14:paraId="6ADEA8CA">
            <w:pPr>
              <w:pStyle w:val="62"/>
              <w:spacing w:line="360" w:lineRule="auto"/>
              <w:jc w:val="center"/>
              <w:rPr>
                <w:rFonts w:hint="eastAsia" w:ascii="Times New Roman" w:hAnsi="Times New Roman" w:cs="Times New Roman"/>
                <w:b/>
                <w:color w:val="auto"/>
                <w:kern w:val="24"/>
                <w:sz w:val="21"/>
                <w:szCs w:val="21"/>
                <w:highlight w:val="none"/>
                <w:lang w:val="en-US" w:eastAsia="zh-CN"/>
              </w:rPr>
            </w:pPr>
            <w:r>
              <w:rPr>
                <w:rFonts w:ascii="Times New Roman" w:cs="Times New Roman"/>
                <w:b/>
                <w:color w:val="auto"/>
                <w:kern w:val="24"/>
                <w:sz w:val="21"/>
                <w:szCs w:val="21"/>
                <w:highlight w:val="none"/>
              </w:rPr>
              <w:t>图</w:t>
            </w:r>
            <w:r>
              <w:rPr>
                <w:rFonts w:hint="eastAsia" w:ascii="Times New Roman" w:hAnsi="Times New Roman" w:cs="Times New Roman"/>
                <w:b/>
                <w:color w:val="auto"/>
                <w:kern w:val="24"/>
                <w:sz w:val="21"/>
                <w:szCs w:val="21"/>
                <w:highlight w:val="none"/>
              </w:rPr>
              <w:t>2-</w:t>
            </w:r>
            <w:r>
              <w:rPr>
                <w:rFonts w:hint="eastAsia" w:ascii="Times New Roman" w:hAnsi="Times New Roman" w:cs="Times New Roman"/>
                <w:b/>
                <w:color w:val="auto"/>
                <w:kern w:val="24"/>
                <w:sz w:val="21"/>
                <w:szCs w:val="21"/>
                <w:highlight w:val="none"/>
                <w:lang w:val="en-US" w:eastAsia="zh-CN"/>
              </w:rPr>
              <w:t>3</w:t>
            </w:r>
            <w:r>
              <w:rPr>
                <w:rFonts w:ascii="Times New Roman" w:hAnsi="Times New Roman" w:cs="Times New Roman"/>
                <w:b/>
                <w:color w:val="auto"/>
                <w:kern w:val="24"/>
                <w:sz w:val="21"/>
                <w:szCs w:val="21"/>
                <w:highlight w:val="none"/>
              </w:rPr>
              <w:t xml:space="preserve">  </w:t>
            </w:r>
            <w:r>
              <w:rPr>
                <w:rFonts w:hint="eastAsia" w:ascii="Times New Roman" w:hAnsi="Times New Roman" w:cs="Times New Roman"/>
                <w:b/>
                <w:color w:val="auto"/>
                <w:kern w:val="24"/>
                <w:sz w:val="21"/>
                <w:szCs w:val="21"/>
                <w:highlight w:val="none"/>
                <w:lang w:eastAsia="zh-CN"/>
              </w:rPr>
              <w:t>本项目</w:t>
            </w:r>
            <w:r>
              <w:rPr>
                <w:rFonts w:ascii="Times New Roman" w:cs="Times New Roman"/>
                <w:b/>
                <w:color w:val="auto"/>
                <w:kern w:val="24"/>
                <w:sz w:val="21"/>
                <w:szCs w:val="21"/>
                <w:highlight w:val="none"/>
              </w:rPr>
              <w:t>水平衡图</w:t>
            </w:r>
            <w:r>
              <w:rPr>
                <w:rFonts w:hint="eastAsia" w:ascii="Times New Roman" w:cs="Times New Roman"/>
                <w:b/>
                <w:color w:val="auto"/>
                <w:kern w:val="24"/>
                <w:sz w:val="21"/>
                <w:szCs w:val="21"/>
                <w:highlight w:val="none"/>
                <w:lang w:eastAsia="zh-CN"/>
              </w:rPr>
              <w:t>（</w:t>
            </w:r>
            <w:r>
              <w:rPr>
                <w:rFonts w:hint="eastAsia" w:ascii="Times New Roman" w:cs="Times New Roman"/>
                <w:b/>
                <w:color w:val="auto"/>
                <w:kern w:val="24"/>
                <w:sz w:val="21"/>
                <w:szCs w:val="21"/>
                <w:highlight w:val="none"/>
                <w:lang w:val="en-US" w:eastAsia="zh-CN"/>
              </w:rPr>
              <w:t>雨天</w:t>
            </w:r>
            <w:r>
              <w:rPr>
                <w:rFonts w:hint="eastAsia" w:ascii="Times New Roman" w:cs="Times New Roman"/>
                <w:b/>
                <w:color w:val="auto"/>
                <w:kern w:val="24"/>
                <w:sz w:val="21"/>
                <w:szCs w:val="21"/>
                <w:highlight w:val="none"/>
                <w:lang w:eastAsia="zh-CN"/>
              </w:rPr>
              <w:t>）</w:t>
            </w:r>
            <w:r>
              <w:rPr>
                <w:rFonts w:ascii="Times New Roman" w:hAnsi="Times New Roman" w:cs="Times New Roman"/>
                <w:b/>
                <w:color w:val="auto"/>
                <w:kern w:val="24"/>
                <w:sz w:val="21"/>
                <w:szCs w:val="21"/>
                <w:highlight w:val="none"/>
              </w:rPr>
              <w:t xml:space="preserve">  </w:t>
            </w:r>
            <w:r>
              <w:rPr>
                <w:rFonts w:ascii="Times New Roman" w:cs="Times New Roman"/>
                <w:b/>
                <w:color w:val="auto"/>
                <w:kern w:val="24"/>
                <w:sz w:val="21"/>
                <w:szCs w:val="21"/>
                <w:highlight w:val="none"/>
              </w:rPr>
              <w:t>单位：</w:t>
            </w:r>
            <w:r>
              <w:rPr>
                <w:rFonts w:hint="eastAsia" w:ascii="Times New Roman" w:hAnsi="Times New Roman" w:cs="Times New Roman"/>
                <w:b/>
                <w:color w:val="auto"/>
                <w:kern w:val="24"/>
                <w:sz w:val="21"/>
                <w:szCs w:val="21"/>
                <w:highlight w:val="none"/>
                <w:lang w:val="en-US" w:eastAsia="zh-CN"/>
              </w:rPr>
              <w:t>m</w:t>
            </w:r>
            <w:r>
              <w:rPr>
                <w:rFonts w:hint="eastAsia" w:ascii="Times New Roman" w:hAnsi="Times New Roman" w:cs="Times New Roman"/>
                <w:b/>
                <w:color w:val="auto"/>
                <w:kern w:val="24"/>
                <w:sz w:val="21"/>
                <w:szCs w:val="21"/>
                <w:highlight w:val="none"/>
                <w:vertAlign w:val="superscript"/>
                <w:lang w:val="en-US" w:eastAsia="zh-CN"/>
              </w:rPr>
              <w:t>3</w:t>
            </w:r>
            <w:r>
              <w:rPr>
                <w:rFonts w:hint="eastAsia" w:ascii="Times New Roman" w:hAnsi="Times New Roman" w:cs="Times New Roman"/>
                <w:b/>
                <w:color w:val="auto"/>
                <w:kern w:val="24"/>
                <w:sz w:val="21"/>
                <w:szCs w:val="21"/>
                <w:highlight w:val="none"/>
                <w:lang w:val="en-US" w:eastAsia="zh-CN"/>
              </w:rPr>
              <w:t>/d</w:t>
            </w:r>
          </w:p>
          <w:p w14:paraId="16DE3661">
            <w:pPr>
              <w:pStyle w:val="62"/>
              <w:spacing w:line="360" w:lineRule="auto"/>
              <w:jc w:val="center"/>
              <w:rPr>
                <w:rFonts w:hint="default" w:ascii="Times New Roman" w:hAnsi="Times New Roman" w:eastAsia="宋体" w:cs="Times New Roman"/>
                <w:color w:val="auto"/>
                <w:sz w:val="21"/>
                <w:szCs w:val="21"/>
                <w:highlight w:val="none"/>
                <w:lang w:val="en-US" w:eastAsia="zh-CN"/>
              </w:rPr>
            </w:pPr>
          </w:p>
          <w:p w14:paraId="7767B221">
            <w:pPr>
              <w:adjustRightInd w:val="0"/>
              <w:snapToGrid w:val="0"/>
              <w:spacing w:line="360" w:lineRule="auto"/>
              <w:jc w:val="left"/>
              <w:rPr>
                <w:b/>
                <w:bCs/>
                <w:color w:val="auto"/>
                <w:sz w:val="24"/>
                <w:highlight w:val="none"/>
              </w:rPr>
            </w:pPr>
            <w:r>
              <w:rPr>
                <w:rFonts w:hint="eastAsia"/>
                <w:b/>
                <w:bCs/>
                <w:color w:val="auto"/>
                <w:sz w:val="24"/>
                <w:highlight w:val="none"/>
                <w:lang w:eastAsia="zh-CN"/>
              </w:rPr>
              <w:t>十</w:t>
            </w:r>
            <w:r>
              <w:rPr>
                <w:rFonts w:hint="eastAsia"/>
                <w:b/>
                <w:bCs/>
                <w:color w:val="auto"/>
                <w:sz w:val="24"/>
                <w:highlight w:val="none"/>
                <w:lang w:val="en-US" w:eastAsia="zh-CN"/>
              </w:rPr>
              <w:t>一</w:t>
            </w:r>
            <w:r>
              <w:rPr>
                <w:rFonts w:hint="eastAsia"/>
                <w:b/>
                <w:bCs/>
                <w:color w:val="auto"/>
                <w:sz w:val="24"/>
                <w:highlight w:val="none"/>
              </w:rPr>
              <w:t>、</w:t>
            </w:r>
            <w:r>
              <w:rPr>
                <w:rFonts w:hint="eastAsia"/>
                <w:b/>
                <w:bCs/>
                <w:color w:val="auto"/>
                <w:sz w:val="24"/>
                <w:highlight w:val="none"/>
                <w:lang w:eastAsia="zh-CN"/>
              </w:rPr>
              <w:t>项目总</w:t>
            </w:r>
            <w:r>
              <w:rPr>
                <w:rFonts w:hint="eastAsia"/>
                <w:b/>
                <w:bCs/>
                <w:color w:val="auto"/>
                <w:sz w:val="24"/>
                <w:highlight w:val="none"/>
              </w:rPr>
              <w:t>平面布置</w:t>
            </w:r>
          </w:p>
          <w:p w14:paraId="12647177">
            <w:pPr>
              <w:adjustRightInd w:val="0"/>
              <w:snapToGrid w:val="0"/>
              <w:spacing w:line="360" w:lineRule="auto"/>
              <w:ind w:firstLine="480" w:firstLineChars="200"/>
              <w:jc w:val="left"/>
              <w:rPr>
                <w:color w:val="auto"/>
                <w:kern w:val="24"/>
                <w:sz w:val="24"/>
                <w:highlight w:val="none"/>
                <w:lang w:val="zh-CN"/>
              </w:rPr>
            </w:pPr>
            <w:r>
              <w:rPr>
                <w:rFonts w:hint="eastAsia" w:cs="Times New Roman"/>
                <w:color w:val="auto"/>
                <w:sz w:val="24"/>
                <w:szCs w:val="24"/>
                <w:highlight w:val="none"/>
                <w:lang w:eastAsia="zh-CN"/>
              </w:rPr>
              <w:t>本项目</w:t>
            </w:r>
            <w:r>
              <w:rPr>
                <w:rFonts w:hint="eastAsia" w:cs="Times New Roman"/>
                <w:color w:val="auto"/>
                <w:sz w:val="24"/>
                <w:szCs w:val="24"/>
                <w:highlight w:val="none"/>
                <w:lang w:val="en-US" w:eastAsia="zh-CN"/>
              </w:rPr>
              <w:t>全量化处理站</w:t>
            </w:r>
            <w:r>
              <w:rPr>
                <w:rFonts w:hint="eastAsia" w:cs="Times New Roman"/>
                <w:color w:val="auto"/>
                <w:sz w:val="24"/>
                <w:szCs w:val="24"/>
                <w:highlight w:val="none"/>
                <w:lang w:eastAsia="zh-CN"/>
              </w:rPr>
              <w:t>用地呈方形结构，</w:t>
            </w:r>
            <w:r>
              <w:rPr>
                <w:rFonts w:hint="eastAsia" w:cs="Times New Roman"/>
                <w:color w:val="auto"/>
                <w:sz w:val="24"/>
                <w:szCs w:val="24"/>
                <w:highlight w:val="none"/>
                <w:lang w:val="en-US" w:eastAsia="zh-CN"/>
              </w:rPr>
              <w:t>从西向东依次布置为固化渣暂存间、已建的调节池、全量化处理站。</w:t>
            </w:r>
            <w:r>
              <w:rPr>
                <w:rFonts w:hint="eastAsia"/>
                <w:color w:val="auto"/>
                <w:kern w:val="24"/>
                <w:sz w:val="24"/>
                <w:highlight w:val="none"/>
              </w:rPr>
              <w:t>项目总平面布置示意图详见附图</w:t>
            </w:r>
            <w:r>
              <w:rPr>
                <w:rFonts w:hint="eastAsia"/>
                <w:color w:val="auto"/>
                <w:kern w:val="24"/>
                <w:sz w:val="24"/>
                <w:highlight w:val="none"/>
                <w:lang w:val="en-US" w:eastAsia="zh-CN"/>
              </w:rPr>
              <w:t>2</w:t>
            </w:r>
            <w:r>
              <w:rPr>
                <w:rFonts w:hint="eastAsia"/>
                <w:color w:val="auto"/>
                <w:kern w:val="24"/>
                <w:sz w:val="24"/>
                <w:highlight w:val="none"/>
              </w:rPr>
              <w:t>。</w:t>
            </w:r>
          </w:p>
          <w:p w14:paraId="25A40259">
            <w:pPr>
              <w:adjustRightInd w:val="0"/>
              <w:snapToGrid w:val="0"/>
              <w:spacing w:line="360" w:lineRule="auto"/>
              <w:jc w:val="left"/>
              <w:rPr>
                <w:b/>
                <w:bCs/>
                <w:color w:val="auto"/>
                <w:sz w:val="24"/>
                <w:highlight w:val="none"/>
              </w:rPr>
            </w:pPr>
            <w:r>
              <w:rPr>
                <w:rFonts w:hint="eastAsia"/>
                <w:b/>
                <w:bCs/>
                <w:color w:val="auto"/>
                <w:sz w:val="24"/>
                <w:highlight w:val="none"/>
                <w:lang w:eastAsia="zh-CN"/>
              </w:rPr>
              <w:t>十</w:t>
            </w:r>
            <w:r>
              <w:rPr>
                <w:rFonts w:hint="eastAsia"/>
                <w:b/>
                <w:bCs/>
                <w:color w:val="auto"/>
                <w:sz w:val="24"/>
                <w:highlight w:val="none"/>
                <w:lang w:val="en-US" w:eastAsia="zh-CN"/>
              </w:rPr>
              <w:t>二</w:t>
            </w:r>
            <w:r>
              <w:rPr>
                <w:rFonts w:hint="eastAsia"/>
                <w:b/>
                <w:bCs/>
                <w:color w:val="auto"/>
                <w:sz w:val="24"/>
                <w:highlight w:val="none"/>
              </w:rPr>
              <w:t>、环保投资</w:t>
            </w:r>
          </w:p>
          <w:p w14:paraId="3502E6C9">
            <w:pPr>
              <w:adjustRightInd w:val="0"/>
              <w:snapToGrid w:val="0"/>
              <w:spacing w:line="360" w:lineRule="auto"/>
              <w:ind w:firstLine="480" w:firstLineChars="200"/>
              <w:rPr>
                <w:rFonts w:hint="eastAsia" w:ascii="Times New Roman" w:hAnsi="Times New Roman" w:eastAsia="宋体" w:cs="Times New Roman"/>
                <w:b/>
                <w:bCs w:val="0"/>
                <w:color w:val="auto"/>
                <w:spacing w:val="0"/>
                <w:kern w:val="24"/>
                <w:sz w:val="21"/>
                <w:szCs w:val="21"/>
                <w:highlight w:val="none"/>
                <w:lang w:val="zh-CN" w:eastAsia="zh-CN" w:bidi="ar-SA"/>
              </w:rPr>
            </w:pPr>
            <w:r>
              <w:rPr>
                <w:color w:val="auto"/>
                <w:kern w:val="24"/>
                <w:sz w:val="24"/>
                <w:highlight w:val="none"/>
              </w:rPr>
              <w:t>本项目总投资</w:t>
            </w:r>
            <w:r>
              <w:rPr>
                <w:rFonts w:hint="eastAsia"/>
                <w:color w:val="auto"/>
                <w:sz w:val="24"/>
                <w:highlight w:val="none"/>
                <w:lang w:val="en-US" w:eastAsia="zh-CN"/>
              </w:rPr>
              <w:t>2135.56</w:t>
            </w:r>
            <w:r>
              <w:rPr>
                <w:color w:val="auto"/>
                <w:kern w:val="24"/>
                <w:sz w:val="24"/>
                <w:highlight w:val="none"/>
              </w:rPr>
              <w:t>万元，</w:t>
            </w:r>
            <w:r>
              <w:rPr>
                <w:rFonts w:hint="eastAsia"/>
                <w:color w:val="auto"/>
                <w:kern w:val="24"/>
                <w:sz w:val="24"/>
                <w:highlight w:val="none"/>
                <w:lang w:val="en-US" w:eastAsia="zh-CN"/>
              </w:rPr>
              <w:t>项目本身即为环保工程，</w:t>
            </w:r>
            <w:r>
              <w:rPr>
                <w:color w:val="auto"/>
                <w:kern w:val="24"/>
                <w:sz w:val="24"/>
                <w:highlight w:val="none"/>
              </w:rPr>
              <w:t>其中环保</w:t>
            </w:r>
            <w:r>
              <w:rPr>
                <w:rFonts w:hint="eastAsia"/>
                <w:color w:val="auto"/>
                <w:kern w:val="24"/>
                <w:sz w:val="24"/>
                <w:highlight w:val="none"/>
              </w:rPr>
              <w:t>总</w:t>
            </w:r>
            <w:r>
              <w:rPr>
                <w:color w:val="auto"/>
                <w:kern w:val="24"/>
                <w:sz w:val="24"/>
                <w:highlight w:val="none"/>
              </w:rPr>
              <w:t>投资</w:t>
            </w:r>
            <w:r>
              <w:rPr>
                <w:rFonts w:hint="eastAsia"/>
                <w:color w:val="auto"/>
                <w:kern w:val="24"/>
                <w:sz w:val="24"/>
                <w:highlight w:val="none"/>
                <w:lang w:val="en-US" w:eastAsia="zh-CN"/>
              </w:rPr>
              <w:t>497.49</w:t>
            </w:r>
            <w:r>
              <w:rPr>
                <w:color w:val="auto"/>
                <w:kern w:val="24"/>
                <w:sz w:val="24"/>
                <w:highlight w:val="none"/>
              </w:rPr>
              <w:t>万元，占总投资的</w:t>
            </w:r>
            <w:r>
              <w:rPr>
                <w:rFonts w:hint="eastAsia"/>
                <w:color w:val="auto"/>
                <w:kern w:val="24"/>
                <w:sz w:val="24"/>
                <w:highlight w:val="none"/>
                <w:lang w:val="en-US" w:eastAsia="zh-CN"/>
              </w:rPr>
              <w:t>23.29</w:t>
            </w:r>
            <w:r>
              <w:rPr>
                <w:color w:val="auto"/>
                <w:kern w:val="24"/>
                <w:sz w:val="24"/>
                <w:highlight w:val="none"/>
              </w:rPr>
              <w:t>%</w:t>
            </w:r>
            <w:r>
              <w:rPr>
                <w:rFonts w:hint="eastAsia"/>
                <w:color w:val="auto"/>
                <w:kern w:val="24"/>
                <w:sz w:val="24"/>
                <w:highlight w:val="none"/>
                <w:lang w:val="en-US" w:eastAsia="zh-CN"/>
              </w:rPr>
              <w:t>。项目环保“三同时”措施汇总及环保设施投资估算核查详见表</w:t>
            </w:r>
            <w:r>
              <w:rPr>
                <w:color w:val="auto"/>
                <w:kern w:val="24"/>
                <w:sz w:val="24"/>
                <w:highlight w:val="none"/>
              </w:rPr>
              <w:t>表</w:t>
            </w:r>
            <w:r>
              <w:rPr>
                <w:rFonts w:hint="eastAsia"/>
                <w:color w:val="auto"/>
                <w:kern w:val="24"/>
                <w:sz w:val="24"/>
                <w:highlight w:val="none"/>
              </w:rPr>
              <w:t>2</w:t>
            </w:r>
            <w:r>
              <w:rPr>
                <w:color w:val="auto"/>
                <w:kern w:val="24"/>
                <w:sz w:val="24"/>
                <w:highlight w:val="none"/>
              </w:rPr>
              <w:t>-</w:t>
            </w:r>
            <w:r>
              <w:rPr>
                <w:rFonts w:hint="eastAsia"/>
                <w:color w:val="auto"/>
                <w:kern w:val="24"/>
                <w:sz w:val="24"/>
                <w:highlight w:val="none"/>
                <w:lang w:val="en-US" w:eastAsia="zh-CN"/>
              </w:rPr>
              <w:t>6</w:t>
            </w:r>
            <w:r>
              <w:rPr>
                <w:color w:val="auto"/>
                <w:kern w:val="24"/>
                <w:sz w:val="24"/>
                <w:highlight w:val="none"/>
              </w:rPr>
              <w:t>。</w:t>
            </w:r>
          </w:p>
          <w:p w14:paraId="1C2ADD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eastAsia="宋体"/>
                <w:b/>
                <w:bCs/>
                <w:color w:val="auto"/>
                <w:sz w:val="24"/>
                <w:szCs w:val="24"/>
                <w:highlight w:val="none"/>
                <w:lang w:eastAsia="zh-CN"/>
              </w:rPr>
            </w:pPr>
            <w:r>
              <w:rPr>
                <w:rFonts w:ascii="Times New Roman"/>
                <w:b/>
                <w:bCs/>
                <w:color w:val="auto"/>
                <w:sz w:val="24"/>
                <w:szCs w:val="24"/>
                <w:highlight w:val="none"/>
              </w:rPr>
              <w:t>表</w:t>
            </w:r>
            <w:r>
              <w:rPr>
                <w:rFonts w:hint="eastAsia" w:ascii="Times New Roman"/>
                <w:b/>
                <w:bCs/>
                <w:color w:val="auto"/>
                <w:sz w:val="24"/>
                <w:szCs w:val="24"/>
                <w:highlight w:val="none"/>
                <w:lang w:val="en-US" w:eastAsia="zh-CN"/>
              </w:rPr>
              <w:t>2-</w:t>
            </w:r>
            <w:r>
              <w:rPr>
                <w:rFonts w:hint="eastAsia"/>
                <w:b/>
                <w:bCs/>
                <w:color w:val="auto"/>
                <w:sz w:val="24"/>
                <w:szCs w:val="24"/>
                <w:highlight w:val="none"/>
                <w:lang w:val="en-US" w:eastAsia="zh-CN"/>
              </w:rPr>
              <w:t>6</w:t>
            </w:r>
            <w:r>
              <w:rPr>
                <w:rFonts w:ascii="Times New Roman"/>
                <w:b/>
                <w:color w:val="auto"/>
                <w:sz w:val="24"/>
                <w:szCs w:val="24"/>
                <w:highlight w:val="none"/>
              </w:rPr>
              <w:t xml:space="preserve">   </w:t>
            </w:r>
            <w:r>
              <w:rPr>
                <w:rFonts w:ascii="Times New Roman"/>
                <w:b/>
                <w:bCs/>
                <w:color w:val="auto"/>
                <w:sz w:val="24"/>
                <w:szCs w:val="24"/>
                <w:highlight w:val="none"/>
              </w:rPr>
              <w:t>项目环保投资估算</w:t>
            </w:r>
            <w:r>
              <w:rPr>
                <w:rFonts w:hint="eastAsia" w:ascii="Times New Roman"/>
                <w:b/>
                <w:bCs/>
                <w:color w:val="auto"/>
                <w:sz w:val="24"/>
                <w:szCs w:val="24"/>
                <w:highlight w:val="none"/>
                <w:lang w:eastAsia="zh-CN"/>
              </w:rPr>
              <w:t>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533"/>
              <w:gridCol w:w="3836"/>
              <w:gridCol w:w="2591"/>
            </w:tblGrid>
            <w:tr w14:paraId="44A6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76" w:type="pct"/>
                  <w:gridSpan w:val="2"/>
                  <w:tcBorders>
                    <w:tl2br w:val="nil"/>
                    <w:tr2bl w:val="nil"/>
                  </w:tcBorders>
                  <w:noWrap w:val="0"/>
                  <w:vAlign w:val="center"/>
                </w:tcPr>
                <w:p w14:paraId="4F6D1137">
                  <w:pPr>
                    <w:jc w:val="center"/>
                    <w:rPr>
                      <w:b/>
                      <w:bCs/>
                      <w:color w:val="auto"/>
                      <w:szCs w:val="21"/>
                      <w:highlight w:val="none"/>
                    </w:rPr>
                  </w:pPr>
                  <w:bookmarkStart w:id="13" w:name="_Hlk80807842"/>
                  <w:r>
                    <w:rPr>
                      <w:rFonts w:hint="eastAsia"/>
                      <w:b/>
                      <w:bCs/>
                      <w:color w:val="auto"/>
                      <w:szCs w:val="21"/>
                      <w:highlight w:val="none"/>
                    </w:rPr>
                    <w:t>项目</w:t>
                  </w:r>
                </w:p>
              </w:tc>
              <w:tc>
                <w:tcPr>
                  <w:tcW w:w="2281" w:type="pct"/>
                  <w:tcBorders>
                    <w:tl2br w:val="nil"/>
                    <w:tr2bl w:val="nil"/>
                  </w:tcBorders>
                  <w:noWrap w:val="0"/>
                  <w:vAlign w:val="center"/>
                </w:tcPr>
                <w:p w14:paraId="3D54D747">
                  <w:pPr>
                    <w:jc w:val="center"/>
                    <w:rPr>
                      <w:b/>
                      <w:bCs/>
                      <w:color w:val="auto"/>
                      <w:szCs w:val="21"/>
                      <w:highlight w:val="none"/>
                    </w:rPr>
                  </w:pPr>
                  <w:r>
                    <w:rPr>
                      <w:b/>
                      <w:bCs/>
                      <w:color w:val="auto"/>
                      <w:szCs w:val="21"/>
                      <w:highlight w:val="none"/>
                    </w:rPr>
                    <w:t>内容</w:t>
                  </w:r>
                </w:p>
              </w:tc>
              <w:tc>
                <w:tcPr>
                  <w:tcW w:w="1541" w:type="pct"/>
                  <w:tcBorders>
                    <w:tl2br w:val="nil"/>
                    <w:tr2bl w:val="nil"/>
                  </w:tcBorders>
                  <w:noWrap w:val="0"/>
                  <w:vAlign w:val="center"/>
                </w:tcPr>
                <w:p w14:paraId="37D286D7">
                  <w:pPr>
                    <w:jc w:val="center"/>
                    <w:rPr>
                      <w:b/>
                      <w:bCs/>
                      <w:color w:val="auto"/>
                      <w:szCs w:val="21"/>
                      <w:highlight w:val="none"/>
                    </w:rPr>
                  </w:pPr>
                  <w:r>
                    <w:rPr>
                      <w:b/>
                      <w:bCs/>
                      <w:color w:val="auto"/>
                      <w:szCs w:val="21"/>
                      <w:highlight w:val="none"/>
                    </w:rPr>
                    <w:t>投资（万元）</w:t>
                  </w:r>
                </w:p>
              </w:tc>
            </w:tr>
            <w:tr w14:paraId="45F8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64" w:type="pct"/>
                  <w:vMerge w:val="restart"/>
                  <w:tcBorders>
                    <w:tl2br w:val="nil"/>
                    <w:tr2bl w:val="nil"/>
                  </w:tcBorders>
                  <w:noWrap w:val="0"/>
                  <w:vAlign w:val="center"/>
                </w:tcPr>
                <w:p w14:paraId="18DA0DD8">
                  <w:pPr>
                    <w:jc w:val="center"/>
                    <w:rPr>
                      <w:color w:val="auto"/>
                      <w:szCs w:val="21"/>
                      <w:highlight w:val="none"/>
                    </w:rPr>
                  </w:pPr>
                  <w:r>
                    <w:rPr>
                      <w:color w:val="auto"/>
                      <w:szCs w:val="21"/>
                      <w:highlight w:val="none"/>
                    </w:rPr>
                    <w:t>施工期</w:t>
                  </w:r>
                </w:p>
              </w:tc>
              <w:tc>
                <w:tcPr>
                  <w:tcW w:w="911" w:type="pct"/>
                  <w:tcBorders>
                    <w:tl2br w:val="nil"/>
                    <w:tr2bl w:val="nil"/>
                  </w:tcBorders>
                  <w:noWrap w:val="0"/>
                  <w:vAlign w:val="center"/>
                </w:tcPr>
                <w:p w14:paraId="6BAA925C">
                  <w:pPr>
                    <w:jc w:val="center"/>
                    <w:rPr>
                      <w:color w:val="auto"/>
                      <w:szCs w:val="21"/>
                      <w:highlight w:val="none"/>
                    </w:rPr>
                  </w:pPr>
                  <w:r>
                    <w:rPr>
                      <w:color w:val="auto"/>
                      <w:szCs w:val="21"/>
                      <w:highlight w:val="none"/>
                    </w:rPr>
                    <w:t>噪声治理</w:t>
                  </w:r>
                </w:p>
              </w:tc>
              <w:tc>
                <w:tcPr>
                  <w:tcW w:w="2281" w:type="pct"/>
                  <w:tcBorders>
                    <w:tl2br w:val="nil"/>
                    <w:tr2bl w:val="nil"/>
                  </w:tcBorders>
                  <w:noWrap w:val="0"/>
                  <w:vAlign w:val="center"/>
                </w:tcPr>
                <w:p w14:paraId="26B3C66E">
                  <w:pPr>
                    <w:ind w:firstLine="480"/>
                    <w:jc w:val="center"/>
                    <w:rPr>
                      <w:color w:val="auto"/>
                      <w:szCs w:val="21"/>
                      <w:highlight w:val="none"/>
                    </w:rPr>
                  </w:pPr>
                  <w:r>
                    <w:rPr>
                      <w:color w:val="auto"/>
                      <w:szCs w:val="21"/>
                      <w:highlight w:val="none"/>
                    </w:rPr>
                    <w:t>临时围障</w:t>
                  </w:r>
                </w:p>
              </w:tc>
              <w:tc>
                <w:tcPr>
                  <w:tcW w:w="1541" w:type="pct"/>
                  <w:tcBorders>
                    <w:tl2br w:val="nil"/>
                    <w:tr2bl w:val="nil"/>
                  </w:tcBorders>
                  <w:noWrap w:val="0"/>
                  <w:vAlign w:val="center"/>
                </w:tcPr>
                <w:p w14:paraId="5ABEB53A">
                  <w:pPr>
                    <w:jc w:val="center"/>
                    <w:rPr>
                      <w:rFonts w:hint="eastAsia" w:eastAsia="宋体"/>
                      <w:color w:val="auto"/>
                      <w:szCs w:val="21"/>
                      <w:highlight w:val="none"/>
                      <w:lang w:eastAsia="zh-CN"/>
                    </w:rPr>
                  </w:pPr>
                  <w:r>
                    <w:rPr>
                      <w:rFonts w:hint="eastAsia"/>
                      <w:color w:val="auto"/>
                      <w:szCs w:val="21"/>
                      <w:highlight w:val="none"/>
                      <w:lang w:val="en-US" w:eastAsia="zh-CN"/>
                    </w:rPr>
                    <w:t>2</w:t>
                  </w:r>
                  <w:r>
                    <w:rPr>
                      <w:color w:val="auto"/>
                      <w:szCs w:val="21"/>
                      <w:highlight w:val="none"/>
                    </w:rPr>
                    <w:t>.0</w:t>
                  </w:r>
                </w:p>
              </w:tc>
            </w:tr>
            <w:tr w14:paraId="16E0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4" w:type="pct"/>
                  <w:vMerge w:val="continue"/>
                  <w:tcBorders>
                    <w:tl2br w:val="nil"/>
                    <w:tr2bl w:val="nil"/>
                  </w:tcBorders>
                  <w:noWrap w:val="0"/>
                  <w:vAlign w:val="center"/>
                </w:tcPr>
                <w:p w14:paraId="0240074B">
                  <w:pPr>
                    <w:widowControl/>
                    <w:jc w:val="left"/>
                    <w:rPr>
                      <w:color w:val="auto"/>
                      <w:szCs w:val="21"/>
                      <w:highlight w:val="none"/>
                    </w:rPr>
                  </w:pPr>
                </w:p>
              </w:tc>
              <w:tc>
                <w:tcPr>
                  <w:tcW w:w="911" w:type="pct"/>
                  <w:tcBorders>
                    <w:tl2br w:val="nil"/>
                    <w:tr2bl w:val="nil"/>
                  </w:tcBorders>
                  <w:noWrap w:val="0"/>
                  <w:vAlign w:val="center"/>
                </w:tcPr>
                <w:p w14:paraId="769C178A">
                  <w:pPr>
                    <w:jc w:val="center"/>
                    <w:rPr>
                      <w:color w:val="auto"/>
                      <w:szCs w:val="21"/>
                      <w:highlight w:val="none"/>
                    </w:rPr>
                  </w:pPr>
                  <w:r>
                    <w:rPr>
                      <w:color w:val="auto"/>
                      <w:szCs w:val="21"/>
                      <w:highlight w:val="none"/>
                    </w:rPr>
                    <w:t>废水治理</w:t>
                  </w:r>
                </w:p>
              </w:tc>
              <w:tc>
                <w:tcPr>
                  <w:tcW w:w="2281" w:type="pct"/>
                  <w:tcBorders>
                    <w:tl2br w:val="nil"/>
                    <w:tr2bl w:val="nil"/>
                  </w:tcBorders>
                  <w:noWrap w:val="0"/>
                  <w:vAlign w:val="center"/>
                </w:tcPr>
                <w:p w14:paraId="66B82344">
                  <w:pPr>
                    <w:ind w:firstLine="48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临时</w:t>
                  </w:r>
                  <w:r>
                    <w:rPr>
                      <w:color w:val="auto"/>
                      <w:szCs w:val="21"/>
                      <w:highlight w:val="none"/>
                    </w:rPr>
                    <w:t>排水沟</w:t>
                  </w:r>
                </w:p>
              </w:tc>
              <w:tc>
                <w:tcPr>
                  <w:tcW w:w="1541" w:type="pct"/>
                  <w:tcBorders>
                    <w:tl2br w:val="nil"/>
                    <w:tr2bl w:val="nil"/>
                  </w:tcBorders>
                  <w:noWrap w:val="0"/>
                  <w:vAlign w:val="center"/>
                </w:tcPr>
                <w:p w14:paraId="76EB9CB2">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2.0</w:t>
                  </w:r>
                </w:p>
              </w:tc>
            </w:tr>
            <w:tr w14:paraId="07BE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64" w:type="pct"/>
                  <w:vMerge w:val="continue"/>
                  <w:tcBorders>
                    <w:tl2br w:val="nil"/>
                    <w:tr2bl w:val="nil"/>
                  </w:tcBorders>
                  <w:noWrap w:val="0"/>
                  <w:vAlign w:val="center"/>
                </w:tcPr>
                <w:p w14:paraId="1ACDF73C">
                  <w:pPr>
                    <w:widowControl/>
                    <w:jc w:val="left"/>
                    <w:rPr>
                      <w:color w:val="auto"/>
                      <w:szCs w:val="21"/>
                      <w:highlight w:val="none"/>
                    </w:rPr>
                  </w:pPr>
                </w:p>
              </w:tc>
              <w:tc>
                <w:tcPr>
                  <w:tcW w:w="911" w:type="pct"/>
                  <w:vMerge w:val="restart"/>
                  <w:tcBorders>
                    <w:tl2br w:val="nil"/>
                    <w:tr2bl w:val="nil"/>
                  </w:tcBorders>
                  <w:noWrap w:val="0"/>
                  <w:vAlign w:val="center"/>
                </w:tcPr>
                <w:p w14:paraId="4FFEED1D">
                  <w:pPr>
                    <w:jc w:val="center"/>
                    <w:rPr>
                      <w:color w:val="auto"/>
                      <w:szCs w:val="21"/>
                      <w:highlight w:val="none"/>
                    </w:rPr>
                  </w:pPr>
                  <w:r>
                    <w:rPr>
                      <w:color w:val="auto"/>
                      <w:szCs w:val="21"/>
                      <w:highlight w:val="none"/>
                    </w:rPr>
                    <w:t>扬尘抑制</w:t>
                  </w:r>
                </w:p>
              </w:tc>
              <w:tc>
                <w:tcPr>
                  <w:tcW w:w="2281" w:type="pct"/>
                  <w:tcBorders>
                    <w:tl2br w:val="nil"/>
                    <w:tr2bl w:val="nil"/>
                  </w:tcBorders>
                  <w:noWrap w:val="0"/>
                  <w:vAlign w:val="center"/>
                </w:tcPr>
                <w:p w14:paraId="14630941">
                  <w:pPr>
                    <w:jc w:val="center"/>
                    <w:rPr>
                      <w:color w:val="auto"/>
                      <w:szCs w:val="21"/>
                      <w:highlight w:val="none"/>
                    </w:rPr>
                  </w:pPr>
                  <w:r>
                    <w:rPr>
                      <w:color w:val="auto"/>
                      <w:szCs w:val="21"/>
                      <w:highlight w:val="none"/>
                    </w:rPr>
                    <w:t>料场设蓬、运输加盖篷布</w:t>
                  </w:r>
                </w:p>
              </w:tc>
              <w:tc>
                <w:tcPr>
                  <w:tcW w:w="1541" w:type="pct"/>
                  <w:tcBorders>
                    <w:tl2br w:val="nil"/>
                    <w:tr2bl w:val="nil"/>
                  </w:tcBorders>
                  <w:noWrap w:val="0"/>
                  <w:vAlign w:val="center"/>
                </w:tcPr>
                <w:p w14:paraId="2E551268">
                  <w:pPr>
                    <w:jc w:val="center"/>
                    <w:rPr>
                      <w:color w:val="auto"/>
                      <w:szCs w:val="21"/>
                      <w:highlight w:val="none"/>
                    </w:rPr>
                  </w:pPr>
                  <w:r>
                    <w:rPr>
                      <w:rFonts w:hint="eastAsia"/>
                      <w:color w:val="auto"/>
                      <w:szCs w:val="21"/>
                      <w:highlight w:val="none"/>
                      <w:lang w:val="en-US" w:eastAsia="zh-CN"/>
                    </w:rPr>
                    <w:t>8</w:t>
                  </w:r>
                  <w:r>
                    <w:rPr>
                      <w:color w:val="auto"/>
                      <w:szCs w:val="21"/>
                      <w:highlight w:val="none"/>
                    </w:rPr>
                    <w:t>.0</w:t>
                  </w:r>
                </w:p>
              </w:tc>
            </w:tr>
            <w:tr w14:paraId="55D4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64" w:type="pct"/>
                  <w:vMerge w:val="continue"/>
                  <w:tcBorders>
                    <w:tl2br w:val="nil"/>
                    <w:tr2bl w:val="nil"/>
                  </w:tcBorders>
                  <w:noWrap w:val="0"/>
                  <w:vAlign w:val="center"/>
                </w:tcPr>
                <w:p w14:paraId="3FB1D3FF">
                  <w:pPr>
                    <w:widowControl/>
                    <w:jc w:val="left"/>
                    <w:rPr>
                      <w:color w:val="auto"/>
                      <w:szCs w:val="21"/>
                      <w:highlight w:val="none"/>
                    </w:rPr>
                  </w:pPr>
                </w:p>
              </w:tc>
              <w:tc>
                <w:tcPr>
                  <w:tcW w:w="911" w:type="pct"/>
                  <w:vMerge w:val="continue"/>
                  <w:tcBorders>
                    <w:tl2br w:val="nil"/>
                    <w:tr2bl w:val="nil"/>
                  </w:tcBorders>
                  <w:noWrap w:val="0"/>
                  <w:vAlign w:val="center"/>
                </w:tcPr>
                <w:p w14:paraId="6189ECCD">
                  <w:pPr>
                    <w:jc w:val="center"/>
                    <w:rPr>
                      <w:color w:val="auto"/>
                      <w:szCs w:val="21"/>
                      <w:highlight w:val="none"/>
                    </w:rPr>
                  </w:pPr>
                </w:p>
              </w:tc>
              <w:tc>
                <w:tcPr>
                  <w:tcW w:w="2281" w:type="pct"/>
                  <w:tcBorders>
                    <w:tl2br w:val="nil"/>
                    <w:tr2bl w:val="nil"/>
                  </w:tcBorders>
                  <w:noWrap w:val="0"/>
                  <w:vAlign w:val="center"/>
                </w:tcPr>
                <w:p w14:paraId="27305795">
                  <w:pPr>
                    <w:jc w:val="center"/>
                    <w:rPr>
                      <w:color w:val="auto"/>
                      <w:szCs w:val="21"/>
                      <w:highlight w:val="none"/>
                    </w:rPr>
                  </w:pPr>
                  <w:r>
                    <w:rPr>
                      <w:color w:val="auto"/>
                      <w:szCs w:val="21"/>
                      <w:highlight w:val="none"/>
                    </w:rPr>
                    <w:t>洒水降尘</w:t>
                  </w:r>
                </w:p>
              </w:tc>
              <w:tc>
                <w:tcPr>
                  <w:tcW w:w="1541" w:type="pct"/>
                  <w:tcBorders>
                    <w:tl2br w:val="nil"/>
                    <w:tr2bl w:val="nil"/>
                  </w:tcBorders>
                  <w:noWrap w:val="0"/>
                  <w:vAlign w:val="center"/>
                </w:tcPr>
                <w:p w14:paraId="343DE644">
                  <w:pPr>
                    <w:jc w:val="center"/>
                    <w:rPr>
                      <w:color w:val="auto"/>
                      <w:szCs w:val="21"/>
                      <w:highlight w:val="none"/>
                    </w:rPr>
                  </w:pPr>
                  <w:r>
                    <w:rPr>
                      <w:rFonts w:hint="eastAsia"/>
                      <w:color w:val="auto"/>
                      <w:szCs w:val="21"/>
                      <w:highlight w:val="none"/>
                      <w:lang w:val="en-US" w:eastAsia="zh-CN"/>
                    </w:rPr>
                    <w:t>2</w:t>
                  </w:r>
                  <w:r>
                    <w:rPr>
                      <w:color w:val="auto"/>
                      <w:szCs w:val="21"/>
                      <w:highlight w:val="none"/>
                    </w:rPr>
                    <w:t>.0</w:t>
                  </w:r>
                </w:p>
              </w:tc>
            </w:tr>
            <w:tr w14:paraId="095D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64" w:type="pct"/>
                  <w:vMerge w:val="continue"/>
                  <w:tcBorders>
                    <w:tl2br w:val="nil"/>
                    <w:tr2bl w:val="nil"/>
                  </w:tcBorders>
                  <w:noWrap w:val="0"/>
                  <w:vAlign w:val="center"/>
                </w:tcPr>
                <w:p w14:paraId="68871698">
                  <w:pPr>
                    <w:widowControl/>
                    <w:jc w:val="left"/>
                    <w:rPr>
                      <w:color w:val="auto"/>
                      <w:szCs w:val="21"/>
                      <w:highlight w:val="none"/>
                    </w:rPr>
                  </w:pPr>
                </w:p>
              </w:tc>
              <w:tc>
                <w:tcPr>
                  <w:tcW w:w="911" w:type="pct"/>
                  <w:tcBorders>
                    <w:tl2br w:val="nil"/>
                    <w:tr2bl w:val="nil"/>
                  </w:tcBorders>
                  <w:noWrap w:val="0"/>
                  <w:vAlign w:val="center"/>
                </w:tcPr>
                <w:p w14:paraId="0E6CC9C5">
                  <w:pPr>
                    <w:jc w:val="center"/>
                    <w:rPr>
                      <w:color w:val="auto"/>
                      <w:szCs w:val="21"/>
                      <w:highlight w:val="none"/>
                    </w:rPr>
                  </w:pPr>
                  <w:r>
                    <w:rPr>
                      <w:color w:val="auto"/>
                      <w:szCs w:val="21"/>
                      <w:highlight w:val="none"/>
                    </w:rPr>
                    <w:t>固体废物</w:t>
                  </w:r>
                </w:p>
              </w:tc>
              <w:tc>
                <w:tcPr>
                  <w:tcW w:w="2281" w:type="pct"/>
                  <w:tcBorders>
                    <w:tl2br w:val="nil"/>
                    <w:tr2bl w:val="nil"/>
                  </w:tcBorders>
                  <w:noWrap w:val="0"/>
                  <w:vAlign w:val="center"/>
                </w:tcPr>
                <w:p w14:paraId="309A2BA1">
                  <w:pPr>
                    <w:jc w:val="center"/>
                    <w:rPr>
                      <w:color w:val="auto"/>
                      <w:szCs w:val="21"/>
                      <w:highlight w:val="none"/>
                    </w:rPr>
                  </w:pPr>
                  <w:r>
                    <w:rPr>
                      <w:color w:val="auto"/>
                      <w:szCs w:val="21"/>
                      <w:highlight w:val="none"/>
                    </w:rPr>
                    <w:t>弃土</w:t>
                  </w:r>
                  <w:r>
                    <w:rPr>
                      <w:rFonts w:hint="eastAsia"/>
                      <w:color w:val="auto"/>
                      <w:szCs w:val="21"/>
                      <w:highlight w:val="none"/>
                    </w:rPr>
                    <w:t>、</w:t>
                  </w:r>
                  <w:r>
                    <w:rPr>
                      <w:color w:val="auto"/>
                      <w:szCs w:val="21"/>
                      <w:highlight w:val="none"/>
                    </w:rPr>
                    <w:t>建筑垃圾清运及处置</w:t>
                  </w:r>
                </w:p>
              </w:tc>
              <w:tc>
                <w:tcPr>
                  <w:tcW w:w="1541" w:type="pct"/>
                  <w:tcBorders>
                    <w:tl2br w:val="nil"/>
                    <w:tr2bl w:val="nil"/>
                  </w:tcBorders>
                  <w:noWrap w:val="0"/>
                  <w:vAlign w:val="center"/>
                </w:tcPr>
                <w:p w14:paraId="3FAC32B0">
                  <w:pPr>
                    <w:jc w:val="center"/>
                    <w:rPr>
                      <w:color w:val="auto"/>
                      <w:szCs w:val="21"/>
                      <w:highlight w:val="none"/>
                    </w:rPr>
                  </w:pPr>
                  <w:r>
                    <w:rPr>
                      <w:rFonts w:hint="eastAsia"/>
                      <w:color w:val="auto"/>
                      <w:szCs w:val="21"/>
                      <w:highlight w:val="none"/>
                      <w:lang w:val="en-US" w:eastAsia="zh-CN"/>
                    </w:rPr>
                    <w:t>5.0</w:t>
                  </w:r>
                </w:p>
              </w:tc>
            </w:tr>
            <w:tr w14:paraId="4498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76" w:type="pct"/>
                  <w:gridSpan w:val="2"/>
                  <w:tcBorders>
                    <w:tl2br w:val="nil"/>
                    <w:tr2bl w:val="nil"/>
                  </w:tcBorders>
                  <w:noWrap w:val="0"/>
                  <w:vAlign w:val="center"/>
                </w:tcPr>
                <w:p w14:paraId="07260142">
                  <w:pPr>
                    <w:jc w:val="center"/>
                    <w:rPr>
                      <w:color w:val="auto"/>
                      <w:szCs w:val="21"/>
                      <w:highlight w:val="none"/>
                    </w:rPr>
                  </w:pPr>
                  <w:r>
                    <w:rPr>
                      <w:color w:val="auto"/>
                      <w:szCs w:val="21"/>
                      <w:highlight w:val="none"/>
                    </w:rPr>
                    <w:t>小计</w:t>
                  </w:r>
                </w:p>
              </w:tc>
              <w:tc>
                <w:tcPr>
                  <w:tcW w:w="2281" w:type="pct"/>
                  <w:tcBorders>
                    <w:tl2br w:val="nil"/>
                    <w:tr2bl w:val="nil"/>
                  </w:tcBorders>
                  <w:noWrap w:val="0"/>
                  <w:vAlign w:val="center"/>
                </w:tcPr>
                <w:p w14:paraId="77C3E3E2">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541" w:type="pct"/>
                  <w:tcBorders>
                    <w:tl2br w:val="nil"/>
                    <w:tr2bl w:val="nil"/>
                  </w:tcBorders>
                  <w:noWrap w:val="0"/>
                  <w:vAlign w:val="center"/>
                </w:tcPr>
                <w:p w14:paraId="14F5EE74">
                  <w:pPr>
                    <w:jc w:val="center"/>
                    <w:rPr>
                      <w:rFonts w:hint="eastAsia" w:eastAsia="宋体"/>
                      <w:color w:val="auto"/>
                      <w:szCs w:val="21"/>
                      <w:highlight w:val="none"/>
                      <w:lang w:val="en-US" w:eastAsia="zh-CN"/>
                    </w:rPr>
                  </w:pPr>
                  <w:r>
                    <w:rPr>
                      <w:color w:val="auto"/>
                      <w:szCs w:val="21"/>
                      <w:highlight w:val="none"/>
                    </w:rPr>
                    <w:t>1</w:t>
                  </w:r>
                  <w:r>
                    <w:rPr>
                      <w:rFonts w:hint="eastAsia"/>
                      <w:color w:val="auto"/>
                      <w:szCs w:val="21"/>
                      <w:highlight w:val="none"/>
                      <w:lang w:val="en-US" w:eastAsia="zh-CN"/>
                    </w:rPr>
                    <w:t>9</w:t>
                  </w:r>
                </w:p>
              </w:tc>
            </w:tr>
            <w:tr w14:paraId="10D2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4" w:type="pct"/>
                  <w:vMerge w:val="restart"/>
                  <w:tcBorders>
                    <w:tl2br w:val="nil"/>
                    <w:tr2bl w:val="nil"/>
                  </w:tcBorders>
                  <w:noWrap w:val="0"/>
                  <w:vAlign w:val="center"/>
                </w:tcPr>
                <w:p w14:paraId="5E51ADAE">
                  <w:pPr>
                    <w:jc w:val="center"/>
                    <w:rPr>
                      <w:color w:val="auto"/>
                      <w:szCs w:val="21"/>
                      <w:highlight w:val="none"/>
                    </w:rPr>
                  </w:pPr>
                  <w:r>
                    <w:rPr>
                      <w:color w:val="auto"/>
                      <w:szCs w:val="21"/>
                      <w:highlight w:val="none"/>
                    </w:rPr>
                    <w:t>营运期</w:t>
                  </w:r>
                </w:p>
              </w:tc>
              <w:tc>
                <w:tcPr>
                  <w:tcW w:w="911" w:type="pct"/>
                  <w:vMerge w:val="restart"/>
                  <w:tcBorders>
                    <w:tl2br w:val="nil"/>
                    <w:tr2bl w:val="nil"/>
                  </w:tcBorders>
                  <w:noWrap w:val="0"/>
                  <w:vAlign w:val="center"/>
                </w:tcPr>
                <w:p w14:paraId="6617B80E">
                  <w:pPr>
                    <w:jc w:val="center"/>
                    <w:rPr>
                      <w:color w:val="auto"/>
                      <w:szCs w:val="21"/>
                      <w:highlight w:val="none"/>
                    </w:rPr>
                  </w:pPr>
                  <w:r>
                    <w:rPr>
                      <w:color w:val="auto"/>
                      <w:szCs w:val="21"/>
                      <w:highlight w:val="none"/>
                    </w:rPr>
                    <w:t>废水治理</w:t>
                  </w:r>
                </w:p>
              </w:tc>
              <w:tc>
                <w:tcPr>
                  <w:tcW w:w="2281" w:type="pct"/>
                  <w:tcBorders>
                    <w:tl2br w:val="nil"/>
                    <w:tr2bl w:val="nil"/>
                  </w:tcBorders>
                  <w:noWrap w:val="0"/>
                  <w:vAlign w:val="center"/>
                </w:tcPr>
                <w:p w14:paraId="124EC363">
                  <w:pPr>
                    <w:jc w:val="center"/>
                    <w:rPr>
                      <w:rFonts w:hint="eastAsia" w:eastAsia="宋体"/>
                      <w:b/>
                      <w:bCs/>
                      <w:color w:val="auto"/>
                      <w:szCs w:val="21"/>
                      <w:highlight w:val="none"/>
                      <w:lang w:eastAsia="zh-CN"/>
                    </w:rPr>
                  </w:pPr>
                  <w:r>
                    <w:rPr>
                      <w:rFonts w:hint="eastAsia"/>
                      <w:bCs/>
                      <w:color w:val="auto"/>
                      <w:szCs w:val="21"/>
                      <w:highlight w:val="none"/>
                      <w:lang w:val="en-US" w:eastAsia="zh-CN"/>
                    </w:rPr>
                    <w:t>进出水口</w:t>
                  </w:r>
                  <w:r>
                    <w:rPr>
                      <w:rFonts w:hint="eastAsia"/>
                      <w:bCs/>
                      <w:color w:val="auto"/>
                      <w:szCs w:val="21"/>
                      <w:highlight w:val="none"/>
                      <w:lang w:eastAsia="zh-CN"/>
                    </w:rPr>
                    <w:t>在线监测设备</w:t>
                  </w:r>
                </w:p>
              </w:tc>
              <w:tc>
                <w:tcPr>
                  <w:tcW w:w="1541" w:type="pct"/>
                  <w:tcBorders>
                    <w:tl2br w:val="nil"/>
                    <w:tr2bl w:val="nil"/>
                  </w:tcBorders>
                  <w:noWrap w:val="0"/>
                  <w:vAlign w:val="center"/>
                </w:tcPr>
                <w:p w14:paraId="2B6BD175">
                  <w:pPr>
                    <w:jc w:val="center"/>
                    <w:rPr>
                      <w:rFonts w:hint="default" w:eastAsia="宋体"/>
                      <w:color w:val="auto"/>
                      <w:szCs w:val="21"/>
                      <w:highlight w:val="none"/>
                      <w:lang w:val="en-US" w:eastAsia="zh-CN"/>
                    </w:rPr>
                  </w:pPr>
                  <w:r>
                    <w:rPr>
                      <w:rFonts w:hint="eastAsia"/>
                      <w:color w:val="auto"/>
                      <w:szCs w:val="21"/>
                      <w:highlight w:val="none"/>
                      <w:lang w:val="en-US" w:eastAsia="zh-CN"/>
                    </w:rPr>
                    <w:t>20</w:t>
                  </w:r>
                </w:p>
              </w:tc>
            </w:tr>
            <w:tr w14:paraId="5F6F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64" w:type="pct"/>
                  <w:vMerge w:val="continue"/>
                  <w:tcBorders>
                    <w:tl2br w:val="nil"/>
                    <w:tr2bl w:val="nil"/>
                  </w:tcBorders>
                  <w:noWrap w:val="0"/>
                  <w:vAlign w:val="center"/>
                </w:tcPr>
                <w:p w14:paraId="3038F51A">
                  <w:pPr>
                    <w:widowControl/>
                    <w:jc w:val="left"/>
                    <w:rPr>
                      <w:color w:val="auto"/>
                      <w:szCs w:val="21"/>
                      <w:highlight w:val="none"/>
                    </w:rPr>
                  </w:pPr>
                </w:p>
              </w:tc>
              <w:tc>
                <w:tcPr>
                  <w:tcW w:w="911" w:type="pct"/>
                  <w:vMerge w:val="continue"/>
                  <w:tcBorders>
                    <w:tl2br w:val="nil"/>
                    <w:tr2bl w:val="nil"/>
                  </w:tcBorders>
                  <w:noWrap w:val="0"/>
                  <w:vAlign w:val="center"/>
                </w:tcPr>
                <w:p w14:paraId="5C48522B">
                  <w:pPr>
                    <w:widowControl/>
                    <w:jc w:val="left"/>
                    <w:rPr>
                      <w:color w:val="auto"/>
                      <w:szCs w:val="21"/>
                      <w:highlight w:val="none"/>
                    </w:rPr>
                  </w:pPr>
                </w:p>
              </w:tc>
              <w:tc>
                <w:tcPr>
                  <w:tcW w:w="2281" w:type="pct"/>
                  <w:tcBorders>
                    <w:tl2br w:val="nil"/>
                    <w:tr2bl w:val="nil"/>
                  </w:tcBorders>
                  <w:noWrap w:val="0"/>
                  <w:vAlign w:val="center"/>
                </w:tcPr>
                <w:p w14:paraId="1373D4B7">
                  <w:pPr>
                    <w:adjustRightInd w:val="0"/>
                    <w:snapToGrid w:val="0"/>
                    <w:jc w:val="center"/>
                    <w:rPr>
                      <w:color w:val="auto"/>
                      <w:kern w:val="0"/>
                      <w:szCs w:val="21"/>
                      <w:highlight w:val="none"/>
                    </w:rPr>
                  </w:pPr>
                  <w:r>
                    <w:rPr>
                      <w:rFonts w:hint="eastAsia"/>
                      <w:color w:val="auto"/>
                      <w:kern w:val="0"/>
                      <w:szCs w:val="21"/>
                      <w:highlight w:val="none"/>
                      <w:lang w:val="en-US" w:eastAsia="zh-CN"/>
                    </w:rPr>
                    <w:t>1</w:t>
                  </w:r>
                  <w:r>
                    <w:rPr>
                      <w:color w:val="auto"/>
                      <w:kern w:val="0"/>
                      <w:szCs w:val="21"/>
                      <w:highlight w:val="none"/>
                    </w:rPr>
                    <w:t>个化粪池，容积</w:t>
                  </w:r>
                  <w:r>
                    <w:rPr>
                      <w:rFonts w:hint="eastAsia"/>
                      <w:color w:val="auto"/>
                      <w:kern w:val="0"/>
                      <w:szCs w:val="21"/>
                      <w:highlight w:val="none"/>
                      <w:lang w:val="en-US" w:eastAsia="zh-CN"/>
                    </w:rPr>
                    <w:t>2</w:t>
                  </w:r>
                  <w:r>
                    <w:rPr>
                      <w:color w:val="auto"/>
                      <w:kern w:val="0"/>
                      <w:szCs w:val="21"/>
                      <w:highlight w:val="none"/>
                    </w:rPr>
                    <w:t>m</w:t>
                  </w:r>
                  <w:r>
                    <w:rPr>
                      <w:color w:val="auto"/>
                      <w:kern w:val="0"/>
                      <w:szCs w:val="21"/>
                      <w:highlight w:val="none"/>
                      <w:vertAlign w:val="superscript"/>
                    </w:rPr>
                    <w:t>3</w:t>
                  </w:r>
                </w:p>
              </w:tc>
              <w:tc>
                <w:tcPr>
                  <w:tcW w:w="1541" w:type="pct"/>
                  <w:tcBorders>
                    <w:tl2br w:val="nil"/>
                    <w:tr2bl w:val="nil"/>
                  </w:tcBorders>
                  <w:noWrap w:val="0"/>
                  <w:vAlign w:val="center"/>
                </w:tcPr>
                <w:p w14:paraId="57539292">
                  <w:pPr>
                    <w:jc w:val="center"/>
                    <w:rPr>
                      <w:color w:val="auto"/>
                      <w:szCs w:val="21"/>
                      <w:highlight w:val="none"/>
                    </w:rPr>
                  </w:pPr>
                  <w:r>
                    <w:rPr>
                      <w:rFonts w:hint="eastAsia"/>
                      <w:color w:val="auto"/>
                      <w:szCs w:val="21"/>
                      <w:highlight w:val="none"/>
                      <w:lang w:val="en-US" w:eastAsia="zh-CN"/>
                    </w:rPr>
                    <w:t>0（</w:t>
                  </w:r>
                  <w:r>
                    <w:rPr>
                      <w:rFonts w:hint="eastAsia"/>
                      <w:color w:val="auto"/>
                      <w:highlight w:val="none"/>
                    </w:rPr>
                    <w:t>依托现有</w:t>
                  </w:r>
                  <w:r>
                    <w:rPr>
                      <w:rFonts w:hint="eastAsia"/>
                      <w:color w:val="auto"/>
                      <w:szCs w:val="21"/>
                      <w:highlight w:val="none"/>
                      <w:lang w:val="en-US" w:eastAsia="zh-CN"/>
                    </w:rPr>
                    <w:t>）</w:t>
                  </w:r>
                </w:p>
              </w:tc>
            </w:tr>
            <w:tr w14:paraId="10DC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4" w:type="pct"/>
                  <w:vMerge w:val="continue"/>
                  <w:tcBorders>
                    <w:tl2br w:val="nil"/>
                    <w:tr2bl w:val="nil"/>
                  </w:tcBorders>
                  <w:noWrap w:val="0"/>
                  <w:vAlign w:val="center"/>
                </w:tcPr>
                <w:p w14:paraId="43AE9043">
                  <w:pPr>
                    <w:widowControl/>
                    <w:jc w:val="left"/>
                    <w:rPr>
                      <w:color w:val="auto"/>
                      <w:szCs w:val="21"/>
                      <w:highlight w:val="none"/>
                    </w:rPr>
                  </w:pPr>
                </w:p>
              </w:tc>
              <w:tc>
                <w:tcPr>
                  <w:tcW w:w="911" w:type="pct"/>
                  <w:vMerge w:val="restart"/>
                  <w:tcBorders>
                    <w:tl2br w:val="nil"/>
                    <w:tr2bl w:val="nil"/>
                  </w:tcBorders>
                  <w:noWrap w:val="0"/>
                  <w:vAlign w:val="center"/>
                </w:tcPr>
                <w:p w14:paraId="20F2A69B">
                  <w:pPr>
                    <w:jc w:val="center"/>
                    <w:rPr>
                      <w:color w:val="auto"/>
                      <w:szCs w:val="21"/>
                      <w:highlight w:val="none"/>
                    </w:rPr>
                  </w:pPr>
                  <w:r>
                    <w:rPr>
                      <w:color w:val="auto"/>
                      <w:szCs w:val="21"/>
                      <w:highlight w:val="none"/>
                    </w:rPr>
                    <w:t>废气治理</w:t>
                  </w:r>
                </w:p>
              </w:tc>
              <w:tc>
                <w:tcPr>
                  <w:tcW w:w="2281" w:type="pct"/>
                  <w:tcBorders>
                    <w:tl2br w:val="nil"/>
                    <w:tr2bl w:val="nil"/>
                  </w:tcBorders>
                  <w:shd w:val="clear" w:color="auto" w:fill="auto"/>
                  <w:noWrap w:val="0"/>
                  <w:vAlign w:val="center"/>
                </w:tcPr>
                <w:p w14:paraId="7B7A654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全量化处理站产生的恶臭采用：负压管道收集+1套化学洗涤塔处理设施</w:t>
                  </w:r>
                </w:p>
              </w:tc>
              <w:tc>
                <w:tcPr>
                  <w:tcW w:w="1541" w:type="pct"/>
                  <w:tcBorders>
                    <w:tl2br w:val="nil"/>
                    <w:tr2bl w:val="nil"/>
                  </w:tcBorders>
                  <w:shd w:val="clear" w:color="auto" w:fill="auto"/>
                  <w:noWrap w:val="0"/>
                  <w:vAlign w:val="center"/>
                </w:tcPr>
                <w:p w14:paraId="7216AC45">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60.0</w:t>
                  </w:r>
                </w:p>
              </w:tc>
            </w:tr>
            <w:tr w14:paraId="177E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4" w:type="pct"/>
                  <w:vMerge w:val="continue"/>
                  <w:tcBorders>
                    <w:tl2br w:val="nil"/>
                    <w:tr2bl w:val="nil"/>
                  </w:tcBorders>
                  <w:noWrap w:val="0"/>
                  <w:vAlign w:val="center"/>
                </w:tcPr>
                <w:p w14:paraId="06676B4B">
                  <w:pPr>
                    <w:widowControl/>
                    <w:jc w:val="left"/>
                    <w:rPr>
                      <w:color w:val="auto"/>
                      <w:szCs w:val="21"/>
                      <w:highlight w:val="none"/>
                    </w:rPr>
                  </w:pPr>
                </w:p>
              </w:tc>
              <w:tc>
                <w:tcPr>
                  <w:tcW w:w="911" w:type="pct"/>
                  <w:vMerge w:val="continue"/>
                  <w:tcBorders>
                    <w:tl2br w:val="nil"/>
                    <w:tr2bl w:val="nil"/>
                  </w:tcBorders>
                  <w:noWrap w:val="0"/>
                  <w:vAlign w:val="center"/>
                </w:tcPr>
                <w:p w14:paraId="4AC37043">
                  <w:pPr>
                    <w:jc w:val="center"/>
                    <w:rPr>
                      <w:color w:val="auto"/>
                      <w:szCs w:val="21"/>
                      <w:highlight w:val="none"/>
                    </w:rPr>
                  </w:pPr>
                </w:p>
              </w:tc>
              <w:tc>
                <w:tcPr>
                  <w:tcW w:w="2281" w:type="pct"/>
                  <w:tcBorders>
                    <w:tl2br w:val="nil"/>
                    <w:tr2bl w:val="nil"/>
                  </w:tcBorders>
                  <w:shd w:val="clear" w:color="auto" w:fill="auto"/>
                  <w:noWrap w:val="0"/>
                  <w:vAlign w:val="center"/>
                </w:tcPr>
                <w:p w14:paraId="1E17BB8A">
                  <w:pPr>
                    <w:jc w:val="center"/>
                    <w:rPr>
                      <w:rFonts w:hint="eastAsia"/>
                      <w:color w:val="auto"/>
                      <w:szCs w:val="21"/>
                      <w:highlight w:val="none"/>
                      <w:lang w:val="en-US" w:eastAsia="zh-CN"/>
                    </w:rPr>
                  </w:pPr>
                  <w:r>
                    <w:rPr>
                      <w:rFonts w:hint="eastAsia" w:cs="Times New Roman"/>
                      <w:color w:val="auto"/>
                      <w:sz w:val="21"/>
                      <w:szCs w:val="21"/>
                      <w:highlight w:val="none"/>
                      <w:lang w:val="en-US" w:eastAsia="zh-CN"/>
                    </w:rPr>
                    <w:t>固化剂料仓顶部自带2套布袋除尘器，除尘效率为99.9%</w:t>
                  </w:r>
                </w:p>
              </w:tc>
              <w:tc>
                <w:tcPr>
                  <w:tcW w:w="1541" w:type="pct"/>
                  <w:tcBorders>
                    <w:tl2br w:val="nil"/>
                    <w:tr2bl w:val="nil"/>
                  </w:tcBorders>
                  <w:shd w:val="clear" w:color="auto" w:fill="auto"/>
                  <w:noWrap w:val="0"/>
                  <w:vAlign w:val="center"/>
                </w:tcPr>
                <w:p w14:paraId="077D1CC6">
                  <w:pPr>
                    <w:jc w:val="center"/>
                    <w:rPr>
                      <w:rFonts w:hint="eastAsia"/>
                      <w:color w:val="auto"/>
                      <w:szCs w:val="21"/>
                      <w:highlight w:val="none"/>
                      <w:lang w:eastAsia="zh-CN"/>
                    </w:rPr>
                  </w:pPr>
                  <w:r>
                    <w:rPr>
                      <w:rFonts w:hint="eastAsia"/>
                      <w:color w:val="auto"/>
                      <w:szCs w:val="21"/>
                      <w:highlight w:val="none"/>
                      <w:lang w:val="en-US" w:eastAsia="zh-CN"/>
                    </w:rPr>
                    <w:t>2.0</w:t>
                  </w:r>
                </w:p>
              </w:tc>
            </w:tr>
            <w:tr w14:paraId="2998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4" w:type="pct"/>
                  <w:vMerge w:val="continue"/>
                  <w:tcBorders>
                    <w:tl2br w:val="nil"/>
                    <w:tr2bl w:val="nil"/>
                  </w:tcBorders>
                  <w:noWrap w:val="0"/>
                  <w:vAlign w:val="center"/>
                </w:tcPr>
                <w:p w14:paraId="146EEABA">
                  <w:pPr>
                    <w:widowControl/>
                    <w:jc w:val="left"/>
                    <w:rPr>
                      <w:color w:val="auto"/>
                      <w:szCs w:val="21"/>
                      <w:highlight w:val="none"/>
                    </w:rPr>
                  </w:pPr>
                </w:p>
              </w:tc>
              <w:tc>
                <w:tcPr>
                  <w:tcW w:w="911" w:type="pct"/>
                  <w:tcBorders>
                    <w:tl2br w:val="nil"/>
                    <w:tr2bl w:val="nil"/>
                  </w:tcBorders>
                  <w:noWrap w:val="0"/>
                  <w:vAlign w:val="center"/>
                </w:tcPr>
                <w:p w14:paraId="52A6B6BF">
                  <w:pPr>
                    <w:jc w:val="center"/>
                    <w:rPr>
                      <w:color w:val="auto"/>
                      <w:szCs w:val="21"/>
                      <w:highlight w:val="none"/>
                    </w:rPr>
                  </w:pPr>
                  <w:r>
                    <w:rPr>
                      <w:color w:val="auto"/>
                      <w:szCs w:val="21"/>
                      <w:highlight w:val="none"/>
                    </w:rPr>
                    <w:t>噪声治理</w:t>
                  </w:r>
                </w:p>
              </w:tc>
              <w:tc>
                <w:tcPr>
                  <w:tcW w:w="2281" w:type="pct"/>
                  <w:tcBorders>
                    <w:tl2br w:val="nil"/>
                    <w:tr2bl w:val="nil"/>
                  </w:tcBorders>
                  <w:noWrap w:val="0"/>
                  <w:vAlign w:val="center"/>
                </w:tcPr>
                <w:p w14:paraId="39918C83">
                  <w:pPr>
                    <w:jc w:val="left"/>
                    <w:rPr>
                      <w:color w:val="auto"/>
                      <w:szCs w:val="21"/>
                      <w:highlight w:val="none"/>
                    </w:rPr>
                  </w:pPr>
                  <w:r>
                    <w:rPr>
                      <w:color w:val="auto"/>
                      <w:szCs w:val="21"/>
                      <w:highlight w:val="none"/>
                    </w:rPr>
                    <w:t>对空压机、风机等安装消声器，</w:t>
                  </w:r>
                  <w:r>
                    <w:rPr>
                      <w:rFonts w:hint="eastAsia"/>
                      <w:color w:val="auto"/>
                      <w:szCs w:val="21"/>
                      <w:highlight w:val="none"/>
                      <w:lang w:eastAsia="zh-CN"/>
                    </w:rPr>
                    <w:t>置于室内，污水泵采用潜污泵</w:t>
                  </w:r>
                </w:p>
              </w:tc>
              <w:tc>
                <w:tcPr>
                  <w:tcW w:w="1541" w:type="pct"/>
                  <w:tcBorders>
                    <w:tl2br w:val="nil"/>
                    <w:tr2bl w:val="nil"/>
                  </w:tcBorders>
                  <w:noWrap w:val="0"/>
                  <w:vAlign w:val="center"/>
                </w:tcPr>
                <w:p w14:paraId="389F6438">
                  <w:pPr>
                    <w:jc w:val="center"/>
                    <w:rPr>
                      <w:color w:val="auto"/>
                      <w:szCs w:val="21"/>
                      <w:highlight w:val="none"/>
                    </w:rPr>
                  </w:pPr>
                  <w:r>
                    <w:rPr>
                      <w:rFonts w:hint="eastAsia"/>
                      <w:color w:val="auto"/>
                      <w:szCs w:val="21"/>
                      <w:highlight w:val="none"/>
                      <w:lang w:val="en-US" w:eastAsia="zh-CN"/>
                    </w:rPr>
                    <w:t>5.0</w:t>
                  </w:r>
                </w:p>
              </w:tc>
            </w:tr>
            <w:tr w14:paraId="124C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64" w:type="pct"/>
                  <w:vMerge w:val="continue"/>
                  <w:tcBorders>
                    <w:tl2br w:val="nil"/>
                    <w:tr2bl w:val="nil"/>
                  </w:tcBorders>
                  <w:noWrap w:val="0"/>
                  <w:vAlign w:val="center"/>
                </w:tcPr>
                <w:p w14:paraId="6514DA46">
                  <w:pPr>
                    <w:widowControl/>
                    <w:jc w:val="left"/>
                    <w:rPr>
                      <w:color w:val="auto"/>
                      <w:szCs w:val="21"/>
                      <w:highlight w:val="none"/>
                    </w:rPr>
                  </w:pPr>
                </w:p>
              </w:tc>
              <w:tc>
                <w:tcPr>
                  <w:tcW w:w="911" w:type="pct"/>
                  <w:vMerge w:val="restart"/>
                  <w:tcBorders>
                    <w:tl2br w:val="nil"/>
                    <w:tr2bl w:val="nil"/>
                  </w:tcBorders>
                  <w:noWrap w:val="0"/>
                  <w:vAlign w:val="center"/>
                </w:tcPr>
                <w:p w14:paraId="26B1FC21">
                  <w:pPr>
                    <w:jc w:val="center"/>
                    <w:rPr>
                      <w:color w:val="auto"/>
                      <w:szCs w:val="21"/>
                      <w:highlight w:val="none"/>
                    </w:rPr>
                  </w:pPr>
                  <w:r>
                    <w:rPr>
                      <w:color w:val="auto"/>
                      <w:szCs w:val="21"/>
                      <w:highlight w:val="none"/>
                    </w:rPr>
                    <w:t>固废处置</w:t>
                  </w:r>
                </w:p>
              </w:tc>
              <w:tc>
                <w:tcPr>
                  <w:tcW w:w="2281" w:type="pct"/>
                  <w:tcBorders>
                    <w:tl2br w:val="nil"/>
                    <w:tr2bl w:val="nil"/>
                  </w:tcBorders>
                  <w:noWrap w:val="0"/>
                  <w:vAlign w:val="center"/>
                </w:tcPr>
                <w:p w14:paraId="6ECAE8B3">
                  <w:pPr>
                    <w:jc w:val="center"/>
                    <w:rPr>
                      <w:color w:val="auto"/>
                      <w:szCs w:val="21"/>
                      <w:highlight w:val="none"/>
                    </w:rPr>
                  </w:pPr>
                  <w:r>
                    <w:rPr>
                      <w:color w:val="auto"/>
                      <w:szCs w:val="21"/>
                      <w:highlight w:val="none"/>
                    </w:rPr>
                    <w:t>生活垃圾收集</w:t>
                  </w:r>
                  <w:r>
                    <w:rPr>
                      <w:rFonts w:hint="eastAsia"/>
                      <w:color w:val="auto"/>
                      <w:szCs w:val="21"/>
                      <w:highlight w:val="none"/>
                      <w:lang w:eastAsia="zh-CN"/>
                    </w:rPr>
                    <w:t>桶若干，垃圾收集点</w:t>
                  </w:r>
                  <w:r>
                    <w:rPr>
                      <w:rFonts w:hint="eastAsia"/>
                      <w:color w:val="auto"/>
                      <w:szCs w:val="21"/>
                      <w:highlight w:val="none"/>
                      <w:lang w:val="en-US" w:eastAsia="zh-CN"/>
                    </w:rPr>
                    <w:t>1个</w:t>
                  </w:r>
                </w:p>
              </w:tc>
              <w:tc>
                <w:tcPr>
                  <w:tcW w:w="1541" w:type="pct"/>
                  <w:tcBorders>
                    <w:tl2br w:val="nil"/>
                    <w:tr2bl w:val="nil"/>
                  </w:tcBorders>
                  <w:noWrap w:val="0"/>
                  <w:vAlign w:val="center"/>
                </w:tcPr>
                <w:p w14:paraId="10AC78AD">
                  <w:pPr>
                    <w:jc w:val="center"/>
                    <w:rPr>
                      <w:color w:val="auto"/>
                      <w:szCs w:val="21"/>
                      <w:highlight w:val="none"/>
                    </w:rPr>
                  </w:pPr>
                  <w:r>
                    <w:rPr>
                      <w:rFonts w:hint="eastAsia"/>
                      <w:color w:val="auto"/>
                      <w:szCs w:val="21"/>
                      <w:highlight w:val="none"/>
                      <w:lang w:val="en-US" w:eastAsia="zh-CN"/>
                    </w:rPr>
                    <w:t>0（</w:t>
                  </w:r>
                  <w:r>
                    <w:rPr>
                      <w:rFonts w:hint="eastAsia"/>
                      <w:color w:val="auto"/>
                      <w:highlight w:val="none"/>
                    </w:rPr>
                    <w:t>依托现有</w:t>
                  </w:r>
                  <w:r>
                    <w:rPr>
                      <w:rFonts w:hint="eastAsia"/>
                      <w:color w:val="auto"/>
                      <w:szCs w:val="21"/>
                      <w:highlight w:val="none"/>
                      <w:lang w:val="en-US" w:eastAsia="zh-CN"/>
                    </w:rPr>
                    <w:t>）</w:t>
                  </w:r>
                </w:p>
              </w:tc>
            </w:tr>
            <w:tr w14:paraId="0C94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64" w:type="pct"/>
                  <w:vMerge w:val="continue"/>
                  <w:tcBorders>
                    <w:tl2br w:val="nil"/>
                    <w:tr2bl w:val="nil"/>
                  </w:tcBorders>
                  <w:noWrap w:val="0"/>
                  <w:vAlign w:val="center"/>
                </w:tcPr>
                <w:p w14:paraId="75E2F5BC">
                  <w:pPr>
                    <w:widowControl/>
                    <w:jc w:val="left"/>
                    <w:rPr>
                      <w:color w:val="auto"/>
                      <w:szCs w:val="21"/>
                      <w:highlight w:val="none"/>
                    </w:rPr>
                  </w:pPr>
                </w:p>
              </w:tc>
              <w:tc>
                <w:tcPr>
                  <w:tcW w:w="911" w:type="pct"/>
                  <w:vMerge w:val="continue"/>
                  <w:tcBorders>
                    <w:tl2br w:val="nil"/>
                    <w:tr2bl w:val="nil"/>
                  </w:tcBorders>
                  <w:noWrap w:val="0"/>
                  <w:vAlign w:val="center"/>
                </w:tcPr>
                <w:p w14:paraId="08D10F3B">
                  <w:pPr>
                    <w:jc w:val="center"/>
                    <w:rPr>
                      <w:color w:val="auto"/>
                      <w:szCs w:val="21"/>
                      <w:highlight w:val="none"/>
                    </w:rPr>
                  </w:pPr>
                </w:p>
              </w:tc>
              <w:tc>
                <w:tcPr>
                  <w:tcW w:w="2281" w:type="pct"/>
                  <w:tcBorders>
                    <w:tl2br w:val="nil"/>
                    <w:tr2bl w:val="nil"/>
                  </w:tcBorders>
                  <w:noWrap w:val="0"/>
                  <w:vAlign w:val="center"/>
                </w:tcPr>
                <w:p w14:paraId="08F88E43">
                  <w:pPr>
                    <w:jc w:val="center"/>
                    <w:rPr>
                      <w:rFonts w:hint="default" w:eastAsia="宋体"/>
                      <w:color w:val="auto"/>
                      <w:szCs w:val="21"/>
                      <w:highlight w:val="none"/>
                      <w:lang w:val="en-US" w:eastAsia="zh-CN"/>
                    </w:rPr>
                  </w:pPr>
                  <w:r>
                    <w:rPr>
                      <w:rFonts w:hint="eastAsia"/>
                      <w:color w:val="auto"/>
                      <w:szCs w:val="21"/>
                      <w:highlight w:val="none"/>
                      <w:lang w:val="en-US" w:eastAsia="zh-CN"/>
                    </w:rPr>
                    <w:t>蒸发母液固化系统</w:t>
                  </w:r>
                </w:p>
              </w:tc>
              <w:tc>
                <w:tcPr>
                  <w:tcW w:w="1541" w:type="pct"/>
                  <w:vMerge w:val="restart"/>
                  <w:tcBorders>
                    <w:tl2br w:val="nil"/>
                    <w:tr2bl w:val="nil"/>
                  </w:tcBorders>
                  <w:noWrap w:val="0"/>
                  <w:vAlign w:val="center"/>
                </w:tcPr>
                <w:p w14:paraId="776CCBE9">
                  <w:pPr>
                    <w:jc w:val="center"/>
                    <w:rPr>
                      <w:rFonts w:hint="eastAsia" w:eastAsia="宋体"/>
                      <w:color w:val="auto"/>
                      <w:szCs w:val="21"/>
                      <w:highlight w:val="none"/>
                      <w:lang w:eastAsia="zh-CN"/>
                    </w:rPr>
                  </w:pPr>
                  <w:r>
                    <w:rPr>
                      <w:rFonts w:hint="eastAsia"/>
                      <w:color w:val="auto"/>
                      <w:szCs w:val="21"/>
                      <w:highlight w:val="none"/>
                      <w:lang w:val="en-US" w:eastAsia="zh-CN"/>
                    </w:rPr>
                    <w:t>150</w:t>
                  </w:r>
                </w:p>
              </w:tc>
            </w:tr>
            <w:tr w14:paraId="25AB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64" w:type="pct"/>
                  <w:vMerge w:val="continue"/>
                  <w:tcBorders>
                    <w:tl2br w:val="nil"/>
                    <w:tr2bl w:val="nil"/>
                  </w:tcBorders>
                  <w:noWrap w:val="0"/>
                  <w:vAlign w:val="center"/>
                </w:tcPr>
                <w:p w14:paraId="69E5E0A5">
                  <w:pPr>
                    <w:widowControl/>
                    <w:jc w:val="left"/>
                    <w:rPr>
                      <w:color w:val="auto"/>
                      <w:szCs w:val="21"/>
                      <w:highlight w:val="none"/>
                    </w:rPr>
                  </w:pPr>
                </w:p>
              </w:tc>
              <w:tc>
                <w:tcPr>
                  <w:tcW w:w="911" w:type="pct"/>
                  <w:vMerge w:val="continue"/>
                  <w:tcBorders>
                    <w:tl2br w:val="nil"/>
                    <w:tr2bl w:val="nil"/>
                  </w:tcBorders>
                  <w:noWrap w:val="0"/>
                  <w:vAlign w:val="center"/>
                </w:tcPr>
                <w:p w14:paraId="78B18BEA">
                  <w:pPr>
                    <w:widowControl/>
                    <w:jc w:val="center"/>
                    <w:rPr>
                      <w:color w:val="auto"/>
                      <w:szCs w:val="21"/>
                      <w:highlight w:val="none"/>
                    </w:rPr>
                  </w:pPr>
                </w:p>
              </w:tc>
              <w:tc>
                <w:tcPr>
                  <w:tcW w:w="2281" w:type="pct"/>
                  <w:tcBorders>
                    <w:tl2br w:val="nil"/>
                    <w:tr2bl w:val="nil"/>
                  </w:tcBorders>
                  <w:noWrap w:val="0"/>
                  <w:vAlign w:val="center"/>
                </w:tcPr>
                <w:p w14:paraId="5900AEDF">
                  <w:pPr>
                    <w:jc w:val="center"/>
                    <w:rPr>
                      <w:rFonts w:hint="eastAsia" w:eastAsia="宋体"/>
                      <w:color w:val="auto"/>
                      <w:szCs w:val="21"/>
                      <w:highlight w:val="none"/>
                      <w:lang w:eastAsia="zh-CN"/>
                    </w:rPr>
                  </w:pPr>
                  <w:r>
                    <w:rPr>
                      <w:rFonts w:hint="eastAsia"/>
                      <w:color w:val="auto"/>
                      <w:szCs w:val="21"/>
                      <w:highlight w:val="none"/>
                      <w:lang w:val="en-US" w:eastAsia="zh-CN"/>
                    </w:rPr>
                    <w:t>固化渣</w:t>
                  </w:r>
                  <w:r>
                    <w:rPr>
                      <w:color w:val="auto"/>
                      <w:szCs w:val="21"/>
                      <w:highlight w:val="none"/>
                    </w:rPr>
                    <w:t>暂存间1间</w:t>
                  </w:r>
                </w:p>
              </w:tc>
              <w:tc>
                <w:tcPr>
                  <w:tcW w:w="1541" w:type="pct"/>
                  <w:vMerge w:val="continue"/>
                  <w:tcBorders>
                    <w:tl2br w:val="nil"/>
                    <w:tr2bl w:val="nil"/>
                  </w:tcBorders>
                  <w:noWrap w:val="0"/>
                  <w:vAlign w:val="center"/>
                </w:tcPr>
                <w:p w14:paraId="08A55FA7">
                  <w:pPr>
                    <w:jc w:val="center"/>
                    <w:rPr>
                      <w:rFonts w:hint="eastAsia" w:eastAsia="宋体"/>
                      <w:color w:val="auto"/>
                      <w:szCs w:val="21"/>
                      <w:highlight w:val="none"/>
                      <w:lang w:eastAsia="zh-CN"/>
                    </w:rPr>
                  </w:pPr>
                </w:p>
              </w:tc>
            </w:tr>
            <w:tr w14:paraId="424A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4" w:type="pct"/>
                  <w:vMerge w:val="continue"/>
                  <w:tcBorders>
                    <w:tl2br w:val="nil"/>
                    <w:tr2bl w:val="nil"/>
                  </w:tcBorders>
                  <w:noWrap w:val="0"/>
                  <w:vAlign w:val="center"/>
                </w:tcPr>
                <w:p w14:paraId="75D73216">
                  <w:pPr>
                    <w:widowControl/>
                    <w:jc w:val="left"/>
                    <w:rPr>
                      <w:color w:val="auto"/>
                      <w:szCs w:val="21"/>
                      <w:highlight w:val="none"/>
                    </w:rPr>
                  </w:pPr>
                </w:p>
              </w:tc>
              <w:tc>
                <w:tcPr>
                  <w:tcW w:w="911" w:type="pct"/>
                  <w:vMerge w:val="restart"/>
                  <w:tcBorders>
                    <w:tl2br w:val="nil"/>
                    <w:tr2bl w:val="nil"/>
                  </w:tcBorders>
                  <w:noWrap w:val="0"/>
                  <w:vAlign w:val="center"/>
                </w:tcPr>
                <w:p w14:paraId="1B661DDB">
                  <w:pPr>
                    <w:widowControl/>
                    <w:jc w:val="center"/>
                    <w:rPr>
                      <w:color w:val="auto"/>
                      <w:szCs w:val="21"/>
                      <w:highlight w:val="none"/>
                    </w:rPr>
                  </w:pPr>
                  <w:r>
                    <w:rPr>
                      <w:color w:val="auto"/>
                      <w:szCs w:val="21"/>
                      <w:highlight w:val="none"/>
                    </w:rPr>
                    <w:t>地下水</w:t>
                  </w:r>
                  <w:r>
                    <w:rPr>
                      <w:color w:val="auto"/>
                      <w:szCs w:val="21"/>
                      <w:highlight w:val="none"/>
                    </w:rPr>
                    <w:cr/>
                  </w:r>
                  <w:r>
                    <w:rPr>
                      <w:color w:val="auto"/>
                      <w:szCs w:val="21"/>
                      <w:highlight w:val="none"/>
                    </w:rPr>
                    <w:t>治措施</w:t>
                  </w:r>
                </w:p>
              </w:tc>
              <w:tc>
                <w:tcPr>
                  <w:tcW w:w="2281" w:type="pct"/>
                  <w:tcBorders>
                    <w:tl2br w:val="nil"/>
                    <w:tr2bl w:val="nil"/>
                  </w:tcBorders>
                  <w:noWrap w:val="0"/>
                  <w:vAlign w:val="center"/>
                </w:tcPr>
                <w:p w14:paraId="18E0C006">
                  <w:pPr>
                    <w:jc w:val="center"/>
                    <w:rPr>
                      <w:rFonts w:hint="default" w:eastAsia="宋体"/>
                      <w:color w:val="auto"/>
                      <w:szCs w:val="21"/>
                      <w:highlight w:val="none"/>
                      <w:lang w:val="en-US" w:eastAsia="zh-CN"/>
                    </w:rPr>
                  </w:pPr>
                  <w:r>
                    <w:rPr>
                      <w:rFonts w:hint="eastAsia"/>
                      <w:color w:val="auto"/>
                      <w:szCs w:val="21"/>
                      <w:highlight w:val="none"/>
                      <w:lang w:eastAsia="zh-CN"/>
                    </w:rPr>
                    <w:t>重点防渗区：</w:t>
                  </w:r>
                  <w:r>
                    <w:rPr>
                      <w:rFonts w:hint="eastAsia"/>
                      <w:color w:val="auto"/>
                      <w:szCs w:val="21"/>
                      <w:highlight w:val="none"/>
                      <w:lang w:val="en-US" w:eastAsia="zh-CN"/>
                    </w:rPr>
                    <w:t>渗滤液收集池、调节池、产水收集池、全量化处理站、固化渣暂存间、危废暂存间、硫酸储罐、污水收集管道</w:t>
                  </w:r>
                </w:p>
              </w:tc>
              <w:tc>
                <w:tcPr>
                  <w:tcW w:w="1541" w:type="pct"/>
                  <w:vMerge w:val="restart"/>
                  <w:tcBorders>
                    <w:tl2br w:val="nil"/>
                    <w:tr2bl w:val="nil"/>
                  </w:tcBorders>
                  <w:noWrap w:val="0"/>
                  <w:vAlign w:val="center"/>
                </w:tcPr>
                <w:p w14:paraId="4102242E">
                  <w:pPr>
                    <w:jc w:val="center"/>
                    <w:rPr>
                      <w:rFonts w:hint="default" w:eastAsia="宋体"/>
                      <w:color w:val="auto"/>
                      <w:szCs w:val="21"/>
                      <w:highlight w:val="none"/>
                      <w:lang w:val="en-US" w:eastAsia="zh-CN"/>
                    </w:rPr>
                  </w:pPr>
                  <w:r>
                    <w:rPr>
                      <w:rFonts w:hint="eastAsia"/>
                      <w:color w:val="auto"/>
                      <w:szCs w:val="21"/>
                      <w:highlight w:val="none"/>
                      <w:lang w:val="en-US" w:eastAsia="zh-CN"/>
                    </w:rPr>
                    <w:t>15.0</w:t>
                  </w:r>
                </w:p>
              </w:tc>
            </w:tr>
            <w:tr w14:paraId="388F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4" w:type="pct"/>
                  <w:vMerge w:val="continue"/>
                  <w:tcBorders>
                    <w:tl2br w:val="nil"/>
                    <w:tr2bl w:val="nil"/>
                  </w:tcBorders>
                  <w:noWrap w:val="0"/>
                  <w:vAlign w:val="center"/>
                </w:tcPr>
                <w:p w14:paraId="0922D76C">
                  <w:pPr>
                    <w:widowControl/>
                    <w:jc w:val="left"/>
                    <w:rPr>
                      <w:color w:val="auto"/>
                      <w:szCs w:val="21"/>
                      <w:highlight w:val="none"/>
                    </w:rPr>
                  </w:pPr>
                </w:p>
              </w:tc>
              <w:tc>
                <w:tcPr>
                  <w:tcW w:w="911" w:type="pct"/>
                  <w:vMerge w:val="continue"/>
                  <w:tcBorders>
                    <w:tl2br w:val="nil"/>
                    <w:tr2bl w:val="nil"/>
                  </w:tcBorders>
                  <w:noWrap w:val="0"/>
                  <w:vAlign w:val="center"/>
                </w:tcPr>
                <w:p w14:paraId="0C6F151A">
                  <w:pPr>
                    <w:widowControl/>
                    <w:jc w:val="center"/>
                    <w:rPr>
                      <w:color w:val="auto"/>
                      <w:szCs w:val="21"/>
                      <w:highlight w:val="none"/>
                    </w:rPr>
                  </w:pPr>
                </w:p>
              </w:tc>
              <w:tc>
                <w:tcPr>
                  <w:tcW w:w="2281" w:type="pct"/>
                  <w:tcBorders>
                    <w:tl2br w:val="nil"/>
                    <w:tr2bl w:val="nil"/>
                  </w:tcBorders>
                  <w:noWrap w:val="0"/>
                  <w:vAlign w:val="center"/>
                </w:tcPr>
                <w:p w14:paraId="3EAA48E4">
                  <w:pPr>
                    <w:jc w:val="center"/>
                    <w:rPr>
                      <w:rFonts w:hint="default"/>
                      <w:color w:val="auto"/>
                      <w:szCs w:val="21"/>
                      <w:highlight w:val="none"/>
                      <w:lang w:val="en-US" w:eastAsia="zh-CN"/>
                    </w:rPr>
                  </w:pPr>
                  <w:r>
                    <w:rPr>
                      <w:rFonts w:hint="eastAsia"/>
                      <w:color w:val="auto"/>
                      <w:szCs w:val="21"/>
                      <w:highlight w:val="none"/>
                      <w:lang w:val="en-US" w:eastAsia="zh-CN"/>
                    </w:rPr>
                    <w:t>一般防渗区：配电室、在线监测室、空压房、控制室</w:t>
                  </w:r>
                </w:p>
              </w:tc>
              <w:tc>
                <w:tcPr>
                  <w:tcW w:w="1541" w:type="pct"/>
                  <w:vMerge w:val="continue"/>
                  <w:tcBorders>
                    <w:tl2br w:val="nil"/>
                    <w:tr2bl w:val="nil"/>
                  </w:tcBorders>
                  <w:noWrap w:val="0"/>
                  <w:vAlign w:val="center"/>
                </w:tcPr>
                <w:p w14:paraId="6872CB0B">
                  <w:pPr>
                    <w:jc w:val="center"/>
                    <w:rPr>
                      <w:rFonts w:hint="eastAsia"/>
                      <w:color w:val="auto"/>
                      <w:szCs w:val="21"/>
                      <w:highlight w:val="none"/>
                      <w:lang w:val="en-US" w:eastAsia="zh-CN"/>
                    </w:rPr>
                  </w:pPr>
                </w:p>
              </w:tc>
            </w:tr>
            <w:tr w14:paraId="1378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4" w:type="pct"/>
                  <w:vMerge w:val="continue"/>
                  <w:tcBorders>
                    <w:tl2br w:val="nil"/>
                    <w:tr2bl w:val="nil"/>
                  </w:tcBorders>
                  <w:noWrap w:val="0"/>
                  <w:vAlign w:val="center"/>
                </w:tcPr>
                <w:p w14:paraId="1782C139">
                  <w:pPr>
                    <w:widowControl/>
                    <w:jc w:val="left"/>
                    <w:rPr>
                      <w:color w:val="auto"/>
                      <w:szCs w:val="21"/>
                      <w:highlight w:val="none"/>
                    </w:rPr>
                  </w:pPr>
                </w:p>
              </w:tc>
              <w:tc>
                <w:tcPr>
                  <w:tcW w:w="911" w:type="pct"/>
                  <w:vMerge w:val="continue"/>
                  <w:tcBorders>
                    <w:tl2br w:val="nil"/>
                    <w:tr2bl w:val="nil"/>
                  </w:tcBorders>
                  <w:noWrap w:val="0"/>
                  <w:vAlign w:val="center"/>
                </w:tcPr>
                <w:p w14:paraId="5F0601FD">
                  <w:pPr>
                    <w:widowControl/>
                    <w:jc w:val="center"/>
                    <w:rPr>
                      <w:color w:val="auto"/>
                      <w:szCs w:val="21"/>
                      <w:highlight w:val="none"/>
                    </w:rPr>
                  </w:pPr>
                </w:p>
              </w:tc>
              <w:tc>
                <w:tcPr>
                  <w:tcW w:w="2281" w:type="pct"/>
                  <w:tcBorders>
                    <w:tl2br w:val="nil"/>
                    <w:tr2bl w:val="nil"/>
                  </w:tcBorders>
                  <w:noWrap w:val="0"/>
                  <w:vAlign w:val="center"/>
                </w:tcPr>
                <w:p w14:paraId="105F871C">
                  <w:pPr>
                    <w:jc w:val="left"/>
                    <w:rPr>
                      <w:rFonts w:hint="eastAsia"/>
                      <w:color w:val="auto"/>
                      <w:szCs w:val="21"/>
                      <w:highlight w:val="none"/>
                      <w:lang w:eastAsia="zh-CN"/>
                    </w:rPr>
                  </w:pPr>
                  <w:r>
                    <w:rPr>
                      <w:color w:val="auto"/>
                      <w:szCs w:val="21"/>
                      <w:highlight w:val="none"/>
                    </w:rPr>
                    <w:t>简单防渗区：厂区</w:t>
                  </w:r>
                  <w:r>
                    <w:rPr>
                      <w:rFonts w:hint="eastAsia"/>
                      <w:color w:val="auto"/>
                      <w:szCs w:val="21"/>
                      <w:highlight w:val="none"/>
                      <w:lang w:eastAsia="zh-CN"/>
                    </w:rPr>
                    <w:t>道路及其他区域</w:t>
                  </w:r>
                  <w:r>
                    <w:rPr>
                      <w:color w:val="auto"/>
                      <w:szCs w:val="21"/>
                      <w:highlight w:val="none"/>
                    </w:rPr>
                    <w:t>地面硬化。</w:t>
                  </w:r>
                </w:p>
              </w:tc>
              <w:tc>
                <w:tcPr>
                  <w:tcW w:w="1541" w:type="pct"/>
                  <w:vMerge w:val="continue"/>
                  <w:tcBorders>
                    <w:tl2br w:val="nil"/>
                    <w:tr2bl w:val="nil"/>
                  </w:tcBorders>
                  <w:noWrap w:val="0"/>
                  <w:vAlign w:val="center"/>
                </w:tcPr>
                <w:p w14:paraId="66045C10">
                  <w:pPr>
                    <w:jc w:val="center"/>
                    <w:rPr>
                      <w:color w:val="auto"/>
                      <w:szCs w:val="21"/>
                      <w:highlight w:val="none"/>
                    </w:rPr>
                  </w:pPr>
                </w:p>
              </w:tc>
            </w:tr>
            <w:tr w14:paraId="2E37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4" w:type="pct"/>
                  <w:vMerge w:val="continue"/>
                  <w:tcBorders>
                    <w:tl2br w:val="nil"/>
                    <w:tr2bl w:val="nil"/>
                  </w:tcBorders>
                  <w:noWrap w:val="0"/>
                  <w:vAlign w:val="center"/>
                </w:tcPr>
                <w:p w14:paraId="47256C20">
                  <w:pPr>
                    <w:widowControl/>
                    <w:jc w:val="left"/>
                    <w:rPr>
                      <w:color w:val="auto"/>
                      <w:szCs w:val="21"/>
                      <w:highlight w:val="none"/>
                    </w:rPr>
                  </w:pPr>
                </w:p>
              </w:tc>
              <w:tc>
                <w:tcPr>
                  <w:tcW w:w="911" w:type="pct"/>
                  <w:tcBorders>
                    <w:tl2br w:val="nil"/>
                    <w:tr2bl w:val="nil"/>
                  </w:tcBorders>
                  <w:noWrap w:val="0"/>
                  <w:vAlign w:val="center"/>
                </w:tcPr>
                <w:p w14:paraId="56952D0D">
                  <w:pPr>
                    <w:widowControl/>
                    <w:jc w:val="center"/>
                    <w:rPr>
                      <w:b/>
                      <w:bCs/>
                      <w:color w:val="auto"/>
                      <w:kern w:val="0"/>
                      <w:szCs w:val="21"/>
                      <w:highlight w:val="none"/>
                    </w:rPr>
                  </w:pPr>
                  <w:r>
                    <w:rPr>
                      <w:color w:val="auto"/>
                      <w:szCs w:val="21"/>
                      <w:highlight w:val="none"/>
                    </w:rPr>
                    <w:t>其它</w:t>
                  </w:r>
                </w:p>
              </w:tc>
              <w:tc>
                <w:tcPr>
                  <w:tcW w:w="2281" w:type="pct"/>
                  <w:tcBorders>
                    <w:tl2br w:val="nil"/>
                    <w:tr2bl w:val="nil"/>
                  </w:tcBorders>
                  <w:noWrap w:val="0"/>
                  <w:vAlign w:val="center"/>
                </w:tcPr>
                <w:p w14:paraId="3052CE65">
                  <w:pPr>
                    <w:widowControl/>
                    <w:jc w:val="center"/>
                    <w:rPr>
                      <w:rFonts w:hint="default" w:eastAsia="宋体"/>
                      <w:color w:val="auto"/>
                      <w:kern w:val="0"/>
                      <w:szCs w:val="21"/>
                      <w:highlight w:val="none"/>
                      <w:vertAlign w:val="superscript"/>
                      <w:lang w:val="en-US" w:eastAsia="zh-CN"/>
                    </w:rPr>
                  </w:pPr>
                  <w:r>
                    <w:rPr>
                      <w:rFonts w:hint="eastAsia"/>
                      <w:color w:val="auto"/>
                      <w:kern w:val="0"/>
                      <w:szCs w:val="21"/>
                      <w:highlight w:val="none"/>
                    </w:rPr>
                    <w:t>绿化</w:t>
                  </w:r>
                  <w:r>
                    <w:rPr>
                      <w:rFonts w:hint="eastAsia"/>
                      <w:color w:val="auto"/>
                      <w:kern w:val="0"/>
                      <w:szCs w:val="21"/>
                      <w:highlight w:val="none"/>
                      <w:lang w:val="en-US" w:eastAsia="zh-CN"/>
                    </w:rPr>
                    <w:t>2448.69m</w:t>
                  </w:r>
                  <w:r>
                    <w:rPr>
                      <w:rFonts w:hint="eastAsia"/>
                      <w:color w:val="auto"/>
                      <w:kern w:val="0"/>
                      <w:szCs w:val="21"/>
                      <w:highlight w:val="none"/>
                      <w:vertAlign w:val="superscript"/>
                      <w:lang w:val="en-US" w:eastAsia="zh-CN"/>
                    </w:rPr>
                    <w:t>2</w:t>
                  </w:r>
                </w:p>
              </w:tc>
              <w:tc>
                <w:tcPr>
                  <w:tcW w:w="1541" w:type="pct"/>
                  <w:tcBorders>
                    <w:tl2br w:val="nil"/>
                    <w:tr2bl w:val="nil"/>
                  </w:tcBorders>
                  <w:noWrap w:val="0"/>
                  <w:vAlign w:val="center"/>
                </w:tcPr>
                <w:p w14:paraId="1FAA32A6">
                  <w:pPr>
                    <w:jc w:val="center"/>
                    <w:rPr>
                      <w:color w:val="auto"/>
                      <w:kern w:val="0"/>
                      <w:szCs w:val="21"/>
                      <w:highlight w:val="none"/>
                    </w:rPr>
                  </w:pPr>
                  <w:r>
                    <w:rPr>
                      <w:rFonts w:hint="eastAsia"/>
                      <w:color w:val="auto"/>
                      <w:kern w:val="0"/>
                      <w:szCs w:val="21"/>
                      <w:highlight w:val="none"/>
                      <w:lang w:val="en-US" w:eastAsia="zh-CN"/>
                    </w:rPr>
                    <w:t>10.0</w:t>
                  </w:r>
                </w:p>
              </w:tc>
            </w:tr>
            <w:tr w14:paraId="5BCF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76" w:type="pct"/>
                  <w:gridSpan w:val="2"/>
                  <w:tcBorders>
                    <w:tl2br w:val="nil"/>
                    <w:tr2bl w:val="nil"/>
                  </w:tcBorders>
                  <w:noWrap w:val="0"/>
                  <w:vAlign w:val="center"/>
                </w:tcPr>
                <w:p w14:paraId="06CFFF81">
                  <w:pPr>
                    <w:widowControl/>
                    <w:jc w:val="center"/>
                    <w:rPr>
                      <w:color w:val="auto"/>
                      <w:szCs w:val="21"/>
                      <w:highlight w:val="none"/>
                    </w:rPr>
                  </w:pPr>
                  <w:r>
                    <w:rPr>
                      <w:rFonts w:hint="eastAsia"/>
                      <w:color w:val="auto"/>
                      <w:szCs w:val="21"/>
                      <w:highlight w:val="none"/>
                    </w:rPr>
                    <w:t>小计</w:t>
                  </w:r>
                </w:p>
              </w:tc>
              <w:tc>
                <w:tcPr>
                  <w:tcW w:w="2281" w:type="pct"/>
                  <w:tcBorders>
                    <w:tl2br w:val="nil"/>
                    <w:tr2bl w:val="nil"/>
                  </w:tcBorders>
                  <w:noWrap w:val="0"/>
                  <w:vAlign w:val="center"/>
                </w:tcPr>
                <w:p w14:paraId="5BDA4010">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1541" w:type="pct"/>
                  <w:tcBorders>
                    <w:tl2br w:val="nil"/>
                    <w:tr2bl w:val="nil"/>
                  </w:tcBorders>
                  <w:noWrap w:val="0"/>
                  <w:vAlign w:val="center"/>
                </w:tcPr>
                <w:p w14:paraId="58066B7A">
                  <w:pPr>
                    <w:jc w:val="center"/>
                    <w:rPr>
                      <w:rFonts w:hint="eastAsia" w:eastAsia="宋体"/>
                      <w:color w:val="auto"/>
                      <w:szCs w:val="21"/>
                      <w:highlight w:val="none"/>
                      <w:lang w:val="en-US" w:eastAsia="zh-CN"/>
                    </w:rPr>
                  </w:pPr>
                  <w:r>
                    <w:rPr>
                      <w:rFonts w:hint="eastAsia"/>
                      <w:color w:val="auto"/>
                      <w:kern w:val="0"/>
                      <w:szCs w:val="21"/>
                      <w:highlight w:val="none"/>
                      <w:lang w:val="en-US" w:eastAsia="zh-CN"/>
                    </w:rPr>
                    <w:t>245</w:t>
                  </w:r>
                </w:p>
              </w:tc>
            </w:tr>
            <w:tr w14:paraId="5A27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76" w:type="pct"/>
                  <w:gridSpan w:val="2"/>
                  <w:tcBorders>
                    <w:tl2br w:val="nil"/>
                    <w:tr2bl w:val="nil"/>
                  </w:tcBorders>
                  <w:noWrap w:val="0"/>
                  <w:vAlign w:val="center"/>
                </w:tcPr>
                <w:p w14:paraId="01972551">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其他</w:t>
                  </w:r>
                  <w:r>
                    <w:rPr>
                      <w:rFonts w:hint="eastAsia"/>
                      <w:color w:val="auto"/>
                      <w:kern w:val="0"/>
                      <w:szCs w:val="21"/>
                      <w:highlight w:val="none"/>
                      <w:lang w:val="en-US" w:eastAsia="zh-CN"/>
                    </w:rPr>
                    <w:t>环保费用</w:t>
                  </w:r>
                </w:p>
              </w:tc>
              <w:tc>
                <w:tcPr>
                  <w:tcW w:w="2281" w:type="pct"/>
                  <w:tcBorders>
                    <w:tl2br w:val="nil"/>
                    <w:tr2bl w:val="nil"/>
                  </w:tcBorders>
                  <w:noWrap w:val="0"/>
                  <w:vAlign w:val="center"/>
                </w:tcPr>
                <w:p w14:paraId="017904F5">
                  <w:pPr>
                    <w:widowControl/>
                    <w:jc w:val="center"/>
                    <w:rPr>
                      <w:rFonts w:hint="eastAsia"/>
                      <w:color w:val="auto"/>
                      <w:kern w:val="0"/>
                      <w:szCs w:val="21"/>
                      <w:highlight w:val="none"/>
                      <w:lang w:val="en-US" w:eastAsia="zh-CN"/>
                    </w:rPr>
                  </w:pPr>
                  <w:r>
                    <w:rPr>
                      <w:rFonts w:hint="eastAsia"/>
                      <w:color w:val="auto"/>
                      <w:kern w:val="0"/>
                      <w:szCs w:val="21"/>
                      <w:highlight w:val="none"/>
                      <w:lang w:val="en-US" w:eastAsia="zh-CN"/>
                    </w:rPr>
                    <w:t>项目管理、监理、水保等</w:t>
                  </w:r>
                </w:p>
              </w:tc>
              <w:tc>
                <w:tcPr>
                  <w:tcW w:w="1541" w:type="pct"/>
                  <w:tcBorders>
                    <w:tl2br w:val="nil"/>
                    <w:tr2bl w:val="nil"/>
                  </w:tcBorders>
                  <w:noWrap w:val="0"/>
                  <w:vAlign w:val="center"/>
                </w:tcPr>
                <w:p w14:paraId="5EE3D205">
                  <w:pPr>
                    <w:jc w:val="center"/>
                    <w:rPr>
                      <w:rFonts w:hint="eastAsia"/>
                      <w:color w:val="auto"/>
                      <w:szCs w:val="21"/>
                      <w:highlight w:val="none"/>
                      <w:lang w:val="en-US" w:eastAsia="zh-CN"/>
                    </w:rPr>
                  </w:pPr>
                  <w:r>
                    <w:rPr>
                      <w:rFonts w:hint="eastAsia"/>
                      <w:color w:val="auto"/>
                      <w:kern w:val="0"/>
                      <w:szCs w:val="21"/>
                      <w:highlight w:val="none"/>
                      <w:lang w:val="en-US" w:eastAsia="zh-CN"/>
                    </w:rPr>
                    <w:t>233.49</w:t>
                  </w:r>
                </w:p>
              </w:tc>
            </w:tr>
            <w:tr w14:paraId="5984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8" w:type="pct"/>
                  <w:gridSpan w:val="3"/>
                  <w:tcBorders>
                    <w:tl2br w:val="nil"/>
                    <w:tr2bl w:val="nil"/>
                  </w:tcBorders>
                  <w:noWrap w:val="0"/>
                  <w:vAlign w:val="center"/>
                </w:tcPr>
                <w:p w14:paraId="4D529E25">
                  <w:pPr>
                    <w:jc w:val="center"/>
                    <w:rPr>
                      <w:color w:val="auto"/>
                      <w:szCs w:val="21"/>
                      <w:highlight w:val="none"/>
                    </w:rPr>
                  </w:pPr>
                  <w:r>
                    <w:rPr>
                      <w:color w:val="auto"/>
                      <w:szCs w:val="21"/>
                      <w:highlight w:val="none"/>
                    </w:rPr>
                    <w:t>环境保护措施投资合计</w:t>
                  </w:r>
                </w:p>
              </w:tc>
              <w:tc>
                <w:tcPr>
                  <w:tcW w:w="1541" w:type="pct"/>
                  <w:tcBorders>
                    <w:tl2br w:val="nil"/>
                    <w:tr2bl w:val="nil"/>
                  </w:tcBorders>
                  <w:noWrap w:val="0"/>
                  <w:vAlign w:val="center"/>
                </w:tcPr>
                <w:p w14:paraId="26969C91">
                  <w:pPr>
                    <w:jc w:val="center"/>
                    <w:rPr>
                      <w:rFonts w:hint="default" w:eastAsia="宋体"/>
                      <w:color w:val="auto"/>
                      <w:szCs w:val="21"/>
                      <w:highlight w:val="none"/>
                      <w:lang w:val="en-US" w:eastAsia="zh-CN"/>
                    </w:rPr>
                  </w:pPr>
                  <w:r>
                    <w:rPr>
                      <w:rFonts w:hint="eastAsia"/>
                      <w:color w:val="auto"/>
                      <w:szCs w:val="21"/>
                      <w:highlight w:val="none"/>
                      <w:lang w:val="en-US" w:eastAsia="zh-CN"/>
                    </w:rPr>
                    <w:t>497.49</w:t>
                  </w:r>
                </w:p>
              </w:tc>
            </w:tr>
            <w:bookmarkEnd w:id="13"/>
          </w:tbl>
          <w:p w14:paraId="62772086">
            <w:pPr>
              <w:pStyle w:val="62"/>
              <w:spacing w:line="360" w:lineRule="auto"/>
              <w:jc w:val="left"/>
              <w:rPr>
                <w:rFonts w:hint="default" w:eastAsia="宋体"/>
                <w:bCs/>
                <w:color w:val="auto"/>
                <w:szCs w:val="21"/>
                <w:highlight w:val="none"/>
                <w:lang w:val="en-US" w:eastAsia="zh-CN"/>
              </w:rPr>
            </w:pPr>
          </w:p>
        </w:tc>
      </w:tr>
      <w:tr w14:paraId="030EC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4" w:type="dxa"/>
            <w:vAlign w:val="center"/>
          </w:tcPr>
          <w:p w14:paraId="707A0687">
            <w:pPr>
              <w:pStyle w:val="27"/>
              <w:adjustRightInd w:val="0"/>
              <w:snapToGrid w:val="0"/>
              <w:spacing w:before="0" w:beforeAutospacing="0" w:after="0" w:afterAutospacing="0"/>
              <w:jc w:val="center"/>
              <w:rPr>
                <w:rFonts w:ascii="Times New Roman" w:hAnsi="Times New Roman"/>
                <w:color w:val="auto"/>
                <w:szCs w:val="24"/>
                <w:highlight w:val="none"/>
              </w:rPr>
            </w:pPr>
            <w:r>
              <w:rPr>
                <w:rFonts w:ascii="Times New Roman"/>
                <w:color w:val="auto"/>
                <w:szCs w:val="24"/>
                <w:highlight w:val="none"/>
              </w:rPr>
              <w:t>工艺流程和产排污环节</w:t>
            </w:r>
          </w:p>
        </w:tc>
        <w:tc>
          <w:tcPr>
            <w:tcW w:w="8634" w:type="dxa"/>
          </w:tcPr>
          <w:p w14:paraId="603DB984">
            <w:pPr>
              <w:pStyle w:val="8"/>
              <w:tabs>
                <w:tab w:val="left" w:pos="420"/>
              </w:tabs>
              <w:spacing w:line="360" w:lineRule="auto"/>
              <w:ind w:firstLine="482" w:firstLineChars="200"/>
              <w:rPr>
                <w:b/>
                <w:bCs/>
                <w:color w:val="auto"/>
                <w:sz w:val="24"/>
                <w:szCs w:val="24"/>
                <w:highlight w:val="none"/>
              </w:rPr>
            </w:pPr>
            <w:r>
              <w:rPr>
                <w:rFonts w:hint="eastAsia"/>
                <w:b/>
                <w:bCs/>
                <w:color w:val="auto"/>
                <w:sz w:val="24"/>
                <w:szCs w:val="24"/>
                <w:highlight w:val="none"/>
                <w:lang w:eastAsia="zh-CN"/>
              </w:rPr>
              <w:t>一、</w:t>
            </w:r>
            <w:r>
              <w:rPr>
                <w:b/>
                <w:bCs/>
                <w:color w:val="auto"/>
                <w:sz w:val="24"/>
                <w:szCs w:val="24"/>
                <w:highlight w:val="none"/>
              </w:rPr>
              <w:t>项目施工工艺流程</w:t>
            </w:r>
          </w:p>
          <w:p w14:paraId="758EFB4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color w:val="auto"/>
                <w:sz w:val="24"/>
                <w:szCs w:val="24"/>
                <w:highlight w:val="none"/>
              </w:rPr>
            </w:pPr>
            <w:r>
              <w:rPr>
                <w:rFonts w:hint="eastAsia"/>
                <w:b/>
                <w:bCs/>
                <w:color w:val="auto"/>
                <w:sz w:val="24"/>
                <w:szCs w:val="24"/>
                <w:highlight w:val="none"/>
              </w:rPr>
              <w:t>1、项目施工内容及工艺流程</w:t>
            </w:r>
          </w:p>
          <w:p w14:paraId="7CA1A5BF">
            <w:pPr>
              <w:adjustRightInd w:val="0"/>
              <w:snapToGrid w:val="0"/>
              <w:spacing w:line="360" w:lineRule="auto"/>
              <w:ind w:firstLine="480" w:firstLineChars="200"/>
              <w:rPr>
                <w:rFonts w:hint="eastAsia" w:cs="Times New Roman"/>
                <w:color w:val="auto"/>
                <w:sz w:val="24"/>
                <w:highlight w:val="none"/>
                <w:lang w:eastAsia="zh-CN"/>
              </w:rPr>
            </w:pPr>
            <w:r>
              <w:rPr>
                <w:rFonts w:hint="eastAsia"/>
                <w:color w:val="auto"/>
                <w:sz w:val="24"/>
                <w:szCs w:val="24"/>
                <w:highlight w:val="none"/>
                <w:lang w:eastAsia="zh-CN"/>
              </w:rPr>
              <w:t>本项目施工内容主要包括</w:t>
            </w:r>
            <w:r>
              <w:rPr>
                <w:rFonts w:hint="eastAsia"/>
                <w:color w:val="auto"/>
                <w:sz w:val="24"/>
                <w:szCs w:val="24"/>
                <w:highlight w:val="none"/>
                <w:lang w:val="en-US" w:eastAsia="zh-CN"/>
              </w:rPr>
              <w:t>移除现有两套集装箱式两级DTRO设备、拆除地面附属建筑物、场地平整、</w:t>
            </w:r>
            <w:r>
              <w:rPr>
                <w:rFonts w:hint="default"/>
                <w:color w:val="auto"/>
                <w:sz w:val="24"/>
                <w:szCs w:val="24"/>
                <w:highlight w:val="none"/>
              </w:rPr>
              <w:t>建筑及安装工程、室外及公共配套工程和项目验收</w:t>
            </w:r>
            <w:r>
              <w:rPr>
                <w:rFonts w:hint="eastAsia"/>
                <w:color w:val="auto"/>
                <w:sz w:val="24"/>
                <w:szCs w:val="24"/>
                <w:highlight w:val="none"/>
                <w:lang w:eastAsia="zh-CN"/>
              </w:rPr>
              <w:t>。</w:t>
            </w:r>
            <w:r>
              <w:rPr>
                <w:rFonts w:hint="default" w:ascii="Times New Roman" w:hAnsi="Times New Roman" w:cs="Times New Roman"/>
                <w:color w:val="auto"/>
                <w:sz w:val="24"/>
                <w:highlight w:val="none"/>
              </w:rPr>
              <w:t>施工期对环境的影响主要表现为施工扬尘、运输车辆扬尘、运输及动力设备运行产生的燃油废气，施工机械噪声，建筑垃圾及施工人员生活污水、生活垃圾</w:t>
            </w:r>
            <w:r>
              <w:rPr>
                <w:rFonts w:hint="eastAsia" w:cs="Times New Roman"/>
                <w:color w:val="auto"/>
                <w:sz w:val="24"/>
                <w:highlight w:val="none"/>
                <w:lang w:eastAsia="zh-CN"/>
              </w:rPr>
              <w:t>。</w:t>
            </w:r>
          </w:p>
          <w:p w14:paraId="4CE0B357">
            <w:pPr>
              <w:pStyle w:val="84"/>
              <w:ind w:firstLine="48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本项目建设期间继续租用现有处理设备，处理设备暂存于调节池北侧，待本项目竣工投入使用后，现处理设备退还给设备厂家，项目施工期间现有渗滤液处理能得到处理。</w:t>
            </w:r>
          </w:p>
          <w:p w14:paraId="6EA29597">
            <w:pPr>
              <w:pStyle w:val="84"/>
              <w:ind w:left="0" w:leftChars="0" w:firstLine="0" w:firstLineChars="0"/>
              <w:rPr>
                <w:rFonts w:hint="eastAsia" w:ascii="Times New Roman" w:hAnsi="Times New Roman" w:cs="Times New Roman"/>
                <w:color w:val="auto"/>
                <w:sz w:val="24"/>
                <w:highlight w:val="none"/>
                <w:lang w:val="en-US" w:eastAsia="zh-CN"/>
              </w:rPr>
            </w:pPr>
            <w:r>
              <w:rPr>
                <w:rFonts w:hint="default" w:ascii="Times New Roman" w:hAnsi="Times New Roman" w:eastAsia="宋体" w:cs="Times New Roman"/>
                <w:b/>
                <w:bCs/>
                <w:color w:val="auto"/>
                <w:sz w:val="21"/>
                <w:szCs w:val="21"/>
                <w:highlight w:val="none"/>
                <w:lang w:eastAsia="zh-CN"/>
              </w:rPr>
              <w:object>
                <v:shape id="_x0000_i1027" o:spt="75" type="#_x0000_t75" style="height:261.8pt;width:405.35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14:paraId="7FE64C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auto"/>
                <w:sz w:val="24"/>
                <w:highlight w:val="none"/>
              </w:rPr>
            </w:pPr>
            <w:r>
              <w:rPr>
                <w:rFonts w:hint="default"/>
                <w:b/>
                <w:bCs/>
                <w:color w:val="auto"/>
                <w:highlight w:val="none"/>
                <w:lang w:val="en-US" w:eastAsia="en-US"/>
              </w:rPr>
              <w:t>图</w:t>
            </w:r>
            <w:r>
              <w:rPr>
                <w:rFonts w:hint="eastAsia"/>
                <w:b/>
                <w:bCs/>
                <w:color w:val="auto"/>
                <w:highlight w:val="none"/>
                <w:lang w:val="en-US" w:eastAsia="en-US"/>
              </w:rPr>
              <w:t>2</w:t>
            </w:r>
            <w:r>
              <w:rPr>
                <w:rFonts w:hint="default"/>
                <w:b/>
                <w:bCs/>
                <w:color w:val="auto"/>
                <w:highlight w:val="none"/>
                <w:lang w:val="en-US" w:eastAsia="en-US"/>
              </w:rPr>
              <w:t>-</w:t>
            </w:r>
            <w:r>
              <w:rPr>
                <w:rFonts w:hint="eastAsia"/>
                <w:b/>
                <w:bCs/>
                <w:color w:val="auto"/>
                <w:highlight w:val="none"/>
                <w:lang w:val="en-US" w:eastAsia="zh-CN"/>
              </w:rPr>
              <w:t>4</w:t>
            </w:r>
            <w:r>
              <w:rPr>
                <w:rFonts w:hint="default"/>
                <w:b/>
                <w:bCs/>
                <w:color w:val="auto"/>
                <w:highlight w:val="none"/>
                <w:lang w:val="en-US" w:eastAsia="en-US"/>
              </w:rPr>
              <w:t xml:space="preserve">  施工期工艺流程及产污节点示意图</w:t>
            </w:r>
          </w:p>
          <w:p w14:paraId="45820E08">
            <w:pPr>
              <w:adjustRightInd w:val="0"/>
              <w:snapToGrid w:val="0"/>
              <w:spacing w:line="360" w:lineRule="auto"/>
              <w:ind w:firstLine="482" w:firstLineChars="200"/>
              <w:rPr>
                <w:b/>
                <w:color w:val="auto"/>
                <w:kern w:val="24"/>
                <w:sz w:val="24"/>
                <w:highlight w:val="none"/>
              </w:rPr>
            </w:pPr>
            <w:r>
              <w:rPr>
                <w:rFonts w:hint="eastAsia"/>
                <w:b/>
                <w:color w:val="auto"/>
                <w:kern w:val="24"/>
                <w:sz w:val="24"/>
                <w:highlight w:val="none"/>
              </w:rPr>
              <w:t>2、</w:t>
            </w:r>
            <w:r>
              <w:rPr>
                <w:b/>
                <w:color w:val="auto"/>
                <w:kern w:val="24"/>
                <w:sz w:val="24"/>
                <w:highlight w:val="none"/>
              </w:rPr>
              <w:t>施工方案</w:t>
            </w:r>
          </w:p>
          <w:p w14:paraId="1A7E656F">
            <w:pPr>
              <w:adjustRightInd w:val="0"/>
              <w:snapToGrid w:val="0"/>
              <w:spacing w:line="360" w:lineRule="auto"/>
              <w:ind w:firstLine="480" w:firstLineChars="200"/>
              <w:rPr>
                <w:color w:val="auto"/>
                <w:kern w:val="24"/>
                <w:sz w:val="24"/>
                <w:highlight w:val="none"/>
              </w:rPr>
            </w:pPr>
            <w:r>
              <w:rPr>
                <w:color w:val="auto"/>
                <w:kern w:val="24"/>
                <w:sz w:val="24"/>
                <w:highlight w:val="none"/>
              </w:rPr>
              <w:t>（1）项目实施进度及施工人员</w:t>
            </w:r>
          </w:p>
          <w:p w14:paraId="124B1BAF">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lang w:val="en-US" w:eastAsia="zh-CN"/>
              </w:rPr>
              <w:t>项目</w:t>
            </w:r>
            <w:r>
              <w:rPr>
                <w:color w:val="auto"/>
                <w:kern w:val="24"/>
                <w:sz w:val="24"/>
                <w:highlight w:val="none"/>
              </w:rPr>
              <w:t>施工周期为</w:t>
            </w:r>
            <w:r>
              <w:rPr>
                <w:rFonts w:hint="eastAsia"/>
                <w:color w:val="auto"/>
                <w:kern w:val="24"/>
                <w:sz w:val="24"/>
                <w:highlight w:val="none"/>
                <w:lang w:val="en-US" w:eastAsia="zh-CN"/>
              </w:rPr>
              <w:t>6</w:t>
            </w:r>
            <w:r>
              <w:rPr>
                <w:color w:val="auto"/>
                <w:kern w:val="24"/>
                <w:sz w:val="24"/>
                <w:highlight w:val="none"/>
              </w:rPr>
              <w:t>个月。根据项目具体情况，施工人员高峰期为</w:t>
            </w:r>
            <w:r>
              <w:rPr>
                <w:rFonts w:hint="eastAsia"/>
                <w:color w:val="auto"/>
                <w:kern w:val="24"/>
                <w:sz w:val="24"/>
                <w:highlight w:val="none"/>
                <w:lang w:val="en-US" w:eastAsia="zh-CN"/>
              </w:rPr>
              <w:t>30</w:t>
            </w:r>
            <w:r>
              <w:rPr>
                <w:color w:val="auto"/>
                <w:kern w:val="24"/>
                <w:sz w:val="24"/>
                <w:highlight w:val="none"/>
              </w:rPr>
              <w:t>人/d。</w:t>
            </w:r>
          </w:p>
          <w:p w14:paraId="57EB384D">
            <w:pPr>
              <w:adjustRightInd w:val="0"/>
              <w:snapToGrid w:val="0"/>
              <w:spacing w:line="360" w:lineRule="auto"/>
              <w:ind w:firstLine="480" w:firstLineChars="200"/>
              <w:rPr>
                <w:color w:val="auto"/>
                <w:kern w:val="24"/>
                <w:sz w:val="24"/>
                <w:highlight w:val="none"/>
              </w:rPr>
            </w:pPr>
            <w:r>
              <w:rPr>
                <w:color w:val="auto"/>
                <w:kern w:val="24"/>
                <w:sz w:val="24"/>
                <w:highlight w:val="none"/>
              </w:rPr>
              <w:t>（2）施工营地</w:t>
            </w:r>
          </w:p>
          <w:p w14:paraId="480811C8">
            <w:pPr>
              <w:adjustRightInd w:val="0"/>
              <w:snapToGrid w:val="0"/>
              <w:spacing w:line="360" w:lineRule="auto"/>
              <w:ind w:firstLine="480" w:firstLineChars="200"/>
              <w:rPr>
                <w:color w:val="auto"/>
                <w:kern w:val="24"/>
                <w:sz w:val="24"/>
                <w:highlight w:val="none"/>
              </w:rPr>
            </w:pPr>
            <w:r>
              <w:rPr>
                <w:color w:val="auto"/>
                <w:kern w:val="24"/>
                <w:sz w:val="24"/>
                <w:highlight w:val="none"/>
              </w:rPr>
              <w:t>本工程施工人员都是当地人员，早出晚归，不设施工营地。</w:t>
            </w:r>
          </w:p>
          <w:p w14:paraId="0BC6A7A0">
            <w:pPr>
              <w:adjustRightInd w:val="0"/>
              <w:snapToGrid w:val="0"/>
              <w:spacing w:line="360" w:lineRule="auto"/>
              <w:ind w:firstLine="480" w:firstLineChars="200"/>
              <w:rPr>
                <w:color w:val="auto"/>
                <w:kern w:val="24"/>
                <w:sz w:val="24"/>
                <w:highlight w:val="none"/>
              </w:rPr>
            </w:pPr>
            <w:r>
              <w:rPr>
                <w:color w:val="auto"/>
                <w:kern w:val="24"/>
                <w:sz w:val="24"/>
                <w:highlight w:val="none"/>
              </w:rPr>
              <w:t>（3）施工用电</w:t>
            </w:r>
          </w:p>
          <w:p w14:paraId="3D61F037">
            <w:pPr>
              <w:adjustRightInd w:val="0"/>
              <w:snapToGrid w:val="0"/>
              <w:spacing w:line="360" w:lineRule="auto"/>
              <w:ind w:firstLine="480" w:firstLineChars="200"/>
              <w:rPr>
                <w:color w:val="auto"/>
                <w:kern w:val="24"/>
                <w:sz w:val="24"/>
                <w:highlight w:val="none"/>
              </w:rPr>
            </w:pPr>
            <w:r>
              <w:rPr>
                <w:color w:val="auto"/>
                <w:kern w:val="24"/>
                <w:sz w:val="24"/>
                <w:highlight w:val="none"/>
              </w:rPr>
              <w:t>项目建设施工期间供电电源从</w:t>
            </w:r>
            <w:r>
              <w:rPr>
                <w:rFonts w:hint="eastAsia"/>
                <w:color w:val="auto"/>
                <w:kern w:val="24"/>
                <w:sz w:val="24"/>
                <w:highlight w:val="none"/>
                <w:lang w:val="en-US" w:eastAsia="zh-CN"/>
              </w:rPr>
              <w:t>现有填埋场内</w:t>
            </w:r>
            <w:r>
              <w:rPr>
                <w:rFonts w:hint="eastAsia"/>
                <w:color w:val="auto"/>
                <w:kern w:val="24"/>
                <w:sz w:val="24"/>
                <w:highlight w:val="none"/>
              </w:rPr>
              <w:t>供电</w:t>
            </w:r>
            <w:r>
              <w:rPr>
                <w:color w:val="auto"/>
                <w:kern w:val="24"/>
                <w:sz w:val="24"/>
                <w:highlight w:val="none"/>
              </w:rPr>
              <w:t>电网引进。</w:t>
            </w:r>
          </w:p>
          <w:p w14:paraId="779FD843">
            <w:pPr>
              <w:adjustRightInd w:val="0"/>
              <w:snapToGrid w:val="0"/>
              <w:spacing w:line="360" w:lineRule="auto"/>
              <w:ind w:firstLine="480" w:firstLineChars="200"/>
              <w:rPr>
                <w:color w:val="auto"/>
                <w:kern w:val="24"/>
                <w:sz w:val="24"/>
                <w:highlight w:val="none"/>
              </w:rPr>
            </w:pPr>
            <w:r>
              <w:rPr>
                <w:color w:val="auto"/>
                <w:kern w:val="24"/>
                <w:sz w:val="24"/>
                <w:highlight w:val="none"/>
              </w:rPr>
              <w:t>（4）施工用水</w:t>
            </w:r>
          </w:p>
          <w:p w14:paraId="217487B9">
            <w:pPr>
              <w:adjustRightInd w:val="0"/>
              <w:snapToGrid w:val="0"/>
              <w:spacing w:line="360" w:lineRule="auto"/>
              <w:ind w:firstLine="480" w:firstLineChars="200"/>
              <w:rPr>
                <w:color w:val="auto"/>
                <w:kern w:val="24"/>
                <w:sz w:val="24"/>
                <w:highlight w:val="none"/>
              </w:rPr>
            </w:pPr>
            <w:r>
              <w:rPr>
                <w:color w:val="auto"/>
                <w:kern w:val="24"/>
                <w:sz w:val="24"/>
                <w:highlight w:val="none"/>
              </w:rPr>
              <w:t>工程用水接入</w:t>
            </w:r>
            <w:r>
              <w:rPr>
                <w:rFonts w:hint="eastAsia"/>
                <w:color w:val="auto"/>
                <w:kern w:val="24"/>
                <w:sz w:val="24"/>
                <w:highlight w:val="none"/>
                <w:lang w:eastAsia="zh-CN"/>
              </w:rPr>
              <w:t>现有的</w:t>
            </w:r>
            <w:r>
              <w:rPr>
                <w:color w:val="auto"/>
                <w:kern w:val="24"/>
                <w:sz w:val="24"/>
                <w:highlight w:val="none"/>
              </w:rPr>
              <w:t>给水管网，</w:t>
            </w:r>
            <w:r>
              <w:rPr>
                <w:rFonts w:hint="eastAsia"/>
                <w:color w:val="auto"/>
                <w:kern w:val="24"/>
                <w:sz w:val="24"/>
                <w:highlight w:val="none"/>
                <w:lang w:eastAsia="zh-CN"/>
              </w:rPr>
              <w:t>满足施工需求</w:t>
            </w:r>
            <w:r>
              <w:rPr>
                <w:color w:val="auto"/>
                <w:kern w:val="24"/>
                <w:sz w:val="24"/>
                <w:highlight w:val="none"/>
              </w:rPr>
              <w:t>。</w:t>
            </w:r>
          </w:p>
          <w:p w14:paraId="2FCB9630">
            <w:pPr>
              <w:adjustRightInd w:val="0"/>
              <w:snapToGrid w:val="0"/>
              <w:spacing w:line="360" w:lineRule="auto"/>
              <w:ind w:firstLine="480" w:firstLineChars="200"/>
              <w:rPr>
                <w:color w:val="auto"/>
                <w:kern w:val="24"/>
                <w:sz w:val="24"/>
                <w:highlight w:val="none"/>
              </w:rPr>
            </w:pPr>
            <w:r>
              <w:rPr>
                <w:color w:val="auto"/>
                <w:kern w:val="24"/>
                <w:sz w:val="24"/>
                <w:highlight w:val="none"/>
              </w:rPr>
              <w:t>（5）施工道路</w:t>
            </w:r>
          </w:p>
          <w:p w14:paraId="1DD82411">
            <w:pPr>
              <w:adjustRightInd w:val="0"/>
              <w:snapToGrid w:val="0"/>
              <w:spacing w:line="360" w:lineRule="auto"/>
              <w:ind w:firstLine="480" w:firstLineChars="200"/>
              <w:rPr>
                <w:color w:val="auto"/>
                <w:kern w:val="24"/>
                <w:sz w:val="24"/>
                <w:highlight w:val="none"/>
              </w:rPr>
            </w:pPr>
            <w:r>
              <w:rPr>
                <w:color w:val="auto"/>
                <w:kern w:val="24"/>
                <w:sz w:val="24"/>
                <w:highlight w:val="none"/>
              </w:rPr>
              <w:t>施工期物料运输依托现状道路，本项目不设施工临时道路。</w:t>
            </w:r>
          </w:p>
          <w:p w14:paraId="261E0102">
            <w:pPr>
              <w:adjustRightInd w:val="0"/>
              <w:snapToGrid w:val="0"/>
              <w:spacing w:line="360" w:lineRule="auto"/>
              <w:ind w:firstLine="480" w:firstLineChars="200"/>
              <w:rPr>
                <w:color w:val="auto"/>
                <w:kern w:val="24"/>
                <w:sz w:val="24"/>
                <w:highlight w:val="none"/>
              </w:rPr>
            </w:pPr>
            <w:r>
              <w:rPr>
                <w:color w:val="auto"/>
                <w:kern w:val="24"/>
                <w:sz w:val="24"/>
                <w:highlight w:val="none"/>
              </w:rPr>
              <w:t>（6）施工材料及来源</w:t>
            </w:r>
          </w:p>
          <w:p w14:paraId="27C912A6">
            <w:pPr>
              <w:adjustRightInd w:val="0"/>
              <w:snapToGrid w:val="0"/>
              <w:spacing w:line="360" w:lineRule="auto"/>
              <w:ind w:firstLine="480" w:firstLineChars="200"/>
              <w:rPr>
                <w:color w:val="auto"/>
                <w:kern w:val="24"/>
                <w:sz w:val="24"/>
                <w:highlight w:val="none"/>
              </w:rPr>
            </w:pPr>
            <w:r>
              <w:rPr>
                <w:color w:val="auto"/>
                <w:kern w:val="24"/>
                <w:sz w:val="24"/>
                <w:highlight w:val="none"/>
              </w:rPr>
              <w:t>项目建设所需的主要建筑材料为钢材、水泥、砂石、木材等，砼采用商品混凝土，不设搅拌站，全部外购商品砼；工程建设过程中的钢材、砖块、石块、石板及其它建筑材料，按工程计划购买，临时堆放在绿化区，减少施工过程中对原地表的破坏。所需材料均从附近具有合法手续的单位购买，工程建设不设置砂、石料场。</w:t>
            </w:r>
          </w:p>
          <w:p w14:paraId="1DB73A81">
            <w:pPr>
              <w:adjustRightInd w:val="0"/>
              <w:snapToGrid w:val="0"/>
              <w:spacing w:line="360" w:lineRule="auto"/>
              <w:ind w:firstLine="480" w:firstLineChars="200"/>
              <w:rPr>
                <w:color w:val="auto"/>
                <w:kern w:val="24"/>
                <w:sz w:val="24"/>
                <w:highlight w:val="none"/>
              </w:rPr>
            </w:pPr>
            <w:r>
              <w:rPr>
                <w:color w:val="auto"/>
                <w:kern w:val="24"/>
                <w:sz w:val="24"/>
                <w:highlight w:val="none"/>
              </w:rPr>
              <w:t>（7）“三场”设置</w:t>
            </w:r>
          </w:p>
          <w:p w14:paraId="39DF1422">
            <w:pPr>
              <w:adjustRightInd w:val="0"/>
              <w:snapToGrid w:val="0"/>
              <w:spacing w:line="360" w:lineRule="auto"/>
              <w:ind w:firstLine="480" w:firstLineChars="200"/>
              <w:rPr>
                <w:color w:val="auto"/>
                <w:kern w:val="24"/>
                <w:sz w:val="24"/>
                <w:highlight w:val="none"/>
              </w:rPr>
            </w:pPr>
            <w:r>
              <w:rPr>
                <w:color w:val="auto"/>
                <w:kern w:val="24"/>
                <w:sz w:val="24"/>
                <w:highlight w:val="none"/>
              </w:rPr>
              <w:t>①沙石料场：本工程所需的砂、石料拟从附近具有合法手续的单位购买，不再新设砂石料场。</w:t>
            </w:r>
          </w:p>
          <w:p w14:paraId="3324E125">
            <w:pPr>
              <w:adjustRightInd w:val="0"/>
              <w:snapToGrid w:val="0"/>
              <w:spacing w:line="360" w:lineRule="auto"/>
              <w:ind w:firstLine="480" w:firstLineChars="200"/>
              <w:rPr>
                <w:color w:val="auto"/>
                <w:kern w:val="24"/>
                <w:sz w:val="24"/>
                <w:highlight w:val="none"/>
              </w:rPr>
            </w:pPr>
            <w:r>
              <w:rPr>
                <w:color w:val="auto"/>
                <w:kern w:val="24"/>
                <w:sz w:val="24"/>
                <w:highlight w:val="none"/>
              </w:rPr>
              <w:t>②取土场及弃土场：本项目</w:t>
            </w:r>
            <w:r>
              <w:rPr>
                <w:rFonts w:hint="eastAsia"/>
                <w:color w:val="auto"/>
                <w:kern w:val="24"/>
                <w:sz w:val="24"/>
                <w:highlight w:val="none"/>
                <w:lang w:eastAsia="zh-CN"/>
              </w:rPr>
              <w:t>用地较为平整，</w:t>
            </w:r>
            <w:r>
              <w:rPr>
                <w:rFonts w:hint="eastAsia"/>
                <w:color w:val="auto"/>
                <w:kern w:val="24"/>
                <w:sz w:val="24"/>
                <w:highlight w:val="none"/>
                <w:lang w:val="en-US" w:eastAsia="zh-CN"/>
              </w:rPr>
              <w:t>各构筑物均为地上式，施工期产生的废弃土石方均运至应急填埋场回填处理</w:t>
            </w:r>
            <w:r>
              <w:rPr>
                <w:rFonts w:hint="eastAsia"/>
                <w:color w:val="auto"/>
                <w:kern w:val="24"/>
                <w:sz w:val="24"/>
                <w:highlight w:val="none"/>
                <w:lang w:eastAsia="zh-CN"/>
              </w:rPr>
              <w:t>；</w:t>
            </w:r>
            <w:r>
              <w:rPr>
                <w:rFonts w:hint="eastAsia"/>
                <w:color w:val="auto"/>
                <w:kern w:val="24"/>
                <w:sz w:val="24"/>
                <w:highlight w:val="none"/>
                <w:lang w:val="en-US" w:eastAsia="zh-CN"/>
              </w:rPr>
              <w:t>一二期结合部位回填土方22526.0m</w:t>
            </w:r>
            <w:r>
              <w:rPr>
                <w:rFonts w:hint="eastAsia"/>
                <w:color w:val="auto"/>
                <w:kern w:val="24"/>
                <w:sz w:val="24"/>
                <w:highlight w:val="none"/>
                <w:vertAlign w:val="superscript"/>
                <w:lang w:val="en-US" w:eastAsia="zh-CN"/>
              </w:rPr>
              <w:t>3</w:t>
            </w:r>
            <w:r>
              <w:rPr>
                <w:rFonts w:hint="eastAsia"/>
                <w:color w:val="auto"/>
                <w:kern w:val="24"/>
                <w:sz w:val="24"/>
                <w:highlight w:val="none"/>
                <w:lang w:val="en-US" w:eastAsia="zh-CN"/>
              </w:rPr>
              <w:t>均外面合法弃土场购买，</w:t>
            </w:r>
            <w:r>
              <w:rPr>
                <w:color w:val="auto"/>
                <w:kern w:val="24"/>
                <w:sz w:val="24"/>
                <w:highlight w:val="none"/>
              </w:rPr>
              <w:t>不设取土场及弃土场。绿化覆土采用项目开挖剥离的表土。</w:t>
            </w:r>
          </w:p>
          <w:p w14:paraId="3EBE42E6">
            <w:pPr>
              <w:adjustRightInd w:val="0"/>
              <w:snapToGrid w:val="0"/>
              <w:spacing w:line="360" w:lineRule="auto"/>
              <w:ind w:firstLine="480" w:firstLineChars="200"/>
              <w:rPr>
                <w:color w:val="auto"/>
                <w:kern w:val="24"/>
                <w:sz w:val="24"/>
                <w:highlight w:val="none"/>
              </w:rPr>
            </w:pPr>
            <w:r>
              <w:rPr>
                <w:color w:val="auto"/>
                <w:kern w:val="24"/>
                <w:sz w:val="24"/>
                <w:highlight w:val="none"/>
              </w:rPr>
              <w:t>③临时表土堆场：项目剥离的表土全部回用于项目后期绿化覆土，临时表土堆放场拟设置于项目绿化用地上。</w:t>
            </w:r>
          </w:p>
          <w:p w14:paraId="6E5BCC22">
            <w:pPr>
              <w:adjustRightInd w:val="0"/>
              <w:snapToGrid w:val="0"/>
              <w:spacing w:line="360" w:lineRule="auto"/>
              <w:ind w:firstLine="482" w:firstLineChars="200"/>
              <w:rPr>
                <w:b/>
                <w:color w:val="auto"/>
                <w:kern w:val="24"/>
                <w:sz w:val="24"/>
                <w:highlight w:val="none"/>
              </w:rPr>
            </w:pPr>
            <w:r>
              <w:rPr>
                <w:rFonts w:hint="eastAsia"/>
                <w:b/>
                <w:color w:val="auto"/>
                <w:kern w:val="24"/>
                <w:sz w:val="24"/>
                <w:highlight w:val="none"/>
              </w:rPr>
              <w:t>3、产污环节简述</w:t>
            </w:r>
          </w:p>
          <w:p w14:paraId="2E4FEBB8">
            <w:pPr>
              <w:adjustRightInd w:val="0"/>
              <w:snapToGrid w:val="0"/>
              <w:spacing w:line="360" w:lineRule="auto"/>
              <w:ind w:firstLine="480" w:firstLineChars="200"/>
              <w:rPr>
                <w:color w:val="auto"/>
                <w:kern w:val="24"/>
                <w:sz w:val="24"/>
                <w:highlight w:val="none"/>
              </w:rPr>
            </w:pPr>
            <w:r>
              <w:rPr>
                <w:color w:val="auto"/>
                <w:kern w:val="24"/>
                <w:sz w:val="24"/>
                <w:highlight w:val="none"/>
              </w:rPr>
              <w:t>（1）废气</w:t>
            </w:r>
          </w:p>
          <w:p w14:paraId="262C236D">
            <w:pPr>
              <w:adjustRightInd w:val="0"/>
              <w:snapToGrid w:val="0"/>
              <w:spacing w:line="360" w:lineRule="auto"/>
              <w:ind w:firstLine="480" w:firstLineChars="200"/>
              <w:rPr>
                <w:color w:val="auto"/>
                <w:kern w:val="24"/>
                <w:sz w:val="24"/>
                <w:highlight w:val="none"/>
              </w:rPr>
            </w:pPr>
            <w:r>
              <w:rPr>
                <w:color w:val="auto"/>
                <w:kern w:val="24"/>
                <w:sz w:val="24"/>
                <w:highlight w:val="none"/>
              </w:rPr>
              <w:t>本项目施工废气主要有施工扬尘、燃油废气。</w:t>
            </w:r>
          </w:p>
          <w:p w14:paraId="346BBC1D">
            <w:pPr>
              <w:adjustRightInd w:val="0"/>
              <w:snapToGrid w:val="0"/>
              <w:spacing w:line="360" w:lineRule="auto"/>
              <w:ind w:firstLine="480" w:firstLineChars="200"/>
              <w:rPr>
                <w:color w:val="auto"/>
                <w:kern w:val="24"/>
                <w:sz w:val="24"/>
                <w:highlight w:val="none"/>
              </w:rPr>
            </w:pPr>
            <w:r>
              <w:rPr>
                <w:rFonts w:hint="eastAsia" w:ascii="宋体" w:hAnsi="宋体" w:cs="宋体"/>
                <w:color w:val="auto"/>
                <w:kern w:val="24"/>
                <w:sz w:val="24"/>
                <w:highlight w:val="none"/>
              </w:rPr>
              <w:t>①</w:t>
            </w:r>
            <w:r>
              <w:rPr>
                <w:color w:val="auto"/>
                <w:kern w:val="24"/>
                <w:sz w:val="24"/>
                <w:highlight w:val="none"/>
              </w:rPr>
              <w:t>施工扬尘</w:t>
            </w:r>
          </w:p>
          <w:p w14:paraId="4559B3A5">
            <w:pPr>
              <w:adjustRightInd w:val="0"/>
              <w:snapToGrid w:val="0"/>
              <w:spacing w:line="360" w:lineRule="auto"/>
              <w:ind w:firstLine="480" w:firstLineChars="200"/>
              <w:rPr>
                <w:color w:val="auto"/>
                <w:kern w:val="24"/>
                <w:sz w:val="24"/>
                <w:highlight w:val="none"/>
              </w:rPr>
            </w:pPr>
            <w:r>
              <w:rPr>
                <w:color w:val="auto"/>
                <w:kern w:val="24"/>
                <w:sz w:val="24"/>
                <w:highlight w:val="none"/>
              </w:rPr>
              <w:t>项目在场地平整、基础开挖、主体施工及土石方、建材的运输过程中将产生扬尘，扬尘呈无组织排放的形式，借助风力使施工区空气环境中的总悬浮颗粒物（TSP）指标升高，污染空气环境。扬尘是施工期最大的大气污染，按起尘的原因可分为风力起尘和动力起尘。风力起尘主要是露天堆放一些建筑材料（如黄沙、水泥等）及裸露的施工区表层浮尘在刮风的情况下产生；动力起尘主要是在建材装卸、汽车运输等过程中因外力作用使空气中有大量悬浮颗粒存在而产生，从而对环境有一定影响。</w:t>
            </w:r>
          </w:p>
          <w:p w14:paraId="1C1E5B21">
            <w:pPr>
              <w:adjustRightInd w:val="0"/>
              <w:snapToGrid w:val="0"/>
              <w:spacing w:line="360" w:lineRule="auto"/>
              <w:ind w:firstLine="480" w:firstLineChars="200"/>
              <w:rPr>
                <w:color w:val="auto"/>
                <w:kern w:val="24"/>
                <w:sz w:val="24"/>
                <w:highlight w:val="none"/>
              </w:rPr>
            </w:pPr>
            <w:r>
              <w:rPr>
                <w:rFonts w:hint="eastAsia" w:ascii="宋体" w:hAnsi="宋体" w:cs="宋体"/>
                <w:color w:val="auto"/>
                <w:kern w:val="24"/>
                <w:sz w:val="24"/>
                <w:highlight w:val="none"/>
              </w:rPr>
              <w:t>②</w:t>
            </w:r>
            <w:r>
              <w:rPr>
                <w:color w:val="auto"/>
                <w:kern w:val="24"/>
                <w:sz w:val="24"/>
                <w:highlight w:val="none"/>
              </w:rPr>
              <w:t>燃油废气</w:t>
            </w:r>
          </w:p>
          <w:p w14:paraId="6BD8E75E">
            <w:pPr>
              <w:adjustRightInd w:val="0"/>
              <w:snapToGrid w:val="0"/>
              <w:spacing w:line="360" w:lineRule="auto"/>
              <w:ind w:firstLine="480" w:firstLineChars="200"/>
              <w:rPr>
                <w:color w:val="auto"/>
                <w:kern w:val="24"/>
                <w:sz w:val="24"/>
                <w:highlight w:val="none"/>
              </w:rPr>
            </w:pPr>
            <w:r>
              <w:rPr>
                <w:color w:val="auto"/>
                <w:kern w:val="24"/>
                <w:sz w:val="24"/>
                <w:highlight w:val="none"/>
              </w:rPr>
              <w:t>施工期燃油废气主要来源于运输车辆及其它燃油机械施工时产生的尾气，燃油废气主要含烯烃类有机物、一氧化碳、二氧化硫、氮氧化物等污染物质。该类废气以无组织间歇方式排放，且排放点不固定。施工期的废气为无组织间断排放，排放量不大，较难估算。</w:t>
            </w:r>
          </w:p>
          <w:p w14:paraId="5E4D04B3">
            <w:pPr>
              <w:adjustRightInd w:val="0"/>
              <w:snapToGrid w:val="0"/>
              <w:spacing w:line="360" w:lineRule="auto"/>
              <w:ind w:firstLine="480" w:firstLineChars="200"/>
              <w:rPr>
                <w:color w:val="auto"/>
                <w:kern w:val="24"/>
                <w:sz w:val="24"/>
                <w:highlight w:val="none"/>
              </w:rPr>
            </w:pPr>
            <w:r>
              <w:rPr>
                <w:color w:val="auto"/>
                <w:kern w:val="24"/>
                <w:sz w:val="24"/>
                <w:highlight w:val="none"/>
              </w:rPr>
              <w:t>（2）废水</w:t>
            </w:r>
          </w:p>
          <w:p w14:paraId="782F43A9">
            <w:pPr>
              <w:adjustRightInd w:val="0"/>
              <w:snapToGrid w:val="0"/>
              <w:spacing w:line="360" w:lineRule="auto"/>
              <w:ind w:firstLine="480" w:firstLineChars="200"/>
              <w:rPr>
                <w:color w:val="auto"/>
                <w:kern w:val="24"/>
                <w:sz w:val="24"/>
                <w:highlight w:val="none"/>
              </w:rPr>
            </w:pPr>
            <w:r>
              <w:rPr>
                <w:color w:val="auto"/>
                <w:kern w:val="24"/>
                <w:sz w:val="24"/>
                <w:highlight w:val="none"/>
              </w:rPr>
              <w:t>项目施工期废水主要为施工人员生活污水、施工工艺废水。</w:t>
            </w:r>
          </w:p>
          <w:p w14:paraId="37063BE1">
            <w:pPr>
              <w:adjustRightInd w:val="0"/>
              <w:snapToGrid w:val="0"/>
              <w:spacing w:line="360" w:lineRule="auto"/>
              <w:ind w:firstLine="480" w:firstLineChars="200"/>
              <w:rPr>
                <w:color w:val="auto"/>
                <w:kern w:val="24"/>
                <w:sz w:val="24"/>
                <w:highlight w:val="none"/>
              </w:rPr>
            </w:pPr>
            <w:r>
              <w:rPr>
                <w:rFonts w:hint="eastAsia" w:ascii="宋体" w:hAnsi="宋体" w:cs="宋体"/>
                <w:color w:val="auto"/>
                <w:kern w:val="24"/>
                <w:sz w:val="24"/>
                <w:highlight w:val="none"/>
              </w:rPr>
              <w:t>①</w:t>
            </w:r>
            <w:r>
              <w:rPr>
                <w:color w:val="auto"/>
                <w:kern w:val="24"/>
                <w:sz w:val="24"/>
                <w:highlight w:val="none"/>
              </w:rPr>
              <w:t>生活污水</w:t>
            </w:r>
          </w:p>
          <w:p w14:paraId="2D134152">
            <w:pPr>
              <w:pStyle w:val="17"/>
              <w:snapToGrid w:val="0"/>
              <w:spacing w:line="360" w:lineRule="auto"/>
              <w:ind w:firstLine="480"/>
              <w:rPr>
                <w:color w:val="auto"/>
                <w:kern w:val="24"/>
                <w:sz w:val="24"/>
                <w:highlight w:val="none"/>
              </w:rPr>
            </w:pPr>
            <w:r>
              <w:rPr>
                <w:rFonts w:hint="eastAsia"/>
                <w:color w:val="auto"/>
                <w:kern w:val="24"/>
                <w:sz w:val="24"/>
                <w:highlight w:val="none"/>
              </w:rPr>
              <w:t>本项目施工期间不设置施工营地，施工人员约</w:t>
            </w:r>
            <w:r>
              <w:rPr>
                <w:rFonts w:hint="eastAsia"/>
                <w:color w:val="auto"/>
                <w:kern w:val="24"/>
                <w:sz w:val="24"/>
                <w:highlight w:val="none"/>
                <w:lang w:val="en-US" w:eastAsia="zh-CN"/>
              </w:rPr>
              <w:t>3</w:t>
            </w:r>
            <w:r>
              <w:rPr>
                <w:color w:val="auto"/>
                <w:kern w:val="24"/>
                <w:sz w:val="24"/>
                <w:highlight w:val="none"/>
              </w:rPr>
              <w:t>0</w:t>
            </w:r>
            <w:r>
              <w:rPr>
                <w:rFonts w:hint="eastAsia"/>
                <w:color w:val="auto"/>
                <w:kern w:val="24"/>
                <w:sz w:val="24"/>
                <w:highlight w:val="none"/>
              </w:rPr>
              <w:t>人，均不在项目区内食宿。施工期依托项目</w:t>
            </w:r>
            <w:r>
              <w:rPr>
                <w:rFonts w:hint="eastAsia"/>
                <w:color w:val="auto"/>
                <w:kern w:val="24"/>
                <w:sz w:val="24"/>
                <w:highlight w:val="none"/>
                <w:lang w:eastAsia="zh-CN"/>
              </w:rPr>
              <w:t>现有的</w:t>
            </w:r>
            <w:r>
              <w:rPr>
                <w:rFonts w:hint="eastAsia"/>
                <w:color w:val="auto"/>
                <w:kern w:val="24"/>
                <w:sz w:val="24"/>
                <w:highlight w:val="none"/>
              </w:rPr>
              <w:t>公厕，施工现场废水为清洁废水，收集后用于施工场地洒水降尘，不外排。</w:t>
            </w:r>
          </w:p>
          <w:p w14:paraId="442BA128">
            <w:pPr>
              <w:adjustRightInd w:val="0"/>
              <w:snapToGrid w:val="0"/>
              <w:spacing w:line="360" w:lineRule="auto"/>
              <w:ind w:firstLine="480" w:firstLineChars="200"/>
              <w:rPr>
                <w:color w:val="auto"/>
                <w:kern w:val="24"/>
                <w:sz w:val="24"/>
                <w:highlight w:val="none"/>
              </w:rPr>
            </w:pPr>
            <w:r>
              <w:rPr>
                <w:rFonts w:hint="eastAsia" w:ascii="宋体" w:hAnsi="宋体" w:cs="宋体"/>
                <w:color w:val="auto"/>
                <w:kern w:val="24"/>
                <w:sz w:val="24"/>
                <w:highlight w:val="none"/>
              </w:rPr>
              <w:t>②</w:t>
            </w:r>
            <w:r>
              <w:rPr>
                <w:color w:val="auto"/>
                <w:kern w:val="24"/>
                <w:sz w:val="24"/>
                <w:highlight w:val="none"/>
              </w:rPr>
              <w:t>施工工艺废水</w:t>
            </w:r>
          </w:p>
          <w:p w14:paraId="7EA9C86C">
            <w:pPr>
              <w:adjustRightInd w:val="0"/>
              <w:snapToGrid w:val="0"/>
              <w:spacing w:line="360" w:lineRule="auto"/>
              <w:ind w:firstLine="480" w:firstLineChars="200"/>
              <w:rPr>
                <w:color w:val="auto"/>
                <w:kern w:val="24"/>
                <w:sz w:val="24"/>
                <w:highlight w:val="none"/>
              </w:rPr>
            </w:pPr>
            <w:r>
              <w:rPr>
                <w:color w:val="auto"/>
                <w:kern w:val="24"/>
                <w:sz w:val="24"/>
                <w:highlight w:val="none"/>
              </w:rPr>
              <w:t>项目施工工艺废水主要包括混凝土养护水、机械冲洗废水。施工期废水主要污染因子为SS，经项目区沉淀池沉淀处理后用于场地洒水降尘</w:t>
            </w:r>
            <w:r>
              <w:rPr>
                <w:rFonts w:hint="eastAsia"/>
                <w:color w:val="auto"/>
                <w:kern w:val="24"/>
                <w:sz w:val="24"/>
                <w:highlight w:val="none"/>
              </w:rPr>
              <w:t>，不外排</w:t>
            </w:r>
            <w:r>
              <w:rPr>
                <w:color w:val="auto"/>
                <w:kern w:val="24"/>
                <w:sz w:val="24"/>
                <w:highlight w:val="none"/>
              </w:rPr>
              <w:t>。</w:t>
            </w:r>
          </w:p>
          <w:p w14:paraId="3C8FC015">
            <w:pPr>
              <w:adjustRightInd w:val="0"/>
              <w:snapToGrid w:val="0"/>
              <w:spacing w:line="360" w:lineRule="auto"/>
              <w:ind w:firstLine="480" w:firstLineChars="200"/>
              <w:rPr>
                <w:color w:val="auto"/>
                <w:kern w:val="24"/>
                <w:sz w:val="24"/>
                <w:highlight w:val="none"/>
              </w:rPr>
            </w:pPr>
            <w:r>
              <w:rPr>
                <w:color w:val="auto"/>
                <w:kern w:val="24"/>
                <w:sz w:val="24"/>
                <w:highlight w:val="none"/>
              </w:rPr>
              <w:t>（3）噪声</w:t>
            </w:r>
          </w:p>
          <w:p w14:paraId="626D1722">
            <w:pPr>
              <w:adjustRightInd w:val="0"/>
              <w:snapToGrid w:val="0"/>
              <w:spacing w:line="360" w:lineRule="auto"/>
              <w:ind w:firstLine="480" w:firstLineChars="200"/>
              <w:rPr>
                <w:b/>
                <w:bCs/>
                <w:color w:val="auto"/>
                <w:szCs w:val="21"/>
                <w:highlight w:val="none"/>
              </w:rPr>
            </w:pPr>
            <w:r>
              <w:rPr>
                <w:rFonts w:hint="eastAsia"/>
                <w:color w:val="auto"/>
                <w:kern w:val="24"/>
                <w:sz w:val="24"/>
                <w:highlight w:val="none"/>
              </w:rPr>
              <w:t>项目</w:t>
            </w:r>
            <w:r>
              <w:rPr>
                <w:color w:val="auto"/>
                <w:kern w:val="24"/>
                <w:sz w:val="24"/>
                <w:highlight w:val="none"/>
              </w:rPr>
              <w:t>施工期噪声主要来源于</w:t>
            </w:r>
            <w:r>
              <w:rPr>
                <w:rFonts w:hint="eastAsia"/>
                <w:color w:val="auto"/>
                <w:kern w:val="24"/>
                <w:sz w:val="24"/>
                <w:highlight w:val="none"/>
              </w:rPr>
              <w:t>基础</w:t>
            </w:r>
            <w:r>
              <w:rPr>
                <w:color w:val="auto"/>
                <w:kern w:val="24"/>
                <w:sz w:val="24"/>
                <w:highlight w:val="none"/>
              </w:rPr>
              <w:t>施工过程中挖掘机、装载机、混凝土输送泵、物料运输车辆等机械设备</w:t>
            </w:r>
            <w:r>
              <w:rPr>
                <w:rFonts w:hint="eastAsia"/>
                <w:color w:val="auto"/>
                <w:kern w:val="24"/>
                <w:sz w:val="24"/>
                <w:highlight w:val="none"/>
              </w:rPr>
              <w:t>产生的噪声；生产设备安装过程中电钻、切割机等设备产生的噪声</w:t>
            </w:r>
            <w:r>
              <w:rPr>
                <w:color w:val="auto"/>
                <w:kern w:val="24"/>
                <w:sz w:val="24"/>
                <w:highlight w:val="none"/>
              </w:rPr>
              <w:t>。</w:t>
            </w:r>
          </w:p>
          <w:p w14:paraId="00218D0C">
            <w:pPr>
              <w:snapToGrid w:val="0"/>
              <w:spacing w:line="360" w:lineRule="auto"/>
              <w:jc w:val="center"/>
              <w:rPr>
                <w:b/>
                <w:bCs/>
                <w:color w:val="auto"/>
                <w:sz w:val="24"/>
                <w:szCs w:val="24"/>
                <w:highlight w:val="none"/>
              </w:rPr>
            </w:pPr>
            <w:r>
              <w:rPr>
                <w:b/>
                <w:bCs/>
                <w:color w:val="auto"/>
                <w:sz w:val="24"/>
                <w:szCs w:val="24"/>
                <w:highlight w:val="none"/>
              </w:rPr>
              <w:t>表</w:t>
            </w:r>
            <w:r>
              <w:rPr>
                <w:rFonts w:hint="eastAsia"/>
                <w:b/>
                <w:bCs/>
                <w:color w:val="auto"/>
                <w:sz w:val="24"/>
                <w:szCs w:val="24"/>
                <w:highlight w:val="none"/>
              </w:rPr>
              <w:t>2-</w:t>
            </w:r>
            <w:r>
              <w:rPr>
                <w:rFonts w:hint="eastAsia"/>
                <w:b/>
                <w:bCs/>
                <w:color w:val="auto"/>
                <w:sz w:val="24"/>
                <w:szCs w:val="24"/>
                <w:highlight w:val="none"/>
                <w:lang w:val="en-US" w:eastAsia="zh-CN"/>
              </w:rPr>
              <w:t>7</w:t>
            </w:r>
            <w:r>
              <w:rPr>
                <w:b/>
                <w:bCs/>
                <w:color w:val="auto"/>
                <w:sz w:val="24"/>
                <w:szCs w:val="24"/>
                <w:highlight w:val="none"/>
              </w:rPr>
              <w:t xml:space="preserve">    施工期主要噪声源强</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2571"/>
              <w:gridCol w:w="2375"/>
              <w:gridCol w:w="2375"/>
            </w:tblGrid>
            <w:tr w14:paraId="76BE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45" w:type="pct"/>
                  <w:tcBorders>
                    <w:top w:val="single" w:color="auto" w:sz="4" w:space="0"/>
                    <w:left w:val="single" w:color="auto" w:sz="4" w:space="0"/>
                    <w:bottom w:val="single" w:color="auto" w:sz="4" w:space="0"/>
                    <w:right w:val="single" w:color="auto" w:sz="4" w:space="0"/>
                  </w:tcBorders>
                  <w:vAlign w:val="center"/>
                </w:tcPr>
                <w:p w14:paraId="1015E21E">
                  <w:pPr>
                    <w:jc w:val="center"/>
                    <w:rPr>
                      <w:color w:val="auto"/>
                      <w:szCs w:val="21"/>
                      <w:highlight w:val="none"/>
                    </w:rPr>
                  </w:pPr>
                  <w:r>
                    <w:rPr>
                      <w:color w:val="auto"/>
                      <w:szCs w:val="21"/>
                      <w:highlight w:val="none"/>
                    </w:rPr>
                    <w:t>序号</w:t>
                  </w:r>
                </w:p>
              </w:tc>
              <w:tc>
                <w:tcPr>
                  <w:tcW w:w="1529" w:type="pct"/>
                  <w:tcBorders>
                    <w:top w:val="single" w:color="auto" w:sz="4" w:space="0"/>
                    <w:left w:val="single" w:color="auto" w:sz="4" w:space="0"/>
                    <w:bottom w:val="single" w:color="auto" w:sz="4" w:space="0"/>
                    <w:right w:val="single" w:color="auto" w:sz="4" w:space="0"/>
                  </w:tcBorders>
                  <w:vAlign w:val="center"/>
                </w:tcPr>
                <w:p w14:paraId="1A28E304">
                  <w:pPr>
                    <w:jc w:val="center"/>
                    <w:rPr>
                      <w:color w:val="auto"/>
                      <w:szCs w:val="21"/>
                      <w:highlight w:val="none"/>
                    </w:rPr>
                  </w:pPr>
                  <w:r>
                    <w:rPr>
                      <w:color w:val="auto"/>
                      <w:szCs w:val="21"/>
                      <w:highlight w:val="none"/>
                    </w:rPr>
                    <w:t>设备名称</w:t>
                  </w:r>
                </w:p>
              </w:tc>
              <w:tc>
                <w:tcPr>
                  <w:tcW w:w="1412" w:type="pct"/>
                  <w:tcBorders>
                    <w:top w:val="single" w:color="auto" w:sz="4" w:space="0"/>
                    <w:left w:val="single" w:color="auto" w:sz="4" w:space="0"/>
                    <w:bottom w:val="single" w:color="auto" w:sz="4" w:space="0"/>
                    <w:right w:val="single" w:color="auto" w:sz="4" w:space="0"/>
                  </w:tcBorders>
                  <w:vAlign w:val="center"/>
                </w:tcPr>
                <w:p w14:paraId="4F017860">
                  <w:pPr>
                    <w:jc w:val="center"/>
                    <w:rPr>
                      <w:color w:val="auto"/>
                      <w:szCs w:val="21"/>
                      <w:highlight w:val="none"/>
                    </w:rPr>
                  </w:pPr>
                  <w:r>
                    <w:rPr>
                      <w:color w:val="auto"/>
                      <w:szCs w:val="21"/>
                      <w:highlight w:val="none"/>
                    </w:rPr>
                    <w:t>测量声级dB</w:t>
                  </w:r>
                </w:p>
              </w:tc>
              <w:tc>
                <w:tcPr>
                  <w:tcW w:w="1412" w:type="pct"/>
                  <w:tcBorders>
                    <w:top w:val="single" w:color="auto" w:sz="4" w:space="0"/>
                    <w:left w:val="single" w:color="auto" w:sz="4" w:space="0"/>
                    <w:bottom w:val="single" w:color="auto" w:sz="4" w:space="0"/>
                    <w:right w:val="single" w:color="auto" w:sz="4" w:space="0"/>
                  </w:tcBorders>
                  <w:vAlign w:val="center"/>
                </w:tcPr>
                <w:p w14:paraId="13C0BA98">
                  <w:pPr>
                    <w:jc w:val="center"/>
                    <w:rPr>
                      <w:color w:val="auto"/>
                      <w:szCs w:val="21"/>
                      <w:highlight w:val="none"/>
                    </w:rPr>
                  </w:pPr>
                  <w:r>
                    <w:rPr>
                      <w:color w:val="auto"/>
                      <w:szCs w:val="21"/>
                      <w:highlight w:val="none"/>
                    </w:rPr>
                    <w:t>测量距离(m)</w:t>
                  </w:r>
                </w:p>
              </w:tc>
            </w:tr>
            <w:tr w14:paraId="6334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645" w:type="pct"/>
                  <w:tcBorders>
                    <w:top w:val="single" w:color="auto" w:sz="4" w:space="0"/>
                    <w:left w:val="single" w:color="auto" w:sz="4" w:space="0"/>
                    <w:bottom w:val="single" w:color="auto" w:sz="4" w:space="0"/>
                    <w:right w:val="single" w:color="auto" w:sz="4" w:space="0"/>
                  </w:tcBorders>
                  <w:vAlign w:val="center"/>
                </w:tcPr>
                <w:p w14:paraId="2BD7BF42">
                  <w:pPr>
                    <w:jc w:val="center"/>
                    <w:rPr>
                      <w:color w:val="auto"/>
                      <w:szCs w:val="21"/>
                      <w:highlight w:val="none"/>
                    </w:rPr>
                  </w:pPr>
                  <w:r>
                    <w:rPr>
                      <w:color w:val="auto"/>
                      <w:szCs w:val="21"/>
                      <w:highlight w:val="none"/>
                    </w:rPr>
                    <w:t>1</w:t>
                  </w:r>
                </w:p>
              </w:tc>
              <w:tc>
                <w:tcPr>
                  <w:tcW w:w="1529" w:type="pct"/>
                  <w:tcBorders>
                    <w:top w:val="single" w:color="auto" w:sz="4" w:space="0"/>
                    <w:left w:val="single" w:color="auto" w:sz="4" w:space="0"/>
                    <w:bottom w:val="single" w:color="auto" w:sz="4" w:space="0"/>
                    <w:right w:val="single" w:color="auto" w:sz="4" w:space="0"/>
                  </w:tcBorders>
                  <w:vAlign w:val="center"/>
                </w:tcPr>
                <w:p w14:paraId="27F434F1">
                  <w:pPr>
                    <w:jc w:val="center"/>
                    <w:rPr>
                      <w:color w:val="auto"/>
                      <w:szCs w:val="21"/>
                      <w:highlight w:val="none"/>
                    </w:rPr>
                  </w:pPr>
                  <w:r>
                    <w:rPr>
                      <w:rFonts w:hint="eastAsia"/>
                      <w:color w:val="auto"/>
                      <w:szCs w:val="21"/>
                      <w:highlight w:val="none"/>
                    </w:rPr>
                    <w:t>挖掘机</w:t>
                  </w:r>
                </w:p>
              </w:tc>
              <w:tc>
                <w:tcPr>
                  <w:tcW w:w="1412" w:type="pct"/>
                  <w:tcBorders>
                    <w:top w:val="single" w:color="auto" w:sz="4" w:space="0"/>
                    <w:left w:val="single" w:color="auto" w:sz="4" w:space="0"/>
                    <w:bottom w:val="single" w:color="auto" w:sz="4" w:space="0"/>
                    <w:right w:val="single" w:color="auto" w:sz="4" w:space="0"/>
                  </w:tcBorders>
                  <w:vAlign w:val="center"/>
                </w:tcPr>
                <w:p w14:paraId="0D1EE1D3">
                  <w:pPr>
                    <w:jc w:val="center"/>
                    <w:rPr>
                      <w:color w:val="auto"/>
                      <w:szCs w:val="21"/>
                      <w:highlight w:val="none"/>
                    </w:rPr>
                  </w:pPr>
                  <w:r>
                    <w:rPr>
                      <w:color w:val="auto"/>
                      <w:szCs w:val="21"/>
                      <w:highlight w:val="none"/>
                    </w:rPr>
                    <w:t>86</w:t>
                  </w:r>
                </w:p>
              </w:tc>
              <w:tc>
                <w:tcPr>
                  <w:tcW w:w="1412" w:type="pct"/>
                  <w:tcBorders>
                    <w:top w:val="single" w:color="auto" w:sz="4" w:space="0"/>
                    <w:left w:val="single" w:color="auto" w:sz="4" w:space="0"/>
                    <w:bottom w:val="single" w:color="auto" w:sz="4" w:space="0"/>
                    <w:right w:val="single" w:color="auto" w:sz="4" w:space="0"/>
                  </w:tcBorders>
                  <w:vAlign w:val="center"/>
                </w:tcPr>
                <w:p w14:paraId="635C3F00">
                  <w:pPr>
                    <w:jc w:val="center"/>
                    <w:rPr>
                      <w:color w:val="auto"/>
                      <w:szCs w:val="21"/>
                      <w:highlight w:val="none"/>
                    </w:rPr>
                  </w:pPr>
                  <w:r>
                    <w:rPr>
                      <w:color w:val="auto"/>
                      <w:szCs w:val="21"/>
                      <w:highlight w:val="none"/>
                    </w:rPr>
                    <w:t>1</w:t>
                  </w:r>
                </w:p>
              </w:tc>
            </w:tr>
            <w:tr w14:paraId="01BD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45" w:type="pct"/>
                  <w:tcBorders>
                    <w:top w:val="single" w:color="auto" w:sz="4" w:space="0"/>
                    <w:left w:val="single" w:color="auto" w:sz="4" w:space="0"/>
                    <w:bottom w:val="single" w:color="auto" w:sz="4" w:space="0"/>
                    <w:right w:val="single" w:color="auto" w:sz="4" w:space="0"/>
                  </w:tcBorders>
                  <w:vAlign w:val="center"/>
                </w:tcPr>
                <w:p w14:paraId="4DBB987E">
                  <w:pPr>
                    <w:jc w:val="center"/>
                    <w:rPr>
                      <w:color w:val="auto"/>
                      <w:szCs w:val="21"/>
                      <w:highlight w:val="none"/>
                    </w:rPr>
                  </w:pPr>
                  <w:r>
                    <w:rPr>
                      <w:color w:val="auto"/>
                      <w:szCs w:val="21"/>
                      <w:highlight w:val="none"/>
                    </w:rPr>
                    <w:t>2</w:t>
                  </w:r>
                </w:p>
              </w:tc>
              <w:tc>
                <w:tcPr>
                  <w:tcW w:w="1529" w:type="pct"/>
                  <w:tcBorders>
                    <w:top w:val="single" w:color="auto" w:sz="4" w:space="0"/>
                    <w:left w:val="single" w:color="auto" w:sz="4" w:space="0"/>
                    <w:bottom w:val="single" w:color="auto" w:sz="4" w:space="0"/>
                    <w:right w:val="single" w:color="auto" w:sz="4" w:space="0"/>
                  </w:tcBorders>
                  <w:vAlign w:val="center"/>
                </w:tcPr>
                <w:p w14:paraId="4E33D681">
                  <w:pPr>
                    <w:jc w:val="center"/>
                    <w:rPr>
                      <w:color w:val="auto"/>
                      <w:szCs w:val="21"/>
                      <w:highlight w:val="none"/>
                    </w:rPr>
                  </w:pPr>
                  <w:r>
                    <w:rPr>
                      <w:color w:val="auto"/>
                      <w:szCs w:val="21"/>
                      <w:highlight w:val="none"/>
                    </w:rPr>
                    <w:t>装载机</w:t>
                  </w:r>
                </w:p>
              </w:tc>
              <w:tc>
                <w:tcPr>
                  <w:tcW w:w="1412" w:type="pct"/>
                  <w:tcBorders>
                    <w:top w:val="single" w:color="auto" w:sz="4" w:space="0"/>
                    <w:left w:val="single" w:color="auto" w:sz="4" w:space="0"/>
                    <w:bottom w:val="single" w:color="auto" w:sz="4" w:space="0"/>
                    <w:right w:val="single" w:color="auto" w:sz="4" w:space="0"/>
                  </w:tcBorders>
                  <w:vAlign w:val="center"/>
                </w:tcPr>
                <w:p w14:paraId="64F84F08">
                  <w:pPr>
                    <w:jc w:val="center"/>
                    <w:rPr>
                      <w:color w:val="auto"/>
                      <w:szCs w:val="21"/>
                      <w:highlight w:val="none"/>
                    </w:rPr>
                  </w:pPr>
                  <w:r>
                    <w:rPr>
                      <w:color w:val="auto"/>
                      <w:szCs w:val="21"/>
                      <w:highlight w:val="none"/>
                    </w:rPr>
                    <w:t>90</w:t>
                  </w:r>
                </w:p>
              </w:tc>
              <w:tc>
                <w:tcPr>
                  <w:tcW w:w="1412" w:type="pct"/>
                  <w:tcBorders>
                    <w:top w:val="single" w:color="auto" w:sz="4" w:space="0"/>
                    <w:left w:val="single" w:color="auto" w:sz="4" w:space="0"/>
                    <w:bottom w:val="single" w:color="auto" w:sz="4" w:space="0"/>
                    <w:right w:val="single" w:color="auto" w:sz="4" w:space="0"/>
                  </w:tcBorders>
                  <w:vAlign w:val="center"/>
                </w:tcPr>
                <w:p w14:paraId="30369AE9">
                  <w:pPr>
                    <w:jc w:val="center"/>
                    <w:rPr>
                      <w:color w:val="auto"/>
                      <w:szCs w:val="21"/>
                      <w:highlight w:val="none"/>
                    </w:rPr>
                  </w:pPr>
                  <w:r>
                    <w:rPr>
                      <w:color w:val="auto"/>
                      <w:szCs w:val="21"/>
                      <w:highlight w:val="none"/>
                    </w:rPr>
                    <w:t>1</w:t>
                  </w:r>
                </w:p>
              </w:tc>
            </w:tr>
            <w:tr w14:paraId="1647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45" w:type="pct"/>
                  <w:tcBorders>
                    <w:top w:val="single" w:color="auto" w:sz="4" w:space="0"/>
                    <w:left w:val="single" w:color="auto" w:sz="4" w:space="0"/>
                    <w:bottom w:val="single" w:color="auto" w:sz="4" w:space="0"/>
                    <w:right w:val="single" w:color="auto" w:sz="4" w:space="0"/>
                  </w:tcBorders>
                  <w:vAlign w:val="center"/>
                </w:tcPr>
                <w:p w14:paraId="1DC64E85">
                  <w:pPr>
                    <w:jc w:val="center"/>
                    <w:rPr>
                      <w:color w:val="auto"/>
                      <w:szCs w:val="21"/>
                      <w:highlight w:val="none"/>
                    </w:rPr>
                  </w:pPr>
                  <w:r>
                    <w:rPr>
                      <w:color w:val="auto"/>
                      <w:szCs w:val="21"/>
                      <w:highlight w:val="none"/>
                    </w:rPr>
                    <w:t>3</w:t>
                  </w:r>
                </w:p>
              </w:tc>
              <w:tc>
                <w:tcPr>
                  <w:tcW w:w="1529" w:type="pct"/>
                  <w:tcBorders>
                    <w:top w:val="single" w:color="auto" w:sz="4" w:space="0"/>
                    <w:left w:val="single" w:color="auto" w:sz="4" w:space="0"/>
                    <w:bottom w:val="single" w:color="auto" w:sz="4" w:space="0"/>
                    <w:right w:val="single" w:color="auto" w:sz="4" w:space="0"/>
                  </w:tcBorders>
                  <w:vAlign w:val="center"/>
                </w:tcPr>
                <w:p w14:paraId="349CBA32">
                  <w:pPr>
                    <w:jc w:val="center"/>
                    <w:rPr>
                      <w:color w:val="auto"/>
                      <w:szCs w:val="21"/>
                      <w:highlight w:val="none"/>
                    </w:rPr>
                  </w:pPr>
                  <w:r>
                    <w:rPr>
                      <w:color w:val="auto"/>
                      <w:szCs w:val="21"/>
                      <w:highlight w:val="none"/>
                    </w:rPr>
                    <w:t>空压机</w:t>
                  </w:r>
                </w:p>
              </w:tc>
              <w:tc>
                <w:tcPr>
                  <w:tcW w:w="1412" w:type="pct"/>
                  <w:tcBorders>
                    <w:top w:val="single" w:color="auto" w:sz="4" w:space="0"/>
                    <w:left w:val="single" w:color="auto" w:sz="4" w:space="0"/>
                    <w:bottom w:val="single" w:color="auto" w:sz="4" w:space="0"/>
                    <w:right w:val="single" w:color="auto" w:sz="4" w:space="0"/>
                  </w:tcBorders>
                  <w:vAlign w:val="center"/>
                </w:tcPr>
                <w:p w14:paraId="67ACE1C4">
                  <w:pPr>
                    <w:jc w:val="center"/>
                    <w:rPr>
                      <w:color w:val="auto"/>
                      <w:szCs w:val="21"/>
                      <w:highlight w:val="none"/>
                    </w:rPr>
                  </w:pPr>
                  <w:r>
                    <w:rPr>
                      <w:color w:val="auto"/>
                      <w:szCs w:val="21"/>
                      <w:highlight w:val="none"/>
                    </w:rPr>
                    <w:t>92</w:t>
                  </w:r>
                </w:p>
              </w:tc>
              <w:tc>
                <w:tcPr>
                  <w:tcW w:w="1412" w:type="pct"/>
                  <w:tcBorders>
                    <w:top w:val="single" w:color="auto" w:sz="4" w:space="0"/>
                    <w:left w:val="single" w:color="auto" w:sz="4" w:space="0"/>
                    <w:bottom w:val="single" w:color="auto" w:sz="4" w:space="0"/>
                    <w:right w:val="single" w:color="auto" w:sz="4" w:space="0"/>
                  </w:tcBorders>
                  <w:vAlign w:val="center"/>
                </w:tcPr>
                <w:p w14:paraId="1B31D2EC">
                  <w:pPr>
                    <w:jc w:val="center"/>
                    <w:rPr>
                      <w:color w:val="auto"/>
                      <w:szCs w:val="21"/>
                      <w:highlight w:val="none"/>
                    </w:rPr>
                  </w:pPr>
                  <w:r>
                    <w:rPr>
                      <w:color w:val="auto"/>
                      <w:szCs w:val="21"/>
                      <w:highlight w:val="none"/>
                    </w:rPr>
                    <w:t>1</w:t>
                  </w:r>
                </w:p>
              </w:tc>
            </w:tr>
            <w:tr w14:paraId="167F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45" w:type="pct"/>
                  <w:tcBorders>
                    <w:top w:val="single" w:color="auto" w:sz="4" w:space="0"/>
                    <w:left w:val="single" w:color="auto" w:sz="4" w:space="0"/>
                    <w:bottom w:val="single" w:color="auto" w:sz="4" w:space="0"/>
                    <w:right w:val="single" w:color="auto" w:sz="4" w:space="0"/>
                  </w:tcBorders>
                  <w:vAlign w:val="center"/>
                </w:tcPr>
                <w:p w14:paraId="42F5EC79">
                  <w:pPr>
                    <w:jc w:val="center"/>
                    <w:rPr>
                      <w:color w:val="auto"/>
                      <w:szCs w:val="21"/>
                      <w:highlight w:val="none"/>
                    </w:rPr>
                  </w:pPr>
                  <w:r>
                    <w:rPr>
                      <w:color w:val="auto"/>
                      <w:szCs w:val="21"/>
                      <w:highlight w:val="none"/>
                    </w:rPr>
                    <w:t>4</w:t>
                  </w:r>
                </w:p>
              </w:tc>
              <w:tc>
                <w:tcPr>
                  <w:tcW w:w="1529" w:type="pct"/>
                  <w:tcBorders>
                    <w:top w:val="single" w:color="auto" w:sz="4" w:space="0"/>
                    <w:left w:val="single" w:color="auto" w:sz="4" w:space="0"/>
                    <w:bottom w:val="single" w:color="auto" w:sz="4" w:space="0"/>
                    <w:right w:val="single" w:color="auto" w:sz="4" w:space="0"/>
                  </w:tcBorders>
                  <w:vAlign w:val="center"/>
                </w:tcPr>
                <w:p w14:paraId="64BD919F">
                  <w:pPr>
                    <w:jc w:val="center"/>
                    <w:rPr>
                      <w:color w:val="auto"/>
                      <w:szCs w:val="21"/>
                      <w:highlight w:val="none"/>
                    </w:rPr>
                  </w:pPr>
                  <w:r>
                    <w:rPr>
                      <w:color w:val="auto"/>
                      <w:szCs w:val="21"/>
                      <w:highlight w:val="none"/>
                    </w:rPr>
                    <w:t>吊车</w:t>
                  </w:r>
                </w:p>
              </w:tc>
              <w:tc>
                <w:tcPr>
                  <w:tcW w:w="1412" w:type="pct"/>
                  <w:tcBorders>
                    <w:top w:val="single" w:color="auto" w:sz="4" w:space="0"/>
                    <w:left w:val="single" w:color="auto" w:sz="4" w:space="0"/>
                    <w:bottom w:val="single" w:color="auto" w:sz="4" w:space="0"/>
                    <w:right w:val="single" w:color="auto" w:sz="4" w:space="0"/>
                  </w:tcBorders>
                  <w:vAlign w:val="center"/>
                </w:tcPr>
                <w:p w14:paraId="07534B39">
                  <w:pPr>
                    <w:jc w:val="center"/>
                    <w:rPr>
                      <w:color w:val="auto"/>
                      <w:szCs w:val="21"/>
                      <w:highlight w:val="none"/>
                    </w:rPr>
                  </w:pPr>
                  <w:r>
                    <w:rPr>
                      <w:color w:val="auto"/>
                      <w:szCs w:val="21"/>
                      <w:highlight w:val="none"/>
                    </w:rPr>
                    <w:t>80</w:t>
                  </w:r>
                </w:p>
              </w:tc>
              <w:tc>
                <w:tcPr>
                  <w:tcW w:w="1412" w:type="pct"/>
                  <w:tcBorders>
                    <w:top w:val="single" w:color="auto" w:sz="4" w:space="0"/>
                    <w:left w:val="single" w:color="auto" w:sz="4" w:space="0"/>
                    <w:bottom w:val="single" w:color="auto" w:sz="4" w:space="0"/>
                    <w:right w:val="single" w:color="auto" w:sz="4" w:space="0"/>
                  </w:tcBorders>
                  <w:vAlign w:val="center"/>
                </w:tcPr>
                <w:p w14:paraId="14E1F22C">
                  <w:pPr>
                    <w:jc w:val="center"/>
                    <w:rPr>
                      <w:color w:val="auto"/>
                      <w:szCs w:val="21"/>
                      <w:highlight w:val="none"/>
                    </w:rPr>
                  </w:pPr>
                  <w:r>
                    <w:rPr>
                      <w:color w:val="auto"/>
                      <w:szCs w:val="21"/>
                      <w:highlight w:val="none"/>
                    </w:rPr>
                    <w:t>1</w:t>
                  </w:r>
                </w:p>
              </w:tc>
            </w:tr>
            <w:tr w14:paraId="73F6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45" w:type="pct"/>
                  <w:tcBorders>
                    <w:top w:val="single" w:color="auto" w:sz="4" w:space="0"/>
                    <w:left w:val="single" w:color="auto" w:sz="4" w:space="0"/>
                    <w:bottom w:val="single" w:color="auto" w:sz="4" w:space="0"/>
                    <w:right w:val="single" w:color="auto" w:sz="4" w:space="0"/>
                  </w:tcBorders>
                  <w:vAlign w:val="center"/>
                </w:tcPr>
                <w:p w14:paraId="538CE60B">
                  <w:pPr>
                    <w:jc w:val="center"/>
                    <w:rPr>
                      <w:color w:val="auto"/>
                      <w:szCs w:val="21"/>
                      <w:highlight w:val="none"/>
                    </w:rPr>
                  </w:pPr>
                  <w:r>
                    <w:rPr>
                      <w:color w:val="auto"/>
                      <w:szCs w:val="21"/>
                      <w:highlight w:val="none"/>
                    </w:rPr>
                    <w:t>5</w:t>
                  </w:r>
                </w:p>
              </w:tc>
              <w:tc>
                <w:tcPr>
                  <w:tcW w:w="1529" w:type="pct"/>
                  <w:tcBorders>
                    <w:top w:val="single" w:color="auto" w:sz="4" w:space="0"/>
                    <w:left w:val="single" w:color="auto" w:sz="4" w:space="0"/>
                    <w:bottom w:val="single" w:color="auto" w:sz="4" w:space="0"/>
                    <w:right w:val="single" w:color="auto" w:sz="4" w:space="0"/>
                  </w:tcBorders>
                  <w:vAlign w:val="center"/>
                </w:tcPr>
                <w:p w14:paraId="69D82E56">
                  <w:pPr>
                    <w:jc w:val="center"/>
                    <w:rPr>
                      <w:color w:val="auto"/>
                      <w:szCs w:val="21"/>
                      <w:highlight w:val="none"/>
                    </w:rPr>
                  </w:pPr>
                  <w:r>
                    <w:rPr>
                      <w:color w:val="auto"/>
                      <w:szCs w:val="21"/>
                      <w:highlight w:val="none"/>
                    </w:rPr>
                    <w:t>电钻</w:t>
                  </w:r>
                </w:p>
              </w:tc>
              <w:tc>
                <w:tcPr>
                  <w:tcW w:w="1412" w:type="pct"/>
                  <w:tcBorders>
                    <w:top w:val="single" w:color="auto" w:sz="4" w:space="0"/>
                    <w:left w:val="single" w:color="auto" w:sz="4" w:space="0"/>
                    <w:bottom w:val="single" w:color="auto" w:sz="4" w:space="0"/>
                    <w:right w:val="single" w:color="auto" w:sz="4" w:space="0"/>
                  </w:tcBorders>
                  <w:vAlign w:val="center"/>
                </w:tcPr>
                <w:p w14:paraId="7ED5D9A1">
                  <w:pPr>
                    <w:jc w:val="center"/>
                    <w:rPr>
                      <w:color w:val="auto"/>
                      <w:szCs w:val="21"/>
                      <w:highlight w:val="none"/>
                    </w:rPr>
                  </w:pPr>
                  <w:r>
                    <w:rPr>
                      <w:color w:val="auto"/>
                      <w:szCs w:val="21"/>
                      <w:highlight w:val="none"/>
                    </w:rPr>
                    <w:t>90</w:t>
                  </w:r>
                </w:p>
              </w:tc>
              <w:tc>
                <w:tcPr>
                  <w:tcW w:w="1412" w:type="pct"/>
                  <w:tcBorders>
                    <w:top w:val="single" w:color="auto" w:sz="4" w:space="0"/>
                    <w:left w:val="single" w:color="auto" w:sz="4" w:space="0"/>
                    <w:bottom w:val="single" w:color="auto" w:sz="4" w:space="0"/>
                    <w:right w:val="single" w:color="auto" w:sz="4" w:space="0"/>
                  </w:tcBorders>
                  <w:vAlign w:val="center"/>
                </w:tcPr>
                <w:p w14:paraId="16FD3C7E">
                  <w:pPr>
                    <w:jc w:val="center"/>
                    <w:rPr>
                      <w:color w:val="auto"/>
                      <w:szCs w:val="21"/>
                      <w:highlight w:val="none"/>
                    </w:rPr>
                  </w:pPr>
                  <w:r>
                    <w:rPr>
                      <w:color w:val="auto"/>
                      <w:szCs w:val="21"/>
                      <w:highlight w:val="none"/>
                    </w:rPr>
                    <w:t>1</w:t>
                  </w:r>
                </w:p>
              </w:tc>
            </w:tr>
            <w:tr w14:paraId="73E2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45" w:type="pct"/>
                  <w:tcBorders>
                    <w:top w:val="single" w:color="auto" w:sz="4" w:space="0"/>
                    <w:left w:val="single" w:color="auto" w:sz="4" w:space="0"/>
                    <w:bottom w:val="single" w:color="auto" w:sz="4" w:space="0"/>
                    <w:right w:val="single" w:color="auto" w:sz="4" w:space="0"/>
                  </w:tcBorders>
                  <w:vAlign w:val="center"/>
                </w:tcPr>
                <w:p w14:paraId="5DF42DBB">
                  <w:pPr>
                    <w:jc w:val="center"/>
                    <w:rPr>
                      <w:color w:val="auto"/>
                      <w:szCs w:val="21"/>
                      <w:highlight w:val="none"/>
                    </w:rPr>
                  </w:pPr>
                  <w:r>
                    <w:rPr>
                      <w:color w:val="auto"/>
                      <w:szCs w:val="21"/>
                      <w:highlight w:val="none"/>
                    </w:rPr>
                    <w:t>6</w:t>
                  </w:r>
                </w:p>
              </w:tc>
              <w:tc>
                <w:tcPr>
                  <w:tcW w:w="1529" w:type="pct"/>
                  <w:tcBorders>
                    <w:top w:val="single" w:color="auto" w:sz="4" w:space="0"/>
                    <w:left w:val="single" w:color="auto" w:sz="4" w:space="0"/>
                    <w:bottom w:val="single" w:color="auto" w:sz="4" w:space="0"/>
                    <w:right w:val="single" w:color="auto" w:sz="4" w:space="0"/>
                  </w:tcBorders>
                  <w:vAlign w:val="center"/>
                </w:tcPr>
                <w:p w14:paraId="7AD74362">
                  <w:pPr>
                    <w:jc w:val="center"/>
                    <w:rPr>
                      <w:color w:val="auto"/>
                      <w:szCs w:val="21"/>
                      <w:highlight w:val="none"/>
                    </w:rPr>
                  </w:pPr>
                  <w:r>
                    <w:rPr>
                      <w:color w:val="auto"/>
                      <w:szCs w:val="21"/>
                      <w:highlight w:val="none"/>
                    </w:rPr>
                    <w:t>电锯</w:t>
                  </w:r>
                </w:p>
              </w:tc>
              <w:tc>
                <w:tcPr>
                  <w:tcW w:w="1412" w:type="pct"/>
                  <w:tcBorders>
                    <w:top w:val="single" w:color="auto" w:sz="4" w:space="0"/>
                    <w:left w:val="single" w:color="auto" w:sz="4" w:space="0"/>
                    <w:bottom w:val="single" w:color="auto" w:sz="4" w:space="0"/>
                    <w:right w:val="single" w:color="auto" w:sz="4" w:space="0"/>
                  </w:tcBorders>
                  <w:vAlign w:val="center"/>
                </w:tcPr>
                <w:p w14:paraId="284AB016">
                  <w:pPr>
                    <w:jc w:val="center"/>
                    <w:rPr>
                      <w:color w:val="auto"/>
                      <w:szCs w:val="21"/>
                      <w:highlight w:val="none"/>
                    </w:rPr>
                  </w:pPr>
                  <w:r>
                    <w:rPr>
                      <w:color w:val="auto"/>
                      <w:szCs w:val="21"/>
                      <w:highlight w:val="none"/>
                    </w:rPr>
                    <w:t>103</w:t>
                  </w:r>
                </w:p>
              </w:tc>
              <w:tc>
                <w:tcPr>
                  <w:tcW w:w="1412" w:type="pct"/>
                  <w:tcBorders>
                    <w:top w:val="single" w:color="auto" w:sz="4" w:space="0"/>
                    <w:left w:val="single" w:color="auto" w:sz="4" w:space="0"/>
                    <w:bottom w:val="single" w:color="auto" w:sz="4" w:space="0"/>
                    <w:right w:val="single" w:color="auto" w:sz="4" w:space="0"/>
                  </w:tcBorders>
                  <w:vAlign w:val="center"/>
                </w:tcPr>
                <w:p w14:paraId="266D7F1C">
                  <w:pPr>
                    <w:jc w:val="center"/>
                    <w:rPr>
                      <w:color w:val="auto"/>
                      <w:szCs w:val="21"/>
                      <w:highlight w:val="none"/>
                    </w:rPr>
                  </w:pPr>
                  <w:r>
                    <w:rPr>
                      <w:color w:val="auto"/>
                      <w:szCs w:val="21"/>
                      <w:highlight w:val="none"/>
                    </w:rPr>
                    <w:t>1</w:t>
                  </w:r>
                </w:p>
              </w:tc>
            </w:tr>
            <w:tr w14:paraId="5E2F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45" w:type="pct"/>
                  <w:tcBorders>
                    <w:top w:val="single" w:color="auto" w:sz="4" w:space="0"/>
                    <w:left w:val="single" w:color="auto" w:sz="4" w:space="0"/>
                    <w:bottom w:val="single" w:color="auto" w:sz="4" w:space="0"/>
                    <w:right w:val="single" w:color="auto" w:sz="4" w:space="0"/>
                  </w:tcBorders>
                  <w:vAlign w:val="center"/>
                </w:tcPr>
                <w:p w14:paraId="6126F35C">
                  <w:pPr>
                    <w:jc w:val="center"/>
                    <w:rPr>
                      <w:color w:val="auto"/>
                      <w:szCs w:val="21"/>
                      <w:highlight w:val="none"/>
                    </w:rPr>
                  </w:pPr>
                  <w:r>
                    <w:rPr>
                      <w:color w:val="auto"/>
                      <w:szCs w:val="21"/>
                      <w:highlight w:val="none"/>
                    </w:rPr>
                    <w:t>7</w:t>
                  </w:r>
                </w:p>
              </w:tc>
              <w:tc>
                <w:tcPr>
                  <w:tcW w:w="1529" w:type="pct"/>
                  <w:tcBorders>
                    <w:top w:val="single" w:color="auto" w:sz="4" w:space="0"/>
                    <w:left w:val="single" w:color="auto" w:sz="4" w:space="0"/>
                    <w:bottom w:val="single" w:color="auto" w:sz="4" w:space="0"/>
                    <w:right w:val="single" w:color="auto" w:sz="4" w:space="0"/>
                  </w:tcBorders>
                  <w:vAlign w:val="center"/>
                </w:tcPr>
                <w:p w14:paraId="694E6B27">
                  <w:pPr>
                    <w:jc w:val="center"/>
                    <w:rPr>
                      <w:color w:val="auto"/>
                      <w:szCs w:val="21"/>
                      <w:highlight w:val="none"/>
                    </w:rPr>
                  </w:pPr>
                  <w:r>
                    <w:rPr>
                      <w:color w:val="auto"/>
                      <w:szCs w:val="21"/>
                      <w:highlight w:val="none"/>
                    </w:rPr>
                    <w:t>电焊机</w:t>
                  </w:r>
                </w:p>
              </w:tc>
              <w:tc>
                <w:tcPr>
                  <w:tcW w:w="1412" w:type="pct"/>
                  <w:tcBorders>
                    <w:top w:val="single" w:color="auto" w:sz="4" w:space="0"/>
                    <w:left w:val="single" w:color="auto" w:sz="4" w:space="0"/>
                    <w:bottom w:val="single" w:color="auto" w:sz="4" w:space="0"/>
                    <w:right w:val="single" w:color="auto" w:sz="4" w:space="0"/>
                  </w:tcBorders>
                  <w:vAlign w:val="center"/>
                </w:tcPr>
                <w:p w14:paraId="197F3950">
                  <w:pPr>
                    <w:jc w:val="center"/>
                    <w:rPr>
                      <w:color w:val="auto"/>
                      <w:szCs w:val="21"/>
                      <w:highlight w:val="none"/>
                    </w:rPr>
                  </w:pPr>
                  <w:r>
                    <w:rPr>
                      <w:color w:val="auto"/>
                      <w:szCs w:val="21"/>
                      <w:highlight w:val="none"/>
                    </w:rPr>
                    <w:t>85</w:t>
                  </w:r>
                </w:p>
              </w:tc>
              <w:tc>
                <w:tcPr>
                  <w:tcW w:w="1412" w:type="pct"/>
                  <w:tcBorders>
                    <w:top w:val="single" w:color="auto" w:sz="4" w:space="0"/>
                    <w:left w:val="single" w:color="auto" w:sz="4" w:space="0"/>
                    <w:bottom w:val="single" w:color="auto" w:sz="4" w:space="0"/>
                    <w:right w:val="single" w:color="auto" w:sz="4" w:space="0"/>
                  </w:tcBorders>
                  <w:vAlign w:val="center"/>
                </w:tcPr>
                <w:p w14:paraId="786D3412">
                  <w:pPr>
                    <w:jc w:val="center"/>
                    <w:rPr>
                      <w:color w:val="auto"/>
                      <w:szCs w:val="21"/>
                      <w:highlight w:val="none"/>
                    </w:rPr>
                  </w:pPr>
                  <w:r>
                    <w:rPr>
                      <w:color w:val="auto"/>
                      <w:szCs w:val="21"/>
                      <w:highlight w:val="none"/>
                    </w:rPr>
                    <w:t>1</w:t>
                  </w:r>
                </w:p>
              </w:tc>
            </w:tr>
            <w:tr w14:paraId="6141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45" w:type="pct"/>
                  <w:tcBorders>
                    <w:top w:val="single" w:color="auto" w:sz="4" w:space="0"/>
                    <w:left w:val="single" w:color="auto" w:sz="4" w:space="0"/>
                    <w:bottom w:val="single" w:color="auto" w:sz="4" w:space="0"/>
                    <w:right w:val="single" w:color="auto" w:sz="4" w:space="0"/>
                  </w:tcBorders>
                  <w:vAlign w:val="center"/>
                </w:tcPr>
                <w:p w14:paraId="3293BEF0">
                  <w:pPr>
                    <w:jc w:val="center"/>
                    <w:rPr>
                      <w:color w:val="auto"/>
                      <w:szCs w:val="21"/>
                      <w:highlight w:val="none"/>
                    </w:rPr>
                  </w:pPr>
                  <w:r>
                    <w:rPr>
                      <w:color w:val="auto"/>
                      <w:szCs w:val="21"/>
                      <w:highlight w:val="none"/>
                    </w:rPr>
                    <w:t>8</w:t>
                  </w:r>
                </w:p>
              </w:tc>
              <w:tc>
                <w:tcPr>
                  <w:tcW w:w="1529" w:type="pct"/>
                  <w:tcBorders>
                    <w:top w:val="single" w:color="auto" w:sz="4" w:space="0"/>
                    <w:left w:val="single" w:color="auto" w:sz="4" w:space="0"/>
                    <w:bottom w:val="single" w:color="auto" w:sz="4" w:space="0"/>
                    <w:right w:val="single" w:color="auto" w:sz="4" w:space="0"/>
                  </w:tcBorders>
                  <w:vAlign w:val="center"/>
                </w:tcPr>
                <w:p w14:paraId="31C8BBE7">
                  <w:pPr>
                    <w:jc w:val="center"/>
                    <w:rPr>
                      <w:color w:val="auto"/>
                      <w:szCs w:val="21"/>
                      <w:highlight w:val="none"/>
                    </w:rPr>
                  </w:pPr>
                  <w:r>
                    <w:rPr>
                      <w:color w:val="auto"/>
                      <w:szCs w:val="21"/>
                      <w:highlight w:val="none"/>
                    </w:rPr>
                    <w:t>切割机</w:t>
                  </w:r>
                </w:p>
              </w:tc>
              <w:tc>
                <w:tcPr>
                  <w:tcW w:w="1412" w:type="pct"/>
                  <w:tcBorders>
                    <w:top w:val="single" w:color="auto" w:sz="4" w:space="0"/>
                    <w:left w:val="single" w:color="auto" w:sz="4" w:space="0"/>
                    <w:bottom w:val="single" w:color="auto" w:sz="4" w:space="0"/>
                    <w:right w:val="single" w:color="auto" w:sz="4" w:space="0"/>
                  </w:tcBorders>
                  <w:vAlign w:val="center"/>
                </w:tcPr>
                <w:p w14:paraId="5AD284F1">
                  <w:pPr>
                    <w:jc w:val="center"/>
                    <w:rPr>
                      <w:color w:val="auto"/>
                      <w:szCs w:val="21"/>
                      <w:highlight w:val="none"/>
                    </w:rPr>
                  </w:pPr>
                  <w:r>
                    <w:rPr>
                      <w:color w:val="auto"/>
                      <w:szCs w:val="21"/>
                      <w:highlight w:val="none"/>
                    </w:rPr>
                    <w:t>90</w:t>
                  </w:r>
                </w:p>
              </w:tc>
              <w:tc>
                <w:tcPr>
                  <w:tcW w:w="1412" w:type="pct"/>
                  <w:tcBorders>
                    <w:top w:val="single" w:color="auto" w:sz="4" w:space="0"/>
                    <w:left w:val="single" w:color="auto" w:sz="4" w:space="0"/>
                    <w:bottom w:val="single" w:color="auto" w:sz="4" w:space="0"/>
                    <w:right w:val="single" w:color="auto" w:sz="4" w:space="0"/>
                  </w:tcBorders>
                  <w:vAlign w:val="center"/>
                </w:tcPr>
                <w:p w14:paraId="3CE56EC8">
                  <w:pPr>
                    <w:jc w:val="center"/>
                    <w:rPr>
                      <w:color w:val="auto"/>
                      <w:szCs w:val="21"/>
                      <w:highlight w:val="none"/>
                    </w:rPr>
                  </w:pPr>
                  <w:r>
                    <w:rPr>
                      <w:color w:val="auto"/>
                      <w:szCs w:val="21"/>
                      <w:highlight w:val="none"/>
                    </w:rPr>
                    <w:t>1</w:t>
                  </w:r>
                </w:p>
              </w:tc>
            </w:tr>
            <w:tr w14:paraId="00DD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45" w:type="pct"/>
                  <w:tcBorders>
                    <w:top w:val="single" w:color="auto" w:sz="4" w:space="0"/>
                    <w:left w:val="single" w:color="auto" w:sz="4" w:space="0"/>
                    <w:bottom w:val="single" w:color="auto" w:sz="4" w:space="0"/>
                    <w:right w:val="single" w:color="auto" w:sz="4" w:space="0"/>
                  </w:tcBorders>
                  <w:vAlign w:val="center"/>
                </w:tcPr>
                <w:p w14:paraId="5340C7B2">
                  <w:pPr>
                    <w:jc w:val="center"/>
                    <w:rPr>
                      <w:color w:val="auto"/>
                      <w:szCs w:val="21"/>
                      <w:highlight w:val="none"/>
                    </w:rPr>
                  </w:pPr>
                  <w:r>
                    <w:rPr>
                      <w:color w:val="auto"/>
                      <w:szCs w:val="21"/>
                      <w:highlight w:val="none"/>
                    </w:rPr>
                    <w:t>9</w:t>
                  </w:r>
                </w:p>
              </w:tc>
              <w:tc>
                <w:tcPr>
                  <w:tcW w:w="1529" w:type="pct"/>
                  <w:tcBorders>
                    <w:top w:val="single" w:color="auto" w:sz="4" w:space="0"/>
                    <w:left w:val="single" w:color="auto" w:sz="4" w:space="0"/>
                    <w:bottom w:val="single" w:color="auto" w:sz="4" w:space="0"/>
                    <w:right w:val="single" w:color="auto" w:sz="4" w:space="0"/>
                  </w:tcBorders>
                  <w:vAlign w:val="center"/>
                </w:tcPr>
                <w:p w14:paraId="4E6D6FC3">
                  <w:pPr>
                    <w:jc w:val="center"/>
                    <w:rPr>
                      <w:color w:val="auto"/>
                      <w:szCs w:val="21"/>
                      <w:highlight w:val="none"/>
                    </w:rPr>
                  </w:pPr>
                  <w:r>
                    <w:rPr>
                      <w:color w:val="auto"/>
                      <w:szCs w:val="21"/>
                      <w:highlight w:val="none"/>
                    </w:rPr>
                    <w:t>振捣器</w:t>
                  </w:r>
                </w:p>
              </w:tc>
              <w:tc>
                <w:tcPr>
                  <w:tcW w:w="1412" w:type="pct"/>
                  <w:tcBorders>
                    <w:top w:val="single" w:color="auto" w:sz="4" w:space="0"/>
                    <w:left w:val="single" w:color="auto" w:sz="4" w:space="0"/>
                    <w:bottom w:val="single" w:color="auto" w:sz="4" w:space="0"/>
                    <w:right w:val="single" w:color="auto" w:sz="4" w:space="0"/>
                  </w:tcBorders>
                  <w:vAlign w:val="center"/>
                </w:tcPr>
                <w:p w14:paraId="70D30A4E">
                  <w:pPr>
                    <w:jc w:val="center"/>
                    <w:rPr>
                      <w:color w:val="auto"/>
                      <w:szCs w:val="21"/>
                      <w:highlight w:val="none"/>
                    </w:rPr>
                  </w:pPr>
                  <w:r>
                    <w:rPr>
                      <w:color w:val="auto"/>
                      <w:szCs w:val="21"/>
                      <w:highlight w:val="none"/>
                    </w:rPr>
                    <w:t>95</w:t>
                  </w:r>
                </w:p>
              </w:tc>
              <w:tc>
                <w:tcPr>
                  <w:tcW w:w="1412" w:type="pct"/>
                  <w:tcBorders>
                    <w:top w:val="single" w:color="auto" w:sz="4" w:space="0"/>
                    <w:left w:val="single" w:color="auto" w:sz="4" w:space="0"/>
                    <w:bottom w:val="single" w:color="auto" w:sz="4" w:space="0"/>
                    <w:right w:val="single" w:color="auto" w:sz="4" w:space="0"/>
                  </w:tcBorders>
                  <w:vAlign w:val="center"/>
                </w:tcPr>
                <w:p w14:paraId="39D0D463">
                  <w:pPr>
                    <w:jc w:val="center"/>
                    <w:rPr>
                      <w:color w:val="auto"/>
                      <w:szCs w:val="21"/>
                      <w:highlight w:val="none"/>
                    </w:rPr>
                  </w:pPr>
                  <w:r>
                    <w:rPr>
                      <w:color w:val="auto"/>
                      <w:szCs w:val="21"/>
                      <w:highlight w:val="none"/>
                    </w:rPr>
                    <w:t>1</w:t>
                  </w:r>
                </w:p>
              </w:tc>
            </w:tr>
            <w:tr w14:paraId="7DFA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45" w:type="pct"/>
                  <w:tcBorders>
                    <w:top w:val="single" w:color="auto" w:sz="4" w:space="0"/>
                    <w:left w:val="single" w:color="auto" w:sz="4" w:space="0"/>
                    <w:bottom w:val="single" w:color="auto" w:sz="4" w:space="0"/>
                    <w:right w:val="single" w:color="auto" w:sz="4" w:space="0"/>
                  </w:tcBorders>
                  <w:vAlign w:val="center"/>
                </w:tcPr>
                <w:p w14:paraId="5C91044F">
                  <w:pPr>
                    <w:jc w:val="center"/>
                    <w:rPr>
                      <w:color w:val="auto"/>
                      <w:szCs w:val="21"/>
                      <w:highlight w:val="none"/>
                    </w:rPr>
                  </w:pPr>
                  <w:r>
                    <w:rPr>
                      <w:color w:val="auto"/>
                      <w:szCs w:val="21"/>
                      <w:highlight w:val="none"/>
                    </w:rPr>
                    <w:t>10</w:t>
                  </w:r>
                </w:p>
              </w:tc>
              <w:tc>
                <w:tcPr>
                  <w:tcW w:w="1529" w:type="pct"/>
                  <w:tcBorders>
                    <w:top w:val="single" w:color="auto" w:sz="4" w:space="0"/>
                    <w:left w:val="single" w:color="auto" w:sz="4" w:space="0"/>
                    <w:bottom w:val="single" w:color="auto" w:sz="4" w:space="0"/>
                    <w:right w:val="single" w:color="auto" w:sz="4" w:space="0"/>
                  </w:tcBorders>
                  <w:vAlign w:val="center"/>
                </w:tcPr>
                <w:p w14:paraId="4E739A8A">
                  <w:pPr>
                    <w:jc w:val="center"/>
                    <w:rPr>
                      <w:color w:val="auto"/>
                      <w:szCs w:val="21"/>
                      <w:highlight w:val="none"/>
                    </w:rPr>
                  </w:pPr>
                  <w:r>
                    <w:rPr>
                      <w:color w:val="auto"/>
                      <w:szCs w:val="21"/>
                      <w:highlight w:val="none"/>
                    </w:rPr>
                    <w:t>汽车</w:t>
                  </w:r>
                </w:p>
              </w:tc>
              <w:tc>
                <w:tcPr>
                  <w:tcW w:w="1412" w:type="pct"/>
                  <w:tcBorders>
                    <w:top w:val="single" w:color="auto" w:sz="4" w:space="0"/>
                    <w:left w:val="single" w:color="auto" w:sz="4" w:space="0"/>
                    <w:bottom w:val="single" w:color="auto" w:sz="4" w:space="0"/>
                    <w:right w:val="single" w:color="auto" w:sz="4" w:space="0"/>
                  </w:tcBorders>
                  <w:vAlign w:val="center"/>
                </w:tcPr>
                <w:p w14:paraId="0101D8E7">
                  <w:pPr>
                    <w:jc w:val="center"/>
                    <w:rPr>
                      <w:color w:val="auto"/>
                      <w:szCs w:val="21"/>
                      <w:highlight w:val="none"/>
                    </w:rPr>
                  </w:pPr>
                  <w:r>
                    <w:rPr>
                      <w:color w:val="auto"/>
                      <w:szCs w:val="21"/>
                      <w:highlight w:val="none"/>
                    </w:rPr>
                    <w:t>75</w:t>
                  </w:r>
                </w:p>
              </w:tc>
              <w:tc>
                <w:tcPr>
                  <w:tcW w:w="1412" w:type="pct"/>
                  <w:tcBorders>
                    <w:top w:val="single" w:color="auto" w:sz="4" w:space="0"/>
                    <w:left w:val="single" w:color="auto" w:sz="4" w:space="0"/>
                    <w:bottom w:val="single" w:color="auto" w:sz="4" w:space="0"/>
                    <w:right w:val="single" w:color="auto" w:sz="4" w:space="0"/>
                  </w:tcBorders>
                  <w:vAlign w:val="center"/>
                </w:tcPr>
                <w:p w14:paraId="13D84015">
                  <w:pPr>
                    <w:jc w:val="center"/>
                    <w:rPr>
                      <w:color w:val="auto"/>
                      <w:szCs w:val="21"/>
                      <w:highlight w:val="none"/>
                    </w:rPr>
                  </w:pPr>
                  <w:r>
                    <w:rPr>
                      <w:color w:val="auto"/>
                      <w:szCs w:val="21"/>
                      <w:highlight w:val="none"/>
                    </w:rPr>
                    <w:t>1</w:t>
                  </w:r>
                </w:p>
              </w:tc>
            </w:tr>
          </w:tbl>
          <w:p w14:paraId="3F82ACBD">
            <w:pPr>
              <w:adjustRightInd w:val="0"/>
              <w:snapToGrid w:val="0"/>
              <w:spacing w:line="360" w:lineRule="auto"/>
              <w:ind w:firstLine="480" w:firstLineChars="200"/>
              <w:rPr>
                <w:color w:val="auto"/>
                <w:kern w:val="24"/>
                <w:sz w:val="24"/>
                <w:highlight w:val="none"/>
              </w:rPr>
            </w:pPr>
            <w:r>
              <w:rPr>
                <w:color w:val="auto"/>
                <w:kern w:val="24"/>
                <w:sz w:val="24"/>
                <w:highlight w:val="none"/>
              </w:rPr>
              <w:t>（4）固体废物</w:t>
            </w:r>
          </w:p>
          <w:p w14:paraId="2D365F6A">
            <w:pPr>
              <w:adjustRightInd w:val="0"/>
              <w:snapToGrid w:val="0"/>
              <w:spacing w:line="360" w:lineRule="auto"/>
              <w:ind w:firstLine="480" w:firstLineChars="200"/>
              <w:rPr>
                <w:color w:val="auto"/>
                <w:kern w:val="24"/>
                <w:sz w:val="24"/>
                <w:highlight w:val="none"/>
              </w:rPr>
            </w:pPr>
            <w:r>
              <w:rPr>
                <w:color w:val="auto"/>
                <w:kern w:val="24"/>
                <w:sz w:val="24"/>
                <w:highlight w:val="none"/>
              </w:rPr>
              <w:t>项目施工期固体废物主要来源于</w:t>
            </w:r>
            <w:r>
              <w:rPr>
                <w:rFonts w:hint="eastAsia"/>
                <w:color w:val="auto"/>
                <w:kern w:val="24"/>
                <w:sz w:val="24"/>
                <w:highlight w:val="none"/>
              </w:rPr>
              <w:t>基础建设过程中产生的</w:t>
            </w:r>
            <w:r>
              <w:rPr>
                <w:color w:val="auto"/>
                <w:kern w:val="24"/>
                <w:sz w:val="24"/>
                <w:highlight w:val="none"/>
              </w:rPr>
              <w:t>废弃土石方、施工建筑垃圾及施工人员生活垃圾。</w:t>
            </w:r>
          </w:p>
          <w:p w14:paraId="0D611B49">
            <w:pPr>
              <w:adjustRightInd w:val="0"/>
              <w:snapToGrid w:val="0"/>
              <w:spacing w:line="360" w:lineRule="auto"/>
              <w:ind w:firstLine="480" w:firstLineChars="200"/>
              <w:rPr>
                <w:color w:val="auto"/>
                <w:kern w:val="24"/>
                <w:sz w:val="24"/>
                <w:highlight w:val="none"/>
              </w:rPr>
            </w:pPr>
            <w:r>
              <w:rPr>
                <w:rFonts w:hint="eastAsia" w:ascii="宋体" w:hAnsi="宋体" w:cs="宋体"/>
                <w:color w:val="auto"/>
                <w:kern w:val="24"/>
                <w:sz w:val="24"/>
                <w:highlight w:val="none"/>
              </w:rPr>
              <w:t>①</w:t>
            </w:r>
            <w:r>
              <w:rPr>
                <w:color w:val="auto"/>
                <w:kern w:val="24"/>
                <w:sz w:val="24"/>
                <w:highlight w:val="none"/>
              </w:rPr>
              <w:t>废弃土石方</w:t>
            </w:r>
          </w:p>
          <w:p w14:paraId="6DE58324">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rPr>
              <w:t>根据现场勘察，项目用地较为平坦，</w:t>
            </w:r>
            <w:r>
              <w:rPr>
                <w:color w:val="auto"/>
                <w:kern w:val="24"/>
                <w:sz w:val="24"/>
                <w:highlight w:val="none"/>
              </w:rPr>
              <w:t>场地平整和基础开挖</w:t>
            </w:r>
            <w:r>
              <w:rPr>
                <w:rFonts w:hint="eastAsia"/>
                <w:color w:val="auto"/>
                <w:kern w:val="24"/>
                <w:sz w:val="24"/>
                <w:highlight w:val="none"/>
              </w:rPr>
              <w:t>过程中会产生少量的废弃土石方，</w:t>
            </w:r>
            <w:r>
              <w:rPr>
                <w:rFonts w:hint="eastAsia" w:cs="Times New Roman"/>
                <w:color w:val="auto"/>
                <w:sz w:val="24"/>
                <w:highlight w:val="none"/>
                <w:lang w:val="en-US" w:eastAsia="zh-CN"/>
              </w:rPr>
              <w:t>根据建设单位设计资料，本次项目全量化处理站过程中挖方量约400m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，集中收集运至</w:t>
            </w:r>
            <w:r>
              <w:rPr>
                <w:rFonts w:hint="eastAsia"/>
                <w:color w:val="auto"/>
                <w:kern w:val="24"/>
                <w:sz w:val="24"/>
                <w:highlight w:val="none"/>
                <w:lang w:val="en-US" w:eastAsia="zh-CN"/>
              </w:rPr>
              <w:t>一二期结合部位低洼处回填</w:t>
            </w:r>
            <w:r>
              <w:rPr>
                <w:rFonts w:hint="eastAsia" w:cs="Times New Roman"/>
                <w:color w:val="auto"/>
                <w:sz w:val="24"/>
                <w:highlight w:val="none"/>
                <w:lang w:val="en-US" w:eastAsia="zh-CN"/>
              </w:rPr>
              <w:t>处置。</w:t>
            </w:r>
          </w:p>
          <w:p w14:paraId="1CFB6BF9">
            <w:pPr>
              <w:adjustRightInd w:val="0"/>
              <w:snapToGrid w:val="0"/>
              <w:spacing w:line="360" w:lineRule="auto"/>
              <w:ind w:firstLine="480" w:firstLineChars="200"/>
              <w:rPr>
                <w:color w:val="auto"/>
                <w:kern w:val="24"/>
                <w:sz w:val="24"/>
                <w:highlight w:val="none"/>
              </w:rPr>
            </w:pPr>
            <w:r>
              <w:rPr>
                <w:rFonts w:hint="eastAsia" w:ascii="宋体" w:hAnsi="宋体" w:cs="宋体"/>
                <w:color w:val="auto"/>
                <w:kern w:val="24"/>
                <w:sz w:val="24"/>
                <w:highlight w:val="none"/>
              </w:rPr>
              <w:t>②</w:t>
            </w:r>
            <w:r>
              <w:rPr>
                <w:color w:val="auto"/>
                <w:kern w:val="24"/>
                <w:sz w:val="24"/>
                <w:highlight w:val="none"/>
              </w:rPr>
              <w:t>建筑垃圾</w:t>
            </w:r>
          </w:p>
          <w:p w14:paraId="1B93F78C">
            <w:pPr>
              <w:adjustRightInd w:val="0"/>
              <w:snapToGrid w:val="0"/>
              <w:spacing w:line="360" w:lineRule="auto"/>
              <w:ind w:firstLine="480" w:firstLineChars="200"/>
              <w:rPr>
                <w:color w:val="auto"/>
                <w:kern w:val="24"/>
                <w:sz w:val="24"/>
                <w:highlight w:val="none"/>
              </w:rPr>
            </w:pPr>
            <w:r>
              <w:rPr>
                <w:color w:val="auto"/>
                <w:kern w:val="24"/>
                <w:sz w:val="24"/>
                <w:highlight w:val="none"/>
              </w:rPr>
              <w:t>本项目建筑垃圾</w:t>
            </w:r>
            <w:r>
              <w:rPr>
                <w:rFonts w:hint="eastAsia"/>
                <w:color w:val="auto"/>
                <w:kern w:val="24"/>
                <w:sz w:val="24"/>
                <w:highlight w:val="none"/>
                <w:lang w:eastAsia="zh-CN"/>
              </w:rPr>
              <w:t>主要在</w:t>
            </w:r>
            <w:r>
              <w:rPr>
                <w:rFonts w:hint="eastAsia"/>
                <w:color w:val="auto"/>
                <w:kern w:val="24"/>
                <w:sz w:val="24"/>
                <w:highlight w:val="none"/>
                <w:lang w:val="en-US" w:eastAsia="zh-CN"/>
              </w:rPr>
              <w:t>原有处理设备及附属建筑物拆除</w:t>
            </w:r>
            <w:r>
              <w:rPr>
                <w:rFonts w:hint="eastAsia"/>
                <w:color w:val="auto"/>
                <w:kern w:val="24"/>
                <w:sz w:val="24"/>
                <w:highlight w:val="none"/>
                <w:lang w:eastAsia="zh-CN"/>
              </w:rPr>
              <w:t>、新建构筑物</w:t>
            </w:r>
            <w:r>
              <w:rPr>
                <w:color w:val="auto"/>
                <w:kern w:val="24"/>
                <w:sz w:val="24"/>
                <w:highlight w:val="none"/>
              </w:rPr>
              <w:t>建设过程</w:t>
            </w:r>
            <w:r>
              <w:rPr>
                <w:rFonts w:hint="eastAsia"/>
                <w:color w:val="auto"/>
                <w:kern w:val="24"/>
                <w:sz w:val="24"/>
                <w:highlight w:val="none"/>
                <w:lang w:eastAsia="zh-CN"/>
              </w:rPr>
              <w:t>中</w:t>
            </w:r>
            <w:r>
              <w:rPr>
                <w:color w:val="auto"/>
                <w:kern w:val="24"/>
                <w:sz w:val="24"/>
                <w:highlight w:val="none"/>
              </w:rPr>
              <w:t>产生，主要有施工过程中残余泄漏的混凝土、钢筋头、金属碎片、塑料碎片、砂石、废木料、废金属等杂物和废装饰材料等。建筑垃圾经分拣后可回收部分回收利用，不可回收部分要及时清运至</w:t>
            </w:r>
            <w:r>
              <w:rPr>
                <w:rFonts w:hint="eastAsia"/>
                <w:color w:val="auto"/>
                <w:kern w:val="24"/>
                <w:sz w:val="24"/>
                <w:highlight w:val="none"/>
                <w:lang w:eastAsia="zh-CN"/>
              </w:rPr>
              <w:t>管理</w:t>
            </w:r>
            <w:r>
              <w:rPr>
                <w:color w:val="auto"/>
                <w:kern w:val="24"/>
                <w:sz w:val="24"/>
                <w:highlight w:val="none"/>
              </w:rPr>
              <w:t>部门指定点堆放。</w:t>
            </w:r>
          </w:p>
          <w:p w14:paraId="388998E3">
            <w:pPr>
              <w:adjustRightInd w:val="0"/>
              <w:snapToGrid w:val="0"/>
              <w:spacing w:line="360" w:lineRule="auto"/>
              <w:ind w:firstLine="480" w:firstLineChars="200"/>
              <w:rPr>
                <w:color w:val="auto"/>
                <w:kern w:val="24"/>
                <w:sz w:val="24"/>
                <w:highlight w:val="none"/>
              </w:rPr>
            </w:pPr>
            <w:r>
              <w:rPr>
                <w:rFonts w:hint="eastAsia" w:ascii="宋体" w:hAnsi="宋体" w:cs="宋体"/>
                <w:color w:val="auto"/>
                <w:kern w:val="24"/>
                <w:sz w:val="24"/>
                <w:highlight w:val="none"/>
              </w:rPr>
              <w:t>③</w:t>
            </w:r>
            <w:r>
              <w:rPr>
                <w:color w:val="auto"/>
                <w:kern w:val="24"/>
                <w:sz w:val="24"/>
                <w:highlight w:val="none"/>
              </w:rPr>
              <w:t>生活垃圾</w:t>
            </w:r>
          </w:p>
          <w:p w14:paraId="506DA2BE">
            <w:pPr>
              <w:adjustRightInd w:val="0"/>
              <w:snapToGrid w:val="0"/>
              <w:spacing w:line="360" w:lineRule="auto"/>
              <w:ind w:firstLine="480" w:firstLineChars="200"/>
              <w:rPr>
                <w:color w:val="auto"/>
                <w:kern w:val="24"/>
                <w:sz w:val="24"/>
                <w:highlight w:val="none"/>
              </w:rPr>
            </w:pPr>
            <w:r>
              <w:rPr>
                <w:color w:val="auto"/>
                <w:kern w:val="24"/>
                <w:sz w:val="24"/>
                <w:highlight w:val="none"/>
              </w:rPr>
              <w:t>项目施工期生活垃圾产生量按0.</w:t>
            </w:r>
            <w:r>
              <w:rPr>
                <w:rFonts w:hint="eastAsia"/>
                <w:color w:val="auto"/>
                <w:kern w:val="24"/>
                <w:sz w:val="24"/>
                <w:highlight w:val="none"/>
              </w:rPr>
              <w:t>2</w:t>
            </w:r>
            <w:r>
              <w:rPr>
                <w:color w:val="auto"/>
                <w:kern w:val="24"/>
                <w:sz w:val="24"/>
                <w:highlight w:val="none"/>
              </w:rPr>
              <w:t>kg/人.d计，本项目高峰期施工人员约</w:t>
            </w:r>
            <w:r>
              <w:rPr>
                <w:rFonts w:hint="eastAsia"/>
                <w:color w:val="auto"/>
                <w:kern w:val="24"/>
                <w:sz w:val="24"/>
                <w:highlight w:val="none"/>
                <w:lang w:val="en-US" w:eastAsia="zh-CN"/>
              </w:rPr>
              <w:t>3</w:t>
            </w:r>
            <w:r>
              <w:rPr>
                <w:color w:val="auto"/>
                <w:kern w:val="24"/>
                <w:sz w:val="24"/>
                <w:highlight w:val="none"/>
              </w:rPr>
              <w:t>0人，施工期生活垃圾产生量为</w:t>
            </w:r>
            <w:r>
              <w:rPr>
                <w:rFonts w:hint="eastAsia"/>
                <w:color w:val="auto"/>
                <w:kern w:val="24"/>
                <w:sz w:val="24"/>
                <w:highlight w:val="none"/>
                <w:lang w:val="en-US" w:eastAsia="zh-CN"/>
              </w:rPr>
              <w:t>6</w:t>
            </w:r>
            <w:r>
              <w:rPr>
                <w:color w:val="auto"/>
                <w:kern w:val="24"/>
                <w:sz w:val="24"/>
                <w:highlight w:val="none"/>
              </w:rPr>
              <w:t>kg/d</w:t>
            </w:r>
            <w:r>
              <w:rPr>
                <w:rFonts w:hint="eastAsia"/>
                <w:color w:val="auto"/>
                <w:kern w:val="24"/>
                <w:sz w:val="24"/>
                <w:highlight w:val="none"/>
              </w:rPr>
              <w:t>，集中收集</w:t>
            </w:r>
            <w:r>
              <w:rPr>
                <w:rFonts w:hint="eastAsia"/>
                <w:color w:val="auto"/>
                <w:kern w:val="24"/>
                <w:sz w:val="24"/>
                <w:highlight w:val="none"/>
                <w:lang w:val="en-US" w:eastAsia="zh-CN"/>
              </w:rPr>
              <w:t>后运至二期填埋区回填</w:t>
            </w:r>
            <w:r>
              <w:rPr>
                <w:rFonts w:hint="eastAsia"/>
                <w:color w:val="auto"/>
                <w:kern w:val="24"/>
                <w:sz w:val="24"/>
                <w:highlight w:val="none"/>
              </w:rPr>
              <w:t>处置</w:t>
            </w:r>
            <w:r>
              <w:rPr>
                <w:color w:val="auto"/>
                <w:kern w:val="24"/>
                <w:sz w:val="24"/>
                <w:highlight w:val="none"/>
              </w:rPr>
              <w:t>。</w:t>
            </w:r>
          </w:p>
          <w:p w14:paraId="0DB0FF75">
            <w:pPr>
              <w:spacing w:line="360" w:lineRule="auto"/>
              <w:ind w:firstLine="480" w:firstLineChars="200"/>
              <w:rPr>
                <w:rFonts w:hint="eastAsia"/>
                <w:b w:val="0"/>
                <w:bCs w:val="0"/>
                <w:color w:val="auto"/>
                <w:sz w:val="24"/>
                <w:szCs w:val="24"/>
                <w:highlight w:val="none"/>
                <w:lang w:val="zh-CN" w:eastAsia="zh-CN"/>
              </w:rPr>
            </w:pPr>
            <w:r>
              <w:rPr>
                <w:rFonts w:hint="eastAsia"/>
                <w:b w:val="0"/>
                <w:bCs w:val="0"/>
                <w:color w:val="auto"/>
                <w:sz w:val="24"/>
                <w:szCs w:val="24"/>
                <w:highlight w:val="none"/>
                <w:lang w:val="zh-CN" w:eastAsia="zh-CN"/>
              </w:rPr>
              <w:t>（</w:t>
            </w:r>
            <w:r>
              <w:rPr>
                <w:rFonts w:hint="eastAsia"/>
                <w:b w:val="0"/>
                <w:bCs w:val="0"/>
                <w:color w:val="auto"/>
                <w:sz w:val="24"/>
                <w:szCs w:val="24"/>
                <w:highlight w:val="none"/>
                <w:lang w:val="en-US" w:eastAsia="zh-CN"/>
              </w:rPr>
              <w:t>5</w:t>
            </w:r>
            <w:r>
              <w:rPr>
                <w:rFonts w:hint="eastAsia"/>
                <w:b w:val="0"/>
                <w:bCs w:val="0"/>
                <w:color w:val="auto"/>
                <w:sz w:val="24"/>
                <w:szCs w:val="24"/>
                <w:highlight w:val="none"/>
                <w:lang w:val="zh-CN" w:eastAsia="zh-CN"/>
              </w:rPr>
              <w:t>）施工期“三场”影响分析</w:t>
            </w:r>
          </w:p>
          <w:p w14:paraId="2B9AD340">
            <w:pPr>
              <w:spacing w:line="360" w:lineRule="auto"/>
              <w:ind w:firstLine="480" w:firstLineChars="200"/>
              <w:rPr>
                <w:rFonts w:hint="eastAsia"/>
                <w:b w:val="0"/>
                <w:bCs w:val="0"/>
                <w:color w:val="auto"/>
                <w:sz w:val="24"/>
                <w:szCs w:val="24"/>
                <w:highlight w:val="none"/>
                <w:lang w:val="zh-CN" w:eastAsia="zh-CN"/>
              </w:rPr>
            </w:pPr>
            <w:r>
              <w:rPr>
                <w:rFonts w:hint="eastAsia"/>
                <w:b w:val="0"/>
                <w:bCs w:val="0"/>
                <w:color w:val="auto"/>
                <w:sz w:val="24"/>
                <w:szCs w:val="24"/>
                <w:highlight w:val="none"/>
                <w:lang w:val="zh-CN"/>
              </w:rPr>
              <w:t>根据建设单位提供信息，项目区场地内不设置施工营场地、原料堆场、表土堆场及弃渣场。</w:t>
            </w:r>
            <w:r>
              <w:rPr>
                <w:rFonts w:hint="eastAsia"/>
                <w:b w:val="0"/>
                <w:bCs w:val="0"/>
                <w:color w:val="auto"/>
                <w:sz w:val="24"/>
                <w:szCs w:val="24"/>
                <w:highlight w:val="none"/>
                <w:lang w:val="en-US" w:eastAsia="zh-CN"/>
              </w:rPr>
              <w:t>项目施工过程中产生的废弃土石方均</w:t>
            </w:r>
            <w:r>
              <w:rPr>
                <w:rFonts w:hint="eastAsia" w:cs="Times New Roman"/>
                <w:color w:val="auto"/>
                <w:sz w:val="24"/>
                <w:highlight w:val="none"/>
                <w:lang w:val="en-US" w:eastAsia="zh-CN"/>
              </w:rPr>
              <w:t>运至</w:t>
            </w:r>
            <w:r>
              <w:rPr>
                <w:rFonts w:hint="eastAsia"/>
                <w:color w:val="auto"/>
                <w:kern w:val="24"/>
                <w:sz w:val="24"/>
                <w:highlight w:val="none"/>
                <w:lang w:val="en-US" w:eastAsia="zh-CN"/>
              </w:rPr>
              <w:t>一二期结合部位低洼处回填</w:t>
            </w:r>
            <w:r>
              <w:rPr>
                <w:rFonts w:hint="eastAsia" w:cs="Times New Roman"/>
                <w:color w:val="auto"/>
                <w:sz w:val="24"/>
                <w:highlight w:val="none"/>
                <w:lang w:val="en-US" w:eastAsia="zh-CN"/>
              </w:rPr>
              <w:t>处置</w:t>
            </w:r>
            <w:r>
              <w:rPr>
                <w:rFonts w:hint="eastAsia"/>
                <w:b w:val="0"/>
                <w:bCs w:val="0"/>
                <w:color w:val="auto"/>
                <w:sz w:val="24"/>
                <w:szCs w:val="24"/>
                <w:highlight w:val="none"/>
                <w:lang w:val="en-US" w:eastAsia="zh-CN"/>
              </w:rPr>
              <w:t>，不设置弃土渣场</w:t>
            </w:r>
            <w:r>
              <w:rPr>
                <w:rFonts w:hint="eastAsia"/>
                <w:b w:val="0"/>
                <w:bCs w:val="0"/>
                <w:color w:val="auto"/>
                <w:sz w:val="24"/>
                <w:szCs w:val="24"/>
                <w:highlight w:val="none"/>
                <w:lang w:val="zh-CN" w:eastAsia="zh-CN"/>
              </w:rPr>
              <w:t>。</w:t>
            </w:r>
            <w:r>
              <w:rPr>
                <w:rFonts w:hint="eastAsia"/>
                <w:b w:val="0"/>
                <w:bCs w:val="0"/>
                <w:color w:val="auto"/>
                <w:sz w:val="24"/>
                <w:szCs w:val="24"/>
                <w:highlight w:val="none"/>
                <w:lang w:val="zh-CN"/>
              </w:rPr>
              <w:t>项目在施工期间在采取相关措施后对环境影响不大，且随施工期的结束，其影响也随之消失</w:t>
            </w:r>
            <w:r>
              <w:rPr>
                <w:rFonts w:hint="eastAsia"/>
                <w:b w:val="0"/>
                <w:bCs w:val="0"/>
                <w:color w:val="auto"/>
                <w:sz w:val="24"/>
                <w:szCs w:val="24"/>
                <w:highlight w:val="none"/>
                <w:lang w:val="zh-CN" w:eastAsia="zh-CN"/>
              </w:rPr>
              <w:t>。</w:t>
            </w:r>
          </w:p>
          <w:p w14:paraId="0C8866CE">
            <w:pPr>
              <w:spacing w:line="360" w:lineRule="auto"/>
              <w:ind w:firstLine="482" w:firstLineChars="200"/>
              <w:rPr>
                <w:b/>
                <w:bCs/>
                <w:color w:val="auto"/>
                <w:sz w:val="24"/>
                <w:szCs w:val="24"/>
                <w:highlight w:val="none"/>
                <w:lang w:val="zh-CN"/>
              </w:rPr>
            </w:pPr>
            <w:r>
              <w:rPr>
                <w:rFonts w:hint="eastAsia"/>
                <w:b/>
                <w:bCs/>
                <w:color w:val="auto"/>
                <w:sz w:val="24"/>
                <w:szCs w:val="24"/>
                <w:highlight w:val="none"/>
                <w:lang w:val="zh-CN"/>
              </w:rPr>
              <w:t>二、</w:t>
            </w:r>
            <w:r>
              <w:rPr>
                <w:b/>
                <w:bCs/>
                <w:color w:val="auto"/>
                <w:sz w:val="24"/>
                <w:szCs w:val="24"/>
                <w:highlight w:val="none"/>
              </w:rPr>
              <w:t>运营期</w:t>
            </w:r>
          </w:p>
          <w:p w14:paraId="0115C545">
            <w:pPr>
              <w:adjustRightInd w:val="0"/>
              <w:snapToGrid w:val="0"/>
              <w:spacing w:line="360" w:lineRule="auto"/>
              <w:ind w:firstLine="480" w:firstLineChars="200"/>
              <w:rPr>
                <w:rFonts w:hint="eastAsia" w:cs="Times New Roman"/>
                <w:color w:val="auto"/>
                <w:kern w:val="24"/>
                <w:sz w:val="24"/>
                <w:highlight w:val="none"/>
                <w:lang w:val="en-US" w:eastAsia="zh-CN"/>
              </w:rPr>
            </w:pPr>
            <w:r>
              <w:rPr>
                <w:rFonts w:hint="eastAsia" w:cs="Times New Roman"/>
                <w:color w:val="auto"/>
                <w:kern w:val="24"/>
                <w:sz w:val="24"/>
                <w:highlight w:val="none"/>
                <w:lang w:val="en-US" w:eastAsia="zh-CN"/>
              </w:rPr>
              <w:t>大山</w:t>
            </w:r>
            <w:r>
              <w:rPr>
                <w:rFonts w:hint="default" w:ascii="Times New Roman" w:hAnsi="Times New Roman" w:eastAsia="宋体" w:cs="Times New Roman"/>
                <w:color w:val="auto"/>
                <w:kern w:val="24"/>
                <w:sz w:val="24"/>
                <w:highlight w:val="none"/>
                <w:lang w:val="en-US" w:eastAsia="zh-CN"/>
              </w:rPr>
              <w:t>生活垃圾填埋场渗滤液全量化处理站处理能力为50吨/天，采用“预处理+两级DTRO+低温真空蒸发+固化”工艺。原水采用“预处理+两级DTRO”工艺，两级DTRO浓缩液采用“低温真空蒸发+固化”工艺</w:t>
            </w:r>
            <w:r>
              <w:rPr>
                <w:rFonts w:hint="eastAsia" w:cs="Times New Roman"/>
                <w:color w:val="auto"/>
                <w:kern w:val="24"/>
                <w:sz w:val="24"/>
                <w:highlight w:val="none"/>
                <w:lang w:val="en-US" w:eastAsia="zh-CN"/>
              </w:rPr>
              <w:t>。</w:t>
            </w:r>
          </w:p>
          <w:p w14:paraId="2961E0A0">
            <w:pPr>
              <w:adjustRightInd w:val="0"/>
              <w:snapToGrid w:val="0"/>
              <w:spacing w:line="360" w:lineRule="auto"/>
              <w:ind w:firstLine="480" w:firstLineChars="200"/>
              <w:rPr>
                <w:rFonts w:hint="eastAsia" w:cs="Times New Roman"/>
                <w:color w:val="auto"/>
                <w:kern w:val="24"/>
                <w:sz w:val="24"/>
                <w:highlight w:val="none"/>
                <w:lang w:val="en-US" w:eastAsia="zh-CN"/>
              </w:rPr>
            </w:pPr>
          </w:p>
          <w:p w14:paraId="65C2ECFF">
            <w:pPr>
              <w:adjustRightInd w:val="0"/>
              <w:snapToGrid w:val="0"/>
              <w:spacing w:line="360" w:lineRule="auto"/>
              <w:ind w:firstLine="480" w:firstLineChars="200"/>
              <w:rPr>
                <w:rFonts w:hint="eastAsia" w:cs="Times New Roman"/>
                <w:color w:val="auto"/>
                <w:kern w:val="24"/>
                <w:sz w:val="24"/>
                <w:highlight w:val="none"/>
                <w:lang w:val="en-US" w:eastAsia="zh-CN"/>
              </w:rPr>
            </w:pPr>
          </w:p>
          <w:p w14:paraId="6C2123EE">
            <w:pPr>
              <w:adjustRightInd w:val="0"/>
              <w:snapToGrid w:val="0"/>
              <w:spacing w:line="36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object>
                <v:shape id="_x0000_i1028" o:spt="75" type="#_x0000_t75" style="height:406.7pt;width:413.25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14:paraId="39720FF9">
            <w:pPr>
              <w:adjustRightInd w:val="0"/>
              <w:snapToGrid w:val="0"/>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b/>
                <w:bCs/>
                <w:color w:val="auto"/>
                <w:sz w:val="21"/>
                <w:szCs w:val="21"/>
                <w:highlight w:val="none"/>
              </w:rPr>
              <w:t>图</w:t>
            </w:r>
            <w:r>
              <w:rPr>
                <w:rFonts w:hint="default"/>
                <w:b/>
                <w:bCs/>
                <w:color w:val="auto"/>
                <w:sz w:val="21"/>
                <w:szCs w:val="21"/>
                <w:highlight w:val="none"/>
                <w:lang w:val="en-US" w:eastAsia="zh-CN"/>
              </w:rPr>
              <w:t>2-</w:t>
            </w:r>
            <w:r>
              <w:rPr>
                <w:rFonts w:hint="eastAsia"/>
                <w:b/>
                <w:bCs/>
                <w:color w:val="auto"/>
                <w:sz w:val="21"/>
                <w:szCs w:val="21"/>
                <w:highlight w:val="none"/>
                <w:lang w:val="en-US" w:eastAsia="zh-CN"/>
              </w:rPr>
              <w:t xml:space="preserve">5 </w:t>
            </w:r>
            <w:r>
              <w:rPr>
                <w:rFonts w:hint="default"/>
                <w:b/>
                <w:bCs/>
                <w:color w:val="auto"/>
                <w:sz w:val="21"/>
                <w:szCs w:val="21"/>
                <w:highlight w:val="none"/>
              </w:rPr>
              <w:t xml:space="preserve"> </w:t>
            </w:r>
            <w:r>
              <w:rPr>
                <w:rFonts w:hint="eastAsia"/>
                <w:b/>
                <w:bCs/>
                <w:color w:val="auto"/>
                <w:sz w:val="21"/>
                <w:szCs w:val="21"/>
                <w:highlight w:val="none"/>
                <w:lang w:eastAsia="zh-CN"/>
              </w:rPr>
              <w:t>项目</w:t>
            </w:r>
            <w:r>
              <w:rPr>
                <w:rFonts w:hint="eastAsia"/>
                <w:b/>
                <w:bCs/>
                <w:color w:val="auto"/>
                <w:sz w:val="21"/>
                <w:szCs w:val="21"/>
                <w:highlight w:val="none"/>
                <w:lang w:val="en-US" w:eastAsia="zh-CN"/>
              </w:rPr>
              <w:t>全量化处理站</w:t>
            </w:r>
            <w:r>
              <w:rPr>
                <w:rFonts w:hint="default"/>
                <w:b/>
                <w:bCs/>
                <w:color w:val="auto"/>
                <w:sz w:val="21"/>
                <w:szCs w:val="21"/>
                <w:highlight w:val="none"/>
              </w:rPr>
              <w:t>工艺流程图</w:t>
            </w:r>
          </w:p>
          <w:p w14:paraId="7817ACE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cs="Times New Roman"/>
                <w:b/>
                <w:bCs/>
                <w:color w:val="auto"/>
                <w:kern w:val="24"/>
                <w:sz w:val="24"/>
                <w:highlight w:val="none"/>
                <w:lang w:val="en-US" w:eastAsia="zh-CN"/>
              </w:rPr>
            </w:pPr>
            <w:r>
              <w:rPr>
                <w:rFonts w:hint="eastAsia" w:cs="Times New Roman"/>
                <w:b/>
                <w:bCs/>
                <w:color w:val="auto"/>
                <w:kern w:val="24"/>
                <w:sz w:val="24"/>
                <w:highlight w:val="none"/>
                <w:lang w:val="en-US" w:eastAsia="zh-CN"/>
              </w:rPr>
              <w:t>工艺流程简述：</w:t>
            </w:r>
          </w:p>
          <w:p w14:paraId="739735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kern w:val="24"/>
                <w:sz w:val="24"/>
                <w:highlight w:val="none"/>
                <w:lang w:val="en-US" w:eastAsia="zh-CN"/>
              </w:rPr>
            </w:pPr>
            <w:r>
              <w:rPr>
                <w:rFonts w:hint="eastAsia" w:cs="Times New Roman"/>
                <w:color w:val="auto"/>
                <w:kern w:val="24"/>
                <w:sz w:val="24"/>
                <w:highlight w:val="none"/>
                <w:lang w:val="en-US" w:eastAsia="zh-CN"/>
              </w:rPr>
              <w:t xml:space="preserve">填埋场渗滤液原液经调节池收集后经过预处理后直接进入两级DTRO系统，DTRO浓缩液进入低温真空蒸发系统进行全量化处理，冷凝水回流至DTRO系统前端原水罐，进行混合均质后进入DTRO系统二次处理，蒸发母液采用固化设备固化后委托具有资质的单位进行处置。 </w:t>
            </w:r>
          </w:p>
          <w:p w14:paraId="2EBAF6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kern w:val="24"/>
                <w:sz w:val="24"/>
                <w:highlight w:val="none"/>
                <w:lang w:val="en-US" w:eastAsia="zh-CN"/>
              </w:rPr>
            </w:pPr>
            <w:r>
              <w:rPr>
                <w:rFonts w:hint="eastAsia" w:cs="Times New Roman"/>
                <w:color w:val="auto"/>
                <w:kern w:val="24"/>
                <w:sz w:val="24"/>
                <w:highlight w:val="none"/>
                <w:lang w:val="en-US" w:eastAsia="zh-CN"/>
              </w:rPr>
              <w:t xml:space="preserve">低温真空蒸发冷凝水水质较差，无法达到排放标准，因此设计冷凝水与原液混合进DTRO再处理，DTRO产水后端采用脱气作为出水保障单元，最终出水水质稳定达到《城镇污水处理厂污染物排放标准》（GB18918-2002）中一级A标排放标准及《城市污水再生利用 城市杂用水水质》（GB/T18920-2020）中城市绿化水质标准。 </w:t>
            </w:r>
          </w:p>
          <w:p w14:paraId="1C3592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kern w:val="24"/>
                <w:sz w:val="24"/>
                <w:highlight w:val="none"/>
                <w:lang w:val="en-US" w:eastAsia="zh-CN"/>
              </w:rPr>
            </w:pPr>
            <w:r>
              <w:rPr>
                <w:rFonts w:hint="eastAsia" w:cs="Times New Roman"/>
                <w:color w:val="auto"/>
                <w:kern w:val="24"/>
                <w:sz w:val="24"/>
                <w:highlight w:val="none"/>
                <w:lang w:val="en-US" w:eastAsia="zh-CN"/>
              </w:rPr>
              <w:t>渗滤液中氨氮经过两级DTRO膜过滤，截留至浓缩液侧，浓缩液经低温蒸发形成高浓度母液，绝大部分氨氮在母液端经过固化螯合工艺以尾渣形式排出，少部分氨氮存在于蒸发冷凝水侧，再排入产水保障单元（二级DTRO+阳离子交换树脂）处置，确保产水氨氮稳定达标。</w:t>
            </w:r>
          </w:p>
          <w:p w14:paraId="21BC70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kern w:val="24"/>
                <w:sz w:val="24"/>
                <w:highlight w:val="none"/>
                <w:lang w:val="en-US" w:eastAsia="zh-CN"/>
              </w:rPr>
            </w:pPr>
            <w:r>
              <w:rPr>
                <w:rFonts w:hint="eastAsia" w:cs="Times New Roman"/>
                <w:color w:val="auto"/>
                <w:kern w:val="24"/>
                <w:sz w:val="24"/>
                <w:highlight w:val="none"/>
                <w:lang w:val="en-US" w:eastAsia="zh-CN"/>
              </w:rPr>
              <w:t>本项目全量化处理站主要分为5个处理单元：预处理单元、两级DTRO单元、蒸发单元、固化单元、喷淋单元。</w:t>
            </w:r>
          </w:p>
          <w:p w14:paraId="69977EF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cs="Times New Roman"/>
                <w:b/>
                <w:bCs/>
                <w:color w:val="auto"/>
                <w:kern w:val="24"/>
                <w:sz w:val="24"/>
                <w:highlight w:val="none"/>
                <w:lang w:val="en-US" w:eastAsia="zh-CN"/>
              </w:rPr>
            </w:pPr>
            <w:r>
              <w:rPr>
                <w:rFonts w:hint="eastAsia" w:cs="Times New Roman"/>
                <w:b/>
                <w:bCs/>
                <w:color w:val="auto"/>
                <w:kern w:val="24"/>
                <w:sz w:val="24"/>
                <w:highlight w:val="none"/>
                <w:lang w:val="en-US" w:eastAsia="zh-CN"/>
              </w:rPr>
              <w:t>（1）预处理单元</w:t>
            </w:r>
          </w:p>
          <w:p w14:paraId="201841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 xml:space="preserve">渗滤液原液组成成份复杂，存在各种钙、镁、钡、硅等种难溶盐，这些难溶无机盐进入反渗透系统后被高倍浓缩，当其浓度超过该条件下的溶解度时将会在膜表面产生结垢现象。而调节原水pH值能有效防止碳酸盐类无机盐的结垢，故在进入反渗透前须对原水进行pH值调节。 </w:t>
            </w:r>
          </w:p>
          <w:p w14:paraId="7B745F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渗滤液进入原水罐的同时，从酸储罐添加酸调节pH值。系统原液储罐回流管路设pH值传感器，PLC判断原水pH值并自动调节计量泵的频率以调整加酸量，最终使进入反渗透前的原液pH值达到6.1-6.5。如果原水pH在此范围内则不需要加酸调节。</w:t>
            </w:r>
          </w:p>
          <w:p w14:paraId="7A7F22A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kern w:val="24"/>
                <w:sz w:val="24"/>
                <w:highlight w:val="none"/>
                <w:lang w:val="en-US" w:eastAsia="zh-CN"/>
              </w:rPr>
            </w:pPr>
            <w:r>
              <w:rPr>
                <w:rFonts w:hint="eastAsia" w:ascii="Times New Roman" w:hAnsi="Times New Roman" w:eastAsia="宋体" w:cs="Times New Roman"/>
                <w:b/>
                <w:bCs/>
                <w:color w:val="auto"/>
                <w:kern w:val="24"/>
                <w:sz w:val="24"/>
                <w:highlight w:val="none"/>
                <w:lang w:val="en-US" w:eastAsia="zh-CN"/>
              </w:rPr>
              <w:t>（2）</w:t>
            </w:r>
            <w:r>
              <w:rPr>
                <w:rFonts w:hint="eastAsia" w:cs="Times New Roman"/>
                <w:b/>
                <w:bCs/>
                <w:color w:val="auto"/>
                <w:kern w:val="24"/>
                <w:sz w:val="24"/>
                <w:highlight w:val="none"/>
                <w:lang w:val="en-US" w:eastAsia="zh-CN"/>
              </w:rPr>
              <w:t>两级DTRO单元</w:t>
            </w:r>
          </w:p>
          <w:p w14:paraId="63F192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 xml:space="preserve">①砂滤 </w:t>
            </w:r>
          </w:p>
          <w:p w14:paraId="01EB31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本项目处理渗滤液为填埋场存量垃圾渗滤液，可能存在垃圾渗滤液SS含量较高的特点，方案设计对来水进行预处理，去除渗滤液中大部分的SS，确保DTRO膜系统的稳定运行。预处理主要采用“砂滤”工艺。</w:t>
            </w:r>
          </w:p>
          <w:p w14:paraId="447F5E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 xml:space="preserve">②两级DTRO </w:t>
            </w:r>
          </w:p>
          <w:p w14:paraId="2DD6BD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由于项目水质污染物浓度高，为确保污染物的有效截留，设计采用两级DTRO对原水进行处理。经过去除SS预处理后的存量渗滤液经提升泵提升至两级DTRO集成设备，依次进入芯式过滤器、增压泵、循环泵、膜元件，由于高压泵流量不足以向膜柱直接供水，所以通过在线泵将膜柱出口一部分浓缩液回流至在线泵入口以保证膜表面足够的流量和流速，避免膜污染。在线泵流出的高压力及高流量水直接进入膜柱。膜柱组出水分为两部分——浓缩液和透过液，浓缩液端有一个压力调节阀，用于控制膜组内的压力，以产生必要的净水回收率，清液进入二级DTRO系统进一步处理，二级清液根据出水水质是否达标判断是否进入后续出水保障单元，浓缩液回流至一级DTRO系统，保障清液得率。</w:t>
            </w:r>
          </w:p>
          <w:p w14:paraId="1FEC4DF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24"/>
                <w:sz w:val="24"/>
                <w:highlight w:val="none"/>
                <w:lang w:val="en-US" w:eastAsia="zh-CN"/>
              </w:rPr>
            </w:pPr>
            <w:r>
              <w:rPr>
                <w:rFonts w:hint="eastAsia" w:ascii="Times New Roman" w:hAnsi="Times New Roman" w:eastAsia="宋体" w:cs="Times New Roman"/>
                <w:b/>
                <w:bCs/>
                <w:color w:val="auto"/>
                <w:kern w:val="24"/>
                <w:sz w:val="24"/>
                <w:highlight w:val="none"/>
                <w:lang w:val="en-US" w:eastAsia="zh-CN"/>
              </w:rPr>
              <w:t>（3）蒸发单元</w:t>
            </w:r>
          </w:p>
          <w:p w14:paraId="75CA16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（1）水工艺系统</w:t>
            </w:r>
          </w:p>
          <w:p w14:paraId="06BB11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流程：负压进料→盘管换热→沸腾产生蒸汽→冷凝室换热冷凝→冷凝水外排→后续工艺</w:t>
            </w:r>
          </w:p>
          <w:p w14:paraId="131941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 xml:space="preserve">经过调酸后的料液（pH值5.0-6.0左右）由于负压作用被吸入蒸发室，蒸发室盘管内为经压缩机压缩后的高温高压气态制冷剂，料液与盘管内的气态制冷剂进行换热升温，当料液达到30-36℃后沸腾，蒸汽逸出液面进入冷凝室，蒸汽与低压制冷剂进行换热，蒸汽冷凝成液态后排出。蒸发室外设一循环泵对料液进行强制循环搅拌，当料液浓度达到设定值时排出。                  </w:t>
            </w:r>
          </w:p>
          <w:p w14:paraId="5335E8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cs="Times New Roman"/>
                <w:color w:val="auto"/>
                <w:kern w:val="24"/>
                <w:sz w:val="24"/>
                <w:highlight w:val="none"/>
                <w:lang w:val="en-US" w:eastAsia="zh-CN"/>
              </w:rPr>
              <w:t>（2）</w:t>
            </w:r>
            <w:r>
              <w:rPr>
                <w:rFonts w:hint="eastAsia" w:ascii="Times New Roman" w:hAnsi="Times New Roman" w:eastAsia="宋体" w:cs="Times New Roman"/>
                <w:color w:val="auto"/>
                <w:kern w:val="24"/>
                <w:sz w:val="24"/>
                <w:highlight w:val="none"/>
                <w:lang w:val="en-US" w:eastAsia="zh-CN"/>
              </w:rPr>
              <w:t>制冷系统</w:t>
            </w:r>
          </w:p>
          <w:p w14:paraId="05C629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流程：气态</w:t>
            </w:r>
            <w:r>
              <w:rPr>
                <w:rFonts w:hint="eastAsia" w:cs="Times New Roman"/>
                <w:color w:val="auto"/>
                <w:kern w:val="24"/>
                <w:sz w:val="24"/>
                <w:highlight w:val="none"/>
                <w:lang w:val="en-US" w:eastAsia="zh-CN"/>
              </w:rPr>
              <w:t>制冷剂R134a</w:t>
            </w:r>
            <w:r>
              <w:rPr>
                <w:rFonts w:hint="eastAsia" w:ascii="Times New Roman" w:hAnsi="Times New Roman" w:eastAsia="宋体" w:cs="Times New Roman"/>
                <w:color w:val="auto"/>
                <w:kern w:val="24"/>
                <w:sz w:val="24"/>
                <w:highlight w:val="none"/>
                <w:lang w:val="en-US" w:eastAsia="zh-CN"/>
              </w:rPr>
              <w:t>→压缩机→盘管换热→散热器</w:t>
            </w:r>
            <w:r>
              <w:rPr>
                <w:rFonts w:hint="eastAsia" w:cs="Times New Roman"/>
                <w:color w:val="auto"/>
                <w:kern w:val="24"/>
                <w:sz w:val="24"/>
                <w:highlight w:val="none"/>
                <w:lang w:val="en-US" w:eastAsia="zh-CN"/>
              </w:rPr>
              <w:t>（采用风冷）</w:t>
            </w:r>
            <w:r>
              <w:rPr>
                <w:rFonts w:hint="eastAsia" w:ascii="Times New Roman" w:hAnsi="Times New Roman" w:eastAsia="宋体" w:cs="Times New Roman"/>
                <w:color w:val="auto"/>
                <w:kern w:val="24"/>
                <w:sz w:val="24"/>
                <w:highlight w:val="none"/>
                <w:lang w:val="en-US" w:eastAsia="zh-CN"/>
              </w:rPr>
              <w:t>→节流装置→冷凝室换热→气态</w:t>
            </w:r>
            <w:r>
              <w:rPr>
                <w:rFonts w:hint="eastAsia" w:cs="Times New Roman"/>
                <w:color w:val="auto"/>
                <w:kern w:val="24"/>
                <w:sz w:val="24"/>
                <w:highlight w:val="none"/>
                <w:lang w:val="en-US" w:eastAsia="zh-CN"/>
              </w:rPr>
              <w:t>制冷剂R134a。</w:t>
            </w:r>
          </w:p>
          <w:p w14:paraId="2E4394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该系统为制冷剂的循环流动系统，冷凝室出口处的气态制冷剂经压缩机加压升温后，在蒸发室内盘管内与料液进行换热，为确保制冷剂的制冷能力，盘管出口设置散热器</w:t>
            </w:r>
            <w:r>
              <w:rPr>
                <w:rFonts w:hint="eastAsia" w:cs="Times New Roman"/>
                <w:color w:val="auto"/>
                <w:kern w:val="24"/>
                <w:sz w:val="24"/>
                <w:highlight w:val="none"/>
                <w:lang w:val="en-US" w:eastAsia="zh-CN"/>
              </w:rPr>
              <w:t>（采用风冷）</w:t>
            </w:r>
            <w:r>
              <w:rPr>
                <w:rFonts w:hint="eastAsia" w:ascii="Times New Roman" w:hAnsi="Times New Roman" w:eastAsia="宋体" w:cs="Times New Roman"/>
                <w:color w:val="auto"/>
                <w:kern w:val="24"/>
                <w:sz w:val="24"/>
                <w:highlight w:val="none"/>
                <w:lang w:val="en-US" w:eastAsia="zh-CN"/>
              </w:rPr>
              <w:t>对制冷剂进行进一步降温成液态，再由节流装置进行节流降压，降压后制冷剂进入冷凝室与蒸汽进行换热，蒸汽被冷凝，制冷剂由液态加热变为气态后再次循环进入压缩机，继续下一循环过程。</w:t>
            </w:r>
          </w:p>
          <w:p w14:paraId="1924F5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cs="Times New Roman"/>
                <w:color w:val="auto"/>
                <w:kern w:val="24"/>
                <w:sz w:val="24"/>
                <w:highlight w:val="none"/>
                <w:lang w:val="en-US" w:eastAsia="zh-CN"/>
              </w:rPr>
              <w:t>（3）</w:t>
            </w:r>
            <w:r>
              <w:rPr>
                <w:rFonts w:hint="eastAsia" w:ascii="Times New Roman" w:hAnsi="Times New Roman" w:eastAsia="宋体" w:cs="Times New Roman"/>
                <w:color w:val="auto"/>
                <w:kern w:val="24"/>
                <w:sz w:val="24"/>
                <w:highlight w:val="none"/>
                <w:lang w:val="en-US" w:eastAsia="zh-CN"/>
              </w:rPr>
              <w:t>抽真空系统</w:t>
            </w:r>
          </w:p>
          <w:p w14:paraId="2A4A16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抽真空系统主要由水环真空泵及相应的工作水箱等组成，主要作用就是将设备抽至工作负压（绝压5-6kpa）并且在设备工作过程中维持负压阀气化后给蒸气制冷，蒸气上升遇冷液化进入储水罐。如果在蒸发的过程中有气泡上升，传感器检测到后，消泡剂自动加进去消泡，一个周期完成后，开始排出浓缩液。（一个周期的时间可设定）。</w:t>
            </w:r>
          </w:p>
          <w:p w14:paraId="3EB390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（4）蒸馏出水收集</w:t>
            </w:r>
          </w:p>
          <w:p w14:paraId="517FB0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收集</w:t>
            </w:r>
            <w:r>
              <w:rPr>
                <w:rFonts w:hint="eastAsia" w:cs="Times New Roman"/>
                <w:color w:val="auto"/>
                <w:kern w:val="24"/>
                <w:sz w:val="24"/>
                <w:highlight w:val="none"/>
                <w:lang w:val="en-US" w:eastAsia="zh-CN"/>
              </w:rPr>
              <w:t>的</w:t>
            </w:r>
            <w:r>
              <w:rPr>
                <w:rFonts w:hint="eastAsia" w:ascii="Times New Roman" w:hAnsi="Times New Roman" w:eastAsia="宋体" w:cs="Times New Roman"/>
                <w:color w:val="auto"/>
                <w:kern w:val="24"/>
                <w:sz w:val="24"/>
                <w:highlight w:val="none"/>
                <w:lang w:val="en-US" w:eastAsia="zh-CN"/>
              </w:rPr>
              <w:t>蒸馏</w:t>
            </w:r>
            <w:r>
              <w:rPr>
                <w:rFonts w:hint="eastAsia" w:cs="Times New Roman"/>
                <w:color w:val="auto"/>
                <w:kern w:val="24"/>
                <w:sz w:val="24"/>
                <w:highlight w:val="none"/>
                <w:lang w:val="en-US" w:eastAsia="zh-CN"/>
              </w:rPr>
              <w:t>水</w:t>
            </w:r>
            <w:r>
              <w:rPr>
                <w:rFonts w:hint="eastAsia" w:ascii="Times New Roman" w:hAnsi="Times New Roman" w:eastAsia="宋体" w:cs="Times New Roman"/>
                <w:color w:val="auto"/>
                <w:kern w:val="24"/>
                <w:sz w:val="24"/>
                <w:highlight w:val="none"/>
                <w:lang w:val="en-US" w:eastAsia="zh-CN"/>
              </w:rPr>
              <w:t>，根据水质情况过膜处理后达标排放</w:t>
            </w:r>
            <w:r>
              <w:rPr>
                <w:rFonts w:hint="eastAsia" w:cs="Times New Roman"/>
                <w:color w:val="auto"/>
                <w:kern w:val="24"/>
                <w:sz w:val="24"/>
                <w:highlight w:val="none"/>
                <w:lang w:val="en-US" w:eastAsia="zh-CN"/>
              </w:rPr>
              <w:t>。</w:t>
            </w:r>
          </w:p>
          <w:p w14:paraId="41B6D8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（5）浓液收集</w:t>
            </w:r>
          </w:p>
          <w:p w14:paraId="1C7B9D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一个周期完成后，浓缩液通过气动泵排出</w:t>
            </w:r>
            <w:r>
              <w:rPr>
                <w:rFonts w:hint="eastAsia" w:cs="Times New Roman"/>
                <w:color w:val="auto"/>
                <w:kern w:val="24"/>
                <w:sz w:val="24"/>
                <w:highlight w:val="none"/>
                <w:lang w:val="en-US" w:eastAsia="zh-CN"/>
              </w:rPr>
              <w:t>浓缩母液</w:t>
            </w:r>
            <w:r>
              <w:rPr>
                <w:rFonts w:hint="eastAsia" w:ascii="Times New Roman" w:hAnsi="Times New Roman" w:eastAsia="宋体" w:cs="Times New Roman"/>
                <w:color w:val="auto"/>
                <w:kern w:val="24"/>
                <w:sz w:val="24"/>
                <w:highlight w:val="none"/>
                <w:lang w:val="en-US" w:eastAsia="zh-CN"/>
              </w:rPr>
              <w:t>。</w:t>
            </w:r>
            <w:r>
              <w:rPr>
                <w:rFonts w:hint="eastAsia" w:cs="Times New Roman"/>
                <w:color w:val="auto"/>
                <w:kern w:val="24"/>
                <w:sz w:val="24"/>
                <w:highlight w:val="none"/>
                <w:lang w:val="en-US" w:eastAsia="zh-CN"/>
              </w:rPr>
              <w:t>浓缩母液仍为液态的高盐、高浓度有机废水，主要含氯化钠、硫酸钠等盐分和COD、重金属等，在正常工艺条件下，始终保持液态，不会自行固化。</w:t>
            </w:r>
            <w:r>
              <w:rPr>
                <w:rFonts w:hint="eastAsia" w:ascii="Times New Roman" w:hAnsi="Times New Roman" w:eastAsia="宋体" w:cs="Times New Roman"/>
                <w:color w:val="auto"/>
                <w:kern w:val="24"/>
                <w:sz w:val="24"/>
                <w:highlight w:val="none"/>
                <w:lang w:val="en-US" w:eastAsia="zh-CN"/>
              </w:rPr>
              <w:t>此过程为全自动，无需人工。</w:t>
            </w:r>
          </w:p>
          <w:p w14:paraId="1289995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i w:val="0"/>
                <w:iCs w:val="0"/>
                <w:color w:val="auto"/>
                <w:kern w:val="24"/>
                <w:sz w:val="24"/>
                <w:highlight w:val="none"/>
                <w:lang w:val="en-US" w:eastAsia="zh-CN"/>
              </w:rPr>
            </w:pPr>
            <w:r>
              <w:rPr>
                <w:rFonts w:hint="eastAsia" w:ascii="Times New Roman" w:hAnsi="Times New Roman" w:eastAsia="宋体" w:cs="Times New Roman"/>
                <w:b/>
                <w:bCs/>
                <w:i w:val="0"/>
                <w:iCs w:val="0"/>
                <w:color w:val="auto"/>
                <w:kern w:val="24"/>
                <w:sz w:val="24"/>
                <w:highlight w:val="none"/>
                <w:lang w:val="en-US" w:eastAsia="zh-CN"/>
              </w:rPr>
              <w:t>（4）固化单元</w:t>
            </w:r>
          </w:p>
          <w:p w14:paraId="0A3BA9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 xml:space="preserve">固化是将惰性基材与废物充分混合，并形成结构完成、具有一定尺寸和机械强度的块状结构的过程，稳定化是利用药剂与废物有害成分间的相互作用改变其形态或化学组成，从而降低废物中有害成分的溶解性、迁移性，最终实现降低废物环境危害性的目的。固化过程中往往伴随着稳定化过程一同发生，因此称为固化稳定化技术。 </w:t>
            </w:r>
          </w:p>
          <w:p w14:paraId="132A59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蒸发的浓缩母液泵入混合搅拌机，同时固化剂（水泥、粉煤灰）由固化剂仓</w:t>
            </w:r>
            <w:r>
              <w:rPr>
                <w:rFonts w:hint="eastAsia" w:cs="Times New Roman"/>
                <w:color w:val="auto"/>
                <w:kern w:val="24"/>
                <w:sz w:val="24"/>
                <w:highlight w:val="none"/>
                <w:lang w:val="en-US" w:eastAsia="zh-CN"/>
              </w:rPr>
              <w:t>通过密闭管道</w:t>
            </w:r>
            <w:r>
              <w:rPr>
                <w:rFonts w:hint="eastAsia" w:ascii="Times New Roman" w:hAnsi="Times New Roman" w:eastAsia="宋体" w:cs="Times New Roman"/>
                <w:color w:val="auto"/>
                <w:kern w:val="24"/>
                <w:sz w:val="24"/>
                <w:highlight w:val="none"/>
                <w:lang w:val="en-US" w:eastAsia="zh-CN"/>
              </w:rPr>
              <w:t>输送至混合搅拌机。在混合搅拌机中浓缩液与固化剂（水泥、粉煤灰）充分混合搅拌，调整固化剂的比例，使凝固时间最短且具有一定的抗压强度、药剂使用量最少、残渣浸出率最小。混合搅拌一般为5~10分钟</w:t>
            </w:r>
            <w:r>
              <w:rPr>
                <w:rFonts w:hint="eastAsia" w:cs="Times New Roman"/>
                <w:color w:val="auto"/>
                <w:kern w:val="24"/>
                <w:sz w:val="24"/>
                <w:highlight w:val="none"/>
                <w:lang w:val="en-US" w:eastAsia="zh-CN"/>
              </w:rPr>
              <w:t>，</w:t>
            </w:r>
            <w:r>
              <w:rPr>
                <w:rFonts w:hint="eastAsia" w:ascii="Times New Roman" w:hAnsi="Times New Roman" w:eastAsia="宋体" w:cs="Times New Roman"/>
                <w:color w:val="auto"/>
                <w:kern w:val="24"/>
                <w:sz w:val="24"/>
                <w:highlight w:val="none"/>
                <w:lang w:val="en-US" w:eastAsia="zh-CN"/>
              </w:rPr>
              <w:t>充分混合后装袋待后续处置</w:t>
            </w:r>
            <w:r>
              <w:rPr>
                <w:rFonts w:hint="eastAsia" w:cs="Times New Roman"/>
                <w:color w:val="auto"/>
                <w:kern w:val="24"/>
                <w:sz w:val="24"/>
                <w:highlight w:val="none"/>
                <w:lang w:val="en-US" w:eastAsia="zh-CN"/>
              </w:rPr>
              <w:t>，</w:t>
            </w:r>
            <w:r>
              <w:rPr>
                <w:rFonts w:hint="eastAsia" w:ascii="Times New Roman" w:hAnsi="Times New Roman" w:eastAsia="宋体" w:cs="Times New Roman"/>
                <w:color w:val="auto"/>
                <w:kern w:val="24"/>
                <w:sz w:val="24"/>
                <w:highlight w:val="none"/>
                <w:lang w:val="en-US" w:eastAsia="zh-CN"/>
              </w:rPr>
              <w:t>固化后的产物吨袋打包，防水防渗且方便运输。</w:t>
            </w:r>
          </w:p>
          <w:p w14:paraId="582FBB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eastAsia="宋体" w:cs="Times New Roman"/>
                <w:color w:val="auto"/>
                <w:kern w:val="24"/>
                <w:sz w:val="24"/>
                <w:highlight w:val="none"/>
                <w:lang w:val="en-US" w:eastAsia="zh-CN"/>
              </w:rPr>
              <w:t>蒸发固化处理尾渣经螯合固化后</w:t>
            </w:r>
            <w:r>
              <w:rPr>
                <w:rFonts w:hint="eastAsia" w:cs="Times New Roman"/>
                <w:color w:val="auto"/>
                <w:kern w:val="24"/>
                <w:sz w:val="24"/>
                <w:highlight w:val="none"/>
                <w:lang w:val="en-US" w:eastAsia="zh-CN"/>
              </w:rPr>
              <w:t>暂存于</w:t>
            </w:r>
            <w:r>
              <w:rPr>
                <w:rFonts w:hint="eastAsia" w:cs="Times New Roman"/>
                <w:b w:val="0"/>
                <w:bCs w:val="0"/>
                <w:color w:val="auto"/>
                <w:sz w:val="24"/>
                <w:highlight w:val="none"/>
                <w:lang w:val="en-US" w:eastAsia="zh-CN"/>
              </w:rPr>
              <w:t>固化渣暂存间内，建筑面积87.04m</w:t>
            </w:r>
            <w:r>
              <w:rPr>
                <w:rFonts w:hint="eastAsia" w:cs="Times New Roman"/>
                <w:b w:val="0"/>
                <w:bCs w:val="0"/>
                <w:color w:val="auto"/>
                <w:sz w:val="24"/>
                <w:highlight w:val="none"/>
                <w:vertAlign w:val="superscript"/>
                <w:lang w:val="en-US" w:eastAsia="zh-CN"/>
              </w:rPr>
              <w:t>2</w:t>
            </w:r>
            <w:r>
              <w:rPr>
                <w:rFonts w:hint="eastAsia" w:cs="Times New Roman"/>
                <w:b w:val="0"/>
                <w:bCs w:val="0"/>
                <w:color w:val="auto"/>
                <w:sz w:val="24"/>
                <w:highlight w:val="none"/>
                <w:lang w:val="en-US" w:eastAsia="zh-CN"/>
              </w:rPr>
              <w:t>，最大储存量约100t。</w:t>
            </w:r>
            <w:r>
              <w:rPr>
                <w:rFonts w:hint="eastAsia"/>
                <w:color w:val="auto"/>
                <w:kern w:val="24"/>
                <w:sz w:val="24"/>
                <w:highlight w:val="none"/>
              </w:rPr>
              <w:t>待全量化处理设施运行后</w:t>
            </w:r>
            <w:r>
              <w:rPr>
                <w:rFonts w:hint="eastAsia"/>
                <w:color w:val="auto"/>
                <w:kern w:val="24"/>
                <w:sz w:val="24"/>
                <w:highlight w:val="none"/>
                <w:lang w:eastAsia="zh-CN"/>
              </w:rPr>
              <w:t>，</w:t>
            </w:r>
            <w:r>
              <w:rPr>
                <w:rFonts w:hint="eastAsia"/>
                <w:color w:val="auto"/>
                <w:kern w:val="24"/>
                <w:sz w:val="24"/>
                <w:highlight w:val="none"/>
                <w:lang w:val="en-US" w:eastAsia="zh-CN"/>
              </w:rPr>
              <w:t>建设单应</w:t>
            </w:r>
            <w:r>
              <w:rPr>
                <w:rFonts w:hint="eastAsia"/>
                <w:color w:val="auto"/>
                <w:kern w:val="24"/>
                <w:sz w:val="24"/>
                <w:highlight w:val="none"/>
              </w:rPr>
              <w:t>对固化渣进行固废属性鉴定</w:t>
            </w:r>
            <w:r>
              <w:rPr>
                <w:rFonts w:hint="eastAsia"/>
                <w:color w:val="auto"/>
                <w:kern w:val="24"/>
                <w:sz w:val="24"/>
                <w:highlight w:val="none"/>
                <w:lang w:eastAsia="zh-CN"/>
              </w:rPr>
              <w:t>，</w:t>
            </w:r>
            <w:r>
              <w:rPr>
                <w:rFonts w:hint="eastAsia"/>
                <w:color w:val="auto"/>
                <w:kern w:val="24"/>
                <w:sz w:val="24"/>
                <w:highlight w:val="none"/>
              </w:rPr>
              <w:t>经鉴定若为一般固体废物，满足《一般工业固体废物贮存和填埋污染控制标准》（GB18599-2020）</w:t>
            </w:r>
            <w:r>
              <w:rPr>
                <w:rFonts w:hint="eastAsia"/>
                <w:color w:val="auto"/>
                <w:kern w:val="24"/>
                <w:sz w:val="24"/>
                <w:highlight w:val="none"/>
                <w:lang w:eastAsia="zh-CN"/>
              </w:rPr>
              <w:t>、《</w:t>
            </w:r>
            <w:r>
              <w:rPr>
                <w:rFonts w:hint="eastAsia"/>
                <w:color w:val="auto"/>
                <w:kern w:val="24"/>
                <w:sz w:val="24"/>
                <w:highlight w:val="none"/>
                <w:lang w:val="en-US" w:eastAsia="zh-CN"/>
              </w:rPr>
              <w:t>生活垃圾填埋场污染控制标准</w:t>
            </w:r>
            <w:r>
              <w:rPr>
                <w:rFonts w:hint="eastAsia"/>
                <w:color w:val="auto"/>
                <w:kern w:val="24"/>
                <w:sz w:val="24"/>
                <w:highlight w:val="none"/>
                <w:lang w:eastAsia="zh-CN"/>
              </w:rPr>
              <w:t>》（</w:t>
            </w:r>
            <w:r>
              <w:rPr>
                <w:rFonts w:hint="eastAsia"/>
                <w:color w:val="auto"/>
                <w:kern w:val="24"/>
                <w:sz w:val="24"/>
                <w:highlight w:val="none"/>
                <w:lang w:val="en-US" w:eastAsia="zh-CN"/>
              </w:rPr>
              <w:t>GB16889-2024</w:t>
            </w:r>
            <w:r>
              <w:rPr>
                <w:rFonts w:hint="eastAsia"/>
                <w:color w:val="auto"/>
                <w:kern w:val="24"/>
                <w:sz w:val="24"/>
                <w:highlight w:val="none"/>
                <w:lang w:eastAsia="zh-CN"/>
              </w:rPr>
              <w:t>）</w:t>
            </w:r>
            <w:r>
              <w:rPr>
                <w:rFonts w:hint="eastAsia"/>
                <w:color w:val="auto"/>
                <w:kern w:val="24"/>
                <w:sz w:val="24"/>
                <w:highlight w:val="none"/>
              </w:rPr>
              <w:t>中填埋入场标准后进行填埋处置；若鉴定为危险废物则暂存于厂区固化渣暂存间内，及时委托有资质的单位进行处置</w:t>
            </w:r>
            <w:r>
              <w:rPr>
                <w:rFonts w:hint="eastAsia" w:ascii="Times New Roman" w:hAnsi="Times New Roman" w:eastAsia="宋体" w:cs="Times New Roman"/>
                <w:color w:val="auto"/>
                <w:kern w:val="24"/>
                <w:sz w:val="24"/>
                <w:highlight w:val="none"/>
                <w:lang w:val="en-US" w:eastAsia="zh-CN"/>
              </w:rPr>
              <w:t>。</w:t>
            </w:r>
          </w:p>
          <w:p w14:paraId="24DA0D9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24"/>
                <w:sz w:val="24"/>
                <w:highlight w:val="none"/>
                <w:lang w:val="en-US" w:eastAsia="zh-CN"/>
              </w:rPr>
            </w:pPr>
            <w:r>
              <w:rPr>
                <w:rFonts w:hint="eastAsia" w:ascii="Times New Roman" w:hAnsi="Times New Roman" w:eastAsia="宋体" w:cs="Times New Roman"/>
                <w:b/>
                <w:bCs/>
                <w:color w:val="auto"/>
                <w:kern w:val="24"/>
                <w:sz w:val="24"/>
                <w:highlight w:val="none"/>
                <w:lang w:val="en-US" w:eastAsia="zh-CN"/>
              </w:rPr>
              <w:t>（5）恶臭喷淋单元</w:t>
            </w:r>
          </w:p>
          <w:p w14:paraId="0C15CD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24"/>
                <w:sz w:val="24"/>
                <w:highlight w:val="none"/>
                <w:lang w:val="en-US" w:eastAsia="zh-CN"/>
              </w:rPr>
            </w:pPr>
            <w:r>
              <w:rPr>
                <w:rFonts w:hint="eastAsia" w:ascii="Times New Roman" w:hAnsi="Times New Roman" w:eastAsia="宋体" w:cs="Times New Roman"/>
                <w:b w:val="0"/>
                <w:bCs w:val="0"/>
                <w:color w:val="auto"/>
                <w:kern w:val="24"/>
                <w:sz w:val="24"/>
                <w:highlight w:val="none"/>
                <w:lang w:val="en-US" w:eastAsia="zh-CN"/>
              </w:rPr>
              <w:t>渗滤液成分复杂，</w:t>
            </w:r>
            <w:r>
              <w:rPr>
                <w:rFonts w:hint="eastAsia" w:cs="Times New Roman"/>
                <w:b w:val="0"/>
                <w:bCs w:val="0"/>
                <w:color w:val="auto"/>
                <w:kern w:val="24"/>
                <w:sz w:val="24"/>
                <w:highlight w:val="none"/>
                <w:lang w:val="en-US" w:eastAsia="zh-CN"/>
              </w:rPr>
              <w:t>全量化处理</w:t>
            </w:r>
            <w:r>
              <w:rPr>
                <w:rFonts w:hint="eastAsia" w:ascii="Times New Roman" w:hAnsi="Times New Roman" w:eastAsia="宋体" w:cs="Times New Roman"/>
                <w:b w:val="0"/>
                <w:bCs w:val="0"/>
                <w:color w:val="auto"/>
                <w:kern w:val="24"/>
                <w:sz w:val="24"/>
                <w:highlight w:val="none"/>
                <w:lang w:val="en-US" w:eastAsia="zh-CN"/>
              </w:rPr>
              <w:t>设备在处理污水的过程中，不可避免的会释放出少量原本溶解在渗滤液原水里面的气体，这些废气主要成份是氨、硫化氢（H</w:t>
            </w:r>
            <w:r>
              <w:rPr>
                <w:rFonts w:hint="eastAsia" w:ascii="Times New Roman" w:hAnsi="Times New Roman" w:eastAsia="宋体" w:cs="Times New Roman"/>
                <w:b w:val="0"/>
                <w:bCs w:val="0"/>
                <w:color w:val="auto"/>
                <w:kern w:val="24"/>
                <w:sz w:val="24"/>
                <w:highlight w:val="none"/>
                <w:vertAlign w:val="subscript"/>
                <w:lang w:val="en-US" w:eastAsia="zh-CN"/>
              </w:rPr>
              <w:t>2</w:t>
            </w:r>
            <w:r>
              <w:rPr>
                <w:rFonts w:hint="eastAsia" w:ascii="Times New Roman" w:hAnsi="Times New Roman" w:eastAsia="宋体" w:cs="Times New Roman"/>
                <w:b w:val="0"/>
                <w:bCs w:val="0"/>
                <w:color w:val="auto"/>
                <w:kern w:val="24"/>
                <w:sz w:val="24"/>
                <w:highlight w:val="none"/>
                <w:lang w:val="en-US" w:eastAsia="zh-CN"/>
              </w:rPr>
              <w:t>S）等物质，其感官体现为综合性恶臭异味。</w:t>
            </w:r>
          </w:p>
          <w:p w14:paraId="7989F1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24"/>
                <w:sz w:val="24"/>
                <w:highlight w:val="none"/>
                <w:lang w:val="en-US" w:eastAsia="zh-CN"/>
              </w:rPr>
            </w:pPr>
            <w:r>
              <w:rPr>
                <w:rFonts w:hint="eastAsia" w:ascii="Times New Roman" w:hAnsi="Times New Roman" w:eastAsia="宋体" w:cs="Times New Roman"/>
                <w:b w:val="0"/>
                <w:bCs w:val="0"/>
                <w:color w:val="auto"/>
                <w:kern w:val="24"/>
                <w:sz w:val="24"/>
                <w:highlight w:val="none"/>
                <w:lang w:val="en-US" w:eastAsia="zh-CN"/>
              </w:rPr>
              <w:t>本项目设计采用</w:t>
            </w:r>
            <w:r>
              <w:rPr>
                <w:rFonts w:hint="eastAsia" w:cs="Times New Roman"/>
                <w:b w:val="0"/>
                <w:bCs w:val="0"/>
                <w:color w:val="auto"/>
                <w:kern w:val="24"/>
                <w:sz w:val="24"/>
                <w:highlight w:val="none"/>
                <w:lang w:val="en-US" w:eastAsia="zh-CN"/>
              </w:rPr>
              <w:t>一套</w:t>
            </w:r>
            <w:r>
              <w:rPr>
                <w:rFonts w:hint="eastAsia" w:ascii="Times New Roman" w:hAnsi="Times New Roman" w:eastAsia="宋体" w:cs="Times New Roman"/>
                <w:b w:val="0"/>
                <w:bCs w:val="0"/>
                <w:color w:val="auto"/>
                <w:kern w:val="24"/>
                <w:sz w:val="24"/>
                <w:highlight w:val="none"/>
                <w:lang w:val="en-US" w:eastAsia="zh-CN"/>
              </w:rPr>
              <w:t>化学洗涤设备对恶臭气体进行处理。化学洗涤设备用来处理有腐蚀性或毒性的可溶性气体、液滴或者是微粒的空气污染防治设备。废气由风管引入洗涤塔后，流经填充层时，碱液</w:t>
            </w:r>
            <w:r>
              <w:rPr>
                <w:rFonts w:hint="eastAsia" w:cs="Times New Roman"/>
                <w:b w:val="0"/>
                <w:bCs w:val="0"/>
                <w:color w:val="auto"/>
                <w:kern w:val="24"/>
                <w:sz w:val="24"/>
                <w:highlight w:val="none"/>
                <w:lang w:val="en-US" w:eastAsia="zh-CN"/>
              </w:rPr>
              <w:t>（NaOH）</w:t>
            </w:r>
            <w:r>
              <w:rPr>
                <w:rFonts w:hint="eastAsia" w:ascii="Times New Roman" w:hAnsi="Times New Roman" w:eastAsia="宋体" w:cs="Times New Roman"/>
                <w:b w:val="0"/>
                <w:bCs w:val="0"/>
                <w:color w:val="auto"/>
                <w:kern w:val="24"/>
                <w:sz w:val="24"/>
                <w:highlight w:val="none"/>
                <w:lang w:val="en-US" w:eastAsia="zh-CN"/>
              </w:rPr>
              <w:t xml:space="preserve">自喷嘴均匀喷洒在填料表面以保持湿润；同时废气与碱液在充分湿润的填料表面相互接触，在化学吸收作用下，将废气中的硫化氢吸收在洗涤液中，达到去除酸性污染物的目的。然后，气流经过除雾器移除夹杂的水汽由风机排入大气。吸收液在塔底经水泵增压后在塔顶喷淋而下，最后回流至塔底循环使用。 </w:t>
            </w:r>
          </w:p>
          <w:p w14:paraId="4E7298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24"/>
                <w:sz w:val="24"/>
                <w:highlight w:val="none"/>
                <w:lang w:val="en-US" w:eastAsia="zh-CN"/>
              </w:rPr>
            </w:pPr>
            <w:r>
              <w:rPr>
                <w:rFonts w:hint="eastAsia" w:ascii="Times New Roman" w:hAnsi="Times New Roman" w:eastAsia="宋体" w:cs="Times New Roman"/>
                <w:b w:val="0"/>
                <w:bCs w:val="0"/>
                <w:color w:val="auto"/>
                <w:kern w:val="24"/>
                <w:sz w:val="24"/>
                <w:highlight w:val="none"/>
                <w:lang w:val="en-US" w:eastAsia="zh-CN"/>
              </w:rPr>
              <w:t>本项目系统内臭气经收集，并经过配套臭气处理设备处理后达标排放。喷淋废液排入渗滤液全量化系统前端，与渗滤液混合处置。</w:t>
            </w:r>
          </w:p>
        </w:tc>
      </w:tr>
      <w:tr w14:paraId="6D8B2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4" w:type="dxa"/>
            <w:vAlign w:val="center"/>
          </w:tcPr>
          <w:p w14:paraId="714ED9C4">
            <w:pPr>
              <w:pStyle w:val="27"/>
              <w:adjustRightInd w:val="0"/>
              <w:snapToGrid w:val="0"/>
              <w:spacing w:before="0" w:beforeAutospacing="0" w:after="0" w:afterAutospacing="0"/>
              <w:jc w:val="center"/>
              <w:rPr>
                <w:rFonts w:ascii="Times New Roman" w:hAnsi="Times New Roman"/>
                <w:color w:val="auto"/>
                <w:szCs w:val="24"/>
                <w:highlight w:val="none"/>
              </w:rPr>
            </w:pPr>
            <w:r>
              <w:rPr>
                <w:rFonts w:ascii="Times New Roman"/>
                <w:bCs/>
                <w:color w:val="auto"/>
                <w:kern w:val="2"/>
                <w:szCs w:val="24"/>
                <w:highlight w:val="none"/>
              </w:rPr>
              <w:t>与项目有关的原有环境污染问题</w:t>
            </w:r>
          </w:p>
        </w:tc>
        <w:tc>
          <w:tcPr>
            <w:tcW w:w="8634" w:type="dxa"/>
          </w:tcPr>
          <w:p w14:paraId="31B304E0">
            <w:pPr>
              <w:adjustRightInd w:val="0"/>
              <w:snapToGrid w:val="0"/>
              <w:spacing w:line="360" w:lineRule="auto"/>
              <w:ind w:firstLine="480"/>
              <w:rPr>
                <w:b/>
                <w:bCs/>
                <w:color w:val="auto"/>
                <w:kern w:val="0"/>
                <w:sz w:val="24"/>
                <w:highlight w:val="none"/>
              </w:rPr>
            </w:pPr>
            <w:r>
              <w:rPr>
                <w:b/>
                <w:bCs/>
                <w:color w:val="auto"/>
                <w:kern w:val="0"/>
                <w:sz w:val="24"/>
                <w:highlight w:val="none"/>
              </w:rPr>
              <w:t>一、</w:t>
            </w:r>
            <w:r>
              <w:rPr>
                <w:rFonts w:ascii="Times New Roman" w:hAnsi="Times New Roman" w:cs="Times New Roman"/>
                <w:b/>
                <w:color w:val="auto"/>
                <w:kern w:val="24"/>
                <w:sz w:val="24"/>
                <w:highlight w:val="none"/>
              </w:rPr>
              <w:t>现有</w:t>
            </w:r>
            <w:r>
              <w:rPr>
                <w:rFonts w:hint="eastAsia" w:ascii="Times New Roman" w:hAnsi="Times New Roman" w:cs="Times New Roman"/>
                <w:b/>
                <w:color w:val="auto"/>
                <w:kern w:val="24"/>
                <w:sz w:val="24"/>
                <w:highlight w:val="none"/>
              </w:rPr>
              <w:t>项目</w:t>
            </w:r>
            <w:r>
              <w:rPr>
                <w:rFonts w:ascii="Times New Roman" w:hAnsi="Times New Roman" w:cs="Times New Roman"/>
                <w:b/>
                <w:color w:val="auto"/>
                <w:kern w:val="24"/>
                <w:sz w:val="24"/>
                <w:highlight w:val="none"/>
              </w:rPr>
              <w:t>履行环保手续情况</w:t>
            </w:r>
          </w:p>
          <w:p w14:paraId="0C71C3A9">
            <w:pPr>
              <w:pStyle w:val="100"/>
              <w:snapToGrid w:val="0"/>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澄江县九村镇大山垃圾填埋场位于澄江县九村镇双水塘，地理坐标为东经103°00'26"，北纬 24°41'28"，海拔2000m，承载着澄江市各镇（街道）生活垃圾的填埋处理</w:t>
            </w:r>
            <w:r>
              <w:rPr>
                <w:rFonts w:hint="eastAsia" w:cs="Times New Roman"/>
                <w:color w:val="auto"/>
                <w:sz w:val="24"/>
                <w:szCs w:val="24"/>
                <w:highlight w:val="none"/>
                <w:lang w:val="en-US" w:eastAsia="zh-CN"/>
              </w:rPr>
              <w:t>。</w:t>
            </w:r>
          </w:p>
          <w:p w14:paraId="427A6450">
            <w:pPr>
              <w:pStyle w:val="10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于1999年5月取得《关于澄江县垃圾填埋场可行性研究报告（代项目建议书）的批复》（玉市计[1999]46号），并与同年7月取得《关于澄江县城市垃圾生态化填埋处理场初步设计的批复》（玉市环复[1999]2号），批复设计规模近期50td，远期100t/d，概算总投资在300万元以内。填埋场设计属于简易型填埋场，占地面积约91亩，长约450米，宽约300米，建成于1999年，1999年建设方委托玉溪市环科院编制项目环境影响报告表，并取得玉溪市环保局审批意见，同意项目建设。</w:t>
            </w:r>
          </w:p>
          <w:p w14:paraId="545BFF7F">
            <w:pPr>
              <w:pStyle w:val="10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2016年8月，该填埋场的运营管理单位由原来的凤麓街道环卫站变更为垃圾焚烧处理中心。运行期间，澄江县垃圾焚烧处理中心于2017年11月委托云南湖柏环保科技有限公司编制了《澄江县九村镇大山垃圾填埋场项目现状环境评价报告》，根据现状评价报告，澄江县九村镇大山垃圾填埋场作为澄江县城市生活垃圾焚烧厂一期配套公辅工程将通过ppp模式移交给澄江博世科环境工程有限公司管理。移交期间填埋场建有1座A</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/O渗滤液处理站。</w:t>
            </w:r>
          </w:p>
          <w:p w14:paraId="64538D44">
            <w:pPr>
              <w:pStyle w:val="10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2018年，为解决澄江县垃圾焚烧厂一期工程设备能耗高，产能低，运行不稳定，焚烧厂尾气排放在线检测指标处于超标状态等问题，澄江市人民政府组织提出了焚烧厂改扩建工程应急处理工程方案，在紧邻大山填埋场的北侧进行了应急填埋场的建设，应急填埋场设计库容约12万m³，占地约32亩，应急填埋场工程纳入了《澄江县农村生活污水处理及人居环境提升工程》范围，该工程于2020年10月23日取得了《玉溪市生态环境局澄江分局关于澄江县农村生活污水处理及人居环境提升工程环境影响报告书的批复》（澄环审</w:t>
            </w:r>
            <w:r>
              <w:rPr>
                <w:color w:val="auto"/>
                <w:highlight w:val="none"/>
                <w:lang w:bidi="ar"/>
              </w:rPr>
              <w:t>〔</w:t>
            </w:r>
            <w:r>
              <w:rPr>
                <w:rFonts w:hint="default" w:ascii="Times New Roman" w:hAnsi="Times New Roman" w:cs="Times New Roman"/>
                <w:color w:val="auto"/>
                <w:sz w:val="24"/>
                <w:szCs w:val="24"/>
                <w:highlight w:val="none"/>
                <w:lang w:val="en-US" w:eastAsia="zh-CN"/>
              </w:rPr>
              <w:t>2020</w:t>
            </w:r>
            <w:r>
              <w:rPr>
                <w:color w:val="auto"/>
                <w:highlight w:val="none"/>
                <w:lang w:bidi="ar"/>
              </w:rPr>
              <w:t>〕</w:t>
            </w:r>
            <w:r>
              <w:rPr>
                <w:rFonts w:hint="default" w:ascii="Times New Roman" w:hAnsi="Times New Roman" w:cs="Times New Roman"/>
                <w:color w:val="auto"/>
                <w:sz w:val="24"/>
                <w:szCs w:val="24"/>
                <w:highlight w:val="none"/>
                <w:lang w:val="en-US" w:eastAsia="zh-CN"/>
              </w:rPr>
              <w:t>14号）。</w:t>
            </w:r>
          </w:p>
          <w:p w14:paraId="74086BC0">
            <w:pPr>
              <w:pStyle w:val="10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应急填埋场建成后，垃圾填埋场每天处理生活垃圾约180吨/日，针对应急填埋场目前存在的渗滤液和填埋气体收集导排系统存在的问题，澄江市垃圾焚烧处理中心启动了《大山应急填埋场应急改造提升项目》的相关工作，从应急填埋场改造和优化场区附属设施两方面提出具体措施，加强应急填埋场的渗滤液和填埋气体导排设施，新建一座1000m³的渗滤液调节池，并完善管理区及道路工程。</w:t>
            </w:r>
          </w:p>
          <w:p w14:paraId="62C1BE05">
            <w:pPr>
              <w:pStyle w:val="10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大山生活垃圾填埋场运行至今均未办理过竣工环境保护验收手续，</w:t>
            </w:r>
            <w:r>
              <w:rPr>
                <w:rFonts w:hint="default" w:ascii="Times New Roman" w:hAnsi="Times New Roman" w:cs="Times New Roman"/>
                <w:color w:val="auto"/>
                <w:sz w:val="24"/>
                <w:szCs w:val="24"/>
                <w:highlight w:val="none"/>
                <w:lang w:val="en-US" w:eastAsia="zh-CN"/>
              </w:rPr>
              <w:t>20</w:t>
            </w:r>
            <w:r>
              <w:rPr>
                <w:rFonts w:hint="eastAsia" w:cs="Times New Roman"/>
                <w:color w:val="auto"/>
                <w:sz w:val="24"/>
                <w:szCs w:val="24"/>
                <w:highlight w:val="none"/>
                <w:lang w:val="en-US" w:eastAsia="zh-CN"/>
              </w:rPr>
              <w:t>23</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月6日取得了排污许可证，证书编号</w:t>
            </w:r>
            <w:r>
              <w:rPr>
                <w:rFonts w:hint="eastAsia" w:cs="Times New Roman"/>
                <w:color w:val="auto"/>
                <w:sz w:val="24"/>
                <w:szCs w:val="24"/>
                <w:highlight w:val="none"/>
                <w:lang w:val="en-US" w:eastAsia="zh-CN"/>
              </w:rPr>
              <w:t>11530422015184439E001V</w:t>
            </w:r>
            <w:r>
              <w:rPr>
                <w:rFonts w:hint="default" w:ascii="Times New Roman" w:hAnsi="Times New Roman" w:cs="Times New Roman"/>
                <w:color w:val="auto"/>
                <w:sz w:val="24"/>
                <w:szCs w:val="24"/>
                <w:highlight w:val="none"/>
                <w:lang w:val="en-US" w:eastAsia="zh-CN"/>
              </w:rPr>
              <w:t>，每个季度均开展自行监测，</w:t>
            </w:r>
            <w:r>
              <w:rPr>
                <w:rFonts w:hint="eastAsia" w:cs="Times New Roman"/>
                <w:color w:val="auto"/>
                <w:sz w:val="24"/>
                <w:szCs w:val="24"/>
                <w:highlight w:val="none"/>
                <w:lang w:val="en-US" w:eastAsia="zh-CN"/>
              </w:rPr>
              <w:t>至今均</w:t>
            </w:r>
            <w:r>
              <w:rPr>
                <w:rFonts w:hint="default" w:ascii="Times New Roman" w:hAnsi="Times New Roman" w:cs="Times New Roman"/>
                <w:color w:val="auto"/>
                <w:sz w:val="24"/>
                <w:szCs w:val="24"/>
                <w:highlight w:val="none"/>
                <w:lang w:val="en-US" w:eastAsia="zh-CN"/>
              </w:rPr>
              <w:t>填报了年度排污许可执行报告。</w:t>
            </w:r>
            <w:r>
              <w:rPr>
                <w:rFonts w:hint="eastAsia" w:cs="Times New Roman"/>
                <w:color w:val="auto"/>
                <w:sz w:val="24"/>
                <w:szCs w:val="24"/>
                <w:highlight w:val="none"/>
                <w:lang w:val="en-US" w:eastAsia="zh-CN"/>
              </w:rPr>
              <w:t>现状渗滤液处理站运营单位为厦门嘉戎技术股份有限公司。根据建设单位提供资料，项目于2024年2月19日发布了《澄江市九村镇大山生活垃圾填埋场突发环境事件应急预案（2024年版）》，备案编号：530422-2024-008-L。</w:t>
            </w:r>
          </w:p>
          <w:p w14:paraId="5346F4F5">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二</w:t>
            </w: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大山生活垃圾填埋场渗滤液处理站现状</w:t>
            </w:r>
            <w:r>
              <w:rPr>
                <w:rFonts w:hint="default" w:ascii="Times New Roman" w:hAnsi="Times New Roman" w:cs="Times New Roman"/>
                <w:b/>
                <w:bCs/>
                <w:color w:val="auto"/>
                <w:sz w:val="24"/>
                <w:szCs w:val="24"/>
                <w:highlight w:val="none"/>
                <w:lang w:val="en-US" w:eastAsia="zh-CN"/>
              </w:rPr>
              <w:t>工艺介绍</w:t>
            </w:r>
          </w:p>
          <w:p w14:paraId="56033900">
            <w:pPr>
              <w:pStyle w:val="100"/>
              <w:snapToGrid w:val="0"/>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大山生活垃圾填埋场2019年11月至今租用两套日处理量各为100吨/天的集装箱式两级DTRO设备处理填埋场渗滤液（1用1备），现状渗滤液处理站运营单位为厦门嘉戎技术股份有限公司。</w:t>
            </w:r>
          </w:p>
          <w:p w14:paraId="6EDF6894">
            <w:pPr>
              <w:pStyle w:val="10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DTRO设备处理工艺流程为：</w:t>
            </w:r>
            <w:r>
              <w:rPr>
                <w:rFonts w:hint="eastAsia"/>
                <w:color w:val="auto"/>
                <w:sz w:val="24"/>
                <w:szCs w:val="24"/>
                <w:highlight w:val="none"/>
                <w:lang w:val="en-US" w:eastAsia="zh-CN"/>
              </w:rPr>
              <w:t>调节池垃圾渗滤液经泵提升至渗滤液原水管，经过pH值调节、砂滤、保安过滤器等简单预处理后，进入第一级DTRO。经一级DTRO设备处理后产生的透过液进入第二级DTRO进一步处理，第一级DTRO浓缩液排至浓缩液收集池等待回灌处理，经第二级DTRO处理后的透过液进入脱气塔处理后再经过离子交换器达标排放，二级浓缩液返回第一级DTRO合并继续处理。</w:t>
            </w:r>
            <w:r>
              <w:rPr>
                <w:rFonts w:hint="eastAsia" w:ascii="Times New Roman" w:hAnsi="Times New Roman" w:cs="Times New Roman"/>
                <w:color w:val="auto"/>
                <w:sz w:val="24"/>
                <w:szCs w:val="24"/>
                <w:highlight w:val="none"/>
                <w:lang w:eastAsia="zh-CN"/>
              </w:rPr>
              <w:t>处理工艺流程详见图</w:t>
            </w:r>
            <w:r>
              <w:rPr>
                <w:rFonts w:hint="eastAsia" w:cs="Times New Roman"/>
                <w:color w:val="auto"/>
                <w:sz w:val="24"/>
                <w:szCs w:val="24"/>
                <w:highlight w:val="none"/>
                <w:lang w:val="en-US" w:eastAsia="zh-CN"/>
              </w:rPr>
              <w:t>2-6</w:t>
            </w:r>
            <w:r>
              <w:rPr>
                <w:rFonts w:hint="eastAsia" w:ascii="Times New Roman" w:hAnsi="Times New Roman" w:cs="Times New Roman"/>
                <w:color w:val="auto"/>
                <w:sz w:val="24"/>
                <w:szCs w:val="24"/>
                <w:highlight w:val="none"/>
                <w:lang w:val="en-US" w:eastAsia="zh-CN"/>
              </w:rPr>
              <w:t>。</w:t>
            </w:r>
          </w:p>
          <w:p w14:paraId="62E4649E">
            <w:pPr>
              <w:pStyle w:val="10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p>
          <w:p w14:paraId="2BB1F8F4">
            <w:pPr>
              <w:pStyle w:val="10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p>
          <w:p w14:paraId="6F6A556C">
            <w:pPr>
              <w:pStyle w:val="10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p>
          <w:p w14:paraId="24474451">
            <w:pPr>
              <w:pStyle w:val="10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p>
          <w:p w14:paraId="7BB98E96">
            <w:pPr>
              <w:pStyle w:val="10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p>
          <w:p w14:paraId="5D841926">
            <w:pPr>
              <w:pStyle w:val="10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p>
          <w:p w14:paraId="1F4874AE">
            <w:pPr>
              <w:pStyle w:val="10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p>
          <w:p w14:paraId="18B372D4">
            <w:pPr>
              <w:spacing w:line="360" w:lineRule="auto"/>
              <w:jc w:val="center"/>
              <w:rPr>
                <w:b/>
                <w:bCs/>
                <w:color w:val="auto"/>
                <w:highlight w:val="none"/>
              </w:rPr>
            </w:pPr>
            <w:r>
              <w:rPr>
                <w:rFonts w:hint="default" w:ascii="Times New Roman" w:hAnsi="Times New Roman" w:eastAsia="宋体" w:cs="Times New Roman"/>
                <w:b/>
                <w:bCs/>
                <w:color w:val="auto"/>
                <w:sz w:val="21"/>
                <w:szCs w:val="21"/>
                <w:highlight w:val="none"/>
                <w:lang w:eastAsia="zh-CN"/>
              </w:rPr>
              <w:object>
                <v:shape id="_x0000_i1029" o:spt="75" type="#_x0000_t75" style="height:413.95pt;width:357.5pt;" o:ole="t" filled="f" o:preferrelative="t" stroked="f" coordsize="21600,21600">
                  <v:path/>
                  <v:fill on="f" focussize="0,0"/>
                  <v:stroke on="f"/>
                  <v:imagedata r:id="rId17" o:title=""/>
                  <o:lock v:ext="edit" aspectratio="f"/>
                  <w10:wrap type="none"/>
                  <w10:anchorlock/>
                </v:shape>
                <o:OLEObject Type="Embed" ProgID="Visio.Drawing.15" ShapeID="_x0000_i1029" DrawAspect="Content" ObjectID="_1468075729" r:id="rId16">
                  <o:LockedField>false</o:LockedField>
                </o:OLEObject>
              </w:object>
            </w:r>
          </w:p>
          <w:p w14:paraId="08B5C967">
            <w:pPr>
              <w:spacing w:line="360" w:lineRule="auto"/>
              <w:jc w:val="center"/>
              <w:rPr>
                <w:rFonts w:hint="eastAsia"/>
                <w:b/>
                <w:bCs/>
                <w:color w:val="auto"/>
                <w:sz w:val="24"/>
                <w:szCs w:val="24"/>
                <w:highlight w:val="none"/>
              </w:rPr>
            </w:pPr>
            <w:r>
              <w:rPr>
                <w:rFonts w:hint="eastAsia"/>
                <w:b/>
                <w:bCs/>
                <w:color w:val="auto"/>
                <w:highlight w:val="none"/>
                <w:lang w:eastAsia="zh-CN"/>
              </w:rPr>
              <w:t>图</w:t>
            </w:r>
            <w:r>
              <w:rPr>
                <w:rFonts w:hint="eastAsia"/>
                <w:b/>
                <w:bCs/>
                <w:color w:val="auto"/>
                <w:highlight w:val="none"/>
                <w:lang w:val="en-US" w:eastAsia="zh-CN"/>
              </w:rPr>
              <w:t>2-6</w:t>
            </w:r>
            <w:r>
              <w:rPr>
                <w:rFonts w:ascii="Times New Roman"/>
                <w:b/>
                <w:bCs/>
                <w:color w:val="auto"/>
                <w:highlight w:val="none"/>
              </w:rPr>
              <w:tab/>
            </w:r>
            <w:r>
              <w:rPr>
                <w:rFonts w:hint="eastAsia"/>
                <w:b/>
                <w:bCs/>
                <w:color w:val="auto"/>
                <w:highlight w:val="none"/>
                <w:lang w:val="en-US" w:eastAsia="zh-CN"/>
              </w:rPr>
              <w:t>现有2套集装箱式两级DTRO设备</w:t>
            </w:r>
            <w:r>
              <w:rPr>
                <w:b/>
                <w:bCs/>
                <w:color w:val="auto"/>
                <w:highlight w:val="none"/>
              </w:rPr>
              <w:t>处理工艺流程图</w:t>
            </w:r>
          </w:p>
          <w:p w14:paraId="216B1237">
            <w:pPr>
              <w:pStyle w:val="11"/>
              <w:keepNext w:val="0"/>
              <w:keepLines w:val="0"/>
              <w:pageBreakBefore w:val="0"/>
              <w:widowControl w:val="0"/>
              <w:kinsoku/>
              <w:wordWrap/>
              <w:overflowPunct/>
              <w:topLinePunct w:val="0"/>
              <w:autoSpaceDE/>
              <w:autoSpaceDN/>
              <w:bidi w:val="0"/>
              <w:adjustRightInd/>
              <w:snapToGrid/>
              <w:spacing w:after="0" w:line="360" w:lineRule="auto"/>
              <w:ind w:left="0" w:firstLine="482" w:firstLineChars="200"/>
              <w:textAlignment w:val="auto"/>
              <w:rPr>
                <w:rFonts w:hint="eastAsia" w:eastAsia="宋体"/>
                <w:b/>
                <w:bCs/>
                <w:color w:val="auto"/>
                <w:sz w:val="24"/>
                <w:szCs w:val="24"/>
                <w:highlight w:val="none"/>
                <w:lang w:eastAsia="zh-CN"/>
              </w:rPr>
            </w:pPr>
            <w:r>
              <w:rPr>
                <w:rFonts w:hint="eastAsia"/>
                <w:b/>
                <w:bCs/>
                <w:color w:val="auto"/>
                <w:sz w:val="24"/>
                <w:szCs w:val="24"/>
                <w:highlight w:val="none"/>
                <w:lang w:val="en-US" w:eastAsia="zh-CN"/>
              </w:rPr>
              <w:t>三、</w:t>
            </w:r>
            <w:r>
              <w:rPr>
                <w:rFonts w:hint="eastAsia"/>
                <w:b/>
                <w:bCs/>
                <w:color w:val="auto"/>
                <w:sz w:val="24"/>
                <w:szCs w:val="24"/>
                <w:highlight w:val="none"/>
                <w:lang w:eastAsia="zh-CN"/>
              </w:rPr>
              <w:t>实际运行进出水水质</w:t>
            </w:r>
          </w:p>
          <w:p w14:paraId="3D6EF23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1）进水水质</w:t>
            </w:r>
          </w:p>
          <w:p w14:paraId="46A7FB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根据</w:t>
            </w:r>
            <w:r>
              <w:rPr>
                <w:rFonts w:hint="eastAsia" w:cs="Times New Roman"/>
                <w:color w:val="auto"/>
                <w:sz w:val="24"/>
                <w:szCs w:val="24"/>
                <w:highlight w:val="none"/>
                <w:lang w:val="en-US" w:eastAsia="zh-CN"/>
              </w:rPr>
              <w:t>现有项目渗滤液取样检测分析结果，大山生活垃圾填埋场渗滤液</w:t>
            </w:r>
            <w:r>
              <w:rPr>
                <w:rFonts w:hint="eastAsia" w:ascii="Times New Roman" w:hAnsi="Times New Roman" w:eastAsia="宋体" w:cs="Times New Roman"/>
                <w:color w:val="auto"/>
                <w:sz w:val="24"/>
                <w:szCs w:val="24"/>
                <w:highlight w:val="none"/>
                <w:lang w:val="en-US" w:eastAsia="zh-CN"/>
              </w:rPr>
              <w:t>水质浓度</w:t>
            </w:r>
            <w:r>
              <w:rPr>
                <w:rFonts w:hint="eastAsia" w:cs="Times New Roman"/>
                <w:color w:val="auto"/>
                <w:sz w:val="24"/>
                <w:szCs w:val="24"/>
                <w:highlight w:val="none"/>
                <w:lang w:val="en-US" w:eastAsia="zh-CN"/>
              </w:rPr>
              <w:t>情况详见下表</w:t>
            </w:r>
            <w:r>
              <w:rPr>
                <w:rFonts w:hint="eastAsia" w:ascii="Times New Roman" w:hAnsi="Times New Roman" w:eastAsia="宋体" w:cs="Times New Roman"/>
                <w:color w:val="auto"/>
                <w:sz w:val="24"/>
                <w:szCs w:val="24"/>
                <w:highlight w:val="none"/>
                <w:lang w:val="en-US" w:eastAsia="zh-CN"/>
              </w:rPr>
              <w:t>。</w:t>
            </w:r>
          </w:p>
          <w:p w14:paraId="3469965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2-8</w:t>
            </w:r>
            <w:r>
              <w:rPr>
                <w:rFonts w:hint="eastAsia"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 xml:space="preserve"> 大山生活垃圾填埋场</w:t>
            </w:r>
            <w:r>
              <w:rPr>
                <w:rFonts w:hint="eastAsia" w:cs="Times New Roman"/>
                <w:b/>
                <w:bCs/>
                <w:color w:val="auto"/>
                <w:sz w:val="24"/>
                <w:szCs w:val="24"/>
                <w:highlight w:val="none"/>
                <w:lang w:val="en-US" w:eastAsia="zh-CN"/>
              </w:rPr>
              <w:t>渗滤液水质监测</w:t>
            </w:r>
            <w:r>
              <w:rPr>
                <w:rFonts w:hint="eastAsia" w:ascii="Times New Roman" w:hAnsi="Times New Roman" w:eastAsia="宋体" w:cs="Times New Roman"/>
                <w:b/>
                <w:bCs/>
                <w:color w:val="auto"/>
                <w:sz w:val="24"/>
                <w:szCs w:val="24"/>
                <w:highlight w:val="none"/>
                <w:lang w:val="en-US" w:eastAsia="zh-CN"/>
              </w:rPr>
              <w:t>数据统计表</w:t>
            </w:r>
          </w:p>
          <w:tbl>
            <w:tblPr>
              <w:tblStyle w:val="31"/>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6"/>
              <w:gridCol w:w="2806"/>
              <w:gridCol w:w="2806"/>
            </w:tblGrid>
            <w:tr w14:paraId="22BE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418" w:type="dxa"/>
                  <w:gridSpan w:val="3"/>
                  <w:vAlign w:val="center"/>
                </w:tcPr>
                <w:p w14:paraId="0F5A4732">
                  <w:pPr>
                    <w:pStyle w:val="62"/>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检测结果：</w:t>
                  </w:r>
                </w:p>
              </w:tc>
            </w:tr>
            <w:tr w14:paraId="14F8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2602E18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检测项目</w:t>
                  </w:r>
                </w:p>
              </w:tc>
              <w:tc>
                <w:tcPr>
                  <w:tcW w:w="2806" w:type="dxa"/>
                  <w:vAlign w:val="center"/>
                </w:tcPr>
                <w:p w14:paraId="049FB571">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结果</w:t>
                  </w:r>
                </w:p>
              </w:tc>
              <w:tc>
                <w:tcPr>
                  <w:tcW w:w="2806" w:type="dxa"/>
                  <w:vAlign w:val="center"/>
                </w:tcPr>
                <w:p w14:paraId="38D8248C">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单位</w:t>
                  </w:r>
                </w:p>
              </w:tc>
            </w:tr>
            <w:tr w14:paraId="5F83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24CAF9EC">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化学需氧量</w:t>
                  </w:r>
                </w:p>
              </w:tc>
              <w:tc>
                <w:tcPr>
                  <w:tcW w:w="2806" w:type="dxa"/>
                  <w:vAlign w:val="center"/>
                </w:tcPr>
                <w:p w14:paraId="170169D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12335</w:t>
                  </w:r>
                </w:p>
              </w:tc>
              <w:tc>
                <w:tcPr>
                  <w:tcW w:w="2806" w:type="dxa"/>
                  <w:vAlign w:val="center"/>
                </w:tcPr>
                <w:p w14:paraId="3679B51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r>
            <w:tr w14:paraId="3A04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7FE57BD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硫化物</w:t>
                  </w:r>
                </w:p>
              </w:tc>
              <w:tc>
                <w:tcPr>
                  <w:tcW w:w="2806" w:type="dxa"/>
                  <w:vAlign w:val="center"/>
                </w:tcPr>
                <w:p w14:paraId="24CF05D7">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＜DL</w:t>
                  </w:r>
                </w:p>
              </w:tc>
              <w:tc>
                <w:tcPr>
                  <w:tcW w:w="2806" w:type="dxa"/>
                  <w:vAlign w:val="center"/>
                </w:tcPr>
                <w:p w14:paraId="1039B00A">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r>
            <w:tr w14:paraId="6255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62384EE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w:t>
                  </w:r>
                </w:p>
              </w:tc>
              <w:tc>
                <w:tcPr>
                  <w:tcW w:w="2806" w:type="dxa"/>
                  <w:vAlign w:val="center"/>
                </w:tcPr>
                <w:p w14:paraId="4594535D">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6.67</w:t>
                  </w:r>
                </w:p>
              </w:tc>
              <w:tc>
                <w:tcPr>
                  <w:tcW w:w="2806" w:type="dxa"/>
                  <w:vAlign w:val="center"/>
                </w:tcPr>
                <w:p w14:paraId="7C1627E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无量纲</w:t>
                  </w:r>
                </w:p>
              </w:tc>
            </w:tr>
            <w:tr w14:paraId="2EDF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011EE65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电导率</w:t>
                  </w:r>
                </w:p>
              </w:tc>
              <w:tc>
                <w:tcPr>
                  <w:tcW w:w="2806" w:type="dxa"/>
                  <w:vAlign w:val="center"/>
                </w:tcPr>
                <w:p w14:paraId="7B2B2FB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34211</w:t>
                  </w:r>
                </w:p>
              </w:tc>
              <w:tc>
                <w:tcPr>
                  <w:tcW w:w="2806" w:type="dxa"/>
                  <w:vAlign w:val="center"/>
                </w:tcPr>
                <w:p w14:paraId="24ABDAA1">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μS/cm</w:t>
                  </w:r>
                </w:p>
              </w:tc>
            </w:tr>
            <w:tr w14:paraId="1F7E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5BB6909D">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tc>
              <w:tc>
                <w:tcPr>
                  <w:tcW w:w="2806" w:type="dxa"/>
                  <w:vAlign w:val="center"/>
                </w:tcPr>
                <w:p w14:paraId="5A413B1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149</w:t>
                  </w:r>
                </w:p>
              </w:tc>
              <w:tc>
                <w:tcPr>
                  <w:tcW w:w="2806" w:type="dxa"/>
                  <w:vAlign w:val="center"/>
                </w:tcPr>
                <w:p w14:paraId="35F26292">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r>
            <w:tr w14:paraId="5F80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41EA1464">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总硬度</w:t>
                  </w:r>
                </w:p>
              </w:tc>
              <w:tc>
                <w:tcPr>
                  <w:tcW w:w="2806" w:type="dxa"/>
                  <w:vAlign w:val="center"/>
                </w:tcPr>
                <w:p w14:paraId="3521007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2680</w:t>
                  </w:r>
                </w:p>
              </w:tc>
              <w:tc>
                <w:tcPr>
                  <w:tcW w:w="2806" w:type="dxa"/>
                  <w:vAlign w:val="center"/>
                </w:tcPr>
                <w:p w14:paraId="594C9F3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mg/L（以碳酸钙计）</w:t>
                  </w:r>
                </w:p>
              </w:tc>
            </w:tr>
            <w:tr w14:paraId="60BA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56DFA392">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钙离子</w:t>
                  </w:r>
                </w:p>
              </w:tc>
              <w:tc>
                <w:tcPr>
                  <w:tcW w:w="2806" w:type="dxa"/>
                  <w:vAlign w:val="center"/>
                </w:tcPr>
                <w:p w14:paraId="34716F0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580</w:t>
                  </w:r>
                </w:p>
              </w:tc>
              <w:tc>
                <w:tcPr>
                  <w:tcW w:w="2806" w:type="dxa"/>
                  <w:vAlign w:val="center"/>
                </w:tcPr>
                <w:p w14:paraId="5DE9E8C6">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r>
            <w:tr w14:paraId="59C6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37B3C43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镁离子</w:t>
                  </w:r>
                </w:p>
              </w:tc>
              <w:tc>
                <w:tcPr>
                  <w:tcW w:w="2806" w:type="dxa"/>
                  <w:vAlign w:val="center"/>
                </w:tcPr>
                <w:p w14:paraId="75E6D8A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298</w:t>
                  </w:r>
                </w:p>
              </w:tc>
              <w:tc>
                <w:tcPr>
                  <w:tcW w:w="2806" w:type="dxa"/>
                  <w:vAlign w:val="center"/>
                </w:tcPr>
                <w:p w14:paraId="518F0A63">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r>
            <w:tr w14:paraId="0671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28A272A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总碱度</w:t>
                  </w:r>
                </w:p>
              </w:tc>
              <w:tc>
                <w:tcPr>
                  <w:tcW w:w="2806" w:type="dxa"/>
                  <w:vAlign w:val="center"/>
                </w:tcPr>
                <w:p w14:paraId="2A0D2DF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7890</w:t>
                  </w:r>
                </w:p>
              </w:tc>
              <w:tc>
                <w:tcPr>
                  <w:tcW w:w="2806" w:type="dxa"/>
                  <w:vAlign w:val="center"/>
                </w:tcPr>
                <w:p w14:paraId="31E093AD">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mg/L（以碳酸钙计）</w:t>
                  </w:r>
                </w:p>
              </w:tc>
            </w:tr>
            <w:tr w14:paraId="13A0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203034CC">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氨氮</w:t>
                  </w:r>
                </w:p>
              </w:tc>
              <w:tc>
                <w:tcPr>
                  <w:tcW w:w="2806" w:type="dxa"/>
                  <w:vAlign w:val="center"/>
                </w:tcPr>
                <w:p w14:paraId="0801A8B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3736</w:t>
                  </w:r>
                </w:p>
              </w:tc>
              <w:tc>
                <w:tcPr>
                  <w:tcW w:w="2806" w:type="dxa"/>
                  <w:vAlign w:val="center"/>
                </w:tcPr>
                <w:p w14:paraId="057416F1">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r>
            <w:tr w14:paraId="6FE3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7A0AA6D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总氮</w:t>
                  </w:r>
                </w:p>
              </w:tc>
              <w:tc>
                <w:tcPr>
                  <w:tcW w:w="2806" w:type="dxa"/>
                  <w:vAlign w:val="center"/>
                </w:tcPr>
                <w:p w14:paraId="6BFB1CC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4015</w:t>
                  </w:r>
                </w:p>
              </w:tc>
              <w:tc>
                <w:tcPr>
                  <w:tcW w:w="2806" w:type="dxa"/>
                  <w:vAlign w:val="center"/>
                </w:tcPr>
                <w:p w14:paraId="2985FB3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r>
            <w:tr w14:paraId="6B26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60BD5C41">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溶解性总固体</w:t>
                  </w:r>
                </w:p>
              </w:tc>
              <w:tc>
                <w:tcPr>
                  <w:tcW w:w="2806" w:type="dxa"/>
                  <w:vAlign w:val="center"/>
                </w:tcPr>
                <w:p w14:paraId="5DFB4C46">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30598</w:t>
                  </w:r>
                </w:p>
              </w:tc>
              <w:tc>
                <w:tcPr>
                  <w:tcW w:w="2806" w:type="dxa"/>
                  <w:vAlign w:val="center"/>
                </w:tcPr>
                <w:p w14:paraId="09B3F993">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r>
            <w:tr w14:paraId="2EC9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06" w:type="dxa"/>
                  <w:vAlign w:val="center"/>
                </w:tcPr>
                <w:p w14:paraId="445F215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可溶性硅</w:t>
                  </w:r>
                </w:p>
              </w:tc>
              <w:tc>
                <w:tcPr>
                  <w:tcW w:w="2806" w:type="dxa"/>
                  <w:vAlign w:val="center"/>
                </w:tcPr>
                <w:p w14:paraId="5F3AFBDA">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12.9</w:t>
                  </w:r>
                </w:p>
              </w:tc>
              <w:tc>
                <w:tcPr>
                  <w:tcW w:w="2806" w:type="dxa"/>
                  <w:vAlign w:val="center"/>
                </w:tcPr>
                <w:p w14:paraId="6FBD5545">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mg/L（以二氧化硅计）</w:t>
                  </w:r>
                </w:p>
              </w:tc>
            </w:tr>
          </w:tbl>
          <w:p w14:paraId="724C97A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2）出水水质</w:t>
            </w:r>
          </w:p>
          <w:p w14:paraId="0E9561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根据</w:t>
            </w:r>
            <w:r>
              <w:rPr>
                <w:rFonts w:hint="eastAsia" w:cs="Times New Roman"/>
                <w:color w:val="auto"/>
                <w:sz w:val="24"/>
                <w:szCs w:val="24"/>
                <w:highlight w:val="none"/>
                <w:lang w:val="en-US" w:eastAsia="zh-CN"/>
              </w:rPr>
              <w:t>建设单位</w:t>
            </w:r>
            <w:r>
              <w:rPr>
                <w:rFonts w:hint="eastAsia" w:ascii="Times New Roman" w:hAnsi="Times New Roman" w:eastAsia="宋体" w:cs="Times New Roman"/>
                <w:color w:val="auto"/>
                <w:sz w:val="24"/>
                <w:szCs w:val="24"/>
                <w:highlight w:val="none"/>
                <w:lang w:eastAsia="zh-CN"/>
              </w:rPr>
              <w:t>提供的</w:t>
            </w:r>
            <w:r>
              <w:rPr>
                <w:rFonts w:hint="eastAsia" w:cs="Times New Roman"/>
                <w:color w:val="auto"/>
                <w:sz w:val="24"/>
                <w:szCs w:val="24"/>
                <w:highlight w:val="none"/>
                <w:lang w:val="en-US" w:eastAsia="zh-CN"/>
              </w:rPr>
              <w:t>《澄江市垃圾焚烧处理中心水质样品检测报告》（大成检字[2025]-05-005号）及《澄江市垃圾焚烧处理中心水质样品检测报告》（大成检字[2025]-06-022号）</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大山生活垃圾填埋场现有渗滤液处理站处理后的尾水</w:t>
            </w:r>
            <w:r>
              <w:rPr>
                <w:rFonts w:hint="eastAsia" w:ascii="Times New Roman" w:hAnsi="Times New Roman" w:eastAsia="宋体" w:cs="Times New Roman"/>
                <w:color w:val="auto"/>
                <w:sz w:val="24"/>
                <w:szCs w:val="24"/>
                <w:highlight w:val="none"/>
                <w:lang w:val="en-US" w:eastAsia="zh-CN"/>
              </w:rPr>
              <w:t>水水质</w:t>
            </w:r>
            <w:r>
              <w:rPr>
                <w:rFonts w:hint="eastAsia" w:cs="Times New Roman"/>
                <w:color w:val="auto"/>
                <w:sz w:val="24"/>
                <w:szCs w:val="24"/>
                <w:highlight w:val="none"/>
                <w:lang w:val="en-US" w:eastAsia="zh-CN"/>
              </w:rPr>
              <w:t>均能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cs="Times New Roman"/>
                <w:color w:val="auto"/>
                <w:sz w:val="24"/>
                <w:szCs w:val="24"/>
                <w:highlight w:val="none"/>
              </w:rPr>
              <w:t>《城镇污水处理厂污染物排放标准》</w:t>
            </w:r>
            <w:r>
              <w:rPr>
                <w:rFonts w:hint="eastAsia" w:ascii="Times New Roman" w:hAnsi="Times New Roman" w:eastAsia="宋体" w:cs="Times New Roman"/>
                <w:color w:val="auto"/>
                <w:sz w:val="24"/>
                <w:szCs w:val="24"/>
                <w:highlight w:val="none"/>
                <w:lang w:eastAsia="zh-CN"/>
              </w:rPr>
              <w:t>及其修改单</w:t>
            </w:r>
            <w:r>
              <w:rPr>
                <w:rFonts w:hint="default" w:ascii="Times New Roman" w:hAnsi="Times New Roman" w:cs="Times New Roman"/>
                <w:color w:val="auto"/>
                <w:sz w:val="24"/>
                <w:szCs w:val="24"/>
                <w:highlight w:val="none"/>
              </w:rPr>
              <w:t>（GB18918-2002）一级A标准</w:t>
            </w:r>
            <w:r>
              <w:rPr>
                <w:rFonts w:hint="default"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详见</w:t>
            </w:r>
            <w:r>
              <w:rPr>
                <w:rFonts w:hint="eastAsia"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8至附件9。</w:t>
            </w:r>
          </w:p>
          <w:p w14:paraId="73FC12C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2-9</w:t>
            </w:r>
            <w:r>
              <w:rPr>
                <w:rFonts w:hint="eastAsia"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 xml:space="preserve"> </w:t>
            </w:r>
            <w:r>
              <w:rPr>
                <w:rFonts w:hint="eastAsia" w:cs="Times New Roman"/>
                <w:b/>
                <w:bCs/>
                <w:color w:val="auto"/>
                <w:sz w:val="24"/>
                <w:szCs w:val="24"/>
                <w:highlight w:val="none"/>
                <w:lang w:val="en-US" w:eastAsia="zh-CN"/>
              </w:rPr>
              <w:t>2025年5月、6月</w:t>
            </w:r>
            <w:r>
              <w:rPr>
                <w:rFonts w:hint="eastAsia" w:ascii="Times New Roman" w:hAnsi="Times New Roman" w:eastAsia="宋体" w:cs="Times New Roman"/>
                <w:b/>
                <w:bCs/>
                <w:color w:val="auto"/>
                <w:sz w:val="24"/>
                <w:szCs w:val="24"/>
                <w:highlight w:val="none"/>
                <w:lang w:val="en-US" w:eastAsia="zh-CN"/>
              </w:rPr>
              <w:t>大山生活垃圾填埋场现有渗滤液处理站</w:t>
            </w:r>
            <w:r>
              <w:rPr>
                <w:rFonts w:hint="eastAsia" w:cs="Times New Roman"/>
                <w:b/>
                <w:bCs/>
                <w:color w:val="auto"/>
                <w:sz w:val="24"/>
                <w:szCs w:val="24"/>
                <w:highlight w:val="none"/>
                <w:lang w:val="en-US" w:eastAsia="zh-CN"/>
              </w:rPr>
              <w:t>出</w:t>
            </w:r>
            <w:r>
              <w:rPr>
                <w:rFonts w:hint="eastAsia" w:ascii="Times New Roman" w:hAnsi="Times New Roman" w:eastAsia="宋体" w:cs="Times New Roman"/>
                <w:b/>
                <w:bCs/>
                <w:color w:val="auto"/>
                <w:sz w:val="24"/>
                <w:szCs w:val="24"/>
                <w:highlight w:val="none"/>
                <w:lang w:val="en-US" w:eastAsia="zh-CN"/>
              </w:rPr>
              <w:t>口</w:t>
            </w:r>
          </w:p>
          <w:p w14:paraId="2ABB11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水质监测结果</w:t>
            </w:r>
            <w:r>
              <w:rPr>
                <w:rFonts w:hint="eastAsia" w:ascii="Times New Roman" w:hAnsi="Times New Roman" w:eastAsia="宋体" w:cs="Times New Roman"/>
                <w:b/>
                <w:bCs/>
                <w:color w:val="auto"/>
                <w:sz w:val="24"/>
                <w:szCs w:val="24"/>
                <w:highlight w:val="none"/>
                <w:lang w:val="en-US" w:eastAsia="zh-CN"/>
              </w:rPr>
              <w:t>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439"/>
              <w:gridCol w:w="1409"/>
              <w:gridCol w:w="1814"/>
              <w:gridCol w:w="2145"/>
            </w:tblGrid>
            <w:tr w14:paraId="5598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2609FD3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点位名称</w:t>
                  </w:r>
                </w:p>
              </w:tc>
              <w:tc>
                <w:tcPr>
                  <w:tcW w:w="856" w:type="pct"/>
                  <w:noWrap w:val="0"/>
                  <w:vAlign w:val="center"/>
                </w:tcPr>
                <w:p w14:paraId="2964F7B6">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产水口</w:t>
                  </w:r>
                </w:p>
              </w:tc>
              <w:tc>
                <w:tcPr>
                  <w:tcW w:w="838" w:type="pct"/>
                  <w:noWrap w:val="0"/>
                  <w:vAlign w:val="center"/>
                </w:tcPr>
                <w:p w14:paraId="2C99CB37">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产水口</w:t>
                  </w:r>
                </w:p>
              </w:tc>
              <w:tc>
                <w:tcPr>
                  <w:tcW w:w="2353" w:type="pct"/>
                  <w:gridSpan w:val="2"/>
                  <w:noWrap w:val="0"/>
                  <w:vAlign w:val="center"/>
                </w:tcPr>
                <w:p w14:paraId="2A820C5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参考标准限值要求</w:t>
                  </w:r>
                </w:p>
              </w:tc>
            </w:tr>
            <w:tr w14:paraId="3F45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17587D4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采样日期</w:t>
                  </w:r>
                </w:p>
              </w:tc>
              <w:tc>
                <w:tcPr>
                  <w:tcW w:w="856" w:type="pct"/>
                  <w:noWrap w:val="0"/>
                  <w:vAlign w:val="center"/>
                </w:tcPr>
                <w:p w14:paraId="3CA7E2F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2025.05.07</w:t>
                  </w:r>
                </w:p>
              </w:tc>
              <w:tc>
                <w:tcPr>
                  <w:tcW w:w="838" w:type="pct"/>
                  <w:noWrap w:val="0"/>
                  <w:vAlign w:val="center"/>
                </w:tcPr>
                <w:p w14:paraId="20472BC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2025.06.11</w:t>
                  </w:r>
                </w:p>
              </w:tc>
              <w:tc>
                <w:tcPr>
                  <w:tcW w:w="1079" w:type="pct"/>
                  <w:vMerge w:val="restart"/>
                  <w:noWrap w:val="0"/>
                  <w:vAlign w:val="center"/>
                </w:tcPr>
                <w:p w14:paraId="07F65033">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《城镇污水处理厂污染物排放标准》一级A标准</w:t>
                  </w:r>
                </w:p>
              </w:tc>
              <w:tc>
                <w:tcPr>
                  <w:tcW w:w="1274" w:type="pct"/>
                  <w:vMerge w:val="restart"/>
                  <w:noWrap w:val="0"/>
                  <w:vAlign w:val="center"/>
                </w:tcPr>
                <w:p w14:paraId="02E781D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《城市污水再生利用 城市杂用水水质》（GB/T18920-2020）中绿化水质</w:t>
                  </w:r>
                </w:p>
              </w:tc>
            </w:tr>
            <w:tr w14:paraId="23B9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2E5DA6E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样品编号</w:t>
                  </w:r>
                </w:p>
              </w:tc>
              <w:tc>
                <w:tcPr>
                  <w:tcW w:w="856" w:type="pct"/>
                  <w:noWrap w:val="0"/>
                  <w:vAlign w:val="center"/>
                </w:tcPr>
                <w:p w14:paraId="51A7C505">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202505005-1-1-1</w:t>
                  </w:r>
                </w:p>
              </w:tc>
              <w:tc>
                <w:tcPr>
                  <w:tcW w:w="838" w:type="pct"/>
                  <w:noWrap w:val="0"/>
                  <w:vAlign w:val="center"/>
                </w:tcPr>
                <w:p w14:paraId="6C7F579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202506022-1-1-1</w:t>
                  </w:r>
                </w:p>
              </w:tc>
              <w:tc>
                <w:tcPr>
                  <w:tcW w:w="1079" w:type="pct"/>
                  <w:vMerge w:val="continue"/>
                  <w:noWrap w:val="0"/>
                  <w:vAlign w:val="center"/>
                </w:tcPr>
                <w:p w14:paraId="7930460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274" w:type="pct"/>
                  <w:vMerge w:val="continue"/>
                  <w:noWrap w:val="0"/>
                  <w:vAlign w:val="center"/>
                </w:tcPr>
                <w:p w14:paraId="62C746FD">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p>
              </w:tc>
            </w:tr>
            <w:tr w14:paraId="3B2B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74CA3E74">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pH值（无量纲）</w:t>
                  </w:r>
                </w:p>
              </w:tc>
              <w:tc>
                <w:tcPr>
                  <w:tcW w:w="856" w:type="pct"/>
                  <w:noWrap w:val="0"/>
                  <w:vAlign w:val="center"/>
                </w:tcPr>
                <w:p w14:paraId="5EED05C4">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7.1</w:t>
                  </w:r>
                </w:p>
              </w:tc>
              <w:tc>
                <w:tcPr>
                  <w:tcW w:w="838" w:type="pct"/>
                  <w:noWrap w:val="0"/>
                  <w:vAlign w:val="center"/>
                </w:tcPr>
                <w:p w14:paraId="44AFDB62">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7.3</w:t>
                  </w:r>
                </w:p>
              </w:tc>
              <w:tc>
                <w:tcPr>
                  <w:tcW w:w="1079" w:type="pct"/>
                  <w:noWrap w:val="0"/>
                  <w:vAlign w:val="center"/>
                </w:tcPr>
                <w:p w14:paraId="6D0783B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w:t>
                  </w:r>
                </w:p>
              </w:tc>
              <w:tc>
                <w:tcPr>
                  <w:tcW w:w="1274" w:type="pct"/>
                  <w:noWrap w:val="0"/>
                  <w:vAlign w:val="center"/>
                </w:tcPr>
                <w:p w14:paraId="6C5F7BB5">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w:t>
                  </w:r>
                </w:p>
              </w:tc>
            </w:tr>
            <w:tr w14:paraId="16FD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5CAC561A">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COD（mg/L）</w:t>
                  </w:r>
                </w:p>
              </w:tc>
              <w:tc>
                <w:tcPr>
                  <w:tcW w:w="856" w:type="pct"/>
                  <w:noWrap w:val="0"/>
                  <w:vAlign w:val="center"/>
                </w:tcPr>
                <w:p w14:paraId="16D8016C">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838" w:type="pct"/>
                  <w:noWrap w:val="0"/>
                  <w:vAlign w:val="center"/>
                </w:tcPr>
                <w:p w14:paraId="6DF1C5B7">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w:t>
                  </w:r>
                </w:p>
              </w:tc>
              <w:tc>
                <w:tcPr>
                  <w:tcW w:w="1079" w:type="pct"/>
                  <w:noWrap w:val="0"/>
                  <w:vAlign w:val="center"/>
                </w:tcPr>
                <w:p w14:paraId="562EFEA5">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1274" w:type="pct"/>
                  <w:noWrap w:val="0"/>
                  <w:vAlign w:val="center"/>
                </w:tcPr>
                <w:p w14:paraId="47F60D1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5178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799CC415">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BOD</w:t>
                  </w:r>
                  <w:r>
                    <w:rPr>
                      <w:rFonts w:hint="eastAsia" w:ascii="Times New Roman" w:hAnsi="Times New Roman" w:cs="Times New Roman"/>
                      <w:color w:val="auto"/>
                      <w:sz w:val="21"/>
                      <w:szCs w:val="21"/>
                      <w:highlight w:val="none"/>
                      <w:vertAlign w:val="subscript"/>
                      <w:lang w:val="en-US" w:eastAsia="zh-CN"/>
                    </w:rPr>
                    <w:t>5</w:t>
                  </w:r>
                  <w:r>
                    <w:rPr>
                      <w:rFonts w:hint="eastAsia" w:ascii="Times New Roman" w:hAnsi="Times New Roman" w:cs="Times New Roman"/>
                      <w:color w:val="auto"/>
                      <w:sz w:val="21"/>
                      <w:szCs w:val="21"/>
                      <w:highlight w:val="none"/>
                      <w:lang w:val="en-US" w:eastAsia="zh-CN"/>
                    </w:rPr>
                    <w:t>（mg/L）</w:t>
                  </w:r>
                </w:p>
              </w:tc>
              <w:tc>
                <w:tcPr>
                  <w:tcW w:w="856" w:type="pct"/>
                  <w:noWrap w:val="0"/>
                  <w:vAlign w:val="center"/>
                </w:tcPr>
                <w:p w14:paraId="472C8B3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838" w:type="pct"/>
                  <w:noWrap w:val="0"/>
                  <w:vAlign w:val="center"/>
                </w:tcPr>
                <w:p w14:paraId="2AA0E133">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6.6</w:t>
                  </w:r>
                </w:p>
              </w:tc>
              <w:tc>
                <w:tcPr>
                  <w:tcW w:w="1079" w:type="pct"/>
                  <w:noWrap w:val="0"/>
                  <w:vAlign w:val="center"/>
                </w:tcPr>
                <w:p w14:paraId="2D0885A6">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1274" w:type="pct"/>
                  <w:noWrap w:val="0"/>
                  <w:vAlign w:val="center"/>
                </w:tcPr>
                <w:p w14:paraId="7E81436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14:paraId="72B0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26B62506">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悬浮物（mg/L）</w:t>
                  </w:r>
                </w:p>
              </w:tc>
              <w:tc>
                <w:tcPr>
                  <w:tcW w:w="856" w:type="pct"/>
                  <w:noWrap w:val="0"/>
                  <w:vAlign w:val="center"/>
                </w:tcPr>
                <w:p w14:paraId="47F38F0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838" w:type="pct"/>
                  <w:noWrap w:val="0"/>
                  <w:vAlign w:val="center"/>
                </w:tcPr>
                <w:p w14:paraId="1EB83DB6">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079" w:type="pct"/>
                  <w:noWrap w:val="0"/>
                  <w:vAlign w:val="center"/>
                </w:tcPr>
                <w:p w14:paraId="74BCA8DD">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1274" w:type="pct"/>
                  <w:noWrap w:val="0"/>
                  <w:vAlign w:val="center"/>
                </w:tcPr>
                <w:p w14:paraId="0865A31A">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3D1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6FD932C4">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总氮（mg/L）</w:t>
                  </w:r>
                </w:p>
              </w:tc>
              <w:tc>
                <w:tcPr>
                  <w:tcW w:w="856" w:type="pct"/>
                  <w:noWrap w:val="0"/>
                  <w:vAlign w:val="center"/>
                </w:tcPr>
                <w:p w14:paraId="784B58F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w:t>
                  </w:r>
                </w:p>
              </w:tc>
              <w:tc>
                <w:tcPr>
                  <w:tcW w:w="838" w:type="pct"/>
                  <w:noWrap w:val="0"/>
                  <w:vAlign w:val="center"/>
                </w:tcPr>
                <w:p w14:paraId="7597C83A">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1.59</w:t>
                  </w:r>
                </w:p>
              </w:tc>
              <w:tc>
                <w:tcPr>
                  <w:tcW w:w="1079" w:type="pct"/>
                  <w:noWrap w:val="0"/>
                  <w:vAlign w:val="center"/>
                </w:tcPr>
                <w:p w14:paraId="5C1E2F57">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1274" w:type="pct"/>
                  <w:noWrap w:val="0"/>
                  <w:vAlign w:val="center"/>
                </w:tcPr>
                <w:p w14:paraId="13379DAD">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721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2B54DC84">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氨氮（mg/L）</w:t>
                  </w:r>
                </w:p>
              </w:tc>
              <w:tc>
                <w:tcPr>
                  <w:tcW w:w="856" w:type="pct"/>
                  <w:noWrap w:val="0"/>
                  <w:vAlign w:val="center"/>
                </w:tcPr>
                <w:p w14:paraId="3C30E434">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1.44</w:t>
                  </w:r>
                </w:p>
              </w:tc>
              <w:tc>
                <w:tcPr>
                  <w:tcW w:w="838" w:type="pct"/>
                  <w:noWrap w:val="0"/>
                  <w:vAlign w:val="center"/>
                </w:tcPr>
                <w:p w14:paraId="48B2107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1.22</w:t>
                  </w:r>
                </w:p>
              </w:tc>
              <w:tc>
                <w:tcPr>
                  <w:tcW w:w="1079" w:type="pct"/>
                  <w:noWrap w:val="0"/>
                  <w:vAlign w:val="center"/>
                </w:tcPr>
                <w:p w14:paraId="75F9226C">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274" w:type="pct"/>
                  <w:noWrap w:val="0"/>
                  <w:vAlign w:val="center"/>
                </w:tcPr>
                <w:p w14:paraId="5559D9A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r>
            <w:tr w14:paraId="7AB7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4E6F034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总磷（mg/L）</w:t>
                  </w:r>
                </w:p>
              </w:tc>
              <w:tc>
                <w:tcPr>
                  <w:tcW w:w="856" w:type="pct"/>
                  <w:noWrap w:val="0"/>
                  <w:vAlign w:val="center"/>
                </w:tcPr>
                <w:p w14:paraId="6B463974">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c>
                <w:tcPr>
                  <w:tcW w:w="838" w:type="pct"/>
                  <w:noWrap w:val="0"/>
                  <w:vAlign w:val="center"/>
                </w:tcPr>
                <w:p w14:paraId="435CBFE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w:t>
                  </w:r>
                </w:p>
              </w:tc>
              <w:tc>
                <w:tcPr>
                  <w:tcW w:w="1079" w:type="pct"/>
                  <w:noWrap w:val="0"/>
                  <w:vAlign w:val="center"/>
                </w:tcPr>
                <w:p w14:paraId="0D69E79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1274" w:type="pct"/>
                  <w:noWrap w:val="0"/>
                  <w:vAlign w:val="center"/>
                </w:tcPr>
                <w:p w14:paraId="16CF3A1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2E04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16F55FFA">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总铬（mg/L）</w:t>
                  </w:r>
                </w:p>
              </w:tc>
              <w:tc>
                <w:tcPr>
                  <w:tcW w:w="856" w:type="pct"/>
                  <w:noWrap w:val="0"/>
                  <w:vAlign w:val="center"/>
                </w:tcPr>
                <w:p w14:paraId="339879EC">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0.006</w:t>
                  </w:r>
                </w:p>
              </w:tc>
              <w:tc>
                <w:tcPr>
                  <w:tcW w:w="838" w:type="pct"/>
                  <w:noWrap w:val="0"/>
                  <w:vAlign w:val="center"/>
                </w:tcPr>
                <w:p w14:paraId="5E6C6F34">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0.004</w:t>
                  </w:r>
                </w:p>
              </w:tc>
              <w:tc>
                <w:tcPr>
                  <w:tcW w:w="1079" w:type="pct"/>
                  <w:noWrap w:val="0"/>
                  <w:vAlign w:val="center"/>
                </w:tcPr>
                <w:p w14:paraId="27708C7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c>
                <w:tcPr>
                  <w:tcW w:w="1274" w:type="pct"/>
                  <w:noWrap w:val="0"/>
                  <w:vAlign w:val="center"/>
                </w:tcPr>
                <w:p w14:paraId="62A78712">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6DC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32D0D33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六价铬（mg/L）</w:t>
                  </w:r>
                </w:p>
              </w:tc>
              <w:tc>
                <w:tcPr>
                  <w:tcW w:w="856" w:type="pct"/>
                  <w:noWrap w:val="0"/>
                  <w:vAlign w:val="center"/>
                </w:tcPr>
                <w:p w14:paraId="54E0E4C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0.004L</w:t>
                  </w:r>
                </w:p>
              </w:tc>
              <w:tc>
                <w:tcPr>
                  <w:tcW w:w="838" w:type="pct"/>
                  <w:noWrap w:val="0"/>
                  <w:vAlign w:val="center"/>
                </w:tcPr>
                <w:p w14:paraId="3DB33B16">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0.004L</w:t>
                  </w:r>
                </w:p>
              </w:tc>
              <w:tc>
                <w:tcPr>
                  <w:tcW w:w="1079" w:type="pct"/>
                  <w:noWrap w:val="0"/>
                  <w:vAlign w:val="center"/>
                </w:tcPr>
                <w:p w14:paraId="77C7F4D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w:t>
                  </w:r>
                </w:p>
              </w:tc>
              <w:tc>
                <w:tcPr>
                  <w:tcW w:w="1274" w:type="pct"/>
                  <w:noWrap w:val="0"/>
                  <w:vAlign w:val="center"/>
                </w:tcPr>
                <w:p w14:paraId="51D7C56D">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863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00FF8BC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粪大肠菌群（mg/L）</w:t>
                  </w:r>
                </w:p>
              </w:tc>
              <w:tc>
                <w:tcPr>
                  <w:tcW w:w="856" w:type="pct"/>
                  <w:noWrap w:val="0"/>
                  <w:vAlign w:val="center"/>
                </w:tcPr>
                <w:p w14:paraId="0A3F886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w:t>
                  </w:r>
                </w:p>
              </w:tc>
              <w:tc>
                <w:tcPr>
                  <w:tcW w:w="838" w:type="pct"/>
                  <w:noWrap w:val="0"/>
                  <w:vAlign w:val="center"/>
                </w:tcPr>
                <w:p w14:paraId="6B022BF4">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1079" w:type="pct"/>
                  <w:noWrap w:val="0"/>
                  <w:vAlign w:val="center"/>
                </w:tcPr>
                <w:p w14:paraId="16C82BD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1000</w:t>
                  </w:r>
                </w:p>
              </w:tc>
              <w:tc>
                <w:tcPr>
                  <w:tcW w:w="1274" w:type="pct"/>
                  <w:noWrap w:val="0"/>
                  <w:vAlign w:val="center"/>
                </w:tcPr>
                <w:p w14:paraId="141AFEE2">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BF6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00BAB92D">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色度（倍）</w:t>
                  </w:r>
                </w:p>
              </w:tc>
              <w:tc>
                <w:tcPr>
                  <w:tcW w:w="856" w:type="pct"/>
                  <w:noWrap w:val="0"/>
                  <w:vAlign w:val="center"/>
                </w:tcPr>
                <w:p w14:paraId="44C403B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838" w:type="pct"/>
                  <w:noWrap w:val="0"/>
                  <w:vAlign w:val="center"/>
                </w:tcPr>
                <w:p w14:paraId="6FF06C76">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1079" w:type="pct"/>
                  <w:noWrap w:val="0"/>
                  <w:vAlign w:val="center"/>
                </w:tcPr>
                <w:p w14:paraId="31D2F66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c>
                <w:tcPr>
                  <w:tcW w:w="1274" w:type="pct"/>
                  <w:noWrap w:val="0"/>
                  <w:vAlign w:val="center"/>
                </w:tcPr>
                <w:p w14:paraId="54EB1E75">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r>
            <w:tr w14:paraId="2EBD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40FE32E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阴离子表面活性剂（mg/L）</w:t>
                  </w:r>
                </w:p>
              </w:tc>
              <w:tc>
                <w:tcPr>
                  <w:tcW w:w="856" w:type="pct"/>
                  <w:noWrap w:val="0"/>
                  <w:vAlign w:val="center"/>
                </w:tcPr>
                <w:p w14:paraId="39B90E6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0.05L</w:t>
                  </w:r>
                </w:p>
              </w:tc>
              <w:tc>
                <w:tcPr>
                  <w:tcW w:w="838" w:type="pct"/>
                  <w:noWrap w:val="0"/>
                  <w:vAlign w:val="center"/>
                </w:tcPr>
                <w:p w14:paraId="65FC975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0.05L</w:t>
                  </w:r>
                </w:p>
              </w:tc>
              <w:tc>
                <w:tcPr>
                  <w:tcW w:w="1079" w:type="pct"/>
                  <w:noWrap w:val="0"/>
                  <w:vAlign w:val="center"/>
                </w:tcPr>
                <w:p w14:paraId="4D6254A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1274" w:type="pct"/>
                  <w:noWrap w:val="0"/>
                  <w:vAlign w:val="center"/>
                </w:tcPr>
                <w:p w14:paraId="31F46EA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r>
            <w:tr w14:paraId="1683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noWrap w:val="0"/>
                  <w:vAlign w:val="center"/>
                </w:tcPr>
                <w:p w14:paraId="25CFC9BE">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石油类（mg/L）</w:t>
                  </w:r>
                </w:p>
              </w:tc>
              <w:tc>
                <w:tcPr>
                  <w:tcW w:w="856" w:type="pct"/>
                  <w:noWrap w:val="0"/>
                  <w:vAlign w:val="center"/>
                </w:tcPr>
                <w:p w14:paraId="07F2C455">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0.32</w:t>
                  </w:r>
                </w:p>
              </w:tc>
              <w:tc>
                <w:tcPr>
                  <w:tcW w:w="838" w:type="pct"/>
                  <w:noWrap w:val="0"/>
                  <w:vAlign w:val="center"/>
                </w:tcPr>
                <w:p w14:paraId="6AC13B7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0.10</w:t>
                  </w:r>
                </w:p>
              </w:tc>
              <w:tc>
                <w:tcPr>
                  <w:tcW w:w="1079" w:type="pct"/>
                  <w:noWrap w:val="0"/>
                  <w:vAlign w:val="center"/>
                </w:tcPr>
                <w:p w14:paraId="2877BC77">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274" w:type="pct"/>
                  <w:noWrap w:val="0"/>
                  <w:vAlign w:val="center"/>
                </w:tcPr>
                <w:p w14:paraId="41EA780D">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F05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shd w:val="clear" w:color="auto" w:fill="auto"/>
                  <w:noWrap w:val="0"/>
                  <w:vAlign w:val="center"/>
                </w:tcPr>
                <w:p w14:paraId="40480282">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动植物油类（mg/L）</w:t>
                  </w:r>
                </w:p>
              </w:tc>
              <w:tc>
                <w:tcPr>
                  <w:tcW w:w="856" w:type="pct"/>
                  <w:noWrap w:val="0"/>
                  <w:vAlign w:val="center"/>
                </w:tcPr>
                <w:p w14:paraId="07A29BE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0.48</w:t>
                  </w:r>
                </w:p>
              </w:tc>
              <w:tc>
                <w:tcPr>
                  <w:tcW w:w="838" w:type="pct"/>
                  <w:noWrap w:val="0"/>
                  <w:vAlign w:val="center"/>
                </w:tcPr>
                <w:p w14:paraId="7EE2073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0.06L</w:t>
                  </w:r>
                </w:p>
              </w:tc>
              <w:tc>
                <w:tcPr>
                  <w:tcW w:w="1079" w:type="pct"/>
                  <w:noWrap w:val="0"/>
                  <w:vAlign w:val="center"/>
                </w:tcPr>
                <w:p w14:paraId="28EF77E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274" w:type="pct"/>
                  <w:noWrap w:val="0"/>
                  <w:vAlign w:val="center"/>
                </w:tcPr>
                <w:p w14:paraId="7FA33247">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4D8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shd w:val="clear" w:color="auto" w:fill="auto"/>
                  <w:noWrap w:val="0"/>
                  <w:vAlign w:val="center"/>
                </w:tcPr>
                <w:p w14:paraId="1004F5E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砷（mg/L）</w:t>
                  </w:r>
                </w:p>
              </w:tc>
              <w:tc>
                <w:tcPr>
                  <w:tcW w:w="856" w:type="pct"/>
                  <w:noWrap w:val="0"/>
                  <w:vAlign w:val="center"/>
                </w:tcPr>
                <w:p w14:paraId="11E4558D">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0.0006</w:t>
                  </w:r>
                </w:p>
              </w:tc>
              <w:tc>
                <w:tcPr>
                  <w:tcW w:w="838" w:type="pct"/>
                  <w:noWrap w:val="0"/>
                  <w:vAlign w:val="center"/>
                </w:tcPr>
                <w:p w14:paraId="1502F207">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0.0024</w:t>
                  </w:r>
                </w:p>
              </w:tc>
              <w:tc>
                <w:tcPr>
                  <w:tcW w:w="1079" w:type="pct"/>
                  <w:noWrap w:val="0"/>
                  <w:vAlign w:val="center"/>
                </w:tcPr>
                <w:p w14:paraId="57F03C5B">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c>
                <w:tcPr>
                  <w:tcW w:w="1274" w:type="pct"/>
                  <w:noWrap w:val="0"/>
                  <w:vAlign w:val="center"/>
                </w:tcPr>
                <w:p w14:paraId="1CEEA1A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0455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shd w:val="clear" w:color="auto" w:fill="auto"/>
                  <w:noWrap w:val="0"/>
                  <w:vAlign w:val="center"/>
                </w:tcPr>
                <w:p w14:paraId="7556AF33">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汞（mg/L）</w:t>
                  </w:r>
                </w:p>
              </w:tc>
              <w:tc>
                <w:tcPr>
                  <w:tcW w:w="856" w:type="pct"/>
                  <w:noWrap w:val="0"/>
                  <w:vAlign w:val="center"/>
                </w:tcPr>
                <w:p w14:paraId="5D947830">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0.00005</w:t>
                  </w:r>
                </w:p>
              </w:tc>
              <w:tc>
                <w:tcPr>
                  <w:tcW w:w="838" w:type="pct"/>
                  <w:noWrap w:val="0"/>
                  <w:vAlign w:val="center"/>
                </w:tcPr>
                <w:p w14:paraId="0ECE523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0.00008</w:t>
                  </w:r>
                </w:p>
              </w:tc>
              <w:tc>
                <w:tcPr>
                  <w:tcW w:w="1079" w:type="pct"/>
                  <w:noWrap w:val="0"/>
                  <w:vAlign w:val="center"/>
                </w:tcPr>
                <w:p w14:paraId="7BE9E5E3">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w:t>
                  </w:r>
                </w:p>
              </w:tc>
              <w:tc>
                <w:tcPr>
                  <w:tcW w:w="1274" w:type="pct"/>
                  <w:noWrap w:val="0"/>
                  <w:vAlign w:val="center"/>
                </w:tcPr>
                <w:p w14:paraId="6C38F797">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416C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shd w:val="clear" w:color="auto" w:fill="auto"/>
                  <w:noWrap w:val="0"/>
                  <w:vAlign w:val="center"/>
                </w:tcPr>
                <w:p w14:paraId="39BA8A2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铅（mg/L）</w:t>
                  </w:r>
                </w:p>
              </w:tc>
              <w:tc>
                <w:tcPr>
                  <w:tcW w:w="856" w:type="pct"/>
                  <w:noWrap w:val="0"/>
                  <w:vAlign w:val="center"/>
                </w:tcPr>
                <w:p w14:paraId="541BC86C">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0.002</w:t>
                  </w:r>
                </w:p>
              </w:tc>
              <w:tc>
                <w:tcPr>
                  <w:tcW w:w="838" w:type="pct"/>
                  <w:noWrap w:val="0"/>
                  <w:vAlign w:val="center"/>
                </w:tcPr>
                <w:p w14:paraId="18632115">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w:t>
                  </w:r>
                </w:p>
              </w:tc>
              <w:tc>
                <w:tcPr>
                  <w:tcW w:w="1079" w:type="pct"/>
                  <w:noWrap w:val="0"/>
                  <w:vAlign w:val="center"/>
                </w:tcPr>
                <w:p w14:paraId="62A9DBB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c>
                <w:tcPr>
                  <w:tcW w:w="1274" w:type="pct"/>
                  <w:noWrap w:val="0"/>
                  <w:vAlign w:val="center"/>
                </w:tcPr>
                <w:p w14:paraId="715D8911">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4077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1" w:type="pct"/>
                  <w:shd w:val="clear" w:color="auto" w:fill="auto"/>
                  <w:noWrap w:val="0"/>
                  <w:vAlign w:val="center"/>
                </w:tcPr>
                <w:p w14:paraId="50EE1B1F">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镉（mg/L）</w:t>
                  </w:r>
                </w:p>
              </w:tc>
              <w:tc>
                <w:tcPr>
                  <w:tcW w:w="856" w:type="pct"/>
                  <w:noWrap w:val="0"/>
                  <w:vAlign w:val="center"/>
                </w:tcPr>
                <w:p w14:paraId="55B97EE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0.0001L</w:t>
                  </w:r>
                </w:p>
              </w:tc>
              <w:tc>
                <w:tcPr>
                  <w:tcW w:w="838" w:type="pct"/>
                  <w:noWrap w:val="0"/>
                  <w:vAlign w:val="center"/>
                </w:tcPr>
                <w:p w14:paraId="39208079">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0.0001</w:t>
                  </w:r>
                </w:p>
              </w:tc>
              <w:tc>
                <w:tcPr>
                  <w:tcW w:w="1079" w:type="pct"/>
                  <w:noWrap w:val="0"/>
                  <w:vAlign w:val="center"/>
                </w:tcPr>
                <w:p w14:paraId="0EB10FAC">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c>
                <w:tcPr>
                  <w:tcW w:w="1274" w:type="pct"/>
                  <w:noWrap w:val="0"/>
                  <w:vAlign w:val="center"/>
                </w:tcPr>
                <w:p w14:paraId="73BB19C8">
                  <w:pPr>
                    <w:pStyle w:val="6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94A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000" w:type="pct"/>
                  <w:gridSpan w:val="5"/>
                  <w:noWrap w:val="0"/>
                  <w:vAlign w:val="center"/>
                </w:tcPr>
                <w:p w14:paraId="108ACBCD">
                  <w:pPr>
                    <w:pStyle w:val="62"/>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备注：1.“检出限+L”表示检测结果低于分析方法检出限；</w:t>
                  </w:r>
                </w:p>
                <w:p w14:paraId="0D427A6E">
                  <w:pPr>
                    <w:pStyle w:val="62"/>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2.参考标准：《生活垃圾填埋场控制标准》（GB16889-2024）表2标准、《城镇污水处理厂》</w:t>
                  </w:r>
                </w:p>
              </w:tc>
            </w:tr>
          </w:tbl>
          <w:p w14:paraId="3A8090A2">
            <w:pPr>
              <w:spacing w:line="360" w:lineRule="auto"/>
              <w:ind w:firstLine="482" w:firstLineChars="200"/>
              <w:rPr>
                <w:rFonts w:hint="eastAsia" w:ascii="Times New Roman" w:hAnsi="Times New Roman" w:eastAsia="宋体" w:cs="Times New Roman"/>
                <w:b/>
                <w:bCs/>
                <w:color w:val="auto"/>
                <w:sz w:val="24"/>
                <w:szCs w:val="24"/>
                <w:highlight w:val="none"/>
                <w:lang w:eastAsia="zh-CN"/>
              </w:rPr>
            </w:pPr>
            <w:r>
              <w:rPr>
                <w:rFonts w:hint="eastAsia" w:eastAsia="宋体" w:cs="Times New Roman"/>
                <w:b/>
                <w:bCs/>
                <w:color w:val="auto"/>
                <w:sz w:val="24"/>
                <w:szCs w:val="24"/>
                <w:highlight w:val="none"/>
                <w:lang w:eastAsia="zh-CN"/>
              </w:rPr>
              <w:t>四</w:t>
            </w:r>
            <w:r>
              <w:rPr>
                <w:rFonts w:hint="eastAsia" w:ascii="Times New Roman" w:hAnsi="Times New Roman" w:eastAsia="宋体" w:cs="Times New Roman"/>
                <w:b/>
                <w:bCs/>
                <w:color w:val="auto"/>
                <w:sz w:val="24"/>
                <w:szCs w:val="24"/>
                <w:highlight w:val="none"/>
                <w:lang w:eastAsia="zh-CN"/>
              </w:rPr>
              <w:t>、现有项目污染物排放情况</w:t>
            </w:r>
          </w:p>
          <w:p w14:paraId="470D693B">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eastAsia="宋体" w:cs="Times New Roman"/>
                <w:color w:val="auto"/>
                <w:sz w:val="24"/>
                <w:szCs w:val="24"/>
                <w:highlight w:val="none"/>
                <w:lang w:eastAsia="zh-CN"/>
              </w:rPr>
              <w:t>澄江市污水处理厂</w:t>
            </w:r>
            <w:r>
              <w:rPr>
                <w:rFonts w:hint="eastAsia" w:ascii="Times New Roman" w:hAnsi="Times New Roman" w:eastAsia="宋体" w:cs="Times New Roman"/>
                <w:color w:val="auto"/>
                <w:sz w:val="24"/>
                <w:szCs w:val="24"/>
                <w:highlight w:val="none"/>
                <w:lang w:eastAsia="zh-CN"/>
              </w:rPr>
              <w:t>现有污染物排放主要为</w:t>
            </w:r>
            <w:r>
              <w:rPr>
                <w:rFonts w:hint="eastAsia" w:eastAsia="宋体" w:cs="Times New Roman"/>
                <w:color w:val="auto"/>
                <w:sz w:val="24"/>
                <w:szCs w:val="24"/>
                <w:highlight w:val="none"/>
                <w:lang w:eastAsia="zh-CN"/>
              </w:rPr>
              <w:t>恶臭、</w:t>
            </w:r>
            <w:r>
              <w:rPr>
                <w:rFonts w:hint="eastAsia" w:ascii="Times New Roman" w:hAnsi="Times New Roman" w:eastAsia="宋体" w:cs="Times New Roman"/>
                <w:color w:val="auto"/>
                <w:sz w:val="24"/>
                <w:szCs w:val="24"/>
                <w:highlight w:val="none"/>
                <w:lang w:eastAsia="zh-CN"/>
              </w:rPr>
              <w:t>处理后的</w:t>
            </w:r>
            <w:r>
              <w:rPr>
                <w:rFonts w:hint="eastAsia" w:eastAsia="宋体" w:cs="Times New Roman"/>
                <w:color w:val="auto"/>
                <w:sz w:val="24"/>
                <w:szCs w:val="24"/>
                <w:highlight w:val="none"/>
                <w:lang w:eastAsia="zh-CN"/>
              </w:rPr>
              <w:t>尾水</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浓缩液</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噪声、</w:t>
            </w:r>
            <w:r>
              <w:rPr>
                <w:rFonts w:hint="eastAsia" w:ascii="Times New Roman" w:hAnsi="Times New Roman" w:eastAsia="宋体" w:cs="Times New Roman"/>
                <w:color w:val="auto"/>
                <w:sz w:val="24"/>
                <w:szCs w:val="24"/>
                <w:highlight w:val="none"/>
                <w:lang w:eastAsia="zh-CN"/>
              </w:rPr>
              <w:t>生活垃圾等。现有项目污染物排放情况如下。</w:t>
            </w:r>
          </w:p>
          <w:p w14:paraId="339694BD">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1、废气</w:t>
            </w:r>
          </w:p>
          <w:p w14:paraId="63C7D050">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sz w:val="24"/>
                <w:szCs w:val="24"/>
                <w:highlight w:val="none"/>
              </w:rPr>
            </w:pPr>
            <w:r>
              <w:rPr>
                <w:rFonts w:hint="eastAsia" w:cs="Times New Roman"/>
                <w:color w:val="auto"/>
                <w:sz w:val="24"/>
                <w:szCs w:val="24"/>
                <w:highlight w:val="none"/>
                <w:lang w:val="en-US" w:eastAsia="zh-CN"/>
              </w:rPr>
              <w:t>大山生活垃圾填埋场至今租用两</w:t>
            </w:r>
            <w:r>
              <w:rPr>
                <w:rFonts w:hint="default" w:ascii="Times New Roman" w:hAnsi="Times New Roman" w:cs="Times New Roman"/>
                <w:color w:val="auto"/>
                <w:sz w:val="24"/>
                <w:szCs w:val="24"/>
                <w:highlight w:val="none"/>
                <w:lang w:val="en-US" w:eastAsia="zh-CN"/>
              </w:rPr>
              <w:t>套日处理量各为100吨/天的集装箱式两级DTRO设备处理填埋场渗滤液（1用1备）</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产生的恶臭主要来自</w:t>
            </w:r>
            <w:r>
              <w:rPr>
                <w:rFonts w:hint="eastAsia" w:ascii="Times New Roman" w:hAnsi="Times New Roman" w:cs="Times New Roman"/>
                <w:color w:val="auto"/>
                <w:sz w:val="24"/>
                <w:szCs w:val="24"/>
                <w:highlight w:val="none"/>
                <w:lang w:val="en-US" w:eastAsia="zh-CN"/>
              </w:rPr>
              <w:t>调节池、原水储罐、各处理单元</w:t>
            </w:r>
            <w:r>
              <w:rPr>
                <w:rFonts w:hint="eastAsia" w:eastAsia="宋体"/>
                <w:color w:val="auto"/>
                <w:sz w:val="24"/>
                <w:szCs w:val="24"/>
                <w:highlight w:val="none"/>
                <w:lang w:val="en-US" w:eastAsia="zh-CN"/>
              </w:rPr>
              <w:t>。恶臭</w:t>
            </w:r>
            <w:r>
              <w:rPr>
                <w:rFonts w:hint="default" w:ascii="Times New Roman" w:hAnsi="Times New Roman" w:eastAsia="宋体" w:cs="Times New Roman"/>
                <w:color w:val="auto"/>
                <w:sz w:val="24"/>
                <w:szCs w:val="24"/>
                <w:highlight w:val="none"/>
                <w:lang w:val="en-US" w:eastAsia="zh-CN"/>
              </w:rPr>
              <w:t>气体主要成分为 H</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S、NH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，还有甲硫醇、甲基硫、甲基化二硫、三甲胺、苯乙烯乙醛等物质，其中浓度较高的为NH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和H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lang w:val="en-US" w:eastAsia="zh-CN"/>
              </w:rPr>
              <w:t>项目恶臭气体无组织排放</w:t>
            </w:r>
            <w:r>
              <w:rPr>
                <w:rFonts w:hint="default" w:ascii="Times New Roman" w:hAnsi="Times New Roman" w:cs="Times New Roman"/>
                <w:b w:val="0"/>
                <w:bCs/>
                <w:color w:val="auto"/>
                <w:sz w:val="24"/>
                <w:szCs w:val="24"/>
                <w:highlight w:val="none"/>
              </w:rPr>
              <w:t>。</w:t>
            </w:r>
          </w:p>
          <w:p w14:paraId="1CCCDAF2">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highlight w:val="none"/>
              </w:rPr>
              <w:t>参照美国EPA对城市污水处理厂恶臭污染物产生情况的研究:每处理1gBOD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可产生NH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:0.0031g、H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S:0.00012g。现有项目BOD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进水浓度约为3500mg/L，出水浓度为10mg/L，现有渗滤液处理站最大处理量为100m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/d，本项目BOD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最大削减量为127.385t/a，则废气无组织排放量为 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:0.395t/a、H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S:0.015t/a。</w:t>
            </w:r>
          </w:p>
          <w:p w14:paraId="46CD9A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 w:val="24"/>
                <w:szCs w:val="24"/>
                <w:highlight w:val="none"/>
              </w:rPr>
            </w:pPr>
            <w:r>
              <w:rPr>
                <w:rFonts w:hint="eastAsia" w:ascii="Times New Roman" w:hAnsi="Times New Roman" w:eastAsia="宋体" w:cs="Times New Roman"/>
                <w:color w:val="auto"/>
                <w:sz w:val="24"/>
                <w:szCs w:val="24"/>
                <w:highlight w:val="none"/>
                <w:lang w:eastAsia="zh-CN"/>
              </w:rPr>
              <w:t>根据现场踏勘，</w:t>
            </w:r>
            <w:r>
              <w:rPr>
                <w:rFonts w:hint="eastAsia" w:cs="Times New Roman"/>
                <w:color w:val="auto"/>
                <w:sz w:val="24"/>
                <w:szCs w:val="24"/>
                <w:highlight w:val="none"/>
                <w:lang w:val="en-US" w:eastAsia="zh-CN"/>
              </w:rPr>
              <w:t>大山生活垃圾填埋场一期填埋已封场，渗滤液处理站出水设有脱气塔</w:t>
            </w:r>
            <w:r>
              <w:rPr>
                <w:rFonts w:hint="eastAsia" w:ascii="Times New Roman" w:hAnsi="Times New Roman" w:eastAsia="宋体" w:cs="Times New Roman"/>
                <w:color w:val="auto"/>
                <w:sz w:val="24"/>
                <w:szCs w:val="24"/>
                <w:highlight w:val="none"/>
                <w:lang w:eastAsia="zh-CN"/>
              </w:rPr>
              <w:t>，厂区边界无明显异味。</w:t>
            </w:r>
            <w:r>
              <w:rPr>
                <w:rFonts w:hint="eastAsia" w:cs="Times New Roman"/>
                <w:color w:val="auto"/>
                <w:sz w:val="24"/>
                <w:szCs w:val="24"/>
                <w:highlight w:val="none"/>
                <w:lang w:val="en-US" w:eastAsia="zh-CN"/>
              </w:rPr>
              <w:t>根据</w:t>
            </w:r>
            <w:r>
              <w:rPr>
                <w:rFonts w:hint="eastAsia" w:ascii="Times New Roman" w:hAnsi="Times New Roman" w:cs="Times New Roman"/>
                <w:color w:val="auto"/>
                <w:sz w:val="24"/>
                <w:szCs w:val="20"/>
                <w:highlight w:val="none"/>
                <w:lang w:eastAsia="zh-CN"/>
              </w:rPr>
              <w:t>建设单位</w:t>
            </w:r>
            <w:r>
              <w:rPr>
                <w:rFonts w:hint="eastAsia" w:cs="Times New Roman"/>
                <w:color w:val="auto"/>
                <w:sz w:val="24"/>
                <w:szCs w:val="20"/>
                <w:highlight w:val="none"/>
                <w:lang w:val="en-US" w:eastAsia="zh-CN"/>
              </w:rPr>
              <w:t>提供的《澄江市大山生活垃圾填埋场2025年5月及第二季度自行检测报告》，2025年5月23日云南中科检测技术有限公司</w:t>
            </w:r>
            <w:r>
              <w:rPr>
                <w:rFonts w:hint="eastAsia" w:ascii="Times New Roman" w:hAnsi="Times New Roman" w:cs="Times New Roman"/>
                <w:color w:val="auto"/>
                <w:sz w:val="24"/>
                <w:szCs w:val="20"/>
                <w:highlight w:val="none"/>
                <w:lang w:val="en-US" w:eastAsia="zh-CN"/>
              </w:rPr>
              <w:t>对</w:t>
            </w:r>
            <w:r>
              <w:rPr>
                <w:rFonts w:hint="eastAsia" w:ascii="Times New Roman" w:hAnsi="Times New Roman"/>
                <w:color w:val="auto"/>
                <w:kern w:val="24"/>
                <w:sz w:val="24"/>
                <w:szCs w:val="24"/>
                <w:highlight w:val="none"/>
                <w:lang w:eastAsia="zh-CN"/>
              </w:rPr>
              <w:t>厂区上风向及下风向氨、硫化氢、臭气浓度进行了监测（详见附件</w:t>
            </w:r>
            <w:r>
              <w:rPr>
                <w:rFonts w:hint="eastAsia" w:ascii="Times New Roman" w:hAnsi="Times New Roman"/>
                <w:color w:val="auto"/>
                <w:kern w:val="24"/>
                <w:sz w:val="24"/>
                <w:szCs w:val="24"/>
                <w:highlight w:val="none"/>
                <w:lang w:val="en-US" w:eastAsia="zh-CN"/>
              </w:rPr>
              <w:t>10</w:t>
            </w:r>
            <w:r>
              <w:rPr>
                <w:rFonts w:hint="eastAsia" w:ascii="Times New Roman" w:hAnsi="Times New Roman"/>
                <w:color w:val="auto"/>
                <w:kern w:val="24"/>
                <w:sz w:val="24"/>
                <w:szCs w:val="24"/>
                <w:highlight w:val="none"/>
                <w:lang w:eastAsia="zh-CN"/>
              </w:rPr>
              <w:t>），根据监测结果，</w:t>
            </w:r>
            <w:r>
              <w:rPr>
                <w:rFonts w:hint="eastAsia" w:cs="Times New Roman"/>
                <w:color w:val="auto"/>
                <w:sz w:val="24"/>
                <w:szCs w:val="24"/>
                <w:highlight w:val="none"/>
                <w:lang w:val="en-US" w:eastAsia="zh-CN"/>
              </w:rPr>
              <w:t>大山生活垃圾填埋场</w:t>
            </w:r>
            <w:r>
              <w:rPr>
                <w:rFonts w:hint="eastAsia" w:ascii="Times New Roman" w:hAnsi="Times New Roman" w:eastAsia="Calibri" w:cs="Times New Roman"/>
                <w:color w:val="auto"/>
                <w:kern w:val="0"/>
                <w:sz w:val="24"/>
                <w:szCs w:val="24"/>
                <w:highlight w:val="none"/>
                <w:lang w:val="en-US" w:eastAsia="zh-CN" w:bidi="ar-SA"/>
              </w:rPr>
              <w:t>厂区上风向、下风向氨气浓度为0.0</w:t>
            </w:r>
            <w:r>
              <w:rPr>
                <w:rFonts w:hint="eastAsia" w:eastAsia="Calibri" w:cs="Times New Roman"/>
                <w:color w:val="auto"/>
                <w:kern w:val="0"/>
                <w:sz w:val="24"/>
                <w:szCs w:val="24"/>
                <w:highlight w:val="none"/>
                <w:lang w:val="en-US" w:eastAsia="zh-CN" w:bidi="ar-SA"/>
              </w:rPr>
              <w:t>5</w:t>
            </w:r>
            <w:r>
              <w:rPr>
                <w:rFonts w:hint="eastAsia" w:ascii="Times New Roman" w:hAnsi="Times New Roman" w:eastAsia="Calibri" w:cs="Times New Roman"/>
                <w:color w:val="auto"/>
                <w:kern w:val="0"/>
                <w:sz w:val="24"/>
                <w:szCs w:val="24"/>
                <w:highlight w:val="none"/>
                <w:lang w:val="en-US" w:eastAsia="zh-CN" w:bidi="ar-SA"/>
              </w:rPr>
              <w:t>~0.</w:t>
            </w:r>
            <w:r>
              <w:rPr>
                <w:rFonts w:hint="eastAsia" w:eastAsia="Calibri" w:cs="Times New Roman"/>
                <w:color w:val="auto"/>
                <w:kern w:val="0"/>
                <w:sz w:val="24"/>
                <w:szCs w:val="24"/>
                <w:highlight w:val="none"/>
                <w:lang w:val="en-US" w:eastAsia="zh-CN" w:bidi="ar-SA"/>
              </w:rPr>
              <w:t>37</w:t>
            </w:r>
            <w:r>
              <w:rPr>
                <w:rFonts w:hint="eastAsia" w:ascii="Times New Roman" w:hAnsi="Times New Roman" w:eastAsia="Calibri" w:cs="Times New Roman"/>
                <w:color w:val="auto"/>
                <w:kern w:val="0"/>
                <w:sz w:val="24"/>
                <w:szCs w:val="24"/>
                <w:highlight w:val="none"/>
                <w:lang w:val="en-US" w:eastAsia="zh-CN" w:bidi="ar-SA"/>
              </w:rPr>
              <w:t>mg/m</w:t>
            </w:r>
            <w:r>
              <w:rPr>
                <w:rFonts w:hint="eastAsia" w:ascii="Times New Roman" w:hAnsi="Times New Roman" w:eastAsia="Calibri" w:cs="Times New Roman"/>
                <w:color w:val="auto"/>
                <w:kern w:val="0"/>
                <w:sz w:val="24"/>
                <w:szCs w:val="24"/>
                <w:highlight w:val="none"/>
                <w:vertAlign w:val="superscript"/>
                <w:lang w:val="en-US" w:eastAsia="zh-CN" w:bidi="ar-SA"/>
              </w:rPr>
              <w:t>3</w:t>
            </w:r>
            <w:r>
              <w:rPr>
                <w:rFonts w:hint="eastAsia" w:ascii="Times New Roman" w:hAnsi="Times New Roman" w:eastAsia="Calibri" w:cs="Times New Roman"/>
                <w:color w:val="auto"/>
                <w:kern w:val="0"/>
                <w:sz w:val="24"/>
                <w:szCs w:val="24"/>
                <w:highlight w:val="none"/>
                <w:lang w:val="en-US" w:eastAsia="zh-CN" w:bidi="ar-SA"/>
              </w:rPr>
              <w:t>，硫化氢浓度为0.00</w:t>
            </w:r>
            <w:r>
              <w:rPr>
                <w:rFonts w:hint="eastAsia" w:eastAsia="Calibri" w:cs="Times New Roman"/>
                <w:color w:val="auto"/>
                <w:kern w:val="0"/>
                <w:sz w:val="24"/>
                <w:szCs w:val="24"/>
                <w:highlight w:val="none"/>
                <w:lang w:val="en-US" w:eastAsia="zh-CN" w:bidi="ar-SA"/>
              </w:rPr>
              <w:t>7</w:t>
            </w:r>
            <w:r>
              <w:rPr>
                <w:rFonts w:hint="eastAsia" w:ascii="Times New Roman" w:hAnsi="Times New Roman" w:eastAsia="Calibri" w:cs="Times New Roman"/>
                <w:color w:val="auto"/>
                <w:kern w:val="0"/>
                <w:sz w:val="24"/>
                <w:szCs w:val="24"/>
                <w:highlight w:val="none"/>
                <w:lang w:val="en-US" w:eastAsia="zh-CN" w:bidi="ar-SA"/>
              </w:rPr>
              <w:t>~0.</w:t>
            </w:r>
            <w:r>
              <w:rPr>
                <w:rFonts w:hint="eastAsia" w:eastAsia="Calibri" w:cs="Times New Roman"/>
                <w:color w:val="auto"/>
                <w:kern w:val="0"/>
                <w:sz w:val="24"/>
                <w:szCs w:val="24"/>
                <w:highlight w:val="none"/>
                <w:lang w:val="en-US" w:eastAsia="zh-CN" w:bidi="ar-SA"/>
              </w:rPr>
              <w:t>022</w:t>
            </w:r>
            <w:r>
              <w:rPr>
                <w:rFonts w:hint="eastAsia" w:ascii="Times New Roman" w:hAnsi="Times New Roman" w:eastAsia="Calibri" w:cs="Times New Roman"/>
                <w:color w:val="auto"/>
                <w:kern w:val="0"/>
                <w:sz w:val="24"/>
                <w:szCs w:val="24"/>
                <w:highlight w:val="none"/>
                <w:lang w:val="en-US" w:eastAsia="zh-CN" w:bidi="ar-SA"/>
              </w:rPr>
              <w:t>mg/m</w:t>
            </w:r>
            <w:r>
              <w:rPr>
                <w:rFonts w:hint="eastAsia" w:ascii="Times New Roman" w:hAnsi="Times New Roman" w:eastAsia="Calibri" w:cs="Times New Roman"/>
                <w:color w:val="auto"/>
                <w:kern w:val="0"/>
                <w:sz w:val="24"/>
                <w:szCs w:val="24"/>
                <w:highlight w:val="none"/>
                <w:vertAlign w:val="superscript"/>
                <w:lang w:val="en-US" w:eastAsia="zh-CN" w:bidi="ar-SA"/>
              </w:rPr>
              <w:t>3</w:t>
            </w:r>
            <w:r>
              <w:rPr>
                <w:rFonts w:hint="eastAsia" w:ascii="Times New Roman" w:hAnsi="Times New Roman" w:eastAsia="Calibri" w:cs="Times New Roman"/>
                <w:color w:val="auto"/>
                <w:kern w:val="0"/>
                <w:sz w:val="24"/>
                <w:szCs w:val="24"/>
                <w:highlight w:val="none"/>
                <w:lang w:val="en-US" w:eastAsia="zh-CN" w:bidi="ar-SA"/>
              </w:rPr>
              <w:t>，臭气浓度为</w:t>
            </w:r>
            <w:r>
              <w:rPr>
                <w:rFonts w:hint="eastAsia" w:eastAsia="Calibri" w:cs="Times New Roman"/>
                <w:color w:val="auto"/>
                <w:kern w:val="0"/>
                <w:sz w:val="24"/>
                <w:szCs w:val="24"/>
                <w:highlight w:val="none"/>
                <w:lang w:val="en-US" w:eastAsia="zh-CN" w:bidi="ar-SA"/>
              </w:rPr>
              <w:t>＜10</w:t>
            </w:r>
            <w:r>
              <w:rPr>
                <w:rFonts w:hint="eastAsia" w:ascii="Times New Roman" w:hAnsi="Times New Roman" w:eastAsia="Calibri" w:cs="Times New Roman"/>
                <w:color w:val="auto"/>
                <w:kern w:val="0"/>
                <w:sz w:val="24"/>
                <w:szCs w:val="24"/>
                <w:highlight w:val="none"/>
                <w:lang w:val="en-US" w:eastAsia="zh-CN" w:bidi="ar-SA"/>
              </w:rPr>
              <w:t>（无量纲），均达到</w:t>
            </w:r>
            <w:r>
              <w:rPr>
                <w:rFonts w:hint="eastAsia" w:cs="Times New Roman"/>
                <w:color w:val="auto"/>
                <w:sz w:val="24"/>
                <w:highlight w:val="none"/>
                <w:lang w:val="en-US" w:eastAsia="zh-CN"/>
              </w:rPr>
              <w:t>《恶臭污染物排放标准》（GB14554-93）中表1中恶臭污染物排放标准限值要求</w:t>
            </w:r>
            <w:r>
              <w:rPr>
                <w:rFonts w:hint="eastAsia" w:ascii="Times New Roman" w:hAnsi="Times New Roman" w:eastAsia="Calibri" w:cs="Times New Roman"/>
                <w:color w:val="auto"/>
                <w:kern w:val="0"/>
                <w:sz w:val="24"/>
                <w:szCs w:val="24"/>
                <w:highlight w:val="none"/>
                <w:lang w:val="en-US" w:eastAsia="zh-CN" w:bidi="ar-SA"/>
              </w:rPr>
              <w:t>。</w:t>
            </w:r>
          </w:p>
          <w:p w14:paraId="17F95B5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szCs w:val="24"/>
                <w:highlight w:val="none"/>
              </w:rPr>
            </w:pPr>
          </w:p>
          <w:p w14:paraId="4F7E82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表</w:t>
            </w:r>
            <w:r>
              <w:rPr>
                <w:rFonts w:hint="eastAsia" w:ascii="Times New Roman" w:hAnsi="Times New Roman" w:cs="Times New Roman"/>
                <w:b/>
                <w:color w:val="auto"/>
                <w:sz w:val="24"/>
                <w:szCs w:val="24"/>
                <w:highlight w:val="none"/>
                <w:lang w:val="en-US" w:eastAsia="zh-CN"/>
              </w:rPr>
              <w:t>2-</w:t>
            </w:r>
            <w:r>
              <w:rPr>
                <w:rFonts w:hint="eastAsia" w:cs="Times New Roman"/>
                <w:b/>
                <w:color w:val="auto"/>
                <w:sz w:val="24"/>
                <w:szCs w:val="24"/>
                <w:highlight w:val="none"/>
                <w:lang w:val="en-US" w:eastAsia="zh-CN"/>
              </w:rPr>
              <w:t>10</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大山生活垃圾填埋场厂界无组织</w:t>
            </w:r>
            <w:r>
              <w:rPr>
                <w:rFonts w:hint="eastAsia" w:ascii="Times New Roman" w:hAnsi="Times New Roman" w:cs="Times New Roman"/>
                <w:b/>
                <w:color w:val="auto"/>
                <w:sz w:val="24"/>
                <w:szCs w:val="24"/>
                <w:highlight w:val="none"/>
                <w:lang w:val="en-US" w:eastAsia="zh-CN"/>
              </w:rPr>
              <w:t>废气</w:t>
            </w:r>
            <w:r>
              <w:rPr>
                <w:rFonts w:hint="eastAsia" w:ascii="Times New Roman" w:hAnsi="Times New Roman" w:cs="Times New Roman"/>
                <w:b/>
                <w:color w:val="auto"/>
                <w:sz w:val="24"/>
                <w:szCs w:val="24"/>
                <w:highlight w:val="none"/>
                <w:lang w:eastAsia="zh-CN"/>
              </w:rPr>
              <w:t>检测</w:t>
            </w:r>
            <w:r>
              <w:rPr>
                <w:rFonts w:hint="default" w:ascii="Times New Roman" w:hAnsi="Times New Roman" w:cs="Times New Roman"/>
                <w:b/>
                <w:color w:val="auto"/>
                <w:sz w:val="24"/>
                <w:szCs w:val="24"/>
                <w:highlight w:val="none"/>
              </w:rPr>
              <w:t>结果   单位：</w:t>
            </w:r>
            <w:r>
              <w:rPr>
                <w:rFonts w:hint="eastAsia" w:ascii="Times New Roman" w:hAnsi="Times New Roman" w:cs="Times New Roman"/>
                <w:b/>
                <w:bCs/>
                <w:color w:val="auto"/>
                <w:sz w:val="24"/>
                <w:szCs w:val="24"/>
                <w:highlight w:val="none"/>
                <w:lang w:val="en-US" w:eastAsia="zh-CN"/>
              </w:rPr>
              <w:t>m</w:t>
            </w:r>
            <w:r>
              <w:rPr>
                <w:rFonts w:hint="default" w:ascii="Times New Roman" w:hAnsi="Times New Roman" w:cs="Times New Roman"/>
                <w:b/>
                <w:bCs/>
                <w:color w:val="auto"/>
                <w:sz w:val="24"/>
                <w:szCs w:val="24"/>
                <w:highlight w:val="none"/>
              </w:rPr>
              <w:t>g/</w:t>
            </w:r>
            <w:r>
              <w:rPr>
                <w:rFonts w:hint="default" w:ascii="Times New Roman" w:hAnsi="Times New Roman" w:cs="Times New Roman"/>
                <w:b/>
                <w:color w:val="auto"/>
                <w:sz w:val="24"/>
                <w:szCs w:val="24"/>
                <w:highlight w:val="none"/>
              </w:rPr>
              <w:t xml:space="preserve"> m</w:t>
            </w:r>
            <w:r>
              <w:rPr>
                <w:rFonts w:hint="default" w:ascii="Times New Roman" w:hAnsi="Times New Roman" w:cs="Times New Roman"/>
                <w:b/>
                <w:color w:val="auto"/>
                <w:sz w:val="24"/>
                <w:szCs w:val="24"/>
                <w:highlight w:val="none"/>
                <w:vertAlign w:val="superscript"/>
              </w:rPr>
              <w:t>3</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119"/>
              <w:gridCol w:w="761"/>
              <w:gridCol w:w="1454"/>
              <w:gridCol w:w="684"/>
              <w:gridCol w:w="1423"/>
              <w:gridCol w:w="821"/>
              <w:gridCol w:w="821"/>
              <w:gridCol w:w="821"/>
            </w:tblGrid>
            <w:tr w14:paraId="6D6B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restart"/>
                  <w:noWrap w:val="0"/>
                  <w:vAlign w:val="center"/>
                </w:tcPr>
                <w:p w14:paraId="077EFBE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序号</w:t>
                  </w:r>
                </w:p>
              </w:tc>
              <w:tc>
                <w:tcPr>
                  <w:tcW w:w="665" w:type="pct"/>
                  <w:vMerge w:val="restart"/>
                  <w:noWrap w:val="0"/>
                  <w:vAlign w:val="center"/>
                </w:tcPr>
                <w:p w14:paraId="146D8E4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测点名称</w:t>
                  </w:r>
                </w:p>
              </w:tc>
              <w:tc>
                <w:tcPr>
                  <w:tcW w:w="452" w:type="pct"/>
                  <w:vMerge w:val="restart"/>
                  <w:noWrap w:val="0"/>
                  <w:vAlign w:val="center"/>
                </w:tcPr>
                <w:p w14:paraId="347AE5B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采样日期</w:t>
                  </w:r>
                </w:p>
              </w:tc>
              <w:tc>
                <w:tcPr>
                  <w:tcW w:w="1272" w:type="pct"/>
                  <w:gridSpan w:val="2"/>
                  <w:noWrap w:val="0"/>
                  <w:vAlign w:val="center"/>
                </w:tcPr>
                <w:p w14:paraId="04EA9E1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硫化氢</w:t>
                  </w:r>
                </w:p>
                <w:p w14:paraId="70ED9D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（mg/m</w:t>
                  </w:r>
                  <w:r>
                    <w:rPr>
                      <w:rStyle w:val="36"/>
                      <w:rFonts w:hint="eastAsia" w:ascii="Times New Roman"/>
                      <w:b/>
                      <w:bCs/>
                      <w:color w:val="auto"/>
                      <w:kern w:val="2"/>
                      <w:sz w:val="21"/>
                      <w:szCs w:val="21"/>
                      <w:highlight w:val="none"/>
                      <w:vertAlign w:val="superscript"/>
                      <w:lang w:val="en-US" w:eastAsia="zh-CN"/>
                    </w:rPr>
                    <w:t>3</w:t>
                  </w:r>
                  <w:r>
                    <w:rPr>
                      <w:rStyle w:val="36"/>
                      <w:rFonts w:hint="eastAsia" w:ascii="Times New Roman"/>
                      <w:b/>
                      <w:bCs/>
                      <w:color w:val="auto"/>
                      <w:kern w:val="2"/>
                      <w:sz w:val="21"/>
                      <w:szCs w:val="21"/>
                      <w:highlight w:val="none"/>
                      <w:vertAlign w:val="baseline"/>
                      <w:lang w:val="en-US" w:eastAsia="zh-CN"/>
                    </w:rPr>
                    <w:t>）</w:t>
                  </w:r>
                </w:p>
              </w:tc>
              <w:tc>
                <w:tcPr>
                  <w:tcW w:w="1335" w:type="pct"/>
                  <w:gridSpan w:val="2"/>
                  <w:noWrap w:val="0"/>
                  <w:vAlign w:val="center"/>
                </w:tcPr>
                <w:p w14:paraId="785735B6">
                  <w:pPr>
                    <w:keepNext w:val="0"/>
                    <w:keepLines w:val="0"/>
                    <w:pageBreakBefore w:val="0"/>
                    <w:widowControl w:val="0"/>
                    <w:kinsoku/>
                    <w:wordWrap/>
                    <w:overflowPunct/>
                    <w:topLinePunct w:val="0"/>
                    <w:autoSpaceDE/>
                    <w:autoSpaceDN/>
                    <w:bidi w:val="0"/>
                    <w:adjustRightInd/>
                    <w:snapToGrid/>
                    <w:spacing w:line="240" w:lineRule="auto"/>
                    <w:ind w:left="0" w:hanging="211" w:hangingChars="10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氨气</w:t>
                  </w:r>
                </w:p>
                <w:p w14:paraId="49B396E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（mg/m</w:t>
                  </w:r>
                  <w:r>
                    <w:rPr>
                      <w:rStyle w:val="36"/>
                      <w:rFonts w:hint="eastAsia" w:ascii="Times New Roman"/>
                      <w:b/>
                      <w:bCs/>
                      <w:color w:val="auto"/>
                      <w:kern w:val="2"/>
                      <w:sz w:val="21"/>
                      <w:szCs w:val="21"/>
                      <w:highlight w:val="none"/>
                      <w:vertAlign w:val="superscript"/>
                      <w:lang w:val="en-US" w:eastAsia="zh-CN"/>
                    </w:rPr>
                    <w:t>3</w:t>
                  </w:r>
                  <w:r>
                    <w:rPr>
                      <w:rStyle w:val="36"/>
                      <w:rFonts w:hint="eastAsia" w:ascii="Times New Roman"/>
                      <w:b/>
                      <w:bCs/>
                      <w:color w:val="auto"/>
                      <w:kern w:val="2"/>
                      <w:sz w:val="21"/>
                      <w:szCs w:val="21"/>
                      <w:highlight w:val="none"/>
                      <w:vertAlign w:val="baseline"/>
                      <w:lang w:val="en-US" w:eastAsia="zh-CN"/>
                    </w:rPr>
                    <w:t>）</w:t>
                  </w:r>
                </w:p>
              </w:tc>
              <w:tc>
                <w:tcPr>
                  <w:tcW w:w="977" w:type="pct"/>
                  <w:gridSpan w:val="2"/>
                  <w:noWrap w:val="0"/>
                  <w:vAlign w:val="center"/>
                </w:tcPr>
                <w:p w14:paraId="76E3F7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臭气浓度</w:t>
                  </w:r>
                </w:p>
                <w:p w14:paraId="3420D51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（无量纲）</w:t>
                  </w:r>
                </w:p>
              </w:tc>
            </w:tr>
            <w:tr w14:paraId="43FF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continue"/>
                  <w:noWrap w:val="0"/>
                  <w:vAlign w:val="center"/>
                </w:tcPr>
                <w:p w14:paraId="3FC729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p>
              </w:tc>
              <w:tc>
                <w:tcPr>
                  <w:tcW w:w="665" w:type="pct"/>
                  <w:vMerge w:val="continue"/>
                  <w:noWrap w:val="0"/>
                  <w:vAlign w:val="center"/>
                </w:tcPr>
                <w:p w14:paraId="0A8BBB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p>
              </w:tc>
              <w:tc>
                <w:tcPr>
                  <w:tcW w:w="452" w:type="pct"/>
                  <w:vMerge w:val="continue"/>
                  <w:noWrap w:val="0"/>
                  <w:vAlign w:val="center"/>
                </w:tcPr>
                <w:p w14:paraId="5081473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p>
              </w:tc>
              <w:tc>
                <w:tcPr>
                  <w:tcW w:w="865" w:type="pct"/>
                  <w:noWrap w:val="0"/>
                  <w:vAlign w:val="center"/>
                </w:tcPr>
                <w:p w14:paraId="484650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b/>
                      <w:bCs/>
                      <w:color w:val="auto"/>
                      <w:kern w:val="2"/>
                      <w:sz w:val="21"/>
                      <w:szCs w:val="21"/>
                      <w:highlight w:val="none"/>
                      <w:vertAlign w:val="baseline"/>
                      <w:lang w:val="en-US" w:eastAsia="zh-CN"/>
                    </w:rPr>
                    <w:t>采样时段</w:t>
                  </w:r>
                </w:p>
              </w:tc>
              <w:tc>
                <w:tcPr>
                  <w:tcW w:w="406" w:type="pct"/>
                  <w:noWrap w:val="0"/>
                  <w:vAlign w:val="center"/>
                </w:tcPr>
                <w:p w14:paraId="1B28EBE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b/>
                      <w:bCs/>
                      <w:color w:val="auto"/>
                      <w:kern w:val="2"/>
                      <w:sz w:val="21"/>
                      <w:szCs w:val="21"/>
                      <w:highlight w:val="none"/>
                      <w:vertAlign w:val="baseline"/>
                      <w:lang w:val="en-US" w:eastAsia="zh-CN"/>
                    </w:rPr>
                  </w:pPr>
                  <w:r>
                    <w:rPr>
                      <w:rStyle w:val="36"/>
                      <w:rFonts w:hint="eastAsia"/>
                      <w:b/>
                      <w:bCs/>
                      <w:color w:val="auto"/>
                      <w:kern w:val="2"/>
                      <w:sz w:val="21"/>
                      <w:szCs w:val="21"/>
                      <w:highlight w:val="none"/>
                      <w:vertAlign w:val="baseline"/>
                      <w:lang w:val="en-US" w:eastAsia="zh-CN"/>
                    </w:rPr>
                    <w:t>检测结果</w:t>
                  </w:r>
                </w:p>
              </w:tc>
              <w:tc>
                <w:tcPr>
                  <w:tcW w:w="846" w:type="pct"/>
                  <w:noWrap w:val="0"/>
                  <w:vAlign w:val="center"/>
                </w:tcPr>
                <w:p w14:paraId="73F108A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b/>
                      <w:bCs/>
                      <w:color w:val="auto"/>
                      <w:kern w:val="2"/>
                      <w:sz w:val="21"/>
                      <w:szCs w:val="21"/>
                      <w:highlight w:val="none"/>
                      <w:vertAlign w:val="baseline"/>
                      <w:lang w:val="en-US" w:eastAsia="zh-CN"/>
                    </w:rPr>
                    <w:t>采样时段</w:t>
                  </w:r>
                </w:p>
              </w:tc>
              <w:tc>
                <w:tcPr>
                  <w:tcW w:w="488" w:type="pct"/>
                  <w:noWrap w:val="0"/>
                  <w:vAlign w:val="center"/>
                </w:tcPr>
                <w:p w14:paraId="29444D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b/>
                      <w:bCs/>
                      <w:color w:val="auto"/>
                      <w:kern w:val="2"/>
                      <w:sz w:val="21"/>
                      <w:szCs w:val="21"/>
                      <w:highlight w:val="none"/>
                      <w:vertAlign w:val="baseline"/>
                      <w:lang w:val="en-US" w:eastAsia="zh-CN"/>
                    </w:rPr>
                    <w:t>检测结果</w:t>
                  </w:r>
                </w:p>
              </w:tc>
              <w:tc>
                <w:tcPr>
                  <w:tcW w:w="488" w:type="pct"/>
                  <w:noWrap w:val="0"/>
                  <w:vAlign w:val="center"/>
                </w:tcPr>
                <w:p w14:paraId="2A5F8E0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b/>
                      <w:bCs/>
                      <w:color w:val="auto"/>
                      <w:kern w:val="2"/>
                      <w:sz w:val="21"/>
                      <w:szCs w:val="21"/>
                      <w:highlight w:val="none"/>
                      <w:vertAlign w:val="baseline"/>
                      <w:lang w:val="en-US" w:eastAsia="zh-CN"/>
                    </w:rPr>
                    <w:t>采样时段</w:t>
                  </w:r>
                </w:p>
              </w:tc>
              <w:tc>
                <w:tcPr>
                  <w:tcW w:w="488" w:type="pct"/>
                  <w:noWrap w:val="0"/>
                  <w:vAlign w:val="center"/>
                </w:tcPr>
                <w:p w14:paraId="1713CA8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b/>
                      <w:bCs/>
                      <w:color w:val="auto"/>
                      <w:kern w:val="2"/>
                      <w:sz w:val="21"/>
                      <w:szCs w:val="21"/>
                      <w:highlight w:val="none"/>
                      <w:vertAlign w:val="baseline"/>
                      <w:lang w:val="en-US" w:eastAsia="zh-CN"/>
                    </w:rPr>
                    <w:t>检测结果</w:t>
                  </w:r>
                </w:p>
              </w:tc>
            </w:tr>
            <w:tr w14:paraId="1607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restart"/>
                  <w:noWrap w:val="0"/>
                  <w:vAlign w:val="center"/>
                </w:tcPr>
                <w:p w14:paraId="1EB4474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1</w:t>
                  </w:r>
                </w:p>
              </w:tc>
              <w:tc>
                <w:tcPr>
                  <w:tcW w:w="665" w:type="pct"/>
                  <w:vMerge w:val="restart"/>
                  <w:noWrap w:val="0"/>
                  <w:vAlign w:val="center"/>
                </w:tcPr>
                <w:p w14:paraId="41CB3A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A1上风向</w:t>
                  </w:r>
                </w:p>
              </w:tc>
              <w:tc>
                <w:tcPr>
                  <w:tcW w:w="452" w:type="pct"/>
                  <w:vMerge w:val="restart"/>
                  <w:noWrap w:val="0"/>
                  <w:vAlign w:val="center"/>
                </w:tcPr>
                <w:p w14:paraId="40DFD0C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20</w:t>
                  </w:r>
                  <w:r>
                    <w:rPr>
                      <w:rStyle w:val="36"/>
                      <w:rFonts w:hint="eastAsia"/>
                      <w:color w:val="auto"/>
                      <w:kern w:val="2"/>
                      <w:sz w:val="21"/>
                      <w:szCs w:val="21"/>
                      <w:highlight w:val="none"/>
                      <w:vertAlign w:val="baseline"/>
                      <w:lang w:val="en-US" w:eastAsia="zh-CN"/>
                    </w:rPr>
                    <w:t>25</w:t>
                  </w:r>
                  <w:r>
                    <w:rPr>
                      <w:rStyle w:val="36"/>
                      <w:rFonts w:hint="eastAsia" w:ascii="Times New Roman"/>
                      <w:color w:val="auto"/>
                      <w:kern w:val="2"/>
                      <w:sz w:val="21"/>
                      <w:szCs w:val="21"/>
                      <w:highlight w:val="none"/>
                      <w:vertAlign w:val="baseline"/>
                      <w:lang w:val="en-US" w:eastAsia="zh-CN"/>
                    </w:rPr>
                    <w:t>年</w:t>
                  </w:r>
                  <w:r>
                    <w:rPr>
                      <w:rStyle w:val="36"/>
                      <w:rFonts w:hint="eastAsia"/>
                      <w:color w:val="auto"/>
                      <w:kern w:val="2"/>
                      <w:sz w:val="21"/>
                      <w:szCs w:val="21"/>
                      <w:highlight w:val="none"/>
                      <w:vertAlign w:val="baseline"/>
                      <w:lang w:val="en-US" w:eastAsia="zh-CN"/>
                    </w:rPr>
                    <w:t>5</w:t>
                  </w:r>
                  <w:r>
                    <w:rPr>
                      <w:rStyle w:val="36"/>
                      <w:rFonts w:hint="eastAsia" w:ascii="Times New Roman"/>
                      <w:color w:val="auto"/>
                      <w:kern w:val="2"/>
                      <w:sz w:val="21"/>
                      <w:szCs w:val="21"/>
                      <w:highlight w:val="none"/>
                      <w:vertAlign w:val="baseline"/>
                      <w:lang w:val="en-US" w:eastAsia="zh-CN"/>
                    </w:rPr>
                    <w:t>月</w:t>
                  </w:r>
                  <w:r>
                    <w:rPr>
                      <w:rStyle w:val="36"/>
                      <w:rFonts w:hint="eastAsia"/>
                      <w:color w:val="auto"/>
                      <w:kern w:val="2"/>
                      <w:sz w:val="21"/>
                      <w:szCs w:val="21"/>
                      <w:highlight w:val="none"/>
                      <w:vertAlign w:val="baseline"/>
                      <w:lang w:val="en-US" w:eastAsia="zh-CN"/>
                    </w:rPr>
                    <w:t>23</w:t>
                  </w:r>
                  <w:r>
                    <w:rPr>
                      <w:rStyle w:val="36"/>
                      <w:rFonts w:hint="eastAsia" w:ascii="Times New Roman"/>
                      <w:color w:val="auto"/>
                      <w:kern w:val="2"/>
                      <w:sz w:val="21"/>
                      <w:szCs w:val="21"/>
                      <w:highlight w:val="none"/>
                      <w:vertAlign w:val="baseline"/>
                      <w:lang w:val="en-US" w:eastAsia="zh-CN"/>
                    </w:rPr>
                    <w:t>日</w:t>
                  </w:r>
                </w:p>
              </w:tc>
              <w:tc>
                <w:tcPr>
                  <w:tcW w:w="865" w:type="pct"/>
                  <w:noWrap w:val="0"/>
                  <w:vAlign w:val="center"/>
                </w:tcPr>
                <w:p w14:paraId="02D9F2F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09:00~10:00</w:t>
                  </w:r>
                </w:p>
              </w:tc>
              <w:tc>
                <w:tcPr>
                  <w:tcW w:w="406" w:type="pct"/>
                  <w:noWrap w:val="0"/>
                  <w:vAlign w:val="center"/>
                </w:tcPr>
                <w:p w14:paraId="4E7463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0.05</w:t>
                  </w:r>
                </w:p>
              </w:tc>
              <w:tc>
                <w:tcPr>
                  <w:tcW w:w="846" w:type="pct"/>
                  <w:shd w:val="clear" w:color="auto" w:fill="auto"/>
                  <w:noWrap w:val="0"/>
                  <w:vAlign w:val="center"/>
                </w:tcPr>
                <w:p w14:paraId="2D10EED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09:00~10:00</w:t>
                  </w:r>
                </w:p>
              </w:tc>
              <w:tc>
                <w:tcPr>
                  <w:tcW w:w="488" w:type="pct"/>
                  <w:shd w:val="clear" w:color="auto" w:fill="auto"/>
                  <w:noWrap w:val="0"/>
                  <w:vAlign w:val="center"/>
                </w:tcPr>
                <w:p w14:paraId="4B320EEF">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0.007</w:t>
                  </w:r>
                </w:p>
              </w:tc>
              <w:tc>
                <w:tcPr>
                  <w:tcW w:w="488" w:type="pct"/>
                  <w:noWrap w:val="0"/>
                  <w:vAlign w:val="center"/>
                </w:tcPr>
                <w:p w14:paraId="206E9AC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09:04</w:t>
                  </w:r>
                </w:p>
              </w:tc>
              <w:tc>
                <w:tcPr>
                  <w:tcW w:w="488" w:type="pct"/>
                  <w:noWrap w:val="0"/>
                  <w:vAlign w:val="center"/>
                </w:tcPr>
                <w:p w14:paraId="12B6EB2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320C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continue"/>
                  <w:noWrap w:val="0"/>
                  <w:vAlign w:val="center"/>
                </w:tcPr>
                <w:p w14:paraId="54E551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665" w:type="pct"/>
                  <w:vMerge w:val="continue"/>
                  <w:noWrap w:val="0"/>
                  <w:vAlign w:val="center"/>
                </w:tcPr>
                <w:p w14:paraId="536B171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452" w:type="pct"/>
                  <w:vMerge w:val="continue"/>
                  <w:noWrap w:val="0"/>
                  <w:vAlign w:val="center"/>
                </w:tcPr>
                <w:p w14:paraId="3053E0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65" w:type="pct"/>
                  <w:noWrap w:val="0"/>
                  <w:vAlign w:val="center"/>
                </w:tcPr>
                <w:p w14:paraId="49597D6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12:00~13:00</w:t>
                  </w:r>
                </w:p>
              </w:tc>
              <w:tc>
                <w:tcPr>
                  <w:tcW w:w="406" w:type="pct"/>
                  <w:noWrap w:val="0"/>
                  <w:vAlign w:val="center"/>
                </w:tcPr>
                <w:p w14:paraId="7DCD470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0.09</w:t>
                  </w:r>
                </w:p>
              </w:tc>
              <w:tc>
                <w:tcPr>
                  <w:tcW w:w="846" w:type="pct"/>
                  <w:shd w:val="clear" w:color="auto" w:fill="auto"/>
                  <w:noWrap w:val="0"/>
                  <w:vAlign w:val="center"/>
                </w:tcPr>
                <w:p w14:paraId="18A1CE0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12:00~13:00</w:t>
                  </w:r>
                </w:p>
              </w:tc>
              <w:tc>
                <w:tcPr>
                  <w:tcW w:w="488" w:type="pct"/>
                  <w:shd w:val="clear" w:color="auto" w:fill="auto"/>
                  <w:noWrap w:val="0"/>
                  <w:vAlign w:val="center"/>
                </w:tcPr>
                <w:p w14:paraId="20B18956">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0.008</w:t>
                  </w:r>
                </w:p>
              </w:tc>
              <w:tc>
                <w:tcPr>
                  <w:tcW w:w="488" w:type="pct"/>
                  <w:noWrap w:val="0"/>
                  <w:vAlign w:val="center"/>
                </w:tcPr>
                <w:p w14:paraId="0C0816F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12:01</w:t>
                  </w:r>
                </w:p>
              </w:tc>
              <w:tc>
                <w:tcPr>
                  <w:tcW w:w="488" w:type="pct"/>
                  <w:noWrap w:val="0"/>
                  <w:vAlign w:val="center"/>
                </w:tcPr>
                <w:p w14:paraId="28AC4B8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5FF2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continue"/>
                  <w:noWrap w:val="0"/>
                  <w:vAlign w:val="center"/>
                </w:tcPr>
                <w:p w14:paraId="7899576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665" w:type="pct"/>
                  <w:vMerge w:val="continue"/>
                  <w:noWrap w:val="0"/>
                  <w:vAlign w:val="center"/>
                </w:tcPr>
                <w:p w14:paraId="1FD86C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452" w:type="pct"/>
                  <w:vMerge w:val="continue"/>
                  <w:noWrap w:val="0"/>
                  <w:vAlign w:val="center"/>
                </w:tcPr>
                <w:p w14:paraId="08E76C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65" w:type="pct"/>
                  <w:noWrap w:val="0"/>
                  <w:vAlign w:val="center"/>
                </w:tcPr>
                <w:p w14:paraId="796CDBD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15:00~16:00</w:t>
                  </w:r>
                </w:p>
              </w:tc>
              <w:tc>
                <w:tcPr>
                  <w:tcW w:w="406" w:type="pct"/>
                  <w:noWrap w:val="0"/>
                  <w:vAlign w:val="center"/>
                </w:tcPr>
                <w:p w14:paraId="77AF73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0.07</w:t>
                  </w:r>
                </w:p>
              </w:tc>
              <w:tc>
                <w:tcPr>
                  <w:tcW w:w="846" w:type="pct"/>
                  <w:shd w:val="clear" w:color="auto" w:fill="auto"/>
                  <w:noWrap w:val="0"/>
                  <w:vAlign w:val="center"/>
                </w:tcPr>
                <w:p w14:paraId="425B930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15:00~16:00</w:t>
                  </w:r>
                </w:p>
              </w:tc>
              <w:tc>
                <w:tcPr>
                  <w:tcW w:w="488" w:type="pct"/>
                  <w:shd w:val="clear" w:color="auto" w:fill="auto"/>
                  <w:noWrap w:val="0"/>
                  <w:vAlign w:val="center"/>
                </w:tcPr>
                <w:p w14:paraId="53DAF833">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0.009</w:t>
                  </w:r>
                </w:p>
              </w:tc>
              <w:tc>
                <w:tcPr>
                  <w:tcW w:w="488" w:type="pct"/>
                  <w:noWrap w:val="0"/>
                  <w:vAlign w:val="center"/>
                </w:tcPr>
                <w:p w14:paraId="65A872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15:01</w:t>
                  </w:r>
                </w:p>
              </w:tc>
              <w:tc>
                <w:tcPr>
                  <w:tcW w:w="488" w:type="pct"/>
                  <w:noWrap w:val="0"/>
                  <w:vAlign w:val="center"/>
                </w:tcPr>
                <w:p w14:paraId="21CA96E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7864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restart"/>
                  <w:noWrap w:val="0"/>
                  <w:vAlign w:val="center"/>
                </w:tcPr>
                <w:p w14:paraId="0F96554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2</w:t>
                  </w:r>
                </w:p>
              </w:tc>
              <w:tc>
                <w:tcPr>
                  <w:tcW w:w="665" w:type="pct"/>
                  <w:vMerge w:val="restart"/>
                  <w:noWrap w:val="0"/>
                  <w:vAlign w:val="center"/>
                </w:tcPr>
                <w:p w14:paraId="504D97B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A2项目区下风向1#</w:t>
                  </w:r>
                </w:p>
              </w:tc>
              <w:tc>
                <w:tcPr>
                  <w:tcW w:w="452" w:type="pct"/>
                  <w:vMerge w:val="continue"/>
                  <w:noWrap w:val="0"/>
                  <w:vAlign w:val="center"/>
                </w:tcPr>
                <w:p w14:paraId="1C5BDC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65" w:type="pct"/>
                  <w:noWrap w:val="0"/>
                  <w:vAlign w:val="center"/>
                </w:tcPr>
                <w:p w14:paraId="2D2B1D1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09:00~10:00</w:t>
                  </w:r>
                </w:p>
              </w:tc>
              <w:tc>
                <w:tcPr>
                  <w:tcW w:w="406" w:type="pct"/>
                  <w:noWrap w:val="0"/>
                  <w:vAlign w:val="center"/>
                </w:tcPr>
                <w:p w14:paraId="3D6991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0.28</w:t>
                  </w:r>
                </w:p>
              </w:tc>
              <w:tc>
                <w:tcPr>
                  <w:tcW w:w="846" w:type="pct"/>
                  <w:shd w:val="clear" w:color="auto" w:fill="auto"/>
                  <w:noWrap w:val="0"/>
                  <w:vAlign w:val="center"/>
                </w:tcPr>
                <w:p w14:paraId="3E503B5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09:00~10:00</w:t>
                  </w:r>
                </w:p>
              </w:tc>
              <w:tc>
                <w:tcPr>
                  <w:tcW w:w="488" w:type="pct"/>
                  <w:shd w:val="clear" w:color="auto" w:fill="auto"/>
                  <w:noWrap w:val="0"/>
                  <w:vAlign w:val="center"/>
                </w:tcPr>
                <w:p w14:paraId="7E8093DB">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0.016</w:t>
                  </w:r>
                </w:p>
              </w:tc>
              <w:tc>
                <w:tcPr>
                  <w:tcW w:w="488" w:type="pct"/>
                  <w:noWrap w:val="0"/>
                  <w:vAlign w:val="center"/>
                </w:tcPr>
                <w:p w14:paraId="072E28D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09:03</w:t>
                  </w:r>
                </w:p>
              </w:tc>
              <w:tc>
                <w:tcPr>
                  <w:tcW w:w="488" w:type="pct"/>
                  <w:noWrap w:val="0"/>
                  <w:vAlign w:val="center"/>
                </w:tcPr>
                <w:p w14:paraId="2283028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69B2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continue"/>
                  <w:noWrap w:val="0"/>
                  <w:vAlign w:val="center"/>
                </w:tcPr>
                <w:p w14:paraId="082C40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665" w:type="pct"/>
                  <w:vMerge w:val="continue"/>
                  <w:noWrap w:val="0"/>
                  <w:vAlign w:val="center"/>
                </w:tcPr>
                <w:p w14:paraId="44F32BF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452" w:type="pct"/>
                  <w:vMerge w:val="continue"/>
                  <w:noWrap w:val="0"/>
                  <w:vAlign w:val="center"/>
                </w:tcPr>
                <w:p w14:paraId="70D9203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65" w:type="pct"/>
                  <w:noWrap w:val="0"/>
                  <w:vAlign w:val="center"/>
                </w:tcPr>
                <w:p w14:paraId="06251DE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12:00~13:00</w:t>
                  </w:r>
                </w:p>
              </w:tc>
              <w:tc>
                <w:tcPr>
                  <w:tcW w:w="406" w:type="pct"/>
                  <w:noWrap w:val="0"/>
                  <w:vAlign w:val="center"/>
                </w:tcPr>
                <w:p w14:paraId="7A78E2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0.31</w:t>
                  </w:r>
                </w:p>
              </w:tc>
              <w:tc>
                <w:tcPr>
                  <w:tcW w:w="846" w:type="pct"/>
                  <w:shd w:val="clear" w:color="auto" w:fill="auto"/>
                  <w:noWrap w:val="0"/>
                  <w:vAlign w:val="center"/>
                </w:tcPr>
                <w:p w14:paraId="71A4CDD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12:00~13:00</w:t>
                  </w:r>
                </w:p>
              </w:tc>
              <w:tc>
                <w:tcPr>
                  <w:tcW w:w="488" w:type="pct"/>
                  <w:shd w:val="clear" w:color="auto" w:fill="auto"/>
                  <w:noWrap w:val="0"/>
                  <w:vAlign w:val="center"/>
                </w:tcPr>
                <w:p w14:paraId="226A23FE">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0.018</w:t>
                  </w:r>
                </w:p>
              </w:tc>
              <w:tc>
                <w:tcPr>
                  <w:tcW w:w="488" w:type="pct"/>
                  <w:noWrap w:val="0"/>
                  <w:vAlign w:val="center"/>
                </w:tcPr>
                <w:p w14:paraId="655BEFF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12:02</w:t>
                  </w:r>
                </w:p>
              </w:tc>
              <w:tc>
                <w:tcPr>
                  <w:tcW w:w="488" w:type="pct"/>
                  <w:noWrap w:val="0"/>
                  <w:vAlign w:val="center"/>
                </w:tcPr>
                <w:p w14:paraId="7B8C72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0F1B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continue"/>
                  <w:noWrap w:val="0"/>
                  <w:vAlign w:val="center"/>
                </w:tcPr>
                <w:p w14:paraId="5979F68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665" w:type="pct"/>
                  <w:vMerge w:val="continue"/>
                  <w:noWrap w:val="0"/>
                  <w:vAlign w:val="center"/>
                </w:tcPr>
                <w:p w14:paraId="35C983E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452" w:type="pct"/>
                  <w:vMerge w:val="continue"/>
                  <w:noWrap w:val="0"/>
                  <w:vAlign w:val="center"/>
                </w:tcPr>
                <w:p w14:paraId="4D30A19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65" w:type="pct"/>
                  <w:noWrap w:val="0"/>
                  <w:vAlign w:val="center"/>
                </w:tcPr>
                <w:p w14:paraId="6C50785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15:00~16:00</w:t>
                  </w:r>
                </w:p>
              </w:tc>
              <w:tc>
                <w:tcPr>
                  <w:tcW w:w="406" w:type="pct"/>
                  <w:noWrap w:val="0"/>
                  <w:vAlign w:val="center"/>
                </w:tcPr>
                <w:p w14:paraId="19B376A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0.33</w:t>
                  </w:r>
                </w:p>
              </w:tc>
              <w:tc>
                <w:tcPr>
                  <w:tcW w:w="846" w:type="pct"/>
                  <w:shd w:val="clear" w:color="auto" w:fill="auto"/>
                  <w:noWrap w:val="0"/>
                  <w:vAlign w:val="center"/>
                </w:tcPr>
                <w:p w14:paraId="276C378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15:00~16:00</w:t>
                  </w:r>
                </w:p>
              </w:tc>
              <w:tc>
                <w:tcPr>
                  <w:tcW w:w="488" w:type="pct"/>
                  <w:shd w:val="clear" w:color="auto" w:fill="auto"/>
                  <w:noWrap w:val="0"/>
                  <w:vAlign w:val="center"/>
                </w:tcPr>
                <w:p w14:paraId="69183E15">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0.021</w:t>
                  </w:r>
                </w:p>
              </w:tc>
              <w:tc>
                <w:tcPr>
                  <w:tcW w:w="488" w:type="pct"/>
                  <w:noWrap w:val="0"/>
                  <w:vAlign w:val="center"/>
                </w:tcPr>
                <w:p w14:paraId="1C847CE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15:02</w:t>
                  </w:r>
                </w:p>
              </w:tc>
              <w:tc>
                <w:tcPr>
                  <w:tcW w:w="488" w:type="pct"/>
                  <w:noWrap w:val="0"/>
                  <w:vAlign w:val="center"/>
                </w:tcPr>
                <w:p w14:paraId="6AC889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1E18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restart"/>
                  <w:noWrap w:val="0"/>
                  <w:vAlign w:val="center"/>
                </w:tcPr>
                <w:p w14:paraId="6CA5A3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3</w:t>
                  </w:r>
                </w:p>
              </w:tc>
              <w:tc>
                <w:tcPr>
                  <w:tcW w:w="665" w:type="pct"/>
                  <w:vMerge w:val="restart"/>
                  <w:noWrap w:val="0"/>
                  <w:vAlign w:val="center"/>
                </w:tcPr>
                <w:p w14:paraId="1AB2F93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A3项目区下风向2#</w:t>
                  </w:r>
                </w:p>
              </w:tc>
              <w:tc>
                <w:tcPr>
                  <w:tcW w:w="452" w:type="pct"/>
                  <w:vMerge w:val="continue"/>
                  <w:noWrap w:val="0"/>
                  <w:vAlign w:val="center"/>
                </w:tcPr>
                <w:p w14:paraId="49C6166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65" w:type="pct"/>
                  <w:noWrap w:val="0"/>
                  <w:vAlign w:val="center"/>
                </w:tcPr>
                <w:p w14:paraId="2718996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09:00~10:00</w:t>
                  </w:r>
                </w:p>
              </w:tc>
              <w:tc>
                <w:tcPr>
                  <w:tcW w:w="406" w:type="pct"/>
                  <w:noWrap w:val="0"/>
                  <w:vAlign w:val="center"/>
                </w:tcPr>
                <w:p w14:paraId="20CEBC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0.27</w:t>
                  </w:r>
                </w:p>
              </w:tc>
              <w:tc>
                <w:tcPr>
                  <w:tcW w:w="846" w:type="pct"/>
                  <w:shd w:val="clear" w:color="auto" w:fill="auto"/>
                  <w:noWrap w:val="0"/>
                  <w:vAlign w:val="center"/>
                </w:tcPr>
                <w:p w14:paraId="4CEB97D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09:00~10:00</w:t>
                  </w:r>
                </w:p>
              </w:tc>
              <w:tc>
                <w:tcPr>
                  <w:tcW w:w="488" w:type="pct"/>
                  <w:shd w:val="clear" w:color="auto" w:fill="auto"/>
                  <w:noWrap w:val="0"/>
                  <w:vAlign w:val="center"/>
                </w:tcPr>
                <w:p w14:paraId="564FC587">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0.016</w:t>
                  </w:r>
                </w:p>
              </w:tc>
              <w:tc>
                <w:tcPr>
                  <w:tcW w:w="488" w:type="pct"/>
                  <w:noWrap w:val="0"/>
                  <w:vAlign w:val="center"/>
                </w:tcPr>
                <w:p w14:paraId="53FF25F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09:08</w:t>
                  </w:r>
                </w:p>
              </w:tc>
              <w:tc>
                <w:tcPr>
                  <w:tcW w:w="488" w:type="pct"/>
                  <w:noWrap w:val="0"/>
                  <w:vAlign w:val="center"/>
                </w:tcPr>
                <w:p w14:paraId="3A6068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1466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noWrap w:val="0"/>
                  <w:vAlign w:val="center"/>
                </w:tcPr>
                <w:p w14:paraId="77D606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665" w:type="pct"/>
                  <w:vMerge w:val="continue"/>
                  <w:noWrap w:val="0"/>
                  <w:vAlign w:val="center"/>
                </w:tcPr>
                <w:p w14:paraId="0768C7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452" w:type="pct"/>
                  <w:vMerge w:val="continue"/>
                  <w:noWrap w:val="0"/>
                  <w:vAlign w:val="center"/>
                </w:tcPr>
                <w:p w14:paraId="0180398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65" w:type="pct"/>
                  <w:noWrap w:val="0"/>
                  <w:vAlign w:val="center"/>
                </w:tcPr>
                <w:p w14:paraId="0647087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12:00~13:00</w:t>
                  </w:r>
                </w:p>
              </w:tc>
              <w:tc>
                <w:tcPr>
                  <w:tcW w:w="406" w:type="pct"/>
                  <w:noWrap w:val="0"/>
                  <w:vAlign w:val="center"/>
                </w:tcPr>
                <w:p w14:paraId="13772D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0.31</w:t>
                  </w:r>
                </w:p>
              </w:tc>
              <w:tc>
                <w:tcPr>
                  <w:tcW w:w="846" w:type="pct"/>
                  <w:shd w:val="clear" w:color="auto" w:fill="auto"/>
                  <w:noWrap w:val="0"/>
                  <w:vAlign w:val="center"/>
                </w:tcPr>
                <w:p w14:paraId="5DD2DC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12:00~13:00</w:t>
                  </w:r>
                </w:p>
              </w:tc>
              <w:tc>
                <w:tcPr>
                  <w:tcW w:w="488" w:type="pct"/>
                  <w:shd w:val="clear" w:color="auto" w:fill="auto"/>
                  <w:noWrap w:val="0"/>
                  <w:vAlign w:val="center"/>
                </w:tcPr>
                <w:p w14:paraId="047525D5">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0.018</w:t>
                  </w:r>
                </w:p>
              </w:tc>
              <w:tc>
                <w:tcPr>
                  <w:tcW w:w="488" w:type="pct"/>
                  <w:noWrap w:val="0"/>
                  <w:vAlign w:val="center"/>
                </w:tcPr>
                <w:p w14:paraId="01F631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12:08</w:t>
                  </w:r>
                </w:p>
              </w:tc>
              <w:tc>
                <w:tcPr>
                  <w:tcW w:w="488" w:type="pct"/>
                  <w:noWrap w:val="0"/>
                  <w:vAlign w:val="center"/>
                </w:tcPr>
                <w:p w14:paraId="6E99392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35C8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continue"/>
                  <w:noWrap w:val="0"/>
                  <w:vAlign w:val="center"/>
                </w:tcPr>
                <w:p w14:paraId="3EB36E6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665" w:type="pct"/>
                  <w:vMerge w:val="continue"/>
                  <w:noWrap w:val="0"/>
                  <w:vAlign w:val="center"/>
                </w:tcPr>
                <w:p w14:paraId="005A7E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452" w:type="pct"/>
                  <w:vMerge w:val="continue"/>
                  <w:noWrap w:val="0"/>
                  <w:vAlign w:val="center"/>
                </w:tcPr>
                <w:p w14:paraId="146ADD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65" w:type="pct"/>
                  <w:noWrap w:val="0"/>
                  <w:vAlign w:val="center"/>
                </w:tcPr>
                <w:p w14:paraId="0265186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15:00~16:00</w:t>
                  </w:r>
                </w:p>
              </w:tc>
              <w:tc>
                <w:tcPr>
                  <w:tcW w:w="406" w:type="pct"/>
                  <w:noWrap w:val="0"/>
                  <w:vAlign w:val="center"/>
                </w:tcPr>
                <w:p w14:paraId="571E44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0.37</w:t>
                  </w:r>
                </w:p>
              </w:tc>
              <w:tc>
                <w:tcPr>
                  <w:tcW w:w="846" w:type="pct"/>
                  <w:shd w:val="clear" w:color="auto" w:fill="auto"/>
                  <w:noWrap w:val="0"/>
                  <w:vAlign w:val="center"/>
                </w:tcPr>
                <w:p w14:paraId="33F7D67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15:00~16:00</w:t>
                  </w:r>
                </w:p>
              </w:tc>
              <w:tc>
                <w:tcPr>
                  <w:tcW w:w="488" w:type="pct"/>
                  <w:shd w:val="clear" w:color="auto" w:fill="auto"/>
                  <w:noWrap w:val="0"/>
                  <w:vAlign w:val="center"/>
                </w:tcPr>
                <w:p w14:paraId="257F3F68">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0.021</w:t>
                  </w:r>
                </w:p>
              </w:tc>
              <w:tc>
                <w:tcPr>
                  <w:tcW w:w="488" w:type="pct"/>
                  <w:noWrap w:val="0"/>
                  <w:vAlign w:val="center"/>
                </w:tcPr>
                <w:p w14:paraId="0B38E3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15:09</w:t>
                  </w:r>
                </w:p>
              </w:tc>
              <w:tc>
                <w:tcPr>
                  <w:tcW w:w="488" w:type="pct"/>
                  <w:noWrap w:val="0"/>
                  <w:vAlign w:val="center"/>
                </w:tcPr>
                <w:p w14:paraId="0826E23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1CE4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96" w:type="pct"/>
                  <w:vMerge w:val="restart"/>
                  <w:noWrap w:val="0"/>
                  <w:vAlign w:val="center"/>
                </w:tcPr>
                <w:p w14:paraId="0CC588C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4</w:t>
                  </w:r>
                </w:p>
              </w:tc>
              <w:tc>
                <w:tcPr>
                  <w:tcW w:w="665" w:type="pct"/>
                  <w:vMerge w:val="restart"/>
                  <w:noWrap w:val="0"/>
                  <w:vAlign w:val="center"/>
                </w:tcPr>
                <w:p w14:paraId="60B41C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A4项目区下风向3#</w:t>
                  </w:r>
                </w:p>
              </w:tc>
              <w:tc>
                <w:tcPr>
                  <w:tcW w:w="452" w:type="pct"/>
                  <w:vMerge w:val="continue"/>
                  <w:noWrap w:val="0"/>
                  <w:vAlign w:val="center"/>
                </w:tcPr>
                <w:p w14:paraId="25AA886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p>
              </w:tc>
              <w:tc>
                <w:tcPr>
                  <w:tcW w:w="865" w:type="pct"/>
                  <w:noWrap w:val="0"/>
                  <w:vAlign w:val="center"/>
                </w:tcPr>
                <w:p w14:paraId="7E1079B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09:00~10:00</w:t>
                  </w:r>
                </w:p>
              </w:tc>
              <w:tc>
                <w:tcPr>
                  <w:tcW w:w="406" w:type="pct"/>
                  <w:noWrap w:val="0"/>
                  <w:vAlign w:val="center"/>
                </w:tcPr>
                <w:p w14:paraId="014D83C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0.22</w:t>
                  </w:r>
                </w:p>
              </w:tc>
              <w:tc>
                <w:tcPr>
                  <w:tcW w:w="846" w:type="pct"/>
                  <w:shd w:val="clear" w:color="auto" w:fill="auto"/>
                  <w:noWrap w:val="0"/>
                  <w:vAlign w:val="center"/>
                </w:tcPr>
                <w:p w14:paraId="1B39924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09:00~10:00</w:t>
                  </w:r>
                </w:p>
              </w:tc>
              <w:tc>
                <w:tcPr>
                  <w:tcW w:w="488" w:type="pct"/>
                  <w:shd w:val="clear" w:color="auto" w:fill="auto"/>
                  <w:noWrap w:val="0"/>
                  <w:vAlign w:val="center"/>
                </w:tcPr>
                <w:p w14:paraId="1BC38A9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0.017</w:t>
                  </w:r>
                </w:p>
              </w:tc>
              <w:tc>
                <w:tcPr>
                  <w:tcW w:w="488" w:type="pct"/>
                  <w:noWrap w:val="0"/>
                  <w:vAlign w:val="center"/>
                </w:tcPr>
                <w:p w14:paraId="3B95E8E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09:11</w:t>
                  </w:r>
                </w:p>
              </w:tc>
              <w:tc>
                <w:tcPr>
                  <w:tcW w:w="488" w:type="pct"/>
                  <w:noWrap w:val="0"/>
                  <w:vAlign w:val="center"/>
                </w:tcPr>
                <w:p w14:paraId="012A369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743E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continue"/>
                  <w:noWrap w:val="0"/>
                  <w:vAlign w:val="center"/>
                </w:tcPr>
                <w:p w14:paraId="21FDA18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p>
              </w:tc>
              <w:tc>
                <w:tcPr>
                  <w:tcW w:w="665" w:type="pct"/>
                  <w:vMerge w:val="continue"/>
                  <w:noWrap w:val="0"/>
                  <w:vAlign w:val="center"/>
                </w:tcPr>
                <w:p w14:paraId="12F3BC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452" w:type="pct"/>
                  <w:vMerge w:val="continue"/>
                  <w:noWrap w:val="0"/>
                  <w:vAlign w:val="center"/>
                </w:tcPr>
                <w:p w14:paraId="3C7B36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65" w:type="pct"/>
                  <w:noWrap w:val="0"/>
                  <w:vAlign w:val="center"/>
                </w:tcPr>
                <w:p w14:paraId="78079F2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12:00~13:00</w:t>
                  </w:r>
                </w:p>
              </w:tc>
              <w:tc>
                <w:tcPr>
                  <w:tcW w:w="406" w:type="pct"/>
                  <w:noWrap w:val="0"/>
                  <w:vAlign w:val="center"/>
                </w:tcPr>
                <w:p w14:paraId="6641BEA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0.31</w:t>
                  </w:r>
                </w:p>
              </w:tc>
              <w:tc>
                <w:tcPr>
                  <w:tcW w:w="846" w:type="pct"/>
                  <w:shd w:val="clear" w:color="auto" w:fill="auto"/>
                  <w:noWrap w:val="0"/>
                  <w:vAlign w:val="center"/>
                </w:tcPr>
                <w:p w14:paraId="4B0ABC9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12:00~13:00</w:t>
                  </w:r>
                </w:p>
              </w:tc>
              <w:tc>
                <w:tcPr>
                  <w:tcW w:w="488" w:type="pct"/>
                  <w:shd w:val="clear" w:color="auto" w:fill="auto"/>
                  <w:noWrap w:val="0"/>
                  <w:vAlign w:val="center"/>
                </w:tcPr>
                <w:p w14:paraId="41F8520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0.019</w:t>
                  </w:r>
                </w:p>
              </w:tc>
              <w:tc>
                <w:tcPr>
                  <w:tcW w:w="488" w:type="pct"/>
                  <w:noWrap w:val="0"/>
                  <w:vAlign w:val="center"/>
                </w:tcPr>
                <w:p w14:paraId="6C9C3DE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12:11</w:t>
                  </w:r>
                </w:p>
              </w:tc>
              <w:tc>
                <w:tcPr>
                  <w:tcW w:w="488" w:type="pct"/>
                  <w:noWrap w:val="0"/>
                  <w:vAlign w:val="center"/>
                </w:tcPr>
                <w:p w14:paraId="2AE694C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5AED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Merge w:val="continue"/>
                  <w:noWrap w:val="0"/>
                  <w:vAlign w:val="center"/>
                </w:tcPr>
                <w:p w14:paraId="638827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p>
              </w:tc>
              <w:tc>
                <w:tcPr>
                  <w:tcW w:w="665" w:type="pct"/>
                  <w:vMerge w:val="continue"/>
                  <w:noWrap w:val="0"/>
                  <w:vAlign w:val="center"/>
                </w:tcPr>
                <w:p w14:paraId="452E1FD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452" w:type="pct"/>
                  <w:vMerge w:val="continue"/>
                  <w:noWrap w:val="0"/>
                  <w:vAlign w:val="center"/>
                </w:tcPr>
                <w:p w14:paraId="6D4BFA5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65" w:type="pct"/>
                  <w:noWrap w:val="0"/>
                  <w:vAlign w:val="center"/>
                </w:tcPr>
                <w:p w14:paraId="1EF046D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15:00~16:00</w:t>
                  </w:r>
                </w:p>
              </w:tc>
              <w:tc>
                <w:tcPr>
                  <w:tcW w:w="406" w:type="pct"/>
                  <w:noWrap w:val="0"/>
                  <w:vAlign w:val="center"/>
                </w:tcPr>
                <w:p w14:paraId="09CAE3A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0.36</w:t>
                  </w:r>
                </w:p>
              </w:tc>
              <w:tc>
                <w:tcPr>
                  <w:tcW w:w="846" w:type="pct"/>
                  <w:shd w:val="clear" w:color="auto" w:fill="auto"/>
                  <w:noWrap w:val="0"/>
                  <w:vAlign w:val="center"/>
                </w:tcPr>
                <w:p w14:paraId="6B3915A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15:00~16:00</w:t>
                  </w:r>
                </w:p>
              </w:tc>
              <w:tc>
                <w:tcPr>
                  <w:tcW w:w="488" w:type="pct"/>
                  <w:shd w:val="clear" w:color="auto" w:fill="auto"/>
                  <w:noWrap w:val="0"/>
                  <w:vAlign w:val="center"/>
                </w:tcPr>
                <w:p w14:paraId="0F7F7B0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0.022</w:t>
                  </w:r>
                </w:p>
              </w:tc>
              <w:tc>
                <w:tcPr>
                  <w:tcW w:w="488" w:type="pct"/>
                  <w:noWrap w:val="0"/>
                  <w:vAlign w:val="center"/>
                </w:tcPr>
                <w:p w14:paraId="1FCEE66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15:11</w:t>
                  </w:r>
                </w:p>
              </w:tc>
              <w:tc>
                <w:tcPr>
                  <w:tcW w:w="488" w:type="pct"/>
                  <w:noWrap w:val="0"/>
                  <w:vAlign w:val="center"/>
                </w:tcPr>
                <w:p w14:paraId="309E2A6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＜10</w:t>
                  </w:r>
                </w:p>
              </w:tc>
            </w:tr>
            <w:tr w14:paraId="36A9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gridSpan w:val="2"/>
                  <w:noWrap w:val="0"/>
                  <w:vAlign w:val="center"/>
                </w:tcPr>
                <w:p w14:paraId="5C15A55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《恶臭污染物排放标准》（GB14554-93）中表1浓度限值</w:t>
                  </w:r>
                </w:p>
              </w:tc>
              <w:tc>
                <w:tcPr>
                  <w:tcW w:w="452" w:type="pct"/>
                  <w:noWrap w:val="0"/>
                  <w:vAlign w:val="center"/>
                </w:tcPr>
                <w:p w14:paraId="4CF0F33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c>
                <w:tcPr>
                  <w:tcW w:w="865" w:type="pct"/>
                  <w:noWrap w:val="0"/>
                  <w:vAlign w:val="center"/>
                </w:tcPr>
                <w:p w14:paraId="7CA3303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w:t>
                  </w:r>
                </w:p>
              </w:tc>
              <w:tc>
                <w:tcPr>
                  <w:tcW w:w="406" w:type="pct"/>
                  <w:noWrap w:val="0"/>
                  <w:vAlign w:val="center"/>
                </w:tcPr>
                <w:p w14:paraId="3A745D9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1.5</w:t>
                  </w:r>
                </w:p>
              </w:tc>
              <w:tc>
                <w:tcPr>
                  <w:tcW w:w="846" w:type="pct"/>
                  <w:noWrap w:val="0"/>
                  <w:vAlign w:val="center"/>
                </w:tcPr>
                <w:p w14:paraId="2B5C17A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c>
                <w:tcPr>
                  <w:tcW w:w="488" w:type="pct"/>
                  <w:noWrap w:val="0"/>
                  <w:vAlign w:val="center"/>
                </w:tcPr>
                <w:p w14:paraId="1D7CC8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0.06</w:t>
                  </w:r>
                </w:p>
              </w:tc>
              <w:tc>
                <w:tcPr>
                  <w:tcW w:w="488" w:type="pct"/>
                  <w:noWrap w:val="0"/>
                  <w:vAlign w:val="center"/>
                </w:tcPr>
                <w:p w14:paraId="086669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c>
                <w:tcPr>
                  <w:tcW w:w="488" w:type="pct"/>
                  <w:noWrap w:val="0"/>
                  <w:vAlign w:val="center"/>
                </w:tcPr>
                <w:p w14:paraId="17341F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20</w:t>
                  </w:r>
                </w:p>
              </w:tc>
            </w:tr>
            <w:tr w14:paraId="3D47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gridSpan w:val="2"/>
                  <w:noWrap w:val="0"/>
                  <w:vAlign w:val="center"/>
                </w:tcPr>
                <w:p w14:paraId="58579D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达标情况</w:t>
                  </w:r>
                </w:p>
              </w:tc>
              <w:tc>
                <w:tcPr>
                  <w:tcW w:w="452" w:type="pct"/>
                  <w:noWrap w:val="0"/>
                  <w:vAlign w:val="center"/>
                </w:tcPr>
                <w:p w14:paraId="42C1D0F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c>
                <w:tcPr>
                  <w:tcW w:w="865" w:type="pct"/>
                  <w:noWrap w:val="0"/>
                  <w:vAlign w:val="center"/>
                </w:tcPr>
                <w:p w14:paraId="1B7311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w:t>
                  </w:r>
                </w:p>
              </w:tc>
              <w:tc>
                <w:tcPr>
                  <w:tcW w:w="406" w:type="pct"/>
                  <w:noWrap w:val="0"/>
                  <w:vAlign w:val="center"/>
                </w:tcPr>
                <w:p w14:paraId="65FCC3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达标</w:t>
                  </w:r>
                </w:p>
              </w:tc>
              <w:tc>
                <w:tcPr>
                  <w:tcW w:w="846" w:type="pct"/>
                  <w:noWrap w:val="0"/>
                  <w:vAlign w:val="center"/>
                </w:tcPr>
                <w:p w14:paraId="095397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c>
                <w:tcPr>
                  <w:tcW w:w="488" w:type="pct"/>
                  <w:noWrap w:val="0"/>
                  <w:vAlign w:val="center"/>
                </w:tcPr>
                <w:p w14:paraId="7B386C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达标</w:t>
                  </w:r>
                </w:p>
              </w:tc>
              <w:tc>
                <w:tcPr>
                  <w:tcW w:w="488" w:type="pct"/>
                  <w:noWrap w:val="0"/>
                  <w:vAlign w:val="center"/>
                </w:tcPr>
                <w:p w14:paraId="339DD7C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c>
                <w:tcPr>
                  <w:tcW w:w="488" w:type="pct"/>
                  <w:noWrap w:val="0"/>
                  <w:vAlign w:val="center"/>
                </w:tcPr>
                <w:p w14:paraId="0FAC14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r>
          </w:tbl>
          <w:p w14:paraId="11421F5C">
            <w:pPr>
              <w:spacing w:line="360" w:lineRule="auto"/>
              <w:rPr>
                <w:rFonts w:hint="eastAsia" w:ascii="Times New Roman" w:hAnsi="Times New Roman" w:eastAsia="宋体" w:cs="Times New Roman"/>
                <w:color w:val="auto"/>
                <w:sz w:val="24"/>
                <w:szCs w:val="24"/>
                <w:highlight w:val="none"/>
                <w:lang w:eastAsia="zh-CN"/>
              </w:rPr>
            </w:pPr>
          </w:p>
          <w:p w14:paraId="298212BD">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2、尾水排放</w:t>
            </w:r>
          </w:p>
          <w:p w14:paraId="2F33B523">
            <w:pPr>
              <w:pStyle w:val="11"/>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大山生活垃圾填埋场至今租用两</w:t>
            </w:r>
            <w:r>
              <w:rPr>
                <w:rFonts w:hint="default" w:ascii="Times New Roman" w:hAnsi="Times New Roman" w:cs="Times New Roman"/>
                <w:color w:val="auto"/>
                <w:sz w:val="24"/>
                <w:szCs w:val="24"/>
                <w:highlight w:val="none"/>
                <w:lang w:val="en-US" w:eastAsia="zh-CN"/>
              </w:rPr>
              <w:t>套日处理量各为100吨/天的集装箱式两级DTRO设备处理填埋场渗滤液（1用1备）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现有渗滤液处理后的出水达到《城镇污水处理厂污染物排放标准》（GB18918-2002）中一级A标排放标准，</w:t>
            </w:r>
            <w:r>
              <w:rPr>
                <w:rFonts w:hint="eastAsia" w:cs="Times New Roman"/>
                <w:color w:val="auto"/>
                <w:sz w:val="24"/>
                <w:szCs w:val="24"/>
                <w:highlight w:val="none"/>
                <w:lang w:val="en-US" w:eastAsia="zh-CN"/>
              </w:rPr>
              <w:t>回用于</w:t>
            </w:r>
            <w:r>
              <w:rPr>
                <w:rFonts w:hint="default" w:ascii="Times New Roman" w:hAnsi="Times New Roman" w:eastAsia="宋体" w:cs="Times New Roman"/>
                <w:color w:val="auto"/>
                <w:sz w:val="24"/>
                <w:szCs w:val="24"/>
                <w:highlight w:val="none"/>
                <w:lang w:val="en-US" w:eastAsia="zh-CN"/>
              </w:rPr>
              <w:t>场区绿化灌溉，浓缩液回灌于垃圾填埋场</w:t>
            </w:r>
            <w:r>
              <w:rPr>
                <w:rFonts w:hint="eastAsia" w:ascii="Times New Roman" w:hAnsi="Times New Roman" w:eastAsia="宋体" w:cs="Times New Roman"/>
                <w:color w:val="auto"/>
                <w:sz w:val="24"/>
                <w:szCs w:val="24"/>
                <w:highlight w:val="none"/>
                <w:lang w:val="en-US" w:eastAsia="zh-CN"/>
              </w:rPr>
              <w:t>，废水不外排</w:t>
            </w:r>
            <w:r>
              <w:rPr>
                <w:rFonts w:hint="eastAsia" w:ascii="Times New Roman" w:hAnsi="Times New Roman" w:eastAsia="宋体" w:cs="Times New Roman"/>
                <w:color w:val="auto"/>
                <w:sz w:val="24"/>
                <w:szCs w:val="24"/>
                <w:highlight w:val="none"/>
                <w:lang w:eastAsia="zh-CN"/>
              </w:rPr>
              <w:t>。</w:t>
            </w:r>
          </w:p>
          <w:p w14:paraId="0B47EC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 w:val="0"/>
                <w:bCs w:val="0"/>
                <w:color w:val="auto"/>
                <w:sz w:val="24"/>
                <w:szCs w:val="24"/>
                <w:highlight w:val="none"/>
                <w:lang w:val="en-US" w:eastAsia="zh-CN"/>
              </w:rPr>
              <w:t>根据</w:t>
            </w:r>
            <w:r>
              <w:rPr>
                <w:rFonts w:hint="eastAsia" w:cs="Times New Roman"/>
                <w:b w:val="0"/>
                <w:bCs w:val="0"/>
                <w:color w:val="auto"/>
                <w:sz w:val="24"/>
                <w:szCs w:val="24"/>
                <w:highlight w:val="none"/>
                <w:lang w:val="en-US" w:eastAsia="zh-CN"/>
              </w:rPr>
              <w:t>上表2-9，2025年5月、6月大山生活垃圾填埋场现有渗滤液处理站出口水质监测结果表，现有渗滤液处理站出水水质</w:t>
            </w:r>
            <w:r>
              <w:rPr>
                <w:rFonts w:hint="eastAsia" w:cs="Times New Roman"/>
                <w:color w:val="auto"/>
                <w:sz w:val="24"/>
                <w:szCs w:val="24"/>
                <w:highlight w:val="none"/>
                <w:lang w:val="en-US" w:eastAsia="zh-CN"/>
              </w:rPr>
              <w:t>均能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cs="Times New Roman"/>
                <w:color w:val="auto"/>
                <w:sz w:val="24"/>
                <w:szCs w:val="24"/>
                <w:highlight w:val="none"/>
              </w:rPr>
              <w:t>《城镇污水处理厂污染物排放标准》</w:t>
            </w:r>
            <w:r>
              <w:rPr>
                <w:rFonts w:hint="eastAsia" w:ascii="Times New Roman" w:hAnsi="Times New Roman" w:eastAsia="宋体" w:cs="Times New Roman"/>
                <w:color w:val="auto"/>
                <w:sz w:val="24"/>
                <w:szCs w:val="24"/>
                <w:highlight w:val="none"/>
                <w:lang w:eastAsia="zh-CN"/>
              </w:rPr>
              <w:t>及其修改单</w:t>
            </w:r>
            <w:r>
              <w:rPr>
                <w:rFonts w:hint="default" w:ascii="Times New Roman" w:hAnsi="Times New Roman" w:cs="Times New Roman"/>
                <w:color w:val="auto"/>
                <w:sz w:val="24"/>
                <w:szCs w:val="24"/>
                <w:highlight w:val="none"/>
              </w:rPr>
              <w:t>（GB18918-2002）一级A标准</w:t>
            </w:r>
            <w:r>
              <w:rPr>
                <w:rFonts w:hint="eastAsia" w:ascii="Times New Roman" w:hAnsi="Times New Roman" w:cs="Times New Roman"/>
                <w:color w:val="auto"/>
                <w:sz w:val="24"/>
                <w:szCs w:val="24"/>
                <w:highlight w:val="none"/>
                <w:lang w:val="en-US" w:eastAsia="zh-CN"/>
              </w:rPr>
              <w:t>及《城市污水再生利用 城市杂用水水质》（GB/T18920-2020）中绿化水质标准要求</w:t>
            </w:r>
            <w:r>
              <w:rPr>
                <w:rFonts w:hint="default" w:ascii="Times New Roman" w:hAnsi="Times New Roman" w:cs="Times New Roman"/>
                <w:color w:val="auto"/>
                <w:sz w:val="24"/>
                <w:highlight w:val="none"/>
              </w:rPr>
              <w:t>。</w:t>
            </w:r>
          </w:p>
          <w:p w14:paraId="47E2017E">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3、声环境</w:t>
            </w:r>
          </w:p>
          <w:p w14:paraId="6697E89A">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根据现场勘察，现状</w:t>
            </w:r>
            <w:r>
              <w:rPr>
                <w:rFonts w:hint="eastAsia" w:cs="Times New Roman"/>
                <w:color w:val="auto"/>
                <w:sz w:val="24"/>
                <w:szCs w:val="24"/>
                <w:highlight w:val="none"/>
                <w:lang w:val="en-US" w:eastAsia="zh-CN"/>
              </w:rPr>
              <w:t>大山生活垃圾填埋场渗滤液处理站采用集装箱式，水处理设备基本位于集装箱内，</w:t>
            </w:r>
            <w:r>
              <w:rPr>
                <w:rFonts w:hint="eastAsia" w:cs="Times New Roman"/>
                <w:color w:val="auto"/>
                <w:sz w:val="24"/>
                <w:szCs w:val="24"/>
                <w:highlight w:val="none"/>
                <w:lang w:eastAsia="zh-CN"/>
              </w:rPr>
              <w:t>污水泵采用潜污泵，</w:t>
            </w:r>
            <w:r>
              <w:rPr>
                <w:rFonts w:hint="eastAsia" w:ascii="Times New Roman" w:hAnsi="Times New Roman" w:eastAsia="宋体" w:cs="Times New Roman"/>
                <w:color w:val="auto"/>
                <w:sz w:val="24"/>
                <w:szCs w:val="24"/>
                <w:highlight w:val="none"/>
                <w:lang w:eastAsia="zh-CN"/>
              </w:rPr>
              <w:t>厂界内地面均进行绿化建设，产生的噪声对周围环境的影响较小。</w:t>
            </w:r>
          </w:p>
          <w:p w14:paraId="378E8061">
            <w:pPr>
              <w:spacing w:line="360" w:lineRule="auto"/>
              <w:ind w:right="102" w:firstLine="480" w:firstLineChars="200"/>
              <w:rPr>
                <w:rFonts w:hint="default" w:ascii="Times New Roman" w:hAnsi="Times New Roman" w:cs="Times New Roman"/>
                <w:snapToGrid w:val="0"/>
                <w:color w:val="auto"/>
                <w:kern w:val="0"/>
                <w:sz w:val="24"/>
                <w:highlight w:val="none"/>
                <w:lang w:val="en-US" w:eastAsia="zh-CN"/>
              </w:rPr>
            </w:pPr>
            <w:r>
              <w:rPr>
                <w:rFonts w:hint="eastAsia" w:cs="Times New Roman"/>
                <w:color w:val="auto"/>
                <w:sz w:val="24"/>
                <w:szCs w:val="24"/>
                <w:highlight w:val="none"/>
                <w:lang w:val="en-US" w:eastAsia="zh-CN"/>
              </w:rPr>
              <w:t>根据</w:t>
            </w:r>
            <w:r>
              <w:rPr>
                <w:rFonts w:hint="eastAsia" w:ascii="Times New Roman" w:hAnsi="Times New Roman" w:cs="Times New Roman"/>
                <w:color w:val="auto"/>
                <w:sz w:val="24"/>
                <w:szCs w:val="20"/>
                <w:highlight w:val="none"/>
                <w:lang w:eastAsia="zh-CN"/>
              </w:rPr>
              <w:t>建设单位</w:t>
            </w:r>
            <w:r>
              <w:rPr>
                <w:rFonts w:hint="eastAsia" w:cs="Times New Roman"/>
                <w:color w:val="auto"/>
                <w:sz w:val="24"/>
                <w:szCs w:val="20"/>
                <w:highlight w:val="none"/>
                <w:lang w:val="en-US" w:eastAsia="zh-CN"/>
              </w:rPr>
              <w:t>提供的《澄江市大山生活垃圾填埋场2025年5月及第二季度自行检测报告》，2025年5月25日云南中科检测技术有限公司</w:t>
            </w:r>
            <w:r>
              <w:rPr>
                <w:rFonts w:hint="eastAsia" w:ascii="Times New Roman" w:hAnsi="Times New Roman" w:cs="Times New Roman"/>
                <w:color w:val="auto"/>
                <w:sz w:val="24"/>
                <w:szCs w:val="20"/>
                <w:highlight w:val="none"/>
                <w:lang w:val="en-US" w:eastAsia="zh-CN"/>
              </w:rPr>
              <w:t>对</w:t>
            </w:r>
            <w:r>
              <w:rPr>
                <w:rFonts w:hint="eastAsia" w:ascii="Times New Roman" w:hAnsi="Times New Roman"/>
                <w:color w:val="auto"/>
                <w:kern w:val="24"/>
                <w:sz w:val="24"/>
                <w:szCs w:val="24"/>
                <w:highlight w:val="none"/>
                <w:lang w:val="en-US" w:eastAsia="zh-CN"/>
              </w:rPr>
              <w:t>厂界噪声</w:t>
            </w:r>
            <w:r>
              <w:rPr>
                <w:rFonts w:hint="eastAsia" w:ascii="Times New Roman" w:hAnsi="Times New Roman"/>
                <w:color w:val="auto"/>
                <w:kern w:val="24"/>
                <w:sz w:val="24"/>
                <w:szCs w:val="24"/>
                <w:highlight w:val="none"/>
                <w:lang w:eastAsia="zh-CN"/>
              </w:rPr>
              <w:t>进行了监测（详见附件</w:t>
            </w:r>
            <w:r>
              <w:rPr>
                <w:rFonts w:hint="eastAsia" w:ascii="Times New Roman" w:hAnsi="Times New Roman"/>
                <w:color w:val="auto"/>
                <w:kern w:val="24"/>
                <w:sz w:val="24"/>
                <w:szCs w:val="24"/>
                <w:highlight w:val="none"/>
                <w:lang w:val="en-US" w:eastAsia="zh-CN"/>
              </w:rPr>
              <w:t>10</w:t>
            </w:r>
            <w:r>
              <w:rPr>
                <w:rFonts w:hint="eastAsia" w:ascii="Times New Roman" w:hAnsi="Times New Roman"/>
                <w:color w:val="auto"/>
                <w:kern w:val="24"/>
                <w:sz w:val="24"/>
                <w:szCs w:val="24"/>
                <w:highlight w:val="none"/>
                <w:lang w:eastAsia="zh-CN"/>
              </w:rPr>
              <w:t>），根据监测结果，</w:t>
            </w:r>
            <w:r>
              <w:rPr>
                <w:rFonts w:hint="eastAsia" w:ascii="Times New Roman" w:hAnsi="Times New Roman" w:cs="Times New Roman"/>
                <w:snapToGrid w:val="0"/>
                <w:color w:val="auto"/>
                <w:kern w:val="0"/>
                <w:sz w:val="24"/>
                <w:highlight w:val="none"/>
                <w:lang w:val="zh-CN"/>
              </w:rPr>
              <w:t>项目厂界噪声</w:t>
            </w:r>
            <w:r>
              <w:rPr>
                <w:rFonts w:hint="default" w:ascii="Times New Roman" w:hAnsi="Times New Roman" w:cs="Times New Roman"/>
                <w:snapToGrid w:val="0"/>
                <w:color w:val="auto"/>
                <w:kern w:val="0"/>
                <w:sz w:val="24"/>
                <w:highlight w:val="none"/>
                <w:lang w:val="en-US" w:eastAsia="zh-CN"/>
              </w:rPr>
              <w:t>均达《工业企业厂界环境噪声排放标准》（GB12348-2008）2类标准</w:t>
            </w:r>
            <w:r>
              <w:rPr>
                <w:rFonts w:hint="eastAsia" w:cs="Times New Roman"/>
                <w:snapToGrid w:val="0"/>
                <w:color w:val="auto"/>
                <w:kern w:val="0"/>
                <w:sz w:val="24"/>
                <w:highlight w:val="none"/>
                <w:lang w:val="en-US" w:eastAsia="zh-CN"/>
              </w:rPr>
              <w:t>要求</w:t>
            </w:r>
            <w:r>
              <w:rPr>
                <w:rFonts w:hint="default" w:ascii="Times New Roman" w:hAnsi="Times New Roman" w:cs="Times New Roman"/>
                <w:snapToGrid w:val="0"/>
                <w:color w:val="auto"/>
                <w:kern w:val="0"/>
                <w:sz w:val="24"/>
                <w:highlight w:val="none"/>
                <w:lang w:val="en-US" w:eastAsia="zh-CN"/>
              </w:rPr>
              <w:t>。</w:t>
            </w:r>
          </w:p>
          <w:p w14:paraId="66DC51B3">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4、固废处置</w:t>
            </w:r>
          </w:p>
          <w:p w14:paraId="6285A244">
            <w:pPr>
              <w:pStyle w:val="11"/>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cs="Times New Roman"/>
                <w:b/>
                <w:bCs/>
                <w:color w:val="auto"/>
                <w:sz w:val="24"/>
                <w:szCs w:val="24"/>
                <w:highlight w:val="none"/>
                <w:lang w:val="en-US" w:eastAsia="zh-CN"/>
              </w:rPr>
            </w:pPr>
            <w:r>
              <w:rPr>
                <w:rFonts w:hint="eastAsia" w:cs="Times New Roman"/>
                <w:color w:val="auto"/>
                <w:sz w:val="24"/>
                <w:szCs w:val="24"/>
                <w:highlight w:val="none"/>
                <w:lang w:eastAsia="zh-CN"/>
              </w:rPr>
              <w:t>现状</w:t>
            </w:r>
            <w:r>
              <w:rPr>
                <w:rFonts w:hint="eastAsia" w:cs="Times New Roman"/>
                <w:color w:val="auto"/>
                <w:sz w:val="24"/>
                <w:szCs w:val="24"/>
                <w:highlight w:val="none"/>
                <w:lang w:val="en-US" w:eastAsia="zh-CN"/>
              </w:rPr>
              <w:t>大山生活垃圾填埋场渗滤液处理站</w:t>
            </w:r>
            <w:r>
              <w:rPr>
                <w:rFonts w:hint="eastAsia" w:ascii="Times New Roman" w:hAnsi="Times New Roman" w:eastAsia="宋体" w:cs="Times New Roman"/>
                <w:color w:val="auto"/>
                <w:sz w:val="24"/>
                <w:szCs w:val="24"/>
                <w:highlight w:val="none"/>
                <w:lang w:eastAsia="zh-CN"/>
              </w:rPr>
              <w:t>产生的</w:t>
            </w:r>
            <w:r>
              <w:rPr>
                <w:rFonts w:hint="eastAsia" w:cs="Times New Roman"/>
                <w:color w:val="auto"/>
                <w:sz w:val="24"/>
                <w:szCs w:val="24"/>
                <w:highlight w:val="none"/>
                <w:lang w:val="en-US" w:eastAsia="zh-CN"/>
              </w:rPr>
              <w:t>固体废弃物主要有浓缩液、更换的反渗透膜以及离子交换树脂、消泡剂、阻垢剂、碱性清洗剂包装桶、员工生活垃圾。浓缩液日均产生量约50m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/d，由泵回喷至垃圾填埋场</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更换的反渗透膜产生量约0.5t/a，由设备厂家更换带走；离子交换树脂产生量约0.5t/a，由渗滤液处理站运维方回收处置；消泡剂、阻垢剂包装桶产生量约0.5t/a，由渗滤液处理站运维方回收处置；</w:t>
            </w:r>
            <w:r>
              <w:rPr>
                <w:rFonts w:hint="eastAsia" w:ascii="Times New Roman" w:hAnsi="Times New Roman" w:eastAsia="宋体" w:cs="Times New Roman"/>
                <w:color w:val="auto"/>
                <w:sz w:val="24"/>
                <w:szCs w:val="24"/>
                <w:highlight w:val="none"/>
                <w:lang w:val="en-US" w:eastAsia="zh-CN"/>
              </w:rPr>
              <w:t>生活垃圾产生量</w:t>
            </w:r>
            <w:r>
              <w:rPr>
                <w:rFonts w:hint="eastAsia" w:cs="Times New Roman"/>
                <w:color w:val="auto"/>
                <w:sz w:val="24"/>
                <w:szCs w:val="24"/>
                <w:highlight w:val="none"/>
                <w:lang w:val="en-US" w:eastAsia="zh-CN"/>
              </w:rPr>
              <w:t>1.1</w:t>
            </w:r>
            <w:r>
              <w:rPr>
                <w:rFonts w:hint="eastAsia"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a，运至二期填埋区填埋处置</w:t>
            </w:r>
            <w:r>
              <w:rPr>
                <w:rFonts w:hint="eastAsia" w:ascii="Times New Roman" w:hAnsi="Times New Roman" w:eastAsia="宋体" w:cs="Times New Roman"/>
                <w:color w:val="auto"/>
                <w:sz w:val="24"/>
                <w:szCs w:val="24"/>
                <w:highlight w:val="none"/>
                <w:lang w:eastAsia="zh-CN"/>
              </w:rPr>
              <w:t>。</w:t>
            </w:r>
          </w:p>
          <w:p w14:paraId="3627F6A7">
            <w:pPr>
              <w:spacing w:line="360" w:lineRule="auto"/>
              <w:ind w:firstLine="482" w:firstLineChars="200"/>
              <w:rPr>
                <w:rFonts w:hint="eastAsia" w:ascii="Times New Roman" w:hAnsi="Times New Roman" w:eastAsia="宋体" w:cs="Times New Roman"/>
                <w:b/>
                <w:bCs/>
                <w:color w:val="auto"/>
                <w:sz w:val="24"/>
                <w:szCs w:val="24"/>
                <w:highlight w:val="none"/>
                <w:lang w:eastAsia="zh-CN"/>
              </w:rPr>
            </w:pPr>
            <w:r>
              <w:rPr>
                <w:rFonts w:hint="eastAsia" w:eastAsia="宋体" w:cs="Times New Roman"/>
                <w:b/>
                <w:bCs/>
                <w:color w:val="auto"/>
                <w:sz w:val="24"/>
                <w:szCs w:val="24"/>
                <w:highlight w:val="none"/>
                <w:lang w:eastAsia="zh-CN"/>
              </w:rPr>
              <w:t>五</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color w:val="auto"/>
                <w:sz w:val="24"/>
                <w:highlight w:val="none"/>
                <w:lang w:val="en-US" w:eastAsia="zh-CN"/>
              </w:rPr>
              <w:t>现有</w:t>
            </w:r>
            <w:r>
              <w:rPr>
                <w:rFonts w:hint="eastAsia" w:ascii="Times New Roman" w:hAnsi="Times New Roman" w:cs="Times New Roman"/>
                <w:b/>
                <w:color w:val="auto"/>
                <w:sz w:val="24"/>
                <w:highlight w:val="none"/>
                <w:lang w:val="en-US"/>
              </w:rPr>
              <w:t>项目存在的主要环境问题及整改措施</w:t>
            </w:r>
          </w:p>
          <w:p w14:paraId="6363FBFB">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1、存在的主要环境问题</w:t>
            </w:r>
          </w:p>
          <w:p w14:paraId="661D1A90">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cs="Times New Roman" w:eastAsiaTheme="minorEastAsia"/>
                <w:color w:val="auto"/>
                <w:sz w:val="24"/>
                <w:szCs w:val="24"/>
                <w:highlight w:val="none"/>
                <w:lang w:val="en-US" w:eastAsia="zh-CN"/>
              </w:rPr>
              <w:t>通过现场勘察，</w:t>
            </w:r>
            <w:r>
              <w:rPr>
                <w:rFonts w:hint="eastAsia" w:ascii="Times New Roman" w:hAnsi="Times New Roman" w:eastAsia="宋体" w:cs="Times New Roman"/>
                <w:color w:val="auto"/>
                <w:sz w:val="24"/>
                <w:szCs w:val="24"/>
                <w:highlight w:val="none"/>
                <w:lang w:val="en-US" w:eastAsia="zh-CN"/>
              </w:rPr>
              <w:t>现有存在的环境问题如下：</w:t>
            </w:r>
          </w:p>
          <w:p w14:paraId="3BA2EF96">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1）二期</w:t>
            </w:r>
            <w:r>
              <w:rPr>
                <w:rFonts w:hint="eastAsia" w:cs="Times New Roman"/>
                <w:color w:val="auto"/>
                <w:sz w:val="24"/>
                <w:szCs w:val="24"/>
                <w:highlight w:val="none"/>
                <w:lang w:val="en-US" w:eastAsia="zh-CN"/>
              </w:rPr>
              <w:t>填埋区</w:t>
            </w:r>
            <w:r>
              <w:rPr>
                <w:rFonts w:hint="eastAsia" w:ascii="Times New Roman" w:hAnsi="Times New Roman" w:eastAsia="宋体" w:cs="Times New Roman"/>
                <w:color w:val="auto"/>
                <w:sz w:val="24"/>
                <w:szCs w:val="24"/>
                <w:highlight w:val="none"/>
                <w:lang w:val="en-US" w:eastAsia="zh-CN"/>
              </w:rPr>
              <w:t>现未做雨污分流，</w:t>
            </w:r>
            <w:r>
              <w:rPr>
                <w:rFonts w:hint="eastAsia" w:cs="Times New Roman"/>
                <w:color w:val="auto"/>
                <w:sz w:val="24"/>
                <w:szCs w:val="24"/>
                <w:highlight w:val="none"/>
                <w:lang w:val="en-US" w:eastAsia="zh-CN"/>
              </w:rPr>
              <w:t>一二期结合部应急填埋区地形低凹，2025年雨水较多，导致现状一二期结合部的渗滤液收集池已接近满容量。</w:t>
            </w:r>
          </w:p>
          <w:p w14:paraId="5EBB0460">
            <w:p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2）二期建设时间较早，未做边坡保护层，垃圾填埋过程中可能被尖锐垃圾损坏，二次开挖垃圾堆体倒运垃圾焚烧，导致垃圾堆体扰动，二期西侧边坡原防渗层有破损现象。</w:t>
            </w:r>
          </w:p>
          <w:p w14:paraId="30BFB6B1">
            <w:pPr>
              <w:spacing w:line="360" w:lineRule="auto"/>
              <w:ind w:firstLine="480" w:firstLineChars="200"/>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3）现有渗滤液处理站设有在线监测室，但实际未安装在线监测设施且未联网。</w:t>
            </w:r>
          </w:p>
          <w:p w14:paraId="08070789">
            <w:pPr>
              <w:spacing w:line="360" w:lineRule="auto"/>
              <w:ind w:firstLine="480" w:firstLineChars="200"/>
              <w:rPr>
                <w:rFonts w:hint="default"/>
                <w:color w:val="auto"/>
                <w:highlight w:val="none"/>
                <w:lang w:val="en-US" w:eastAsia="zh-CN"/>
              </w:rPr>
            </w:pPr>
            <w:r>
              <w:rPr>
                <w:rFonts w:hint="eastAsia" w:cs="Times New Roman"/>
                <w:b w:val="0"/>
                <w:bCs w:val="0"/>
                <w:color w:val="auto"/>
                <w:sz w:val="24"/>
                <w:szCs w:val="24"/>
                <w:highlight w:val="none"/>
                <w:lang w:val="en-US" w:eastAsia="zh-CN"/>
              </w:rPr>
              <w:t>4）大山生活垃圾填埋场目前在填埋场西面建有1口污染扩散井，目前已被周边种植户覆土覆盖，南面约20m、700m处分别设有1口污染监视井，不符合《生活垃圾填埋场污染控制标准》（GB16889-2024）中地下水监测井的布设要求。</w:t>
            </w:r>
          </w:p>
          <w:p w14:paraId="4496501C">
            <w:pPr>
              <w:spacing w:line="360" w:lineRule="auto"/>
              <w:ind w:firstLine="482" w:firstLineChars="200"/>
              <w:rPr>
                <w:rFonts w:hint="eastAsia"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2、整改措施</w:t>
            </w:r>
          </w:p>
          <w:p w14:paraId="3EACF9E1">
            <w:pPr>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针对目前垃圾填埋场的环境问题，本次设计方案提出了以下整改措施：</w:t>
            </w:r>
          </w:p>
          <w:p w14:paraId="74998C4E">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olor w:val="auto"/>
                <w:sz w:val="24"/>
                <w:szCs w:val="24"/>
                <w:highlight w:val="none"/>
                <w:lang w:val="en-US" w:eastAsia="zh-CN"/>
              </w:rPr>
              <w:t>1）对应急填埋区和二期填埋区堆体表面设置雨水导排系统，实行雨污分流</w:t>
            </w:r>
            <w:r>
              <w:rPr>
                <w:rFonts w:hint="eastAsia" w:cs="Times New Roman"/>
                <w:color w:val="auto"/>
                <w:sz w:val="24"/>
                <w:szCs w:val="24"/>
                <w:highlight w:val="none"/>
                <w:lang w:val="en-US" w:eastAsia="zh-CN"/>
              </w:rPr>
              <w:t>。</w:t>
            </w:r>
          </w:p>
          <w:p w14:paraId="4FE72261">
            <w:pPr>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后续填埋场运行过程中对二期西侧边坡防渗层修复</w:t>
            </w:r>
            <w:r>
              <w:rPr>
                <w:rFonts w:hint="eastAsia" w:cs="Times New Roman"/>
                <w:color w:val="auto"/>
                <w:kern w:val="24"/>
                <w:sz w:val="24"/>
                <w:szCs w:val="24"/>
                <w:highlight w:val="none"/>
                <w:lang w:val="en-US" w:eastAsia="zh-CN"/>
              </w:rPr>
              <w:t>，对</w:t>
            </w:r>
            <w:r>
              <w:rPr>
                <w:rFonts w:hint="eastAsia" w:cs="Times New Roman"/>
                <w:color w:val="auto"/>
                <w:sz w:val="24"/>
                <w:szCs w:val="24"/>
                <w:highlight w:val="none"/>
                <w:lang w:val="en-US" w:eastAsia="zh-CN"/>
              </w:rPr>
              <w:t>一二期结合部位低凹处回填处理。</w:t>
            </w:r>
          </w:p>
          <w:p w14:paraId="117014EA">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3）新建1套渗滤液处理站进出口水质在线监测设备，并与生态环境行政主管部门联网</w:t>
            </w:r>
            <w:r>
              <w:rPr>
                <w:rFonts w:hint="eastAsia" w:ascii="Times New Roman" w:hAnsi="Times New Roman" w:eastAsia="宋体" w:cs="Times New Roman"/>
                <w:color w:val="auto"/>
                <w:sz w:val="24"/>
                <w:szCs w:val="24"/>
                <w:highlight w:val="none"/>
                <w:lang w:eastAsia="zh-CN"/>
              </w:rPr>
              <w:t>。</w:t>
            </w:r>
          </w:p>
          <w:p w14:paraId="52C9AF4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4）按照</w:t>
            </w:r>
            <w:r>
              <w:rPr>
                <w:rFonts w:hint="eastAsia" w:cs="Times New Roman"/>
                <w:b w:val="0"/>
                <w:bCs w:val="0"/>
                <w:color w:val="auto"/>
                <w:sz w:val="24"/>
                <w:szCs w:val="24"/>
                <w:highlight w:val="none"/>
                <w:lang w:val="en-US" w:eastAsia="zh-CN"/>
              </w:rPr>
              <w:t>《生活垃圾填埋场污染控制标准》（GB16889-2024）中地下水监测井的布设要求，尽快完善本底井、污染监视井的布设。</w:t>
            </w:r>
          </w:p>
          <w:p w14:paraId="0508196B">
            <w:pPr>
              <w:spacing w:line="360" w:lineRule="auto"/>
              <w:ind w:firstLine="420" w:firstLineChars="200"/>
              <w:rPr>
                <w:rFonts w:hint="eastAsia"/>
                <w:bCs/>
                <w:color w:val="auto"/>
                <w:szCs w:val="21"/>
                <w:highlight w:val="none"/>
                <w:lang w:eastAsia="zh-CN"/>
              </w:rPr>
            </w:pPr>
          </w:p>
          <w:p w14:paraId="540C64E2">
            <w:pPr>
              <w:spacing w:line="360" w:lineRule="auto"/>
              <w:ind w:firstLine="420" w:firstLineChars="200"/>
              <w:rPr>
                <w:rFonts w:hint="eastAsia"/>
                <w:bCs/>
                <w:color w:val="auto"/>
                <w:szCs w:val="21"/>
                <w:highlight w:val="none"/>
                <w:lang w:eastAsia="zh-CN"/>
              </w:rPr>
            </w:pPr>
          </w:p>
          <w:p w14:paraId="48ADBE9C">
            <w:pPr>
              <w:spacing w:line="360" w:lineRule="auto"/>
              <w:rPr>
                <w:rFonts w:hint="eastAsia"/>
                <w:bCs/>
                <w:color w:val="auto"/>
                <w:szCs w:val="21"/>
                <w:highlight w:val="none"/>
                <w:lang w:eastAsia="zh-CN"/>
              </w:rPr>
            </w:pPr>
          </w:p>
          <w:p w14:paraId="2B5E1C89">
            <w:pPr>
              <w:spacing w:line="360" w:lineRule="auto"/>
              <w:rPr>
                <w:rFonts w:hint="eastAsia"/>
                <w:bCs/>
                <w:color w:val="auto"/>
                <w:szCs w:val="21"/>
                <w:highlight w:val="none"/>
                <w:lang w:eastAsia="zh-CN"/>
              </w:rPr>
            </w:pPr>
          </w:p>
          <w:p w14:paraId="10712784">
            <w:pPr>
              <w:spacing w:line="360" w:lineRule="auto"/>
              <w:rPr>
                <w:rFonts w:hint="eastAsia"/>
                <w:bCs/>
                <w:color w:val="auto"/>
                <w:szCs w:val="21"/>
                <w:highlight w:val="none"/>
                <w:lang w:eastAsia="zh-CN"/>
              </w:rPr>
            </w:pPr>
          </w:p>
          <w:p w14:paraId="095108F7">
            <w:pPr>
              <w:spacing w:line="360" w:lineRule="auto"/>
              <w:rPr>
                <w:rFonts w:hint="eastAsia"/>
                <w:bCs/>
                <w:color w:val="auto"/>
                <w:szCs w:val="21"/>
                <w:highlight w:val="none"/>
                <w:lang w:eastAsia="zh-CN"/>
              </w:rPr>
            </w:pPr>
          </w:p>
          <w:p w14:paraId="211E7C81">
            <w:pPr>
              <w:spacing w:line="360" w:lineRule="auto"/>
              <w:rPr>
                <w:rFonts w:hint="eastAsia"/>
                <w:bCs/>
                <w:color w:val="auto"/>
                <w:szCs w:val="21"/>
                <w:highlight w:val="none"/>
                <w:lang w:eastAsia="zh-CN"/>
              </w:rPr>
            </w:pPr>
          </w:p>
          <w:p w14:paraId="59975E45">
            <w:pPr>
              <w:spacing w:line="360" w:lineRule="auto"/>
              <w:rPr>
                <w:rFonts w:hint="eastAsia"/>
                <w:bCs/>
                <w:color w:val="auto"/>
                <w:szCs w:val="21"/>
                <w:highlight w:val="none"/>
                <w:lang w:val="en-US" w:eastAsia="zh-CN"/>
              </w:rPr>
            </w:pPr>
          </w:p>
          <w:p w14:paraId="6C7DBBE0">
            <w:pPr>
              <w:spacing w:line="360" w:lineRule="auto"/>
              <w:rPr>
                <w:rFonts w:hint="eastAsia"/>
                <w:bCs/>
                <w:color w:val="auto"/>
                <w:szCs w:val="21"/>
                <w:highlight w:val="none"/>
                <w:lang w:val="en-US" w:eastAsia="zh-CN"/>
              </w:rPr>
            </w:pPr>
          </w:p>
          <w:p w14:paraId="61617AF9">
            <w:pPr>
              <w:spacing w:line="360" w:lineRule="auto"/>
              <w:rPr>
                <w:rFonts w:hint="eastAsia"/>
                <w:bCs/>
                <w:color w:val="auto"/>
                <w:szCs w:val="21"/>
                <w:highlight w:val="none"/>
                <w:lang w:val="en-US" w:eastAsia="zh-CN"/>
              </w:rPr>
            </w:pPr>
          </w:p>
          <w:p w14:paraId="0ACF9FE4">
            <w:pPr>
              <w:spacing w:line="360" w:lineRule="auto"/>
              <w:rPr>
                <w:rFonts w:hint="eastAsia"/>
                <w:bCs/>
                <w:color w:val="auto"/>
                <w:szCs w:val="21"/>
                <w:highlight w:val="none"/>
                <w:lang w:val="en-US" w:eastAsia="zh-CN"/>
              </w:rPr>
            </w:pPr>
          </w:p>
          <w:p w14:paraId="5FF2A1E6">
            <w:pPr>
              <w:spacing w:line="360" w:lineRule="auto"/>
              <w:rPr>
                <w:rFonts w:hint="eastAsia"/>
                <w:bCs/>
                <w:color w:val="auto"/>
                <w:szCs w:val="21"/>
                <w:highlight w:val="none"/>
                <w:lang w:val="en-US" w:eastAsia="zh-CN"/>
              </w:rPr>
            </w:pPr>
          </w:p>
          <w:p w14:paraId="54FB8A07">
            <w:pPr>
              <w:spacing w:line="360" w:lineRule="auto"/>
              <w:rPr>
                <w:rFonts w:hint="eastAsia"/>
                <w:bCs/>
                <w:color w:val="auto"/>
                <w:szCs w:val="21"/>
                <w:highlight w:val="none"/>
                <w:lang w:val="en-US" w:eastAsia="zh-CN"/>
              </w:rPr>
            </w:pPr>
          </w:p>
          <w:p w14:paraId="53EBC751">
            <w:pPr>
              <w:spacing w:line="360" w:lineRule="auto"/>
              <w:rPr>
                <w:rFonts w:hint="eastAsia"/>
                <w:bCs/>
                <w:color w:val="auto"/>
                <w:szCs w:val="21"/>
                <w:highlight w:val="none"/>
                <w:lang w:val="en-US" w:eastAsia="zh-CN"/>
              </w:rPr>
            </w:pPr>
          </w:p>
          <w:p w14:paraId="49356425">
            <w:pPr>
              <w:spacing w:line="360" w:lineRule="auto"/>
              <w:rPr>
                <w:rFonts w:hint="eastAsia"/>
                <w:bCs/>
                <w:color w:val="auto"/>
                <w:szCs w:val="21"/>
                <w:highlight w:val="none"/>
                <w:lang w:val="en-US" w:eastAsia="zh-CN"/>
              </w:rPr>
            </w:pPr>
          </w:p>
          <w:p w14:paraId="68379193">
            <w:pPr>
              <w:spacing w:line="360" w:lineRule="auto"/>
              <w:rPr>
                <w:rFonts w:hint="eastAsia"/>
                <w:bCs/>
                <w:color w:val="auto"/>
                <w:szCs w:val="21"/>
                <w:highlight w:val="none"/>
                <w:lang w:val="en-US" w:eastAsia="zh-CN"/>
              </w:rPr>
            </w:pPr>
          </w:p>
          <w:p w14:paraId="124CEB6F">
            <w:pPr>
              <w:spacing w:line="360" w:lineRule="auto"/>
              <w:rPr>
                <w:rFonts w:hint="eastAsia"/>
                <w:bCs/>
                <w:color w:val="auto"/>
                <w:szCs w:val="21"/>
                <w:highlight w:val="none"/>
                <w:lang w:val="en-US" w:eastAsia="zh-CN"/>
              </w:rPr>
            </w:pPr>
          </w:p>
          <w:p w14:paraId="723E34C3">
            <w:pPr>
              <w:spacing w:line="360" w:lineRule="auto"/>
              <w:rPr>
                <w:rFonts w:hint="eastAsia"/>
                <w:bCs/>
                <w:color w:val="auto"/>
                <w:szCs w:val="21"/>
                <w:highlight w:val="none"/>
                <w:lang w:val="en-US" w:eastAsia="zh-CN"/>
              </w:rPr>
            </w:pPr>
          </w:p>
          <w:p w14:paraId="75448D9A">
            <w:pPr>
              <w:spacing w:line="360" w:lineRule="auto"/>
              <w:rPr>
                <w:rFonts w:hint="eastAsia"/>
                <w:bCs/>
                <w:color w:val="auto"/>
                <w:szCs w:val="21"/>
                <w:highlight w:val="none"/>
                <w:lang w:val="en-US" w:eastAsia="zh-CN"/>
              </w:rPr>
            </w:pPr>
          </w:p>
          <w:p w14:paraId="23BD9F49">
            <w:pPr>
              <w:spacing w:line="360" w:lineRule="auto"/>
              <w:rPr>
                <w:rFonts w:hint="eastAsia"/>
                <w:bCs/>
                <w:color w:val="auto"/>
                <w:szCs w:val="21"/>
                <w:highlight w:val="none"/>
                <w:lang w:val="en-US" w:eastAsia="zh-CN"/>
              </w:rPr>
            </w:pPr>
          </w:p>
          <w:p w14:paraId="5EA96BDE">
            <w:pPr>
              <w:spacing w:line="360" w:lineRule="auto"/>
              <w:rPr>
                <w:rFonts w:hint="eastAsia"/>
                <w:bCs/>
                <w:color w:val="auto"/>
                <w:szCs w:val="21"/>
                <w:highlight w:val="none"/>
                <w:lang w:val="en-US" w:eastAsia="zh-CN"/>
              </w:rPr>
            </w:pPr>
          </w:p>
          <w:p w14:paraId="0DD12099">
            <w:pPr>
              <w:spacing w:line="360" w:lineRule="auto"/>
              <w:rPr>
                <w:rFonts w:hint="eastAsia"/>
                <w:bCs/>
                <w:color w:val="auto"/>
                <w:szCs w:val="21"/>
                <w:highlight w:val="none"/>
                <w:lang w:val="en-US" w:eastAsia="zh-CN"/>
              </w:rPr>
            </w:pPr>
          </w:p>
          <w:p w14:paraId="6BDF11D2">
            <w:pPr>
              <w:spacing w:line="360" w:lineRule="auto"/>
              <w:rPr>
                <w:rFonts w:hint="eastAsia"/>
                <w:bCs/>
                <w:color w:val="auto"/>
                <w:szCs w:val="21"/>
                <w:highlight w:val="none"/>
                <w:lang w:val="en-US" w:eastAsia="zh-CN"/>
              </w:rPr>
            </w:pPr>
          </w:p>
          <w:p w14:paraId="4A783100">
            <w:pPr>
              <w:spacing w:line="360" w:lineRule="auto"/>
              <w:rPr>
                <w:rFonts w:hint="eastAsia"/>
                <w:bCs/>
                <w:color w:val="auto"/>
                <w:szCs w:val="21"/>
                <w:highlight w:val="none"/>
                <w:lang w:val="en-US" w:eastAsia="zh-CN"/>
              </w:rPr>
            </w:pPr>
          </w:p>
          <w:p w14:paraId="2DDA7688">
            <w:pPr>
              <w:spacing w:line="360" w:lineRule="auto"/>
              <w:rPr>
                <w:rFonts w:hint="eastAsia"/>
                <w:bCs/>
                <w:color w:val="auto"/>
                <w:szCs w:val="21"/>
                <w:highlight w:val="none"/>
                <w:lang w:val="en-US" w:eastAsia="zh-CN"/>
              </w:rPr>
            </w:pPr>
          </w:p>
          <w:p w14:paraId="711B0288">
            <w:pPr>
              <w:spacing w:line="360" w:lineRule="auto"/>
              <w:rPr>
                <w:rFonts w:hint="eastAsia"/>
                <w:bCs/>
                <w:color w:val="auto"/>
                <w:szCs w:val="21"/>
                <w:highlight w:val="none"/>
                <w:lang w:val="en-US" w:eastAsia="zh-CN"/>
              </w:rPr>
            </w:pPr>
          </w:p>
          <w:p w14:paraId="60A56730">
            <w:pPr>
              <w:spacing w:line="360" w:lineRule="auto"/>
              <w:rPr>
                <w:rFonts w:hint="eastAsia"/>
                <w:bCs/>
                <w:color w:val="auto"/>
                <w:szCs w:val="21"/>
                <w:highlight w:val="none"/>
                <w:lang w:val="en-US" w:eastAsia="zh-CN"/>
              </w:rPr>
            </w:pPr>
          </w:p>
          <w:p w14:paraId="7764CEFC">
            <w:pPr>
              <w:spacing w:line="360" w:lineRule="auto"/>
              <w:rPr>
                <w:rFonts w:hint="eastAsia"/>
                <w:bCs/>
                <w:color w:val="auto"/>
                <w:szCs w:val="21"/>
                <w:highlight w:val="none"/>
                <w:lang w:val="en-US" w:eastAsia="zh-CN"/>
              </w:rPr>
            </w:pPr>
          </w:p>
          <w:p w14:paraId="0CF27BA1">
            <w:pPr>
              <w:spacing w:line="360" w:lineRule="auto"/>
              <w:rPr>
                <w:rFonts w:hint="eastAsia"/>
                <w:bCs/>
                <w:color w:val="auto"/>
                <w:szCs w:val="21"/>
                <w:highlight w:val="none"/>
                <w:lang w:val="en-US" w:eastAsia="zh-CN"/>
              </w:rPr>
            </w:pPr>
          </w:p>
          <w:p w14:paraId="6DAF5A05">
            <w:pPr>
              <w:spacing w:line="360" w:lineRule="auto"/>
              <w:rPr>
                <w:rFonts w:hint="eastAsia"/>
                <w:bCs/>
                <w:color w:val="auto"/>
                <w:szCs w:val="21"/>
                <w:highlight w:val="none"/>
                <w:lang w:val="en-US" w:eastAsia="zh-CN"/>
              </w:rPr>
            </w:pPr>
          </w:p>
          <w:p w14:paraId="58448619">
            <w:pPr>
              <w:spacing w:line="360" w:lineRule="auto"/>
              <w:rPr>
                <w:rFonts w:hint="default" w:eastAsia="宋体"/>
                <w:bCs/>
                <w:color w:val="auto"/>
                <w:szCs w:val="21"/>
                <w:highlight w:val="none"/>
                <w:lang w:val="en-US" w:eastAsia="zh-CN"/>
              </w:rPr>
            </w:pPr>
          </w:p>
        </w:tc>
      </w:tr>
    </w:tbl>
    <w:p w14:paraId="0B04E0F6">
      <w:pPr>
        <w:pStyle w:val="27"/>
        <w:jc w:val="center"/>
        <w:rPr>
          <w:rFonts w:ascii="Times New Roman" w:hAnsi="Times New Roman"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F027D37">
      <w:pPr>
        <w:pStyle w:val="27"/>
        <w:jc w:val="center"/>
        <w:outlineLvl w:val="0"/>
        <w:rPr>
          <w:rFonts w:ascii="Times New Roman" w:hAnsi="Times New Roman" w:eastAsia="黑体"/>
          <w:snapToGrid w:val="0"/>
          <w:color w:val="auto"/>
          <w:sz w:val="30"/>
          <w:szCs w:val="30"/>
          <w:highlight w:val="none"/>
        </w:rPr>
      </w:pPr>
      <w:bookmarkStart w:id="14" w:name="_Toc26732"/>
      <w:r>
        <w:rPr>
          <w:rFonts w:ascii="Times New Roman" w:hAnsi="黑体" w:eastAsia="黑体"/>
          <w:snapToGrid w:val="0"/>
          <w:color w:val="auto"/>
          <w:sz w:val="30"/>
          <w:szCs w:val="30"/>
          <w:highlight w:val="none"/>
        </w:rPr>
        <w:t>三、区域环境质量现状、环境保护目标及评价标准</w:t>
      </w:r>
      <w:bookmarkEnd w:id="14"/>
    </w:p>
    <w:tbl>
      <w:tblPr>
        <w:tblStyle w:val="30"/>
        <w:tblW w:w="91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29"/>
      </w:tblGrid>
      <w:tr w14:paraId="3565C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38E9674F">
            <w:pPr>
              <w:adjustRightInd w:val="0"/>
              <w:snapToGrid w:val="0"/>
              <w:jc w:val="center"/>
              <w:rPr>
                <w:color w:val="auto"/>
                <w:kern w:val="0"/>
                <w:sz w:val="24"/>
                <w:highlight w:val="none"/>
              </w:rPr>
            </w:pPr>
            <w:r>
              <w:rPr>
                <w:rFonts w:hAnsi="宋体"/>
                <w:color w:val="auto"/>
                <w:kern w:val="0"/>
                <w:sz w:val="24"/>
                <w:highlight w:val="none"/>
              </w:rPr>
              <w:t>区域</w:t>
            </w:r>
          </w:p>
          <w:p w14:paraId="36267EA1">
            <w:pPr>
              <w:adjustRightInd w:val="0"/>
              <w:snapToGrid w:val="0"/>
              <w:jc w:val="center"/>
              <w:rPr>
                <w:color w:val="auto"/>
                <w:kern w:val="0"/>
                <w:sz w:val="24"/>
                <w:highlight w:val="none"/>
              </w:rPr>
            </w:pPr>
            <w:r>
              <w:rPr>
                <w:rFonts w:hAnsi="宋体"/>
                <w:color w:val="auto"/>
                <w:kern w:val="0"/>
                <w:sz w:val="24"/>
                <w:highlight w:val="none"/>
              </w:rPr>
              <w:t>环境</w:t>
            </w:r>
          </w:p>
          <w:p w14:paraId="14512A1F">
            <w:pPr>
              <w:adjustRightInd w:val="0"/>
              <w:snapToGrid w:val="0"/>
              <w:jc w:val="center"/>
              <w:rPr>
                <w:color w:val="auto"/>
                <w:kern w:val="0"/>
                <w:sz w:val="24"/>
                <w:highlight w:val="none"/>
              </w:rPr>
            </w:pPr>
            <w:r>
              <w:rPr>
                <w:rFonts w:hAnsi="宋体"/>
                <w:color w:val="auto"/>
                <w:kern w:val="0"/>
                <w:sz w:val="24"/>
                <w:highlight w:val="none"/>
              </w:rPr>
              <w:t>质量</w:t>
            </w:r>
          </w:p>
          <w:p w14:paraId="7554E874">
            <w:pPr>
              <w:adjustRightInd w:val="0"/>
              <w:snapToGrid w:val="0"/>
              <w:jc w:val="center"/>
              <w:rPr>
                <w:color w:val="auto"/>
                <w:kern w:val="0"/>
                <w:sz w:val="24"/>
                <w:highlight w:val="none"/>
              </w:rPr>
            </w:pPr>
            <w:r>
              <w:rPr>
                <w:rFonts w:hAnsi="宋体"/>
                <w:color w:val="auto"/>
                <w:kern w:val="0"/>
                <w:sz w:val="24"/>
                <w:highlight w:val="none"/>
              </w:rPr>
              <w:t>现状</w:t>
            </w:r>
          </w:p>
        </w:tc>
        <w:tc>
          <w:tcPr>
            <w:tcW w:w="8729" w:type="dxa"/>
          </w:tcPr>
          <w:p w14:paraId="57DD4BE0">
            <w:pPr>
              <w:spacing w:line="360" w:lineRule="auto"/>
              <w:ind w:firstLine="482" w:firstLineChars="200"/>
              <w:contextualSpacing/>
              <w:outlineLvl w:val="2"/>
              <w:rPr>
                <w:rFonts w:hint="default" w:ascii="Times New Roman" w:hAnsi="Times New Roman" w:cs="Times New Roman"/>
                <w:b/>
                <w:color w:val="auto"/>
                <w:sz w:val="24"/>
                <w:szCs w:val="24"/>
                <w:highlight w:val="none"/>
              </w:rPr>
            </w:pPr>
            <w:bookmarkStart w:id="15" w:name="_Toc531017790"/>
            <w:r>
              <w:rPr>
                <w:rFonts w:hint="eastAsia" w:ascii="Times New Roman"/>
                <w:b/>
                <w:bCs/>
                <w:color w:val="auto"/>
                <w:sz w:val="24"/>
                <w:highlight w:val="none"/>
                <w:lang w:eastAsia="zh-CN"/>
              </w:rPr>
              <w:t>一、</w:t>
            </w:r>
            <w:r>
              <w:rPr>
                <w:rFonts w:hint="default" w:ascii="Times New Roman" w:hAnsi="Times New Roman" w:cs="Times New Roman"/>
                <w:b/>
                <w:color w:val="auto"/>
                <w:sz w:val="24"/>
                <w:szCs w:val="24"/>
                <w:highlight w:val="none"/>
              </w:rPr>
              <w:t>环境空气</w:t>
            </w:r>
            <w:bookmarkEnd w:id="15"/>
          </w:p>
          <w:p w14:paraId="5D2FE5B4">
            <w:pPr>
              <w:spacing w:line="360" w:lineRule="auto"/>
              <w:ind w:firstLine="480"/>
              <w:rPr>
                <w:rFonts w:hint="default" w:ascii="Times New Roman" w:hAnsi="Times New Roman" w:cs="Times New Roman"/>
                <w:color w:val="auto"/>
                <w:sz w:val="24"/>
                <w:szCs w:val="24"/>
                <w:highlight w:val="none"/>
                <w:lang w:val="en-US" w:eastAsia="zh-CN"/>
              </w:rPr>
            </w:pPr>
            <w:bookmarkStart w:id="16" w:name="_Toc12118053"/>
            <w:bookmarkStart w:id="17" w:name="_Toc531017791"/>
            <w:r>
              <w:rPr>
                <w:rFonts w:hint="eastAsia" w:cs="Times New Roman"/>
                <w:color w:val="auto"/>
                <w:sz w:val="24"/>
                <w:szCs w:val="24"/>
                <w:highlight w:val="none"/>
                <w:lang w:val="en-US" w:eastAsia="zh-CN"/>
              </w:rPr>
              <w:t>1、环境空气质量标准</w:t>
            </w:r>
          </w:p>
          <w:p w14:paraId="7AADE6A9">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项目所在区域为环境空气功能区划中的二类区，执行《环境空气质量标准》（GB3095-2012）及2018年修改单的二级标准。</w:t>
            </w:r>
            <w:r>
              <w:rPr>
                <w:rFonts w:hint="default" w:ascii="Times New Roman" w:hAnsi="Times New Roman" w:cs="Times New Roman"/>
                <w:bCs/>
                <w:color w:val="auto"/>
                <w:sz w:val="24"/>
                <w:szCs w:val="24"/>
                <w:highlight w:val="none"/>
              </w:rPr>
              <w:t>NH</w:t>
            </w:r>
            <w:r>
              <w:rPr>
                <w:rFonts w:hint="default" w:ascii="Times New Roman" w:hAnsi="Times New Roman" w:cs="Times New Roman"/>
                <w:bCs/>
                <w:color w:val="auto"/>
                <w:sz w:val="24"/>
                <w:szCs w:val="24"/>
                <w:highlight w:val="none"/>
                <w:vertAlign w:val="subscript"/>
              </w:rPr>
              <w:t>3</w:t>
            </w:r>
            <w:r>
              <w:rPr>
                <w:rFonts w:hint="default" w:ascii="Times New Roman" w:hAnsi="Times New Roman" w:cs="Times New Roman"/>
                <w:bCs/>
                <w:color w:val="auto"/>
                <w:sz w:val="24"/>
                <w:szCs w:val="24"/>
                <w:highlight w:val="none"/>
              </w:rPr>
              <w:t>和H</w:t>
            </w:r>
            <w:r>
              <w:rPr>
                <w:rFonts w:hint="default" w:ascii="Times New Roman" w:hAnsi="Times New Roman" w:cs="Times New Roman"/>
                <w:bCs/>
                <w:color w:val="auto"/>
                <w:sz w:val="24"/>
                <w:szCs w:val="24"/>
                <w:highlight w:val="none"/>
                <w:vertAlign w:val="subscript"/>
              </w:rPr>
              <w:t>2</w:t>
            </w:r>
            <w:r>
              <w:rPr>
                <w:rFonts w:hint="default" w:ascii="Times New Roman" w:hAnsi="Times New Roman" w:cs="Times New Roman"/>
                <w:bCs/>
                <w:color w:val="auto"/>
                <w:sz w:val="24"/>
                <w:szCs w:val="24"/>
                <w:highlight w:val="none"/>
              </w:rPr>
              <w:t>S项目参照执行《环境影响评价技术导则 大气环境》（HJ2.2-2018）附录D中</w:t>
            </w:r>
            <w:r>
              <w:rPr>
                <w:rFonts w:hint="eastAsia" w:ascii="宋体" w:hAnsi="宋体" w:eastAsia="宋体" w:cs="宋体"/>
                <w:bCs/>
                <w:color w:val="auto"/>
                <w:sz w:val="24"/>
                <w:szCs w:val="24"/>
                <w:highlight w:val="none"/>
              </w:rPr>
              <w:t>“其他污染物空气质量浓度参考限值”</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标准值见表</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-1。</w:t>
            </w:r>
          </w:p>
          <w:p w14:paraId="7ECB6046">
            <w:pPr>
              <w:adjustRightInd w:val="0"/>
              <w:snapToGrid w:val="0"/>
              <w:spacing w:line="360" w:lineRule="auto"/>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kern w:val="0"/>
                <w:sz w:val="24"/>
                <w:szCs w:val="24"/>
                <w:highlight w:val="none"/>
              </w:rPr>
              <w:t>表</w:t>
            </w:r>
            <w:r>
              <w:rPr>
                <w:rFonts w:hint="eastAsia" w:cs="Times New Roman"/>
                <w:b/>
                <w:color w:val="auto"/>
                <w:kern w:val="0"/>
                <w:sz w:val="24"/>
                <w:szCs w:val="24"/>
                <w:highlight w:val="none"/>
                <w:lang w:val="en-US" w:eastAsia="zh-CN"/>
              </w:rPr>
              <w:t>3</w:t>
            </w:r>
            <w:r>
              <w:rPr>
                <w:rFonts w:hint="default" w:ascii="Times New Roman" w:hAnsi="Times New Roman" w:cs="Times New Roman"/>
                <w:b/>
                <w:color w:val="auto"/>
                <w:kern w:val="0"/>
                <w:sz w:val="24"/>
                <w:szCs w:val="24"/>
                <w:highlight w:val="none"/>
              </w:rPr>
              <w:t xml:space="preserve">-1  环境空气质量标准   </w:t>
            </w:r>
            <w:r>
              <w:rPr>
                <w:rFonts w:hint="default" w:ascii="Times New Roman" w:hAnsi="Times New Roman" w:cs="Times New Roman"/>
                <w:b/>
                <w:color w:val="auto"/>
                <w:sz w:val="24"/>
                <w:szCs w:val="24"/>
                <w:highlight w:val="none"/>
              </w:rPr>
              <w:t>单位：μg/m</w:t>
            </w:r>
            <w:r>
              <w:rPr>
                <w:rFonts w:hint="default" w:ascii="Times New Roman" w:hAnsi="Times New Roman" w:cs="Times New Roman"/>
                <w:b/>
                <w:color w:val="auto"/>
                <w:sz w:val="24"/>
                <w:szCs w:val="24"/>
                <w:highlight w:val="none"/>
                <w:vertAlign w:val="superscript"/>
              </w:rPr>
              <w:t>3</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51"/>
              <w:gridCol w:w="1877"/>
              <w:gridCol w:w="1877"/>
              <w:gridCol w:w="1286"/>
              <w:gridCol w:w="2310"/>
            </w:tblGrid>
            <w:tr w14:paraId="0A6C37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677" w:type="pct"/>
                  <w:vMerge w:val="restart"/>
                  <w:noWrap w:val="0"/>
                  <w:vAlign w:val="center"/>
                </w:tcPr>
                <w:p w14:paraId="2810161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污染物因子</w:t>
                  </w:r>
                </w:p>
              </w:tc>
              <w:tc>
                <w:tcPr>
                  <w:tcW w:w="2964" w:type="pct"/>
                  <w:gridSpan w:val="3"/>
                  <w:noWrap w:val="0"/>
                  <w:vAlign w:val="center"/>
                </w:tcPr>
                <w:p w14:paraId="3A4553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浓度限值</w:t>
                  </w:r>
                </w:p>
              </w:tc>
              <w:tc>
                <w:tcPr>
                  <w:tcW w:w="1358" w:type="pct"/>
                  <w:vMerge w:val="restart"/>
                  <w:noWrap w:val="0"/>
                  <w:vAlign w:val="center"/>
                </w:tcPr>
                <w:p w14:paraId="061AA5E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标准来源</w:t>
                  </w:r>
                </w:p>
              </w:tc>
            </w:tr>
            <w:tr w14:paraId="0518DC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0" w:hRule="exact"/>
                <w:jc w:val="center"/>
              </w:trPr>
              <w:tc>
                <w:tcPr>
                  <w:tcW w:w="677" w:type="pct"/>
                  <w:vMerge w:val="continue"/>
                  <w:noWrap w:val="0"/>
                  <w:vAlign w:val="center"/>
                </w:tcPr>
                <w:p w14:paraId="40B50EDA">
                  <w:pPr>
                    <w:jc w:val="center"/>
                    <w:rPr>
                      <w:rFonts w:hint="default" w:ascii="Times New Roman" w:hAnsi="Times New Roman" w:cs="Times New Roman"/>
                      <w:color w:val="auto"/>
                      <w:szCs w:val="21"/>
                      <w:highlight w:val="none"/>
                    </w:rPr>
                  </w:pPr>
                </w:p>
              </w:tc>
              <w:tc>
                <w:tcPr>
                  <w:tcW w:w="1104" w:type="pct"/>
                  <w:noWrap w:val="0"/>
                  <w:vAlign w:val="center"/>
                </w:tcPr>
                <w:p w14:paraId="73B5548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小时平均</w:t>
                  </w:r>
                </w:p>
              </w:tc>
              <w:tc>
                <w:tcPr>
                  <w:tcW w:w="1104" w:type="pct"/>
                  <w:noWrap w:val="0"/>
                  <w:vAlign w:val="center"/>
                </w:tcPr>
                <w:p w14:paraId="6AC19DA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日平均</w:t>
                  </w:r>
                </w:p>
              </w:tc>
              <w:tc>
                <w:tcPr>
                  <w:tcW w:w="754" w:type="pct"/>
                  <w:noWrap w:val="0"/>
                  <w:vAlign w:val="center"/>
                </w:tcPr>
                <w:p w14:paraId="45B8C32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1358" w:type="pct"/>
                  <w:vMerge w:val="continue"/>
                  <w:noWrap w:val="0"/>
                  <w:vAlign w:val="center"/>
                </w:tcPr>
                <w:p w14:paraId="2F1C2BB2">
                  <w:pPr>
                    <w:jc w:val="center"/>
                    <w:rPr>
                      <w:rFonts w:hint="default" w:ascii="Times New Roman" w:hAnsi="Times New Roman" w:cs="Times New Roman"/>
                      <w:color w:val="auto"/>
                      <w:szCs w:val="21"/>
                      <w:highlight w:val="none"/>
                    </w:rPr>
                  </w:pPr>
                </w:p>
              </w:tc>
            </w:tr>
            <w:tr w14:paraId="36633A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677" w:type="pct"/>
                  <w:noWrap w:val="0"/>
                  <w:vAlign w:val="center"/>
                </w:tcPr>
                <w:p w14:paraId="3842797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1104" w:type="pct"/>
                  <w:noWrap w:val="0"/>
                  <w:vAlign w:val="center"/>
                </w:tcPr>
                <w:p w14:paraId="6C69495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1104" w:type="pct"/>
                  <w:noWrap w:val="0"/>
                  <w:vAlign w:val="center"/>
                </w:tcPr>
                <w:p w14:paraId="3165FDA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754" w:type="pct"/>
                  <w:noWrap w:val="0"/>
                  <w:vAlign w:val="center"/>
                </w:tcPr>
                <w:p w14:paraId="6A25629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358" w:type="pct"/>
                  <w:vMerge w:val="restart"/>
                  <w:noWrap w:val="0"/>
                  <w:vAlign w:val="center"/>
                </w:tcPr>
                <w:p w14:paraId="5414156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《环境空气质量标准》（GB3095-2012）</w:t>
                  </w:r>
                </w:p>
              </w:tc>
            </w:tr>
            <w:tr w14:paraId="5E12F3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677" w:type="pct"/>
                  <w:noWrap w:val="0"/>
                  <w:vAlign w:val="center"/>
                </w:tcPr>
                <w:p w14:paraId="2279DF7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1104" w:type="pct"/>
                  <w:noWrap w:val="0"/>
                  <w:vAlign w:val="center"/>
                </w:tcPr>
                <w:p w14:paraId="36F263C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104" w:type="pct"/>
                  <w:noWrap w:val="0"/>
                  <w:vAlign w:val="center"/>
                </w:tcPr>
                <w:p w14:paraId="2A596FE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754" w:type="pct"/>
                  <w:noWrap w:val="0"/>
                  <w:vAlign w:val="center"/>
                </w:tcPr>
                <w:p w14:paraId="25A497B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1358" w:type="pct"/>
                  <w:vMerge w:val="continue"/>
                  <w:noWrap w:val="0"/>
                  <w:vAlign w:val="center"/>
                </w:tcPr>
                <w:p w14:paraId="68BCF387">
                  <w:pPr>
                    <w:jc w:val="center"/>
                    <w:rPr>
                      <w:rFonts w:hint="default" w:ascii="Times New Roman" w:hAnsi="Times New Roman" w:cs="Times New Roman"/>
                      <w:color w:val="auto"/>
                      <w:szCs w:val="21"/>
                      <w:highlight w:val="none"/>
                    </w:rPr>
                  </w:pPr>
                </w:p>
              </w:tc>
            </w:tr>
            <w:tr w14:paraId="6EE9FF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677" w:type="pct"/>
                  <w:noWrap w:val="0"/>
                  <w:vAlign w:val="center"/>
                </w:tcPr>
                <w:p w14:paraId="057F068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TSP</w:t>
                  </w:r>
                </w:p>
              </w:tc>
              <w:tc>
                <w:tcPr>
                  <w:tcW w:w="1104" w:type="pct"/>
                  <w:noWrap w:val="0"/>
                  <w:vAlign w:val="center"/>
                </w:tcPr>
                <w:p w14:paraId="4EE9EB3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04" w:type="pct"/>
                  <w:noWrap w:val="0"/>
                  <w:vAlign w:val="center"/>
                </w:tcPr>
                <w:p w14:paraId="428D947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754" w:type="pct"/>
                  <w:noWrap w:val="0"/>
                  <w:vAlign w:val="center"/>
                </w:tcPr>
                <w:p w14:paraId="4D07AEF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358" w:type="pct"/>
                  <w:vMerge w:val="continue"/>
                  <w:noWrap w:val="0"/>
                  <w:vAlign w:val="center"/>
                </w:tcPr>
                <w:p w14:paraId="1C94341B">
                  <w:pPr>
                    <w:jc w:val="center"/>
                    <w:rPr>
                      <w:rFonts w:hint="default" w:ascii="Times New Roman" w:hAnsi="Times New Roman" w:cs="Times New Roman"/>
                      <w:color w:val="auto"/>
                      <w:szCs w:val="21"/>
                      <w:highlight w:val="none"/>
                    </w:rPr>
                  </w:pPr>
                </w:p>
              </w:tc>
            </w:tr>
            <w:tr w14:paraId="7DCD87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7" w:hRule="exact"/>
                <w:jc w:val="center"/>
              </w:trPr>
              <w:tc>
                <w:tcPr>
                  <w:tcW w:w="677" w:type="pct"/>
                  <w:noWrap w:val="0"/>
                  <w:vAlign w:val="center"/>
                </w:tcPr>
                <w:p w14:paraId="7E7AB96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1104" w:type="pct"/>
                  <w:noWrap w:val="0"/>
                  <w:vAlign w:val="center"/>
                </w:tcPr>
                <w:p w14:paraId="7A41FDF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10mg/m</w:t>
                  </w:r>
                  <w:r>
                    <w:rPr>
                      <w:rFonts w:hint="default" w:ascii="Times New Roman" w:hAnsi="Times New Roman" w:cs="Times New Roman"/>
                      <w:color w:val="auto"/>
                      <w:szCs w:val="21"/>
                      <w:highlight w:val="none"/>
                      <w:vertAlign w:val="superscript"/>
                    </w:rPr>
                    <w:t>3</w:t>
                  </w:r>
                </w:p>
              </w:tc>
              <w:tc>
                <w:tcPr>
                  <w:tcW w:w="1104" w:type="pct"/>
                  <w:noWrap w:val="0"/>
                  <w:vAlign w:val="center"/>
                </w:tcPr>
                <w:p w14:paraId="76B300A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4mg/m</w:t>
                  </w:r>
                  <w:r>
                    <w:rPr>
                      <w:rFonts w:hint="default" w:ascii="Times New Roman" w:hAnsi="Times New Roman" w:cs="Times New Roman"/>
                      <w:color w:val="auto"/>
                      <w:szCs w:val="21"/>
                      <w:highlight w:val="none"/>
                      <w:vertAlign w:val="superscript"/>
                    </w:rPr>
                    <w:t>3</w:t>
                  </w:r>
                </w:p>
              </w:tc>
              <w:tc>
                <w:tcPr>
                  <w:tcW w:w="754" w:type="pct"/>
                  <w:noWrap w:val="0"/>
                  <w:vAlign w:val="center"/>
                </w:tcPr>
                <w:p w14:paraId="7EA9EB1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58" w:type="pct"/>
                  <w:vMerge w:val="continue"/>
                  <w:noWrap w:val="0"/>
                  <w:vAlign w:val="center"/>
                </w:tcPr>
                <w:p w14:paraId="26B2C024">
                  <w:pPr>
                    <w:jc w:val="center"/>
                    <w:rPr>
                      <w:rFonts w:hint="default" w:ascii="Times New Roman" w:hAnsi="Times New Roman" w:cs="Times New Roman"/>
                      <w:color w:val="auto"/>
                      <w:szCs w:val="21"/>
                      <w:highlight w:val="none"/>
                    </w:rPr>
                  </w:pPr>
                </w:p>
              </w:tc>
            </w:tr>
            <w:tr w14:paraId="6F0DC1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677" w:type="pct"/>
                  <w:noWrap w:val="0"/>
                  <w:vAlign w:val="center"/>
                </w:tcPr>
                <w:p w14:paraId="6C56636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1104" w:type="pct"/>
                  <w:noWrap w:val="0"/>
                  <w:vAlign w:val="center"/>
                </w:tcPr>
                <w:p w14:paraId="2588FCA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04" w:type="pct"/>
                  <w:noWrap w:val="0"/>
                  <w:vAlign w:val="center"/>
                </w:tcPr>
                <w:p w14:paraId="0D086B9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754" w:type="pct"/>
                  <w:noWrap w:val="0"/>
                  <w:vAlign w:val="center"/>
                </w:tcPr>
                <w:p w14:paraId="766F612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1358" w:type="pct"/>
                  <w:vMerge w:val="continue"/>
                  <w:noWrap w:val="0"/>
                  <w:vAlign w:val="center"/>
                </w:tcPr>
                <w:p w14:paraId="7003B8A8">
                  <w:pPr>
                    <w:jc w:val="center"/>
                    <w:rPr>
                      <w:rFonts w:hint="default" w:ascii="Times New Roman" w:hAnsi="Times New Roman" w:cs="Times New Roman"/>
                      <w:color w:val="auto"/>
                      <w:szCs w:val="21"/>
                      <w:highlight w:val="none"/>
                    </w:rPr>
                  </w:pPr>
                </w:p>
              </w:tc>
            </w:tr>
            <w:tr w14:paraId="2DBC6A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677" w:type="pct"/>
                  <w:noWrap w:val="0"/>
                  <w:vAlign w:val="center"/>
                </w:tcPr>
                <w:p w14:paraId="2BDD8E1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1104" w:type="pct"/>
                  <w:noWrap w:val="0"/>
                  <w:vAlign w:val="center"/>
                </w:tcPr>
                <w:p w14:paraId="1983AB8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04" w:type="pct"/>
                  <w:noWrap w:val="0"/>
                  <w:vAlign w:val="center"/>
                </w:tcPr>
                <w:p w14:paraId="16716D3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w:t>
                  </w:r>
                </w:p>
              </w:tc>
              <w:tc>
                <w:tcPr>
                  <w:tcW w:w="754" w:type="pct"/>
                  <w:noWrap w:val="0"/>
                  <w:vAlign w:val="center"/>
                </w:tcPr>
                <w:p w14:paraId="475B841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1358" w:type="pct"/>
                  <w:vMerge w:val="continue"/>
                  <w:noWrap w:val="0"/>
                  <w:vAlign w:val="center"/>
                </w:tcPr>
                <w:p w14:paraId="6F7DA753">
                  <w:pPr>
                    <w:jc w:val="center"/>
                    <w:rPr>
                      <w:rFonts w:hint="default" w:ascii="Times New Roman" w:hAnsi="Times New Roman" w:cs="Times New Roman"/>
                      <w:color w:val="auto"/>
                      <w:szCs w:val="21"/>
                      <w:highlight w:val="none"/>
                    </w:rPr>
                  </w:pPr>
                </w:p>
              </w:tc>
            </w:tr>
            <w:tr w14:paraId="336A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9" w:hRule="exact"/>
                <w:jc w:val="center"/>
              </w:trPr>
              <w:tc>
                <w:tcPr>
                  <w:tcW w:w="677" w:type="pct"/>
                  <w:noWrap w:val="0"/>
                  <w:vAlign w:val="center"/>
                </w:tcPr>
                <w:p w14:paraId="04EDCFD5">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p>
              </w:tc>
              <w:tc>
                <w:tcPr>
                  <w:tcW w:w="1104" w:type="pct"/>
                  <w:noWrap w:val="0"/>
                  <w:vAlign w:val="center"/>
                </w:tcPr>
                <w:p w14:paraId="7A0E36E5">
                  <w:pPr>
                    <w:spacing w:line="240" w:lineRule="exact"/>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200</w:t>
                  </w:r>
                </w:p>
              </w:tc>
              <w:tc>
                <w:tcPr>
                  <w:tcW w:w="1104" w:type="pct"/>
                  <w:noWrap w:val="0"/>
                  <w:vAlign w:val="center"/>
                </w:tcPr>
                <w:p w14:paraId="01180ED6">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754" w:type="pct"/>
                  <w:noWrap w:val="0"/>
                  <w:vAlign w:val="center"/>
                </w:tcPr>
                <w:p w14:paraId="4AAAC7AB">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358" w:type="pct"/>
                  <w:vMerge w:val="restart"/>
                  <w:noWrap w:val="0"/>
                  <w:vAlign w:val="center"/>
                </w:tcPr>
                <w:p w14:paraId="080D3A4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《环境影响评价技术导则 大气环境》（HJ2.2-2018）附录D</w:t>
                  </w:r>
                </w:p>
              </w:tc>
            </w:tr>
            <w:tr w14:paraId="7E1D4F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98" w:hRule="exact"/>
                <w:jc w:val="center"/>
              </w:trPr>
              <w:tc>
                <w:tcPr>
                  <w:tcW w:w="677" w:type="pct"/>
                  <w:noWrap w:val="0"/>
                  <w:vAlign w:val="center"/>
                </w:tcPr>
                <w:p w14:paraId="0EDF01DE">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w:t>
                  </w:r>
                </w:p>
              </w:tc>
              <w:tc>
                <w:tcPr>
                  <w:tcW w:w="1104" w:type="pct"/>
                  <w:noWrap w:val="0"/>
                  <w:vAlign w:val="center"/>
                </w:tcPr>
                <w:p w14:paraId="055D34CA">
                  <w:pPr>
                    <w:spacing w:line="240" w:lineRule="exact"/>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10</w:t>
                  </w:r>
                </w:p>
              </w:tc>
              <w:tc>
                <w:tcPr>
                  <w:tcW w:w="1104" w:type="pct"/>
                  <w:noWrap w:val="0"/>
                  <w:vAlign w:val="center"/>
                </w:tcPr>
                <w:p w14:paraId="1594FD50">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754" w:type="pct"/>
                  <w:noWrap w:val="0"/>
                  <w:vAlign w:val="center"/>
                </w:tcPr>
                <w:p w14:paraId="1EFC78A8">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358" w:type="pct"/>
                  <w:vMerge w:val="continue"/>
                  <w:tcBorders>
                    <w:bottom w:val="single" w:color="auto" w:sz="4" w:space="0"/>
                  </w:tcBorders>
                  <w:noWrap w:val="0"/>
                  <w:vAlign w:val="center"/>
                </w:tcPr>
                <w:p w14:paraId="44D69E0D">
                  <w:pPr>
                    <w:jc w:val="center"/>
                    <w:rPr>
                      <w:rFonts w:hint="default" w:ascii="Times New Roman" w:hAnsi="Times New Roman" w:cs="Times New Roman"/>
                      <w:color w:val="auto"/>
                      <w:szCs w:val="21"/>
                      <w:highlight w:val="none"/>
                    </w:rPr>
                  </w:pPr>
                </w:p>
              </w:tc>
            </w:tr>
          </w:tbl>
          <w:p w14:paraId="656BC278">
            <w:pPr>
              <w:spacing w:line="360" w:lineRule="auto"/>
              <w:ind w:firstLine="48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2、环境空气质量现状</w:t>
            </w:r>
          </w:p>
          <w:p w14:paraId="5DCA6AB4">
            <w:pPr>
              <w:pStyle w:val="84"/>
              <w:ind w:firstLine="482"/>
              <w:rPr>
                <w:rFonts w:ascii="Times New Roman" w:hAnsi="Times New Roman" w:cs="Times New Roman"/>
                <w:b w:val="0"/>
                <w:bCs w:val="0"/>
                <w:color w:val="auto"/>
                <w:highlight w:val="none"/>
              </w:rPr>
            </w:pPr>
            <w:r>
              <w:rPr>
                <w:rFonts w:hint="eastAsia" w:ascii="Times New Roman" w:hAnsi="Times New Roman" w:cs="Times New Roman"/>
                <w:b w:val="0"/>
                <w:bCs w:val="0"/>
                <w:color w:val="auto"/>
                <w:highlight w:val="none"/>
                <w:lang w:eastAsia="zh-CN"/>
              </w:rPr>
              <w:t>（</w:t>
            </w:r>
            <w:r>
              <w:rPr>
                <w:rFonts w:hint="eastAsia" w:ascii="Times New Roman" w:hAnsi="Times New Roman" w:cs="Times New Roman"/>
                <w:b w:val="0"/>
                <w:bCs w:val="0"/>
                <w:color w:val="auto"/>
                <w:highlight w:val="none"/>
                <w:lang w:val="en-US" w:eastAsia="zh-CN"/>
              </w:rPr>
              <w:t>1</w:t>
            </w:r>
            <w:r>
              <w:rPr>
                <w:rFonts w:hint="eastAsia" w:ascii="Times New Roman" w:hAnsi="Times New Roman" w:cs="Times New Roman"/>
                <w:b w:val="0"/>
                <w:bCs w:val="0"/>
                <w:color w:val="auto"/>
                <w:highlight w:val="none"/>
                <w:lang w:eastAsia="zh-CN"/>
              </w:rPr>
              <w:t>）</w:t>
            </w:r>
            <w:r>
              <w:rPr>
                <w:rFonts w:ascii="Times New Roman" w:hAnsi="Times New Roman" w:cs="Times New Roman"/>
                <w:b w:val="0"/>
                <w:bCs w:val="0"/>
                <w:color w:val="auto"/>
                <w:highlight w:val="none"/>
              </w:rPr>
              <w:t>达标区判定与基本污染物环境质量现状</w:t>
            </w:r>
          </w:p>
          <w:bookmarkEnd w:id="16"/>
          <w:p w14:paraId="3073532A">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根据《环境影响评价技术导则大气环境》（HJ2.2-2018）评价导则要求，“项目所在区域达标判定，优先采用国家或地方生态环境主管部门公开发布的评价基准年环境质量公告或环境质量报告中的数据或结论。”</w:t>
            </w:r>
          </w:p>
          <w:p w14:paraId="50C757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Courier New" w:eastAsia="宋体" w:cs="Times New Roman"/>
                <w:color w:val="auto"/>
                <w:kern w:val="2"/>
                <w:sz w:val="24"/>
                <w:szCs w:val="21"/>
                <w:highlight w:val="none"/>
                <w:lang w:val="en-US" w:eastAsia="zh-CN" w:bidi="ar-SA"/>
              </w:rPr>
            </w:pPr>
            <w:r>
              <w:rPr>
                <w:color w:val="auto"/>
                <w:sz w:val="24"/>
                <w:szCs w:val="24"/>
                <w:highlight w:val="none"/>
              </w:rPr>
              <w:t>项目区环境空气质量功能为二类区</w:t>
            </w:r>
            <w:r>
              <w:rPr>
                <w:rFonts w:hint="default" w:ascii="Times New Roman" w:hAnsi="Times New Roman" w:eastAsia="宋体" w:cs="Times New Roman"/>
                <w:color w:val="auto"/>
                <w:sz w:val="24"/>
                <w:szCs w:val="24"/>
                <w:highlight w:val="none"/>
              </w:rPr>
              <w:t>，执行《环境空气质量标准》（GB3095-2012）及2018年修改单</w:t>
            </w:r>
            <w:r>
              <w:rPr>
                <w:rFonts w:hint="eastAsia"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二级标准。</w:t>
            </w:r>
            <w:r>
              <w:rPr>
                <w:rFonts w:hint="default" w:ascii="Times New Roman" w:hAnsi="Times New Roman" w:eastAsia="宋体" w:cs="Times New Roman"/>
                <w:color w:val="auto"/>
                <w:kern w:val="0"/>
                <w:sz w:val="24"/>
                <w:szCs w:val="24"/>
                <w:highlight w:val="none"/>
                <w:lang w:val="en-US" w:eastAsia="zh-CN" w:bidi="ar-SA"/>
              </w:rPr>
              <w:t>本次评价大气环境引用澄江市环境自动监测站202</w:t>
            </w:r>
            <w:r>
              <w:rPr>
                <w:rFonts w:hint="eastAsia" w:ascii="Times New Roman" w:hAnsi="Times New Roman" w:eastAsia="宋体" w:cs="Times New Roman"/>
                <w:color w:val="auto"/>
                <w:kern w:val="0"/>
                <w:sz w:val="24"/>
                <w:szCs w:val="24"/>
                <w:highlight w:val="none"/>
                <w:lang w:val="en-US" w:eastAsia="zh-CN" w:bidi="ar-SA"/>
              </w:rPr>
              <w:t>4</w:t>
            </w:r>
            <w:r>
              <w:rPr>
                <w:rFonts w:hint="default" w:ascii="Times New Roman" w:hAnsi="Times New Roman" w:eastAsia="宋体" w:cs="Times New Roman"/>
                <w:color w:val="auto"/>
                <w:kern w:val="0"/>
                <w:sz w:val="24"/>
                <w:szCs w:val="24"/>
                <w:highlight w:val="none"/>
                <w:lang w:val="en-US" w:eastAsia="zh-CN" w:bidi="ar-SA"/>
              </w:rPr>
              <w:t>年全年自动监测数据统计结果进行分析</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澄江市环境空气质量自动监测点位于玉溪市生态环境局澄江分局办公楼楼顶，监测结果如下表</w:t>
            </w:r>
            <w:r>
              <w:rPr>
                <w:rFonts w:hint="eastAsia" w:cs="Times New Roman"/>
                <w:color w:val="auto"/>
                <w:kern w:val="0"/>
                <w:sz w:val="24"/>
                <w:szCs w:val="24"/>
                <w:highlight w:val="none"/>
                <w:lang w:val="en-US" w:eastAsia="zh-CN" w:bidi="ar-SA"/>
              </w:rPr>
              <w:t>。</w:t>
            </w:r>
          </w:p>
          <w:p w14:paraId="745322F9">
            <w:pPr>
              <w:keepNext w:val="0"/>
              <w:keepLines w:val="0"/>
              <w:pageBreakBefore w:val="0"/>
              <w:kinsoku/>
              <w:wordWrap/>
              <w:overflowPunct/>
              <w:topLinePunct w:val="0"/>
              <w:bidi w:val="0"/>
              <w:adjustRightInd w:val="0"/>
              <w:snapToGrid w:val="0"/>
              <w:spacing w:line="360" w:lineRule="auto"/>
              <w:ind w:firstLine="482" w:firstLineChars="200"/>
              <w:jc w:val="center"/>
              <w:outlineLvl w:val="9"/>
              <w:rPr>
                <w:rFonts w:hint="default" w:ascii="Times New Roman" w:hAnsi="Times New Roman" w:eastAsia="宋体" w:cs="Times New Roman"/>
                <w:b/>
                <w:bCs/>
                <w:color w:val="auto"/>
                <w:kern w:val="2"/>
                <w:sz w:val="24"/>
                <w:szCs w:val="24"/>
                <w:highlight w:val="none"/>
                <w:lang w:val="en-US" w:eastAsia="zh-CN" w:bidi="ar-SA"/>
              </w:rPr>
            </w:pPr>
          </w:p>
          <w:p w14:paraId="62A6CB16">
            <w:pPr>
              <w:keepNext w:val="0"/>
              <w:keepLines w:val="0"/>
              <w:pageBreakBefore w:val="0"/>
              <w:kinsoku/>
              <w:wordWrap/>
              <w:overflowPunct/>
              <w:topLinePunct w:val="0"/>
              <w:bidi w:val="0"/>
              <w:adjustRightInd w:val="0"/>
              <w:snapToGrid w:val="0"/>
              <w:spacing w:line="360" w:lineRule="auto"/>
              <w:ind w:firstLine="482" w:firstLineChars="200"/>
              <w:jc w:val="center"/>
              <w:outlineLvl w:val="9"/>
              <w:rPr>
                <w:rFonts w:hint="default" w:ascii="Times New Roman" w:hAnsi="Times New Roman" w:eastAsia="宋体" w:cs="Times New Roman"/>
                <w:b/>
                <w:bCs/>
                <w:color w:val="auto"/>
                <w:kern w:val="2"/>
                <w:sz w:val="24"/>
                <w:szCs w:val="24"/>
                <w:highlight w:val="none"/>
                <w:lang w:val="en-US" w:eastAsia="zh-CN" w:bidi="ar-SA"/>
              </w:rPr>
            </w:pPr>
          </w:p>
          <w:p w14:paraId="4B7D5E59">
            <w:pPr>
              <w:keepNext w:val="0"/>
              <w:keepLines w:val="0"/>
              <w:pageBreakBefore w:val="0"/>
              <w:kinsoku/>
              <w:wordWrap/>
              <w:overflowPunct/>
              <w:topLinePunct w:val="0"/>
              <w:bidi w:val="0"/>
              <w:adjustRightInd w:val="0"/>
              <w:snapToGrid w:val="0"/>
              <w:spacing w:line="360" w:lineRule="auto"/>
              <w:ind w:firstLine="482" w:firstLineChars="200"/>
              <w:jc w:val="center"/>
              <w:outlineLvl w:val="9"/>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 xml:space="preserve">3-2   </w:t>
            </w:r>
            <w:r>
              <w:rPr>
                <w:rFonts w:hint="eastAsia"/>
                <w:b/>
                <w:color w:val="auto"/>
                <w:kern w:val="24"/>
                <w:sz w:val="24"/>
                <w:szCs w:val="24"/>
                <w:highlight w:val="none"/>
                <w:lang w:val="en-US" w:eastAsia="zh-CN"/>
              </w:rPr>
              <w:t>澄江市</w:t>
            </w:r>
            <w:r>
              <w:rPr>
                <w:rFonts w:hint="default" w:ascii="Times New Roman" w:hAnsi="Times New Roman" w:cs="Times New Roman"/>
                <w:b/>
                <w:bCs/>
                <w:color w:val="auto"/>
                <w:sz w:val="24"/>
                <w:szCs w:val="24"/>
                <w:highlight w:val="none"/>
              </w:rPr>
              <w:t>202</w:t>
            </w:r>
            <w:r>
              <w:rPr>
                <w:rFonts w:hint="eastAsia" w:asci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年基本污染物质量现状评价表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2402"/>
              <w:gridCol w:w="1352"/>
              <w:gridCol w:w="1351"/>
              <w:gridCol w:w="1201"/>
              <w:gridCol w:w="1180"/>
            </w:tblGrid>
            <w:tr w14:paraId="2F55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60" w:type="dxa"/>
                  <w:noWrap w:val="0"/>
                  <w:vAlign w:val="center"/>
                </w:tcPr>
                <w:p w14:paraId="5B21F1B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w:t>
                  </w:r>
                </w:p>
              </w:tc>
              <w:tc>
                <w:tcPr>
                  <w:tcW w:w="2268" w:type="dxa"/>
                  <w:noWrap w:val="0"/>
                  <w:vAlign w:val="center"/>
                </w:tcPr>
                <w:p w14:paraId="04C099DA">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年评价指标</w:t>
                  </w:r>
                </w:p>
              </w:tc>
              <w:tc>
                <w:tcPr>
                  <w:tcW w:w="1276" w:type="dxa"/>
                  <w:noWrap w:val="0"/>
                  <w:vAlign w:val="center"/>
                </w:tcPr>
                <w:p w14:paraId="08BE9B24">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现状浓度</w:t>
                  </w:r>
                </w:p>
                <w:p w14:paraId="656D5783">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（µg/m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c>
                <w:tcPr>
                  <w:tcW w:w="1275" w:type="dxa"/>
                  <w:noWrap w:val="0"/>
                  <w:vAlign w:val="center"/>
                </w:tcPr>
                <w:p w14:paraId="061F9AD4">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标准值</w:t>
                  </w:r>
                </w:p>
                <w:p w14:paraId="49773187">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（µg/m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c>
                <w:tcPr>
                  <w:tcW w:w="1134" w:type="dxa"/>
                  <w:noWrap w:val="0"/>
                  <w:vAlign w:val="center"/>
                </w:tcPr>
                <w:p w14:paraId="1F2EBA26">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占标率/%</w:t>
                  </w:r>
                </w:p>
              </w:tc>
              <w:tc>
                <w:tcPr>
                  <w:tcW w:w="1114" w:type="dxa"/>
                  <w:noWrap w:val="0"/>
                  <w:vAlign w:val="center"/>
                </w:tcPr>
                <w:p w14:paraId="037EFAE6">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达标情况</w:t>
                  </w:r>
                </w:p>
              </w:tc>
            </w:tr>
            <w:tr w14:paraId="661B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0" w:type="dxa"/>
                  <w:vMerge w:val="restart"/>
                  <w:noWrap w:val="0"/>
                  <w:vAlign w:val="center"/>
                </w:tcPr>
                <w:p w14:paraId="670F328F">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SO</w:t>
                  </w:r>
                  <w:r>
                    <w:rPr>
                      <w:rFonts w:hint="default" w:ascii="Times New Roman" w:hAnsi="Times New Roman" w:cs="Times New Roman"/>
                      <w:color w:val="auto"/>
                      <w:kern w:val="0"/>
                      <w:sz w:val="21"/>
                      <w:szCs w:val="21"/>
                      <w:highlight w:val="none"/>
                      <w:vertAlign w:val="subscript"/>
                    </w:rPr>
                    <w:t>2</w:t>
                  </w:r>
                </w:p>
              </w:tc>
              <w:tc>
                <w:tcPr>
                  <w:tcW w:w="2268" w:type="dxa"/>
                  <w:noWrap w:val="0"/>
                  <w:vAlign w:val="center"/>
                </w:tcPr>
                <w:p w14:paraId="405E3D90">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年平均质量浓度</w:t>
                  </w:r>
                </w:p>
              </w:tc>
              <w:tc>
                <w:tcPr>
                  <w:tcW w:w="1276" w:type="dxa"/>
                  <w:noWrap w:val="0"/>
                  <w:vAlign w:val="center"/>
                </w:tcPr>
                <w:p w14:paraId="1C88D199">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7.36</w:t>
                  </w:r>
                </w:p>
              </w:tc>
              <w:tc>
                <w:tcPr>
                  <w:tcW w:w="1275" w:type="dxa"/>
                  <w:noWrap w:val="0"/>
                  <w:vAlign w:val="center"/>
                </w:tcPr>
                <w:p w14:paraId="6B348F2F">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w:t>
                  </w:r>
                </w:p>
              </w:tc>
              <w:tc>
                <w:tcPr>
                  <w:tcW w:w="1134" w:type="dxa"/>
                  <w:noWrap w:val="0"/>
                  <w:vAlign w:val="center"/>
                </w:tcPr>
                <w:p w14:paraId="6E5D159E">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12.27</w:t>
                  </w:r>
                </w:p>
              </w:tc>
              <w:tc>
                <w:tcPr>
                  <w:tcW w:w="1114" w:type="dxa"/>
                  <w:noWrap w:val="0"/>
                  <w:vAlign w:val="center"/>
                </w:tcPr>
                <w:p w14:paraId="5B355437">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5C2A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960" w:type="dxa"/>
                  <w:vMerge w:val="continue"/>
                  <w:noWrap w:val="0"/>
                  <w:vAlign w:val="center"/>
                </w:tcPr>
                <w:p w14:paraId="759BBDE6">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p>
              </w:tc>
              <w:tc>
                <w:tcPr>
                  <w:tcW w:w="2268" w:type="dxa"/>
                  <w:noWrap w:val="0"/>
                  <w:vAlign w:val="center"/>
                </w:tcPr>
                <w:p w14:paraId="0FC3C583">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98%日平均质量浓度</w:t>
                  </w:r>
                </w:p>
              </w:tc>
              <w:tc>
                <w:tcPr>
                  <w:tcW w:w="1276" w:type="dxa"/>
                  <w:noWrap w:val="0"/>
                  <w:vAlign w:val="center"/>
                </w:tcPr>
                <w:p w14:paraId="2B817FBA">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w:t>
                  </w:r>
                </w:p>
              </w:tc>
              <w:tc>
                <w:tcPr>
                  <w:tcW w:w="1275" w:type="dxa"/>
                  <w:noWrap w:val="0"/>
                  <w:vAlign w:val="center"/>
                </w:tcPr>
                <w:p w14:paraId="75CA0FE7">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150</w:t>
                  </w:r>
                </w:p>
              </w:tc>
              <w:tc>
                <w:tcPr>
                  <w:tcW w:w="1134" w:type="dxa"/>
                  <w:noWrap w:val="0"/>
                  <w:vAlign w:val="center"/>
                </w:tcPr>
                <w:p w14:paraId="3C41B0EC">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6.67</w:t>
                  </w:r>
                </w:p>
              </w:tc>
              <w:tc>
                <w:tcPr>
                  <w:tcW w:w="1114" w:type="dxa"/>
                  <w:noWrap w:val="0"/>
                  <w:vAlign w:val="center"/>
                </w:tcPr>
                <w:p w14:paraId="711E4417">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1475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0" w:type="dxa"/>
                  <w:vMerge w:val="restart"/>
                  <w:noWrap w:val="0"/>
                  <w:vAlign w:val="center"/>
                </w:tcPr>
                <w:p w14:paraId="03976CFB">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NO</w:t>
                  </w:r>
                  <w:r>
                    <w:rPr>
                      <w:rFonts w:hint="default" w:ascii="Times New Roman" w:hAnsi="Times New Roman" w:cs="Times New Roman"/>
                      <w:color w:val="auto"/>
                      <w:kern w:val="0"/>
                      <w:sz w:val="21"/>
                      <w:szCs w:val="21"/>
                      <w:highlight w:val="none"/>
                      <w:vertAlign w:val="subscript"/>
                    </w:rPr>
                    <w:t>2</w:t>
                  </w:r>
                </w:p>
              </w:tc>
              <w:tc>
                <w:tcPr>
                  <w:tcW w:w="2268" w:type="dxa"/>
                  <w:noWrap w:val="0"/>
                  <w:vAlign w:val="center"/>
                </w:tcPr>
                <w:p w14:paraId="2C21B6EA">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1276" w:type="dxa"/>
                  <w:noWrap w:val="0"/>
                  <w:vAlign w:val="center"/>
                </w:tcPr>
                <w:p w14:paraId="6B693564">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8.59</w:t>
                  </w:r>
                </w:p>
              </w:tc>
              <w:tc>
                <w:tcPr>
                  <w:tcW w:w="1275" w:type="dxa"/>
                  <w:noWrap w:val="0"/>
                  <w:vAlign w:val="center"/>
                </w:tcPr>
                <w:p w14:paraId="72ECDAF5">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40</w:t>
                  </w:r>
                </w:p>
              </w:tc>
              <w:tc>
                <w:tcPr>
                  <w:tcW w:w="1134" w:type="dxa"/>
                  <w:noWrap w:val="0"/>
                  <w:vAlign w:val="center"/>
                </w:tcPr>
                <w:p w14:paraId="2E2E21FD">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21.475</w:t>
                  </w:r>
                </w:p>
              </w:tc>
              <w:tc>
                <w:tcPr>
                  <w:tcW w:w="1114" w:type="dxa"/>
                  <w:noWrap w:val="0"/>
                  <w:vAlign w:val="center"/>
                </w:tcPr>
                <w:p w14:paraId="6F234848">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4E8B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960" w:type="dxa"/>
                  <w:vMerge w:val="continue"/>
                  <w:noWrap w:val="0"/>
                  <w:vAlign w:val="center"/>
                </w:tcPr>
                <w:p w14:paraId="42FD0F25">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p>
              </w:tc>
              <w:tc>
                <w:tcPr>
                  <w:tcW w:w="2268" w:type="dxa"/>
                  <w:noWrap w:val="0"/>
                  <w:vAlign w:val="center"/>
                </w:tcPr>
                <w:p w14:paraId="6D143F98">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98%日平均质量浓度</w:t>
                  </w:r>
                </w:p>
              </w:tc>
              <w:tc>
                <w:tcPr>
                  <w:tcW w:w="1276" w:type="dxa"/>
                  <w:noWrap w:val="0"/>
                  <w:vAlign w:val="center"/>
                </w:tcPr>
                <w:p w14:paraId="50783169">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13</w:t>
                  </w:r>
                </w:p>
              </w:tc>
              <w:tc>
                <w:tcPr>
                  <w:tcW w:w="1275" w:type="dxa"/>
                  <w:noWrap w:val="0"/>
                  <w:vAlign w:val="center"/>
                </w:tcPr>
                <w:p w14:paraId="4FBF418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80</w:t>
                  </w:r>
                </w:p>
              </w:tc>
              <w:tc>
                <w:tcPr>
                  <w:tcW w:w="1134" w:type="dxa"/>
                  <w:noWrap w:val="0"/>
                  <w:vAlign w:val="center"/>
                </w:tcPr>
                <w:p w14:paraId="14206FA3">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16.25</w:t>
                  </w:r>
                </w:p>
              </w:tc>
              <w:tc>
                <w:tcPr>
                  <w:tcW w:w="1114" w:type="dxa"/>
                  <w:noWrap w:val="0"/>
                  <w:vAlign w:val="center"/>
                </w:tcPr>
                <w:p w14:paraId="64135BF5">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3BAB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0" w:type="dxa"/>
                  <w:vMerge w:val="restart"/>
                  <w:noWrap w:val="0"/>
                  <w:vAlign w:val="center"/>
                </w:tcPr>
                <w:p w14:paraId="05A185A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PM</w:t>
                  </w:r>
                  <w:r>
                    <w:rPr>
                      <w:rFonts w:hint="default" w:ascii="Times New Roman" w:hAnsi="Times New Roman" w:cs="Times New Roman"/>
                      <w:color w:val="auto"/>
                      <w:kern w:val="0"/>
                      <w:sz w:val="21"/>
                      <w:szCs w:val="21"/>
                      <w:highlight w:val="none"/>
                      <w:vertAlign w:val="subscript"/>
                    </w:rPr>
                    <w:t>10</w:t>
                  </w:r>
                </w:p>
              </w:tc>
              <w:tc>
                <w:tcPr>
                  <w:tcW w:w="2268" w:type="dxa"/>
                  <w:noWrap w:val="0"/>
                  <w:vAlign w:val="center"/>
                </w:tcPr>
                <w:p w14:paraId="27D696F4">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1276" w:type="dxa"/>
                  <w:noWrap w:val="0"/>
                  <w:vAlign w:val="center"/>
                </w:tcPr>
                <w:p w14:paraId="31F36184">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23.70</w:t>
                  </w:r>
                </w:p>
              </w:tc>
              <w:tc>
                <w:tcPr>
                  <w:tcW w:w="1275" w:type="dxa"/>
                  <w:noWrap w:val="0"/>
                  <w:vAlign w:val="center"/>
                </w:tcPr>
                <w:p w14:paraId="24044B8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1134" w:type="dxa"/>
                  <w:noWrap w:val="0"/>
                  <w:vAlign w:val="center"/>
                </w:tcPr>
                <w:p w14:paraId="05896F6F">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33.86</w:t>
                  </w:r>
                </w:p>
              </w:tc>
              <w:tc>
                <w:tcPr>
                  <w:tcW w:w="1114" w:type="dxa"/>
                  <w:noWrap w:val="0"/>
                  <w:vAlign w:val="center"/>
                </w:tcPr>
                <w:p w14:paraId="6FA2CAA9">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326F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960" w:type="dxa"/>
                  <w:vMerge w:val="continue"/>
                  <w:noWrap w:val="0"/>
                  <w:vAlign w:val="center"/>
                </w:tcPr>
                <w:p w14:paraId="69B4CC6E">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p>
              </w:tc>
              <w:tc>
                <w:tcPr>
                  <w:tcW w:w="2268" w:type="dxa"/>
                  <w:noWrap w:val="0"/>
                  <w:vAlign w:val="center"/>
                </w:tcPr>
                <w:p w14:paraId="2CD82B87">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95%日平均质量浓度</w:t>
                  </w:r>
                </w:p>
              </w:tc>
              <w:tc>
                <w:tcPr>
                  <w:tcW w:w="1276" w:type="dxa"/>
                  <w:noWrap w:val="0"/>
                  <w:vAlign w:val="center"/>
                </w:tcPr>
                <w:p w14:paraId="7C6FB4F2">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49</w:t>
                  </w:r>
                </w:p>
              </w:tc>
              <w:tc>
                <w:tcPr>
                  <w:tcW w:w="1275" w:type="dxa"/>
                  <w:noWrap w:val="0"/>
                  <w:vAlign w:val="center"/>
                </w:tcPr>
                <w:p w14:paraId="5BEC602A">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150</w:t>
                  </w:r>
                </w:p>
              </w:tc>
              <w:tc>
                <w:tcPr>
                  <w:tcW w:w="1134" w:type="dxa"/>
                  <w:noWrap w:val="0"/>
                  <w:vAlign w:val="center"/>
                </w:tcPr>
                <w:p w14:paraId="0E7B07E3">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32.67</w:t>
                  </w:r>
                </w:p>
              </w:tc>
              <w:tc>
                <w:tcPr>
                  <w:tcW w:w="1114" w:type="dxa"/>
                  <w:noWrap w:val="0"/>
                  <w:vAlign w:val="center"/>
                </w:tcPr>
                <w:p w14:paraId="1E30A579">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394C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0" w:type="dxa"/>
                  <w:vMerge w:val="restart"/>
                  <w:noWrap w:val="0"/>
                  <w:vAlign w:val="center"/>
                </w:tcPr>
                <w:p w14:paraId="5AECEF7A">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PM</w:t>
                  </w:r>
                  <w:r>
                    <w:rPr>
                      <w:rFonts w:hint="default" w:ascii="Times New Roman" w:hAnsi="Times New Roman" w:cs="Times New Roman"/>
                      <w:color w:val="auto"/>
                      <w:kern w:val="0"/>
                      <w:sz w:val="21"/>
                      <w:szCs w:val="21"/>
                      <w:highlight w:val="none"/>
                      <w:vertAlign w:val="subscript"/>
                    </w:rPr>
                    <w:t>2.5</w:t>
                  </w:r>
                </w:p>
              </w:tc>
              <w:tc>
                <w:tcPr>
                  <w:tcW w:w="2268" w:type="dxa"/>
                  <w:noWrap w:val="0"/>
                  <w:vAlign w:val="center"/>
                </w:tcPr>
                <w:p w14:paraId="0A364D42">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1276" w:type="dxa"/>
                  <w:noWrap w:val="0"/>
                  <w:vAlign w:val="center"/>
                </w:tcPr>
                <w:p w14:paraId="54E6B340">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16.41</w:t>
                  </w:r>
                </w:p>
              </w:tc>
              <w:tc>
                <w:tcPr>
                  <w:tcW w:w="1275" w:type="dxa"/>
                  <w:noWrap w:val="0"/>
                  <w:vAlign w:val="center"/>
                </w:tcPr>
                <w:p w14:paraId="6DFF84E0">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35</w:t>
                  </w:r>
                </w:p>
              </w:tc>
              <w:tc>
                <w:tcPr>
                  <w:tcW w:w="1134" w:type="dxa"/>
                  <w:noWrap w:val="0"/>
                  <w:vAlign w:val="center"/>
                </w:tcPr>
                <w:p w14:paraId="329AE9DB">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46.88</w:t>
                  </w:r>
                </w:p>
              </w:tc>
              <w:tc>
                <w:tcPr>
                  <w:tcW w:w="1114" w:type="dxa"/>
                  <w:noWrap w:val="0"/>
                  <w:vAlign w:val="center"/>
                </w:tcPr>
                <w:p w14:paraId="6175D6D6">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0B7C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960" w:type="dxa"/>
                  <w:vMerge w:val="continue"/>
                  <w:noWrap w:val="0"/>
                  <w:vAlign w:val="center"/>
                </w:tcPr>
                <w:p w14:paraId="74E77D61">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p>
              </w:tc>
              <w:tc>
                <w:tcPr>
                  <w:tcW w:w="2268" w:type="dxa"/>
                  <w:noWrap w:val="0"/>
                  <w:vAlign w:val="center"/>
                </w:tcPr>
                <w:p w14:paraId="291C5501">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95%日平均质量浓度</w:t>
                  </w:r>
                </w:p>
              </w:tc>
              <w:tc>
                <w:tcPr>
                  <w:tcW w:w="1276" w:type="dxa"/>
                  <w:noWrap w:val="0"/>
                  <w:vAlign w:val="center"/>
                </w:tcPr>
                <w:p w14:paraId="365C5B21">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37.5</w:t>
                  </w:r>
                </w:p>
              </w:tc>
              <w:tc>
                <w:tcPr>
                  <w:tcW w:w="1275" w:type="dxa"/>
                  <w:noWrap w:val="0"/>
                  <w:vAlign w:val="center"/>
                </w:tcPr>
                <w:p w14:paraId="3D7733A6">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75</w:t>
                  </w:r>
                </w:p>
              </w:tc>
              <w:tc>
                <w:tcPr>
                  <w:tcW w:w="1134" w:type="dxa"/>
                  <w:noWrap w:val="0"/>
                  <w:vAlign w:val="center"/>
                </w:tcPr>
                <w:p w14:paraId="0FA76264">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50</w:t>
                  </w:r>
                </w:p>
              </w:tc>
              <w:tc>
                <w:tcPr>
                  <w:tcW w:w="1114" w:type="dxa"/>
                  <w:noWrap w:val="0"/>
                  <w:vAlign w:val="center"/>
                </w:tcPr>
                <w:p w14:paraId="06997FA7">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5050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0" w:type="dxa"/>
                  <w:noWrap w:val="0"/>
                  <w:vAlign w:val="center"/>
                </w:tcPr>
                <w:p w14:paraId="60EE22F9">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CO</w:t>
                  </w:r>
                </w:p>
              </w:tc>
              <w:tc>
                <w:tcPr>
                  <w:tcW w:w="2268" w:type="dxa"/>
                  <w:noWrap w:val="0"/>
                  <w:vAlign w:val="center"/>
                </w:tcPr>
                <w:p w14:paraId="5C25EC14">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95%日平均质量浓度</w:t>
                  </w:r>
                </w:p>
              </w:tc>
              <w:tc>
                <w:tcPr>
                  <w:tcW w:w="1276" w:type="dxa"/>
                  <w:noWrap w:val="0"/>
                  <w:vAlign w:val="center"/>
                </w:tcPr>
                <w:p w14:paraId="2E3A31D6">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900</w:t>
                  </w:r>
                </w:p>
              </w:tc>
              <w:tc>
                <w:tcPr>
                  <w:tcW w:w="1275" w:type="dxa"/>
                  <w:noWrap w:val="0"/>
                  <w:vAlign w:val="center"/>
                </w:tcPr>
                <w:p w14:paraId="41B9E80C">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4000</w:t>
                  </w:r>
                </w:p>
              </w:tc>
              <w:tc>
                <w:tcPr>
                  <w:tcW w:w="1134" w:type="dxa"/>
                  <w:noWrap w:val="0"/>
                  <w:vAlign w:val="center"/>
                </w:tcPr>
                <w:p w14:paraId="6F28CE16">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22.5</w:t>
                  </w:r>
                </w:p>
              </w:tc>
              <w:tc>
                <w:tcPr>
                  <w:tcW w:w="1114" w:type="dxa"/>
                  <w:noWrap w:val="0"/>
                  <w:vAlign w:val="center"/>
                </w:tcPr>
                <w:p w14:paraId="6177959E">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0D16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0" w:type="dxa"/>
                  <w:noWrap w:val="0"/>
                  <w:vAlign w:val="center"/>
                </w:tcPr>
                <w:p w14:paraId="5822CCD3">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2268" w:type="dxa"/>
                  <w:noWrap w:val="0"/>
                  <w:vAlign w:val="center"/>
                </w:tcPr>
                <w:p w14:paraId="0BFE60D7">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90%日最大8小时滑动平均质量浓度</w:t>
                  </w:r>
                </w:p>
              </w:tc>
              <w:tc>
                <w:tcPr>
                  <w:tcW w:w="1276" w:type="dxa"/>
                  <w:noWrap w:val="0"/>
                  <w:vAlign w:val="center"/>
                </w:tcPr>
                <w:p w14:paraId="0E70EBAE">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118</w:t>
                  </w:r>
                </w:p>
              </w:tc>
              <w:tc>
                <w:tcPr>
                  <w:tcW w:w="1275" w:type="dxa"/>
                  <w:noWrap w:val="0"/>
                  <w:vAlign w:val="center"/>
                </w:tcPr>
                <w:p w14:paraId="1E91AC30">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160</w:t>
                  </w:r>
                </w:p>
              </w:tc>
              <w:tc>
                <w:tcPr>
                  <w:tcW w:w="1134" w:type="dxa"/>
                  <w:noWrap w:val="0"/>
                  <w:vAlign w:val="center"/>
                </w:tcPr>
                <w:p w14:paraId="66D0636F">
                  <w:pPr>
                    <w:keepNext w:val="0"/>
                    <w:keepLines w:val="0"/>
                    <w:pageBreakBefore w:val="0"/>
                    <w:kinsoku/>
                    <w:wordWrap/>
                    <w:overflowPunct/>
                    <w:topLinePunct w:val="0"/>
                    <w:bidi w:val="0"/>
                    <w:adjustRightInd w:val="0"/>
                    <w:snapToGrid w:val="0"/>
                    <w:spacing w:beforeLines="0" w:afterLines="0" w:line="240" w:lineRule="auto"/>
                    <w:ind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73.75</w:t>
                  </w:r>
                </w:p>
              </w:tc>
              <w:tc>
                <w:tcPr>
                  <w:tcW w:w="1114" w:type="dxa"/>
                  <w:noWrap w:val="0"/>
                  <w:vAlign w:val="center"/>
                </w:tcPr>
                <w:p w14:paraId="01AA7552">
                  <w:pPr>
                    <w:keepNext w:val="0"/>
                    <w:keepLines w:val="0"/>
                    <w:pageBreakBefore w:val="0"/>
                    <w:kinsoku/>
                    <w:wordWrap/>
                    <w:overflowPunct/>
                    <w:topLinePunct w:val="0"/>
                    <w:bidi w:val="0"/>
                    <w:adjustRightInd w:val="0"/>
                    <w:snapToGrid w:val="0"/>
                    <w:spacing w:line="240" w:lineRule="auto"/>
                    <w:ind w:firstLine="0" w:firstLineChars="0"/>
                    <w:jc w:val="center"/>
                    <w:textAlignment w:val="center"/>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bl>
          <w:p w14:paraId="1DF1AE74">
            <w:pPr>
              <w:spacing w:line="360" w:lineRule="auto"/>
              <w:ind w:firstLine="480" w:firstLineChars="200"/>
              <w:contextualSpacing/>
              <w:outlineLvl w:val="2"/>
              <w:rPr>
                <w:rFonts w:hint="default" w:cs="Times New Roman"/>
                <w:color w:val="auto"/>
                <w:kern w:val="24"/>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根据2024年监测数据可知，2024年澄江市环境空气SO</w:t>
            </w:r>
            <w:r>
              <w:rPr>
                <w:rFonts w:hint="default" w:ascii="Times New Roman" w:hAnsi="Times New Roman" w:eastAsia="宋体" w:cs="Times New Roman"/>
                <w:color w:val="auto"/>
                <w:kern w:val="0"/>
                <w:sz w:val="24"/>
                <w:szCs w:val="24"/>
                <w:highlight w:val="none"/>
                <w:vertAlign w:val="sub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、NO</w:t>
            </w:r>
            <w:r>
              <w:rPr>
                <w:rFonts w:hint="default" w:ascii="Times New Roman" w:hAnsi="Times New Roman" w:eastAsia="宋体" w:cs="Times New Roman"/>
                <w:color w:val="auto"/>
                <w:kern w:val="0"/>
                <w:sz w:val="24"/>
                <w:szCs w:val="24"/>
                <w:highlight w:val="none"/>
                <w:vertAlign w:val="sub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、PM</w:t>
            </w:r>
            <w:r>
              <w:rPr>
                <w:rFonts w:hint="default" w:ascii="Times New Roman" w:hAnsi="Times New Roman" w:eastAsia="宋体" w:cs="Times New Roman"/>
                <w:color w:val="auto"/>
                <w:kern w:val="0"/>
                <w:sz w:val="24"/>
                <w:szCs w:val="24"/>
                <w:highlight w:val="none"/>
                <w:vertAlign w:val="subscript"/>
                <w:lang w:val="en-US" w:eastAsia="zh-CN" w:bidi="ar-SA"/>
              </w:rPr>
              <w:t>10</w:t>
            </w:r>
            <w:r>
              <w:rPr>
                <w:rFonts w:hint="default" w:ascii="Times New Roman" w:hAnsi="Times New Roman" w:eastAsia="宋体" w:cs="Times New Roman"/>
                <w:color w:val="auto"/>
                <w:kern w:val="0"/>
                <w:sz w:val="24"/>
                <w:szCs w:val="24"/>
                <w:highlight w:val="none"/>
                <w:lang w:val="en-US" w:eastAsia="zh-CN" w:bidi="ar-SA"/>
              </w:rPr>
              <w:t>、PM</w:t>
            </w:r>
            <w:r>
              <w:rPr>
                <w:rFonts w:hint="default" w:ascii="Times New Roman" w:hAnsi="Times New Roman" w:eastAsia="宋体" w:cs="Times New Roman"/>
                <w:color w:val="auto"/>
                <w:kern w:val="0"/>
                <w:sz w:val="24"/>
                <w:szCs w:val="24"/>
                <w:highlight w:val="none"/>
                <w:vertAlign w:val="subscript"/>
                <w:lang w:val="en-US" w:eastAsia="zh-CN" w:bidi="ar-SA"/>
              </w:rPr>
              <w:t>2.5</w:t>
            </w:r>
            <w:r>
              <w:rPr>
                <w:rFonts w:hint="default" w:ascii="Times New Roman" w:hAnsi="Times New Roman" w:eastAsia="宋体" w:cs="Times New Roman"/>
                <w:color w:val="auto"/>
                <w:kern w:val="0"/>
                <w:sz w:val="24"/>
                <w:szCs w:val="24"/>
                <w:highlight w:val="none"/>
                <w:lang w:val="en-US" w:eastAsia="zh-CN" w:bidi="ar-SA"/>
              </w:rPr>
              <w:t>、CO、O</w:t>
            </w:r>
            <w:r>
              <w:rPr>
                <w:rFonts w:hint="default" w:ascii="Times New Roman" w:hAnsi="Times New Roman" w:eastAsia="宋体" w:cs="Times New Roman"/>
                <w:color w:val="auto"/>
                <w:kern w:val="0"/>
                <w:sz w:val="24"/>
                <w:szCs w:val="24"/>
                <w:highlight w:val="none"/>
                <w:vertAlign w:val="sub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六项基本污染物均满足《环境空气质量标准》（GB 3095-2012）及2018年修改单的二级标准浓度限值要求，因此，项目所在区域属于环境空气质量达标区。</w:t>
            </w:r>
          </w:p>
          <w:p w14:paraId="692E17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Calibri" w:cs="Times New Roman"/>
                <w:color w:val="auto"/>
                <w:sz w:val="24"/>
                <w:szCs w:val="20"/>
                <w:highlight w:val="none"/>
                <w:lang w:eastAsia="zh-CN"/>
              </w:rPr>
            </w:pPr>
            <w:r>
              <w:rPr>
                <w:rFonts w:hint="eastAsia" w:cs="Times New Roman"/>
                <w:color w:val="auto"/>
                <w:kern w:val="24"/>
                <w:sz w:val="24"/>
                <w:szCs w:val="24"/>
                <w:highlight w:val="none"/>
                <w:lang w:val="en-US" w:eastAsia="zh-CN"/>
              </w:rPr>
              <w:t>（2）</w:t>
            </w:r>
            <w:r>
              <w:rPr>
                <w:rFonts w:hint="default" w:ascii="Times New Roman" w:hAnsi="Times New Roman" w:cs="Times New Roman"/>
                <w:b w:val="0"/>
                <w:bCs w:val="0"/>
                <w:color w:val="auto"/>
                <w:kern w:val="0"/>
                <w:sz w:val="24"/>
                <w:highlight w:val="none"/>
                <w:lang w:eastAsia="zh-CN"/>
              </w:rPr>
              <w:t>特征</w:t>
            </w:r>
            <w:r>
              <w:rPr>
                <w:rFonts w:hint="default" w:ascii="Times New Roman" w:hAnsi="Times New Roman" w:cs="Times New Roman"/>
                <w:b w:val="0"/>
                <w:bCs w:val="0"/>
                <w:color w:val="auto"/>
                <w:kern w:val="0"/>
                <w:sz w:val="24"/>
                <w:highlight w:val="none"/>
              </w:rPr>
              <w:t>污染物环境质量现状</w:t>
            </w:r>
          </w:p>
          <w:p w14:paraId="730FBB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color w:val="auto"/>
                <w:sz w:val="24"/>
                <w:szCs w:val="20"/>
                <w:highlight w:val="none"/>
              </w:rPr>
              <w:t>项目区域附近无工业企业，</w:t>
            </w:r>
            <w:r>
              <w:rPr>
                <w:rFonts w:hint="eastAsia" w:cs="Times New Roman"/>
                <w:color w:val="auto"/>
                <w:sz w:val="24"/>
                <w:szCs w:val="24"/>
                <w:highlight w:val="none"/>
                <w:lang w:val="en-US" w:eastAsia="zh-CN"/>
              </w:rPr>
              <w:t>根据</w:t>
            </w:r>
            <w:r>
              <w:rPr>
                <w:rFonts w:hint="eastAsia" w:ascii="Times New Roman" w:hAnsi="Times New Roman" w:cs="Times New Roman"/>
                <w:color w:val="auto"/>
                <w:sz w:val="24"/>
                <w:szCs w:val="20"/>
                <w:highlight w:val="none"/>
                <w:lang w:eastAsia="zh-CN"/>
              </w:rPr>
              <w:t>建设单位</w:t>
            </w:r>
            <w:r>
              <w:rPr>
                <w:rFonts w:hint="eastAsia" w:cs="Times New Roman"/>
                <w:color w:val="auto"/>
                <w:sz w:val="24"/>
                <w:szCs w:val="20"/>
                <w:highlight w:val="none"/>
                <w:lang w:val="en-US" w:eastAsia="zh-CN"/>
              </w:rPr>
              <w:t>提供的《澄江市大山生活垃圾填埋场2025年5月及第二季度自行检测报告》，2025年5月23日云南中科检测技术有限公司</w:t>
            </w:r>
            <w:r>
              <w:rPr>
                <w:rFonts w:hint="eastAsia" w:ascii="Times New Roman" w:hAnsi="Times New Roman" w:cs="Times New Roman"/>
                <w:color w:val="auto"/>
                <w:sz w:val="24"/>
                <w:szCs w:val="20"/>
                <w:highlight w:val="none"/>
                <w:lang w:val="en-US" w:eastAsia="zh-CN"/>
              </w:rPr>
              <w:t>对</w:t>
            </w:r>
            <w:r>
              <w:rPr>
                <w:rFonts w:hint="eastAsia" w:ascii="Times New Roman" w:hAnsi="Times New Roman"/>
                <w:color w:val="auto"/>
                <w:kern w:val="24"/>
                <w:sz w:val="24"/>
                <w:szCs w:val="24"/>
                <w:highlight w:val="none"/>
                <w:lang w:eastAsia="zh-CN"/>
              </w:rPr>
              <w:t>厂区上风向及下风向氨、硫化氢进行了监测（详见附件</w:t>
            </w:r>
            <w:r>
              <w:rPr>
                <w:rFonts w:hint="eastAsia" w:ascii="Times New Roman" w:hAnsi="Times New Roman"/>
                <w:color w:val="auto"/>
                <w:kern w:val="24"/>
                <w:sz w:val="24"/>
                <w:szCs w:val="24"/>
                <w:highlight w:val="none"/>
                <w:lang w:val="en-US" w:eastAsia="zh-CN"/>
              </w:rPr>
              <w:t>10</w:t>
            </w:r>
            <w:r>
              <w:rPr>
                <w:rFonts w:hint="eastAsia" w:ascii="Times New Roman" w:hAnsi="Times New Roman"/>
                <w:color w:val="auto"/>
                <w:kern w:val="24"/>
                <w:sz w:val="24"/>
                <w:szCs w:val="24"/>
                <w:highlight w:val="none"/>
                <w:lang w:eastAsia="zh-CN"/>
              </w:rPr>
              <w:t>），</w:t>
            </w:r>
            <w:r>
              <w:rPr>
                <w:rFonts w:hint="eastAsia" w:ascii="Times New Roman" w:hAnsi="Times New Roman" w:cs="Times New Roman"/>
                <w:color w:val="auto"/>
                <w:sz w:val="24"/>
                <w:szCs w:val="20"/>
                <w:highlight w:val="none"/>
                <w:lang w:eastAsia="zh-CN"/>
              </w:rPr>
              <w:t>本次评价引用该监测报告</w:t>
            </w:r>
            <w:r>
              <w:rPr>
                <w:rFonts w:hint="eastAsia" w:cs="Times New Roman"/>
                <w:color w:val="auto"/>
                <w:sz w:val="24"/>
                <w:szCs w:val="20"/>
                <w:highlight w:val="none"/>
                <w:lang w:eastAsia="zh-CN"/>
              </w:rPr>
              <w:t>中</w:t>
            </w:r>
            <w:r>
              <w:rPr>
                <w:rFonts w:hint="eastAsia" w:cs="Times New Roman"/>
                <w:color w:val="auto"/>
                <w:sz w:val="24"/>
                <w:szCs w:val="20"/>
                <w:highlight w:val="none"/>
                <w:lang w:val="en-US" w:eastAsia="zh-CN"/>
              </w:rPr>
              <w:t>上风向的监测数据</w:t>
            </w:r>
            <w:r>
              <w:rPr>
                <w:rFonts w:hint="eastAsia" w:ascii="Times New Roman" w:hAnsi="Times New Roman" w:cs="Times New Roman"/>
                <w:color w:val="auto"/>
                <w:sz w:val="24"/>
                <w:szCs w:val="20"/>
                <w:highlight w:val="none"/>
                <w:lang w:eastAsia="zh-CN"/>
              </w:rPr>
              <w:t>进行区域环境空气质量评价</w:t>
            </w:r>
            <w:r>
              <w:rPr>
                <w:rFonts w:hint="eastAsia" w:ascii="Times New Roman" w:hAnsi="Times New Roman" w:eastAsia="Calibri" w:cs="Times New Roman"/>
                <w:color w:val="auto"/>
                <w:kern w:val="0"/>
                <w:sz w:val="24"/>
                <w:szCs w:val="24"/>
                <w:highlight w:val="none"/>
                <w:lang w:val="en-US" w:eastAsia="zh-CN" w:bidi="ar-SA"/>
              </w:rPr>
              <w:t>。</w:t>
            </w:r>
          </w:p>
          <w:p w14:paraId="55761F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表</w:t>
            </w:r>
            <w:r>
              <w:rPr>
                <w:rFonts w:hint="eastAsia" w:ascii="Times New Roman" w:hAnsi="Times New Roman" w:cs="Times New Roman"/>
                <w:b/>
                <w:color w:val="auto"/>
                <w:sz w:val="24"/>
                <w:szCs w:val="24"/>
                <w:highlight w:val="none"/>
                <w:lang w:val="en-US" w:eastAsia="zh-CN"/>
              </w:rPr>
              <w:t>3-3</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大山生活垃圾填埋场厂界无组织</w:t>
            </w:r>
            <w:r>
              <w:rPr>
                <w:rFonts w:hint="eastAsia" w:ascii="Times New Roman" w:hAnsi="Times New Roman" w:cs="Times New Roman"/>
                <w:b/>
                <w:color w:val="auto"/>
                <w:sz w:val="24"/>
                <w:szCs w:val="24"/>
                <w:highlight w:val="none"/>
                <w:lang w:val="en-US" w:eastAsia="zh-CN"/>
              </w:rPr>
              <w:t>废气</w:t>
            </w:r>
            <w:r>
              <w:rPr>
                <w:rFonts w:hint="eastAsia" w:ascii="Times New Roman" w:hAnsi="Times New Roman" w:cs="Times New Roman"/>
                <w:b/>
                <w:color w:val="auto"/>
                <w:sz w:val="24"/>
                <w:szCs w:val="24"/>
                <w:highlight w:val="none"/>
                <w:lang w:eastAsia="zh-CN"/>
              </w:rPr>
              <w:t>检测</w:t>
            </w:r>
            <w:r>
              <w:rPr>
                <w:rFonts w:hint="default" w:ascii="Times New Roman" w:hAnsi="Times New Roman" w:cs="Times New Roman"/>
                <w:b/>
                <w:color w:val="auto"/>
                <w:sz w:val="24"/>
                <w:szCs w:val="24"/>
                <w:highlight w:val="none"/>
              </w:rPr>
              <w:t>结果   单位：</w:t>
            </w:r>
            <w:r>
              <w:rPr>
                <w:rFonts w:hint="eastAsia" w:ascii="Times New Roman" w:hAnsi="Times New Roman" w:cs="Times New Roman"/>
                <w:b/>
                <w:bCs/>
                <w:color w:val="auto"/>
                <w:sz w:val="24"/>
                <w:szCs w:val="24"/>
                <w:highlight w:val="none"/>
                <w:lang w:val="en-US" w:eastAsia="zh-CN"/>
              </w:rPr>
              <w:t>m</w:t>
            </w:r>
            <w:r>
              <w:rPr>
                <w:rFonts w:hint="default" w:ascii="Times New Roman" w:hAnsi="Times New Roman" w:cs="Times New Roman"/>
                <w:b/>
                <w:bCs/>
                <w:color w:val="auto"/>
                <w:sz w:val="24"/>
                <w:szCs w:val="24"/>
                <w:highlight w:val="none"/>
              </w:rPr>
              <w:t>g/</w:t>
            </w:r>
            <w:r>
              <w:rPr>
                <w:rFonts w:hint="default" w:ascii="Times New Roman" w:hAnsi="Times New Roman" w:cs="Times New Roman"/>
                <w:b/>
                <w:color w:val="auto"/>
                <w:sz w:val="24"/>
                <w:szCs w:val="24"/>
                <w:highlight w:val="none"/>
              </w:rPr>
              <w:t xml:space="preserve"> m</w:t>
            </w:r>
            <w:r>
              <w:rPr>
                <w:rFonts w:hint="default" w:ascii="Times New Roman" w:hAnsi="Times New Roman" w:cs="Times New Roman"/>
                <w:b/>
                <w:color w:val="auto"/>
                <w:sz w:val="24"/>
                <w:szCs w:val="24"/>
                <w:highlight w:val="none"/>
                <w:vertAlign w:val="superscript"/>
              </w:rPr>
              <w:t>3</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433"/>
              <w:gridCol w:w="947"/>
              <w:gridCol w:w="1819"/>
              <w:gridCol w:w="854"/>
              <w:gridCol w:w="1780"/>
              <w:gridCol w:w="1029"/>
            </w:tblGrid>
            <w:tr w14:paraId="0BC8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noWrap w:val="0"/>
                  <w:vAlign w:val="center"/>
                </w:tcPr>
                <w:p w14:paraId="18BD02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序号</w:t>
                  </w:r>
                </w:p>
              </w:tc>
              <w:tc>
                <w:tcPr>
                  <w:tcW w:w="843" w:type="pct"/>
                  <w:vMerge w:val="restart"/>
                  <w:noWrap w:val="0"/>
                  <w:vAlign w:val="center"/>
                </w:tcPr>
                <w:p w14:paraId="4C8844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测点名称</w:t>
                  </w:r>
                </w:p>
              </w:tc>
              <w:tc>
                <w:tcPr>
                  <w:tcW w:w="557" w:type="pct"/>
                  <w:vMerge w:val="restart"/>
                  <w:noWrap w:val="0"/>
                  <w:vAlign w:val="center"/>
                </w:tcPr>
                <w:p w14:paraId="4E9C8A4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采样日期</w:t>
                  </w:r>
                </w:p>
              </w:tc>
              <w:tc>
                <w:tcPr>
                  <w:tcW w:w="1572" w:type="pct"/>
                  <w:gridSpan w:val="2"/>
                  <w:noWrap w:val="0"/>
                  <w:vAlign w:val="center"/>
                </w:tcPr>
                <w:p w14:paraId="4985A0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硫化氢</w:t>
                  </w:r>
                </w:p>
                <w:p w14:paraId="08BA7F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（mg/m</w:t>
                  </w:r>
                  <w:r>
                    <w:rPr>
                      <w:rStyle w:val="36"/>
                      <w:rFonts w:hint="eastAsia" w:ascii="Times New Roman"/>
                      <w:b/>
                      <w:bCs/>
                      <w:color w:val="auto"/>
                      <w:kern w:val="2"/>
                      <w:sz w:val="21"/>
                      <w:szCs w:val="21"/>
                      <w:highlight w:val="none"/>
                      <w:vertAlign w:val="superscript"/>
                      <w:lang w:val="en-US" w:eastAsia="zh-CN"/>
                    </w:rPr>
                    <w:t>3</w:t>
                  </w:r>
                  <w:r>
                    <w:rPr>
                      <w:rStyle w:val="36"/>
                      <w:rFonts w:hint="eastAsia" w:ascii="Times New Roman"/>
                      <w:b/>
                      <w:bCs/>
                      <w:color w:val="auto"/>
                      <w:kern w:val="2"/>
                      <w:sz w:val="21"/>
                      <w:szCs w:val="21"/>
                      <w:highlight w:val="none"/>
                      <w:vertAlign w:val="baseline"/>
                      <w:lang w:val="en-US" w:eastAsia="zh-CN"/>
                    </w:rPr>
                    <w:t>）</w:t>
                  </w:r>
                </w:p>
              </w:tc>
              <w:tc>
                <w:tcPr>
                  <w:tcW w:w="1652" w:type="pct"/>
                  <w:gridSpan w:val="2"/>
                  <w:noWrap w:val="0"/>
                  <w:vAlign w:val="center"/>
                </w:tcPr>
                <w:p w14:paraId="778FE1F2">
                  <w:pPr>
                    <w:keepNext w:val="0"/>
                    <w:keepLines w:val="0"/>
                    <w:pageBreakBefore w:val="0"/>
                    <w:widowControl w:val="0"/>
                    <w:kinsoku/>
                    <w:wordWrap/>
                    <w:overflowPunct/>
                    <w:topLinePunct w:val="0"/>
                    <w:autoSpaceDE/>
                    <w:autoSpaceDN/>
                    <w:bidi w:val="0"/>
                    <w:adjustRightInd/>
                    <w:snapToGrid/>
                    <w:spacing w:line="240" w:lineRule="auto"/>
                    <w:ind w:left="0" w:hanging="211" w:hangingChars="10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氨气</w:t>
                  </w:r>
                </w:p>
                <w:p w14:paraId="2FB982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ascii="Times New Roman"/>
                      <w:b/>
                      <w:bCs/>
                      <w:color w:val="auto"/>
                      <w:kern w:val="2"/>
                      <w:sz w:val="21"/>
                      <w:szCs w:val="21"/>
                      <w:highlight w:val="none"/>
                      <w:vertAlign w:val="baseline"/>
                      <w:lang w:val="en-US" w:eastAsia="zh-CN"/>
                    </w:rPr>
                    <w:t>（mg/m</w:t>
                  </w:r>
                  <w:r>
                    <w:rPr>
                      <w:rStyle w:val="36"/>
                      <w:rFonts w:hint="eastAsia" w:ascii="Times New Roman"/>
                      <w:b/>
                      <w:bCs/>
                      <w:color w:val="auto"/>
                      <w:kern w:val="2"/>
                      <w:sz w:val="21"/>
                      <w:szCs w:val="21"/>
                      <w:highlight w:val="none"/>
                      <w:vertAlign w:val="superscript"/>
                      <w:lang w:val="en-US" w:eastAsia="zh-CN"/>
                    </w:rPr>
                    <w:t>3</w:t>
                  </w:r>
                  <w:r>
                    <w:rPr>
                      <w:rStyle w:val="36"/>
                      <w:rFonts w:hint="eastAsia" w:ascii="Times New Roman"/>
                      <w:b/>
                      <w:bCs/>
                      <w:color w:val="auto"/>
                      <w:kern w:val="2"/>
                      <w:sz w:val="21"/>
                      <w:szCs w:val="21"/>
                      <w:highlight w:val="none"/>
                      <w:vertAlign w:val="baseline"/>
                      <w:lang w:val="en-US" w:eastAsia="zh-CN"/>
                    </w:rPr>
                    <w:t>）</w:t>
                  </w:r>
                </w:p>
              </w:tc>
            </w:tr>
            <w:tr w14:paraId="5272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noWrap w:val="0"/>
                  <w:vAlign w:val="center"/>
                </w:tcPr>
                <w:p w14:paraId="390BF07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p>
              </w:tc>
              <w:tc>
                <w:tcPr>
                  <w:tcW w:w="843" w:type="pct"/>
                  <w:vMerge w:val="continue"/>
                  <w:noWrap w:val="0"/>
                  <w:vAlign w:val="center"/>
                </w:tcPr>
                <w:p w14:paraId="5C8EF2F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p>
              </w:tc>
              <w:tc>
                <w:tcPr>
                  <w:tcW w:w="557" w:type="pct"/>
                  <w:vMerge w:val="continue"/>
                  <w:noWrap w:val="0"/>
                  <w:vAlign w:val="center"/>
                </w:tcPr>
                <w:p w14:paraId="4D6482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p>
              </w:tc>
              <w:tc>
                <w:tcPr>
                  <w:tcW w:w="1070" w:type="pct"/>
                  <w:noWrap w:val="0"/>
                  <w:vAlign w:val="center"/>
                </w:tcPr>
                <w:p w14:paraId="17AAF3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b/>
                      <w:bCs/>
                      <w:color w:val="auto"/>
                      <w:kern w:val="2"/>
                      <w:sz w:val="21"/>
                      <w:szCs w:val="21"/>
                      <w:highlight w:val="none"/>
                      <w:vertAlign w:val="baseline"/>
                      <w:lang w:val="en-US" w:eastAsia="zh-CN"/>
                    </w:rPr>
                    <w:t>采样时段</w:t>
                  </w:r>
                </w:p>
              </w:tc>
              <w:tc>
                <w:tcPr>
                  <w:tcW w:w="502" w:type="pct"/>
                  <w:noWrap w:val="0"/>
                  <w:vAlign w:val="center"/>
                </w:tcPr>
                <w:p w14:paraId="030119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b/>
                      <w:bCs/>
                      <w:color w:val="auto"/>
                      <w:kern w:val="2"/>
                      <w:sz w:val="21"/>
                      <w:szCs w:val="21"/>
                      <w:highlight w:val="none"/>
                      <w:vertAlign w:val="baseline"/>
                      <w:lang w:val="en-US" w:eastAsia="zh-CN"/>
                    </w:rPr>
                  </w:pPr>
                  <w:r>
                    <w:rPr>
                      <w:rStyle w:val="36"/>
                      <w:rFonts w:hint="eastAsia"/>
                      <w:b/>
                      <w:bCs/>
                      <w:color w:val="auto"/>
                      <w:kern w:val="2"/>
                      <w:sz w:val="21"/>
                      <w:szCs w:val="21"/>
                      <w:highlight w:val="none"/>
                      <w:vertAlign w:val="baseline"/>
                      <w:lang w:val="en-US" w:eastAsia="zh-CN"/>
                    </w:rPr>
                    <w:t>检测结果</w:t>
                  </w:r>
                </w:p>
              </w:tc>
              <w:tc>
                <w:tcPr>
                  <w:tcW w:w="1047" w:type="pct"/>
                  <w:noWrap w:val="0"/>
                  <w:vAlign w:val="center"/>
                </w:tcPr>
                <w:p w14:paraId="4ED6A11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b/>
                      <w:bCs/>
                      <w:color w:val="auto"/>
                      <w:kern w:val="2"/>
                      <w:sz w:val="21"/>
                      <w:szCs w:val="21"/>
                      <w:highlight w:val="none"/>
                      <w:vertAlign w:val="baseline"/>
                      <w:lang w:val="en-US" w:eastAsia="zh-CN"/>
                    </w:rPr>
                    <w:t>采样时段</w:t>
                  </w:r>
                </w:p>
              </w:tc>
              <w:tc>
                <w:tcPr>
                  <w:tcW w:w="605" w:type="pct"/>
                  <w:noWrap w:val="0"/>
                  <w:vAlign w:val="center"/>
                </w:tcPr>
                <w:p w14:paraId="2ADA98B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ascii="Times New Roman"/>
                      <w:b/>
                      <w:bCs/>
                      <w:color w:val="auto"/>
                      <w:kern w:val="2"/>
                      <w:sz w:val="21"/>
                      <w:szCs w:val="21"/>
                      <w:highlight w:val="none"/>
                      <w:vertAlign w:val="baseline"/>
                      <w:lang w:val="en-US" w:eastAsia="zh-CN"/>
                    </w:rPr>
                  </w:pPr>
                  <w:r>
                    <w:rPr>
                      <w:rStyle w:val="36"/>
                      <w:rFonts w:hint="eastAsia"/>
                      <w:b/>
                      <w:bCs/>
                      <w:color w:val="auto"/>
                      <w:kern w:val="2"/>
                      <w:sz w:val="21"/>
                      <w:szCs w:val="21"/>
                      <w:highlight w:val="none"/>
                      <w:vertAlign w:val="baseline"/>
                      <w:lang w:val="en-US" w:eastAsia="zh-CN"/>
                    </w:rPr>
                    <w:t>检测结果</w:t>
                  </w:r>
                </w:p>
              </w:tc>
            </w:tr>
            <w:tr w14:paraId="109E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noWrap w:val="0"/>
                  <w:vAlign w:val="center"/>
                </w:tcPr>
                <w:p w14:paraId="23F8DE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1</w:t>
                  </w:r>
                </w:p>
              </w:tc>
              <w:tc>
                <w:tcPr>
                  <w:tcW w:w="843" w:type="pct"/>
                  <w:vMerge w:val="restart"/>
                  <w:noWrap w:val="0"/>
                  <w:vAlign w:val="center"/>
                </w:tcPr>
                <w:p w14:paraId="40706CC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A1上风向</w:t>
                  </w:r>
                </w:p>
              </w:tc>
              <w:tc>
                <w:tcPr>
                  <w:tcW w:w="557" w:type="pct"/>
                  <w:vMerge w:val="restart"/>
                  <w:noWrap w:val="0"/>
                  <w:vAlign w:val="center"/>
                </w:tcPr>
                <w:p w14:paraId="3D0079A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20</w:t>
                  </w:r>
                  <w:r>
                    <w:rPr>
                      <w:rStyle w:val="36"/>
                      <w:rFonts w:hint="eastAsia"/>
                      <w:color w:val="auto"/>
                      <w:kern w:val="2"/>
                      <w:sz w:val="21"/>
                      <w:szCs w:val="21"/>
                      <w:highlight w:val="none"/>
                      <w:vertAlign w:val="baseline"/>
                      <w:lang w:val="en-US" w:eastAsia="zh-CN"/>
                    </w:rPr>
                    <w:t>25</w:t>
                  </w:r>
                  <w:r>
                    <w:rPr>
                      <w:rStyle w:val="36"/>
                      <w:rFonts w:hint="eastAsia" w:ascii="Times New Roman"/>
                      <w:color w:val="auto"/>
                      <w:kern w:val="2"/>
                      <w:sz w:val="21"/>
                      <w:szCs w:val="21"/>
                      <w:highlight w:val="none"/>
                      <w:vertAlign w:val="baseline"/>
                      <w:lang w:val="en-US" w:eastAsia="zh-CN"/>
                    </w:rPr>
                    <w:t>年</w:t>
                  </w:r>
                  <w:r>
                    <w:rPr>
                      <w:rStyle w:val="36"/>
                      <w:rFonts w:hint="eastAsia"/>
                      <w:color w:val="auto"/>
                      <w:kern w:val="2"/>
                      <w:sz w:val="21"/>
                      <w:szCs w:val="21"/>
                      <w:highlight w:val="none"/>
                      <w:vertAlign w:val="baseline"/>
                      <w:lang w:val="en-US" w:eastAsia="zh-CN"/>
                    </w:rPr>
                    <w:t>5</w:t>
                  </w:r>
                  <w:r>
                    <w:rPr>
                      <w:rStyle w:val="36"/>
                      <w:rFonts w:hint="eastAsia" w:ascii="Times New Roman"/>
                      <w:color w:val="auto"/>
                      <w:kern w:val="2"/>
                      <w:sz w:val="21"/>
                      <w:szCs w:val="21"/>
                      <w:highlight w:val="none"/>
                      <w:vertAlign w:val="baseline"/>
                      <w:lang w:val="en-US" w:eastAsia="zh-CN"/>
                    </w:rPr>
                    <w:t>月</w:t>
                  </w:r>
                  <w:r>
                    <w:rPr>
                      <w:rStyle w:val="36"/>
                      <w:rFonts w:hint="eastAsia"/>
                      <w:color w:val="auto"/>
                      <w:kern w:val="2"/>
                      <w:sz w:val="21"/>
                      <w:szCs w:val="21"/>
                      <w:highlight w:val="none"/>
                      <w:vertAlign w:val="baseline"/>
                      <w:lang w:val="en-US" w:eastAsia="zh-CN"/>
                    </w:rPr>
                    <w:t>23</w:t>
                  </w:r>
                  <w:r>
                    <w:rPr>
                      <w:rStyle w:val="36"/>
                      <w:rFonts w:hint="eastAsia" w:ascii="Times New Roman"/>
                      <w:color w:val="auto"/>
                      <w:kern w:val="2"/>
                      <w:sz w:val="21"/>
                      <w:szCs w:val="21"/>
                      <w:highlight w:val="none"/>
                      <w:vertAlign w:val="baseline"/>
                      <w:lang w:val="en-US" w:eastAsia="zh-CN"/>
                    </w:rPr>
                    <w:t>日</w:t>
                  </w:r>
                </w:p>
              </w:tc>
              <w:tc>
                <w:tcPr>
                  <w:tcW w:w="1070" w:type="pct"/>
                  <w:noWrap w:val="0"/>
                  <w:vAlign w:val="center"/>
                </w:tcPr>
                <w:p w14:paraId="1CCAB19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09:00~10:00</w:t>
                  </w:r>
                </w:p>
              </w:tc>
              <w:tc>
                <w:tcPr>
                  <w:tcW w:w="502" w:type="pct"/>
                  <w:noWrap w:val="0"/>
                  <w:vAlign w:val="center"/>
                </w:tcPr>
                <w:p w14:paraId="2B621FD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0.05</w:t>
                  </w:r>
                </w:p>
              </w:tc>
              <w:tc>
                <w:tcPr>
                  <w:tcW w:w="1047" w:type="pct"/>
                  <w:shd w:val="clear" w:color="auto" w:fill="auto"/>
                  <w:noWrap w:val="0"/>
                  <w:vAlign w:val="center"/>
                </w:tcPr>
                <w:p w14:paraId="1BA1F66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09:00~10:00</w:t>
                  </w:r>
                </w:p>
              </w:tc>
              <w:tc>
                <w:tcPr>
                  <w:tcW w:w="605" w:type="pct"/>
                  <w:shd w:val="clear" w:color="auto" w:fill="auto"/>
                  <w:noWrap w:val="0"/>
                  <w:vAlign w:val="center"/>
                </w:tcPr>
                <w:p w14:paraId="256C00C0">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0.007</w:t>
                  </w:r>
                </w:p>
              </w:tc>
            </w:tr>
            <w:tr w14:paraId="189F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noWrap w:val="0"/>
                  <w:vAlign w:val="center"/>
                </w:tcPr>
                <w:p w14:paraId="5F6EBB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43" w:type="pct"/>
                  <w:vMerge w:val="continue"/>
                  <w:noWrap w:val="0"/>
                  <w:vAlign w:val="center"/>
                </w:tcPr>
                <w:p w14:paraId="5E2AD4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557" w:type="pct"/>
                  <w:vMerge w:val="continue"/>
                  <w:noWrap w:val="0"/>
                  <w:vAlign w:val="center"/>
                </w:tcPr>
                <w:p w14:paraId="63846EB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1070" w:type="pct"/>
                  <w:noWrap w:val="0"/>
                  <w:vAlign w:val="center"/>
                </w:tcPr>
                <w:p w14:paraId="6FDCFD4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12:00~13:00</w:t>
                  </w:r>
                </w:p>
              </w:tc>
              <w:tc>
                <w:tcPr>
                  <w:tcW w:w="502" w:type="pct"/>
                  <w:noWrap w:val="0"/>
                  <w:vAlign w:val="center"/>
                </w:tcPr>
                <w:p w14:paraId="30E41A5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0.09</w:t>
                  </w:r>
                </w:p>
              </w:tc>
              <w:tc>
                <w:tcPr>
                  <w:tcW w:w="1047" w:type="pct"/>
                  <w:shd w:val="clear" w:color="auto" w:fill="auto"/>
                  <w:noWrap w:val="0"/>
                  <w:vAlign w:val="center"/>
                </w:tcPr>
                <w:p w14:paraId="60E93FA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12:00~13:00</w:t>
                  </w:r>
                </w:p>
              </w:tc>
              <w:tc>
                <w:tcPr>
                  <w:tcW w:w="605" w:type="pct"/>
                  <w:shd w:val="clear" w:color="auto" w:fill="auto"/>
                  <w:noWrap w:val="0"/>
                  <w:vAlign w:val="center"/>
                </w:tcPr>
                <w:p w14:paraId="25A0EBF9">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0.008</w:t>
                  </w:r>
                </w:p>
              </w:tc>
            </w:tr>
            <w:tr w14:paraId="53AE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noWrap w:val="0"/>
                  <w:vAlign w:val="center"/>
                </w:tcPr>
                <w:p w14:paraId="1ED2F1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843" w:type="pct"/>
                  <w:vMerge w:val="continue"/>
                  <w:noWrap w:val="0"/>
                  <w:vAlign w:val="center"/>
                </w:tcPr>
                <w:p w14:paraId="2BF2AC4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557" w:type="pct"/>
                  <w:vMerge w:val="continue"/>
                  <w:noWrap w:val="0"/>
                  <w:vAlign w:val="center"/>
                </w:tcPr>
                <w:p w14:paraId="7054410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p>
              </w:tc>
              <w:tc>
                <w:tcPr>
                  <w:tcW w:w="1070" w:type="pct"/>
                  <w:noWrap w:val="0"/>
                  <w:vAlign w:val="center"/>
                </w:tcPr>
                <w:p w14:paraId="14986E0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Style w:val="36"/>
                      <w:rFonts w:hint="eastAsia"/>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15:00~16:00</w:t>
                  </w:r>
                </w:p>
              </w:tc>
              <w:tc>
                <w:tcPr>
                  <w:tcW w:w="502" w:type="pct"/>
                  <w:noWrap w:val="0"/>
                  <w:vAlign w:val="center"/>
                </w:tcPr>
                <w:p w14:paraId="52DA82F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0.07</w:t>
                  </w:r>
                </w:p>
              </w:tc>
              <w:tc>
                <w:tcPr>
                  <w:tcW w:w="1047" w:type="pct"/>
                  <w:shd w:val="clear" w:color="auto" w:fill="auto"/>
                  <w:noWrap w:val="0"/>
                  <w:vAlign w:val="center"/>
                </w:tcPr>
                <w:p w14:paraId="37F1CA5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Style w:val="36"/>
                      <w:rFonts w:hint="eastAsia"/>
                      <w:color w:val="auto"/>
                      <w:kern w:val="2"/>
                      <w:sz w:val="21"/>
                      <w:szCs w:val="21"/>
                      <w:highlight w:val="none"/>
                      <w:vertAlign w:val="baseline"/>
                      <w:lang w:val="en-US" w:eastAsia="zh-CN"/>
                    </w:rPr>
                    <w:t>15:00~16:00</w:t>
                  </w:r>
                </w:p>
              </w:tc>
              <w:tc>
                <w:tcPr>
                  <w:tcW w:w="605" w:type="pct"/>
                  <w:shd w:val="clear" w:color="auto" w:fill="auto"/>
                  <w:noWrap w:val="0"/>
                  <w:vAlign w:val="center"/>
                </w:tcPr>
                <w:p w14:paraId="76436CDC">
                  <w:pPr>
                    <w:keepNext w:val="0"/>
                    <w:keepLines w:val="0"/>
                    <w:pageBreakBefore w:val="0"/>
                    <w:widowControl w:val="0"/>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Style w:val="36"/>
                      <w:rFonts w:hint="eastAsia" w:ascii="Times New Roman"/>
                      <w:color w:val="auto"/>
                      <w:kern w:val="2"/>
                      <w:sz w:val="21"/>
                      <w:szCs w:val="21"/>
                      <w:highlight w:val="none"/>
                      <w:vertAlign w:val="baseline"/>
                      <w:lang w:val="en-US" w:eastAsia="zh-CN"/>
                    </w:rPr>
                    <w:t>0.009</w:t>
                  </w:r>
                </w:p>
              </w:tc>
            </w:tr>
            <w:tr w14:paraId="3B61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gridSpan w:val="2"/>
                  <w:noWrap w:val="0"/>
                  <w:vAlign w:val="center"/>
                </w:tcPr>
                <w:p w14:paraId="18BD5DE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default" w:ascii="Times New Roman"/>
                      <w:color w:val="auto"/>
                      <w:kern w:val="2"/>
                      <w:sz w:val="21"/>
                      <w:szCs w:val="21"/>
                      <w:highlight w:val="none"/>
                      <w:vertAlign w:val="baseline"/>
                      <w:lang w:val="en-US" w:eastAsia="zh-CN"/>
                    </w:rPr>
                    <w:t>《环境影响评价技术导则 大气环境》（HJ2.2-2018）附录D</w:t>
                  </w:r>
                </w:p>
              </w:tc>
              <w:tc>
                <w:tcPr>
                  <w:tcW w:w="557" w:type="pct"/>
                  <w:noWrap w:val="0"/>
                  <w:vAlign w:val="center"/>
                </w:tcPr>
                <w:p w14:paraId="6EE7A2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c>
                <w:tcPr>
                  <w:tcW w:w="1070" w:type="pct"/>
                  <w:noWrap w:val="0"/>
                  <w:vAlign w:val="center"/>
                </w:tcPr>
                <w:p w14:paraId="4B93FC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w:t>
                  </w:r>
                </w:p>
              </w:tc>
              <w:tc>
                <w:tcPr>
                  <w:tcW w:w="502" w:type="pct"/>
                  <w:noWrap w:val="0"/>
                  <w:vAlign w:val="center"/>
                </w:tcPr>
                <w:p w14:paraId="2394830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0.2</w:t>
                  </w:r>
                </w:p>
              </w:tc>
              <w:tc>
                <w:tcPr>
                  <w:tcW w:w="1047" w:type="pct"/>
                  <w:noWrap w:val="0"/>
                  <w:vAlign w:val="center"/>
                </w:tcPr>
                <w:p w14:paraId="2FD0B3A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c>
                <w:tcPr>
                  <w:tcW w:w="605" w:type="pct"/>
                  <w:noWrap w:val="0"/>
                  <w:vAlign w:val="center"/>
                </w:tcPr>
                <w:p w14:paraId="349C598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0.01</w:t>
                  </w:r>
                </w:p>
              </w:tc>
            </w:tr>
            <w:tr w14:paraId="701E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gridSpan w:val="2"/>
                  <w:noWrap w:val="0"/>
                  <w:vAlign w:val="center"/>
                </w:tcPr>
                <w:p w14:paraId="10F941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达标情况</w:t>
                  </w:r>
                </w:p>
              </w:tc>
              <w:tc>
                <w:tcPr>
                  <w:tcW w:w="557" w:type="pct"/>
                  <w:noWrap w:val="0"/>
                  <w:vAlign w:val="center"/>
                </w:tcPr>
                <w:p w14:paraId="76C5A6F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c>
                <w:tcPr>
                  <w:tcW w:w="1070" w:type="pct"/>
                  <w:noWrap w:val="0"/>
                  <w:vAlign w:val="center"/>
                </w:tcPr>
                <w:p w14:paraId="2A69BD9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w:t>
                  </w:r>
                </w:p>
              </w:tc>
              <w:tc>
                <w:tcPr>
                  <w:tcW w:w="502" w:type="pct"/>
                  <w:noWrap w:val="0"/>
                  <w:vAlign w:val="center"/>
                </w:tcPr>
                <w:p w14:paraId="546CD32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达标</w:t>
                  </w:r>
                </w:p>
              </w:tc>
              <w:tc>
                <w:tcPr>
                  <w:tcW w:w="1047" w:type="pct"/>
                  <w:noWrap w:val="0"/>
                  <w:vAlign w:val="center"/>
                </w:tcPr>
                <w:p w14:paraId="7CEE97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default" w:ascii="Times New Roman"/>
                      <w:color w:val="auto"/>
                      <w:kern w:val="2"/>
                      <w:sz w:val="21"/>
                      <w:szCs w:val="21"/>
                      <w:highlight w:val="none"/>
                      <w:vertAlign w:val="baseline"/>
                      <w:lang w:val="en-US" w:eastAsia="zh-CN"/>
                    </w:rPr>
                  </w:pPr>
                  <w:r>
                    <w:rPr>
                      <w:rStyle w:val="36"/>
                      <w:rFonts w:hint="eastAsia" w:ascii="Times New Roman"/>
                      <w:color w:val="auto"/>
                      <w:kern w:val="2"/>
                      <w:sz w:val="21"/>
                      <w:szCs w:val="21"/>
                      <w:highlight w:val="none"/>
                      <w:vertAlign w:val="baseline"/>
                      <w:lang w:val="en-US" w:eastAsia="zh-CN"/>
                    </w:rPr>
                    <w:t>-</w:t>
                  </w:r>
                </w:p>
              </w:tc>
              <w:tc>
                <w:tcPr>
                  <w:tcW w:w="605" w:type="pct"/>
                  <w:noWrap w:val="0"/>
                  <w:vAlign w:val="center"/>
                </w:tcPr>
                <w:p w14:paraId="31196C4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Style w:val="36"/>
                      <w:rFonts w:hint="eastAsia" w:ascii="Times New Roman"/>
                      <w:color w:val="auto"/>
                      <w:kern w:val="2"/>
                      <w:sz w:val="21"/>
                      <w:szCs w:val="21"/>
                      <w:highlight w:val="none"/>
                      <w:vertAlign w:val="baseline"/>
                      <w:lang w:val="en-US" w:eastAsia="zh-CN"/>
                    </w:rPr>
                  </w:pPr>
                  <w:r>
                    <w:rPr>
                      <w:rStyle w:val="36"/>
                      <w:rFonts w:hint="eastAsia"/>
                      <w:color w:val="auto"/>
                      <w:kern w:val="2"/>
                      <w:sz w:val="21"/>
                      <w:szCs w:val="21"/>
                      <w:highlight w:val="none"/>
                      <w:vertAlign w:val="baseline"/>
                      <w:lang w:val="en-US" w:eastAsia="zh-CN"/>
                    </w:rPr>
                    <w:t>达标</w:t>
                  </w:r>
                </w:p>
              </w:tc>
            </w:tr>
          </w:tbl>
          <w:p w14:paraId="70FC7301">
            <w:pPr>
              <w:spacing w:line="360" w:lineRule="auto"/>
              <w:ind w:firstLine="480" w:firstLineChars="200"/>
              <w:contextualSpacing/>
              <w:outlineLvl w:val="2"/>
              <w:rPr>
                <w:rFonts w:hint="eastAsia" w:cs="Times New Roman"/>
                <w:b/>
                <w:color w:val="auto"/>
                <w:sz w:val="24"/>
                <w:szCs w:val="24"/>
                <w:highlight w:val="none"/>
                <w:lang w:val="en-US" w:eastAsia="zh-CN"/>
              </w:rPr>
            </w:pPr>
            <w:r>
              <w:rPr>
                <w:rStyle w:val="36"/>
                <w:rFonts w:hint="eastAsia" w:ascii="Times New Roman"/>
                <w:color w:val="auto"/>
                <w:kern w:val="2"/>
                <w:sz w:val="24"/>
                <w:szCs w:val="24"/>
                <w:highlight w:val="none"/>
                <w:lang w:val="en-US" w:eastAsia="zh-CN"/>
              </w:rPr>
              <w:t>根据上表监测结果可知，项目区域</w:t>
            </w:r>
            <w:r>
              <w:rPr>
                <w:rStyle w:val="36"/>
                <w:rFonts w:hint="eastAsia"/>
                <w:color w:val="auto"/>
                <w:kern w:val="2"/>
                <w:sz w:val="24"/>
                <w:szCs w:val="24"/>
                <w:highlight w:val="none"/>
                <w:lang w:val="en-US" w:eastAsia="zh-CN"/>
              </w:rPr>
              <w:t>厂界</w:t>
            </w:r>
            <w:r>
              <w:rPr>
                <w:rStyle w:val="36"/>
                <w:rFonts w:hint="eastAsia" w:ascii="Times New Roman"/>
                <w:color w:val="auto"/>
                <w:kern w:val="2"/>
                <w:sz w:val="24"/>
                <w:szCs w:val="24"/>
                <w:highlight w:val="none"/>
                <w:lang w:val="en-US" w:eastAsia="zh-CN"/>
              </w:rPr>
              <w:t>氨</w:t>
            </w:r>
            <w:r>
              <w:rPr>
                <w:rStyle w:val="36"/>
                <w:rFonts w:hint="eastAsia"/>
                <w:color w:val="auto"/>
                <w:kern w:val="2"/>
                <w:sz w:val="24"/>
                <w:szCs w:val="24"/>
                <w:highlight w:val="none"/>
                <w:lang w:val="en-US" w:eastAsia="zh-CN"/>
              </w:rPr>
              <w:t>、硫化氢均达到</w:t>
            </w:r>
            <w:r>
              <w:rPr>
                <w:rFonts w:hint="default" w:ascii="Times New Roman" w:hAnsi="Times New Roman" w:cs="Times New Roman"/>
                <w:bCs/>
                <w:color w:val="auto"/>
                <w:sz w:val="24"/>
                <w:szCs w:val="24"/>
                <w:highlight w:val="none"/>
              </w:rPr>
              <w:t>《环境影响评价技术导则 大气环境》（HJ2.2-2018）附录D中</w:t>
            </w:r>
            <w:r>
              <w:rPr>
                <w:rFonts w:hint="eastAsia" w:ascii="宋体" w:hAnsi="宋体" w:eastAsia="宋体" w:cs="宋体"/>
                <w:bCs/>
                <w:color w:val="auto"/>
                <w:sz w:val="24"/>
                <w:szCs w:val="24"/>
                <w:highlight w:val="none"/>
              </w:rPr>
              <w:t>“其他污染物空气质量浓度参考限值”</w:t>
            </w:r>
            <w:r>
              <w:rPr>
                <w:rStyle w:val="36"/>
                <w:rFonts w:hint="eastAsia" w:ascii="Times New Roman"/>
                <w:color w:val="auto"/>
                <w:kern w:val="2"/>
                <w:sz w:val="24"/>
                <w:szCs w:val="24"/>
                <w:highlight w:val="none"/>
                <w:lang w:val="en-US" w:eastAsia="zh-CN"/>
              </w:rPr>
              <w:t>要求</w:t>
            </w:r>
            <w:r>
              <w:rPr>
                <w:rStyle w:val="36"/>
                <w:rFonts w:ascii="Times New Roman"/>
                <w:color w:val="auto"/>
                <w:kern w:val="2"/>
                <w:sz w:val="24"/>
                <w:szCs w:val="24"/>
                <w:highlight w:val="none"/>
              </w:rPr>
              <w:t>。</w:t>
            </w:r>
          </w:p>
          <w:p w14:paraId="4A132F38">
            <w:pPr>
              <w:spacing w:line="360" w:lineRule="auto"/>
              <w:ind w:firstLine="482" w:firstLineChars="200"/>
              <w:contextualSpacing/>
              <w:outlineLvl w:val="2"/>
              <w:rPr>
                <w:rFonts w:hint="default" w:ascii="Times New Roman" w:hAnsi="Times New Roman" w:cs="Times New Roman"/>
                <w:b/>
                <w:color w:val="auto"/>
                <w:sz w:val="24"/>
                <w:szCs w:val="24"/>
                <w:highlight w:val="none"/>
              </w:rPr>
            </w:pPr>
            <w:r>
              <w:rPr>
                <w:rFonts w:hint="eastAsia" w:cs="Times New Roman"/>
                <w:b/>
                <w:color w:val="auto"/>
                <w:sz w:val="24"/>
                <w:szCs w:val="24"/>
                <w:highlight w:val="none"/>
                <w:lang w:val="en-US" w:eastAsia="zh-CN"/>
              </w:rPr>
              <w:t>二</w:t>
            </w: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rPr>
              <w:t>地表水</w:t>
            </w:r>
            <w:bookmarkEnd w:id="17"/>
          </w:p>
          <w:p w14:paraId="46C0D86F">
            <w:pPr>
              <w:spacing w:line="360" w:lineRule="auto"/>
              <w:ind w:firstLine="48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1、地表水环境质量标准</w:t>
            </w:r>
          </w:p>
          <w:p w14:paraId="552266E8">
            <w:pPr>
              <w:spacing w:line="360" w:lineRule="auto"/>
              <w:ind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lang w:val="en-US" w:eastAsia="zh-CN"/>
              </w:rPr>
              <w:t>最近地表水体为</w:t>
            </w:r>
            <w:r>
              <w:rPr>
                <w:rFonts w:hint="default" w:ascii="Times New Roman" w:hAnsi="Times New Roman" w:cs="Times New Roman"/>
                <w:color w:val="auto"/>
                <w:sz w:val="24"/>
                <w:szCs w:val="24"/>
                <w:highlight w:val="none"/>
              </w:rPr>
              <w:t>项目</w:t>
            </w:r>
            <w:r>
              <w:rPr>
                <w:rFonts w:hint="eastAsia" w:cs="Times New Roman"/>
                <w:color w:val="auto"/>
                <w:sz w:val="24"/>
                <w:szCs w:val="24"/>
                <w:highlight w:val="none"/>
                <w:lang w:val="en-US" w:eastAsia="zh-CN"/>
              </w:rPr>
              <w:t>东面约2000m的南盘江</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根据《云南省水功能区划（2014年修订）》，项目区南盘江流域属于“南盘江宜良-弥勒保留区”，该河段开发利用程度较低，水体为Ⅲ类水体，水质执行《地表水环境质量标准》（GB3838-2002）Ⅲ类标准。</w:t>
            </w:r>
            <w:r>
              <w:rPr>
                <w:rFonts w:hint="default" w:ascii="Times New Roman" w:hAnsi="Times New Roman" w:cs="Times New Roman"/>
                <w:color w:val="auto"/>
                <w:sz w:val="24"/>
                <w:szCs w:val="24"/>
                <w:highlight w:val="none"/>
              </w:rPr>
              <w:t>其标准值见表</w:t>
            </w:r>
            <w:r>
              <w:rPr>
                <w:rFonts w:hint="eastAsia" w:cs="Times New Roman"/>
                <w:color w:val="auto"/>
                <w:sz w:val="24"/>
                <w:szCs w:val="24"/>
                <w:highlight w:val="none"/>
                <w:lang w:val="en-US" w:eastAsia="zh-CN"/>
              </w:rPr>
              <w:t>3-4</w:t>
            </w:r>
            <w:r>
              <w:rPr>
                <w:rFonts w:hint="default" w:ascii="Times New Roman" w:hAnsi="Times New Roman" w:cs="Times New Roman"/>
                <w:color w:val="auto"/>
                <w:sz w:val="24"/>
                <w:szCs w:val="24"/>
                <w:highlight w:val="none"/>
              </w:rPr>
              <w:t>。</w:t>
            </w:r>
          </w:p>
          <w:p w14:paraId="1BD0F75F">
            <w:pPr>
              <w:ind w:firstLine="0" w:firstLineChars="0"/>
              <w:jc w:val="center"/>
              <w:rPr>
                <w:b/>
                <w:color w:val="auto"/>
                <w:sz w:val="24"/>
                <w:szCs w:val="24"/>
                <w:highlight w:val="none"/>
              </w:rPr>
            </w:pPr>
            <w:r>
              <w:rPr>
                <w:b/>
                <w:bCs/>
                <w:color w:val="auto"/>
                <w:sz w:val="24"/>
                <w:szCs w:val="24"/>
                <w:highlight w:val="none"/>
              </w:rPr>
              <w:t>表</w:t>
            </w:r>
            <w:r>
              <w:rPr>
                <w:rFonts w:hint="eastAsia"/>
                <w:b/>
                <w:bCs/>
                <w:color w:val="auto"/>
                <w:sz w:val="24"/>
                <w:szCs w:val="24"/>
                <w:highlight w:val="none"/>
                <w:lang w:val="en-US" w:eastAsia="zh-CN"/>
              </w:rPr>
              <w:t>3-4</w:t>
            </w:r>
            <w:r>
              <w:rPr>
                <w:b/>
                <w:bCs/>
                <w:color w:val="auto"/>
                <w:sz w:val="24"/>
                <w:szCs w:val="24"/>
                <w:highlight w:val="none"/>
              </w:rPr>
              <w:t xml:space="preserve">   </w:t>
            </w:r>
            <w:r>
              <w:rPr>
                <w:b/>
                <w:color w:val="auto"/>
                <w:sz w:val="24"/>
                <w:szCs w:val="24"/>
                <w:highlight w:val="none"/>
              </w:rPr>
              <w:t>地表水环境质量标准   单位：mg/L</w:t>
            </w:r>
            <w:r>
              <w:rPr>
                <w:rFonts w:hint="eastAsia"/>
                <w:b/>
                <w:color w:val="auto"/>
                <w:sz w:val="24"/>
                <w:szCs w:val="24"/>
                <w:highlight w:val="none"/>
              </w:rPr>
              <w:t>（pH除外）</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314"/>
              <w:gridCol w:w="1367"/>
              <w:gridCol w:w="935"/>
              <w:gridCol w:w="1087"/>
              <w:gridCol w:w="2440"/>
            </w:tblGrid>
            <w:tr w14:paraId="5E48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98" w:type="pct"/>
                  <w:tcBorders>
                    <w:tl2br w:val="nil"/>
                    <w:tr2bl w:val="nil"/>
                  </w:tcBorders>
                  <w:noWrap w:val="0"/>
                  <w:vAlign w:val="center"/>
                </w:tcPr>
                <w:p w14:paraId="4D104456">
                  <w:pPr>
                    <w:keepNext w:val="0"/>
                    <w:keepLines w:val="0"/>
                    <w:pageBreakBefore w:val="0"/>
                    <w:widowControl w:val="0"/>
                    <w:suppressLineNumbers w:val="0"/>
                    <w:suppressAutoHyphens/>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773" w:type="pct"/>
                  <w:tcBorders>
                    <w:tl2br w:val="nil"/>
                    <w:tr2bl w:val="nil"/>
                  </w:tcBorders>
                  <w:noWrap w:val="0"/>
                  <w:vAlign w:val="center"/>
                </w:tcPr>
                <w:p w14:paraId="05379859">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w:t>
                  </w:r>
                </w:p>
              </w:tc>
              <w:tc>
                <w:tcPr>
                  <w:tcW w:w="803" w:type="pct"/>
                  <w:tcBorders>
                    <w:tl2br w:val="nil"/>
                    <w:tr2bl w:val="nil"/>
                  </w:tcBorders>
                  <w:noWrap w:val="0"/>
                  <w:vAlign w:val="center"/>
                </w:tcPr>
                <w:p w14:paraId="5F7ED6A9">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550" w:type="pct"/>
                  <w:tcBorders>
                    <w:tl2br w:val="nil"/>
                    <w:tr2bl w:val="nil"/>
                  </w:tcBorders>
                  <w:noWrap w:val="0"/>
                  <w:vAlign w:val="center"/>
                </w:tcPr>
                <w:p w14:paraId="4CE025E3">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BOD</w:t>
                  </w:r>
                  <w:r>
                    <w:rPr>
                      <w:rFonts w:hint="default" w:ascii="Times New Roman" w:hAnsi="Times New Roman" w:eastAsia="宋体" w:cs="Times New Roman"/>
                      <w:color w:val="auto"/>
                      <w:kern w:val="0"/>
                      <w:sz w:val="21"/>
                      <w:szCs w:val="21"/>
                      <w:highlight w:val="none"/>
                      <w:vertAlign w:val="subscript"/>
                    </w:rPr>
                    <w:t>5</w:t>
                  </w:r>
                </w:p>
              </w:tc>
              <w:tc>
                <w:tcPr>
                  <w:tcW w:w="639" w:type="pct"/>
                  <w:tcBorders>
                    <w:tl2br w:val="nil"/>
                    <w:tr2bl w:val="nil"/>
                  </w:tcBorders>
                  <w:noWrap w:val="0"/>
                  <w:vAlign w:val="center"/>
                </w:tcPr>
                <w:p w14:paraId="1103E3CB">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氨氮</w:t>
                  </w:r>
                </w:p>
              </w:tc>
              <w:tc>
                <w:tcPr>
                  <w:tcW w:w="1435" w:type="pct"/>
                  <w:tcBorders>
                    <w:tl2br w:val="nil"/>
                    <w:tr2bl w:val="nil"/>
                  </w:tcBorders>
                  <w:noWrap w:val="0"/>
                  <w:vAlign w:val="center"/>
                </w:tcPr>
                <w:p w14:paraId="71FFB83D">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总磷（以P计）</w:t>
                  </w:r>
                </w:p>
              </w:tc>
            </w:tr>
            <w:tr w14:paraId="34F9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98" w:type="pct"/>
                  <w:tcBorders>
                    <w:tl2br w:val="nil"/>
                    <w:tr2bl w:val="nil"/>
                  </w:tcBorders>
                  <w:noWrap w:val="0"/>
                  <w:vAlign w:val="center"/>
                </w:tcPr>
                <w:p w14:paraId="6672708F">
                  <w:pPr>
                    <w:keepNext w:val="0"/>
                    <w:keepLines w:val="0"/>
                    <w:pageBreakBefore w:val="0"/>
                    <w:widowControl w:val="0"/>
                    <w:suppressLineNumbers w:val="0"/>
                    <w:suppressAutoHyphens/>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Ⅲ类标准</w:t>
                  </w:r>
                </w:p>
              </w:tc>
              <w:tc>
                <w:tcPr>
                  <w:tcW w:w="773" w:type="pct"/>
                  <w:tcBorders>
                    <w:tl2br w:val="nil"/>
                    <w:tr2bl w:val="nil"/>
                  </w:tcBorders>
                  <w:noWrap w:val="0"/>
                  <w:vAlign w:val="center"/>
                </w:tcPr>
                <w:p w14:paraId="572D7402">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6～9</w:t>
                  </w:r>
                </w:p>
              </w:tc>
              <w:tc>
                <w:tcPr>
                  <w:tcW w:w="803" w:type="pct"/>
                  <w:tcBorders>
                    <w:tl2br w:val="nil"/>
                    <w:tr2bl w:val="nil"/>
                  </w:tcBorders>
                  <w:noWrap w:val="0"/>
                  <w:vAlign w:val="center"/>
                </w:tcPr>
                <w:p w14:paraId="0FE81F49">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550" w:type="pct"/>
                  <w:tcBorders>
                    <w:tl2br w:val="nil"/>
                    <w:tr2bl w:val="nil"/>
                  </w:tcBorders>
                  <w:noWrap w:val="0"/>
                  <w:vAlign w:val="center"/>
                </w:tcPr>
                <w:p w14:paraId="70AE92A1">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639" w:type="pct"/>
                  <w:tcBorders>
                    <w:tl2br w:val="nil"/>
                    <w:tr2bl w:val="nil"/>
                  </w:tcBorders>
                  <w:noWrap w:val="0"/>
                  <w:vAlign w:val="center"/>
                </w:tcPr>
                <w:p w14:paraId="504C72CC">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435" w:type="pct"/>
                  <w:tcBorders>
                    <w:tl2br w:val="nil"/>
                    <w:tr2bl w:val="nil"/>
                  </w:tcBorders>
                  <w:noWrap w:val="0"/>
                  <w:vAlign w:val="center"/>
                </w:tcPr>
                <w:p w14:paraId="2F8A77E2">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≤0.2</w:t>
                  </w:r>
                </w:p>
              </w:tc>
            </w:tr>
            <w:tr w14:paraId="3496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98" w:type="pct"/>
                  <w:tcBorders>
                    <w:tl2br w:val="nil"/>
                    <w:tr2bl w:val="nil"/>
                  </w:tcBorders>
                  <w:noWrap w:val="0"/>
                  <w:vAlign w:val="center"/>
                </w:tcPr>
                <w:p w14:paraId="6D691605">
                  <w:pPr>
                    <w:keepNext w:val="0"/>
                    <w:keepLines w:val="0"/>
                    <w:pageBreakBefore w:val="0"/>
                    <w:widowControl w:val="0"/>
                    <w:suppressLineNumbers w:val="0"/>
                    <w:suppressAutoHyphens/>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577" w:type="pct"/>
                  <w:gridSpan w:val="2"/>
                  <w:tcBorders>
                    <w:tl2br w:val="nil"/>
                    <w:tr2bl w:val="nil"/>
                  </w:tcBorders>
                  <w:noWrap w:val="0"/>
                  <w:vAlign w:val="center"/>
                </w:tcPr>
                <w:p w14:paraId="26E636AE">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粪大肠菌群（个/L）</w:t>
                  </w:r>
                </w:p>
              </w:tc>
              <w:tc>
                <w:tcPr>
                  <w:tcW w:w="550" w:type="pct"/>
                  <w:tcBorders>
                    <w:tl2br w:val="nil"/>
                    <w:tr2bl w:val="nil"/>
                  </w:tcBorders>
                  <w:noWrap w:val="0"/>
                  <w:vAlign w:val="center"/>
                </w:tcPr>
                <w:p w14:paraId="60DD36C6">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总氮</w:t>
                  </w:r>
                </w:p>
              </w:tc>
              <w:tc>
                <w:tcPr>
                  <w:tcW w:w="639" w:type="pct"/>
                  <w:tcBorders>
                    <w:tl2br w:val="nil"/>
                    <w:tr2bl w:val="nil"/>
                  </w:tcBorders>
                  <w:noWrap w:val="0"/>
                  <w:vAlign w:val="center"/>
                </w:tcPr>
                <w:p w14:paraId="19BC3272">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石油类</w:t>
                  </w:r>
                </w:p>
              </w:tc>
              <w:tc>
                <w:tcPr>
                  <w:tcW w:w="1435" w:type="pct"/>
                  <w:tcBorders>
                    <w:tl2br w:val="nil"/>
                    <w:tr2bl w:val="nil"/>
                  </w:tcBorders>
                  <w:noWrap w:val="0"/>
                  <w:vAlign w:val="center"/>
                </w:tcPr>
                <w:p w14:paraId="19428E45">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阴离子表面活性剂</w:t>
                  </w:r>
                </w:p>
              </w:tc>
            </w:tr>
            <w:tr w14:paraId="20FB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98" w:type="pct"/>
                  <w:tcBorders>
                    <w:tl2br w:val="nil"/>
                    <w:tr2bl w:val="nil"/>
                  </w:tcBorders>
                  <w:noWrap w:val="0"/>
                  <w:vAlign w:val="center"/>
                </w:tcPr>
                <w:p w14:paraId="79CEDF56">
                  <w:pPr>
                    <w:keepNext w:val="0"/>
                    <w:keepLines w:val="0"/>
                    <w:pageBreakBefore w:val="0"/>
                    <w:widowControl w:val="0"/>
                    <w:suppressLineNumbers w:val="0"/>
                    <w:suppressAutoHyphens/>
                    <w:kinsoku/>
                    <w:wordWrap/>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Ⅲ类标准</w:t>
                  </w:r>
                </w:p>
              </w:tc>
              <w:tc>
                <w:tcPr>
                  <w:tcW w:w="1577" w:type="pct"/>
                  <w:gridSpan w:val="2"/>
                  <w:tcBorders>
                    <w:tl2br w:val="nil"/>
                    <w:tr2bl w:val="nil"/>
                  </w:tcBorders>
                  <w:noWrap w:val="0"/>
                  <w:vAlign w:val="center"/>
                </w:tcPr>
                <w:p w14:paraId="711A35F6">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≤10000</w:t>
                  </w:r>
                </w:p>
              </w:tc>
              <w:tc>
                <w:tcPr>
                  <w:tcW w:w="550" w:type="pct"/>
                  <w:tcBorders>
                    <w:tl2br w:val="nil"/>
                    <w:tr2bl w:val="nil"/>
                  </w:tcBorders>
                  <w:noWrap w:val="0"/>
                  <w:vAlign w:val="center"/>
                </w:tcPr>
                <w:p w14:paraId="14514AA6">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639" w:type="pct"/>
                  <w:tcBorders>
                    <w:tl2br w:val="nil"/>
                    <w:tr2bl w:val="nil"/>
                  </w:tcBorders>
                  <w:noWrap w:val="0"/>
                  <w:vAlign w:val="center"/>
                </w:tcPr>
                <w:p w14:paraId="411ABC03">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≤0.05</w:t>
                  </w:r>
                </w:p>
              </w:tc>
              <w:tc>
                <w:tcPr>
                  <w:tcW w:w="1435" w:type="pct"/>
                  <w:tcBorders>
                    <w:tl2br w:val="nil"/>
                    <w:tr2bl w:val="nil"/>
                  </w:tcBorders>
                  <w:noWrap w:val="0"/>
                  <w:vAlign w:val="center"/>
                </w:tcPr>
                <w:p w14:paraId="47D1B4E6">
                  <w:pPr>
                    <w:keepNext w:val="0"/>
                    <w:keepLines w:val="0"/>
                    <w:pageBreakBefore w:val="0"/>
                    <w:widowControl w:val="0"/>
                    <w:suppressLineNumbers w:val="0"/>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≤0.2</w:t>
                  </w:r>
                </w:p>
              </w:tc>
            </w:tr>
          </w:tbl>
          <w:p w14:paraId="51A4CBDE">
            <w:pPr>
              <w:spacing w:line="360" w:lineRule="auto"/>
              <w:ind w:firstLine="48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2、地表水环境质量现状</w:t>
            </w:r>
          </w:p>
          <w:p w14:paraId="3FFC8240">
            <w:pPr>
              <w:spacing w:line="360" w:lineRule="auto"/>
              <w:ind w:firstLine="480" w:firstLineChars="200"/>
              <w:rPr>
                <w:rFonts w:hint="default" w:ascii="Times New Roman" w:hAnsi="Times New Roman" w:cs="Times New Roman"/>
                <w:color w:val="auto"/>
                <w:kern w:val="0"/>
                <w:sz w:val="24"/>
                <w:szCs w:val="24"/>
                <w:highlight w:val="none"/>
              </w:rPr>
            </w:pPr>
            <w:r>
              <w:rPr>
                <w:rFonts w:hint="eastAsia" w:cs="Times New Roman"/>
                <w:color w:val="auto"/>
                <w:sz w:val="24"/>
                <w:szCs w:val="24"/>
                <w:highlight w:val="none"/>
                <w:lang w:val="en-US" w:eastAsia="zh-CN"/>
              </w:rPr>
              <w:t>本项目所在流域最近设有一个南盘江汇口电站（清水河）省控断面，该省控断面位于项目南面约14.75km（直线距离）。根据《2024年玉溪市生态环境状况公报》，汇口电站（清水河）省控断面2024年水质类别为Ⅲ类，满足水环境功能区划要求。</w:t>
            </w:r>
          </w:p>
          <w:p w14:paraId="709CDCB4">
            <w:pPr>
              <w:spacing w:line="360" w:lineRule="auto"/>
              <w:ind w:firstLine="482" w:firstLineChars="200"/>
              <w:rPr>
                <w:rFonts w:hint="eastAsia" w:ascii="Times New Roman" w:hAnsi="Times New Roman" w:eastAsia="宋体"/>
                <w:b/>
                <w:color w:val="auto"/>
                <w:sz w:val="24"/>
                <w:highlight w:val="none"/>
                <w:lang w:eastAsia="zh-CN"/>
              </w:rPr>
            </w:pPr>
            <w:r>
              <w:rPr>
                <w:rFonts w:ascii="Times New Roman" w:hAnsi="Times New Roman"/>
                <w:b/>
                <w:color w:val="auto"/>
                <w:sz w:val="24"/>
                <w:szCs w:val="24"/>
                <w:highlight w:val="none"/>
              </w:rPr>
              <w:t>三</w:t>
            </w:r>
            <w:r>
              <w:rPr>
                <w:rFonts w:ascii="Times New Roman" w:hAnsi="Times New Roman"/>
                <w:b/>
                <w:color w:val="auto"/>
                <w:sz w:val="24"/>
                <w:highlight w:val="none"/>
              </w:rPr>
              <w:t>、</w:t>
            </w:r>
            <w:r>
              <w:rPr>
                <w:rFonts w:hint="eastAsia" w:ascii="Times New Roman" w:hAnsi="Times New Roman"/>
                <w:b/>
                <w:color w:val="auto"/>
                <w:sz w:val="24"/>
                <w:highlight w:val="none"/>
                <w:lang w:eastAsia="zh-CN"/>
              </w:rPr>
              <w:t>地下水</w:t>
            </w:r>
          </w:p>
          <w:p w14:paraId="4CFF11D7">
            <w:pPr>
              <w:pStyle w:val="62"/>
              <w:spacing w:line="360" w:lineRule="auto"/>
              <w:ind w:firstLine="480" w:firstLineChars="200"/>
              <w:rPr>
                <w:rFonts w:ascii="Times New Roman" w:hAnsi="Times New Roman" w:cs="Times New Roman"/>
                <w:color w:val="auto"/>
                <w:kern w:val="24"/>
                <w:sz w:val="24"/>
                <w:highlight w:val="none"/>
                <w:lang w:val="en-US"/>
              </w:rPr>
            </w:pPr>
            <w:r>
              <w:rPr>
                <w:rFonts w:ascii="Times New Roman" w:hAnsi="Times New Roman" w:cs="Times New Roman"/>
                <w:color w:val="auto"/>
                <w:kern w:val="24"/>
                <w:sz w:val="24"/>
                <w:highlight w:val="none"/>
                <w:lang w:val="en-US"/>
              </w:rPr>
              <w:t>1、地下水质量标准</w:t>
            </w:r>
          </w:p>
          <w:p w14:paraId="244F8828">
            <w:pPr>
              <w:adjustRightInd w:val="0"/>
              <w:spacing w:line="360" w:lineRule="auto"/>
              <w:ind w:firstLine="480" w:firstLineChars="200"/>
              <w:rPr>
                <w:color w:val="auto"/>
                <w:sz w:val="24"/>
                <w:highlight w:val="none"/>
              </w:rPr>
            </w:pPr>
            <w:r>
              <w:rPr>
                <w:color w:val="auto"/>
                <w:sz w:val="24"/>
                <w:highlight w:val="none"/>
              </w:rPr>
              <w:t>本区域地下水执行《地下水质量标准》(GB/T14848-2017)中的Ⅲ类水质标准，详见表3-</w:t>
            </w:r>
            <w:r>
              <w:rPr>
                <w:rFonts w:hint="eastAsia"/>
                <w:color w:val="auto"/>
                <w:sz w:val="24"/>
                <w:highlight w:val="none"/>
                <w:lang w:val="en-US" w:eastAsia="zh-CN"/>
              </w:rPr>
              <w:t>5</w:t>
            </w:r>
            <w:r>
              <w:rPr>
                <w:color w:val="auto"/>
                <w:sz w:val="24"/>
                <w:highlight w:val="none"/>
              </w:rPr>
              <w:t>。</w:t>
            </w:r>
          </w:p>
          <w:p w14:paraId="58D4764D">
            <w:pPr>
              <w:widowControl/>
              <w:spacing w:line="379" w:lineRule="auto"/>
              <w:jc w:val="center"/>
              <w:rPr>
                <w:b/>
                <w:color w:val="auto"/>
                <w:sz w:val="24"/>
                <w:highlight w:val="none"/>
              </w:rPr>
            </w:pPr>
            <w:r>
              <w:rPr>
                <w:b/>
                <w:color w:val="auto"/>
                <w:sz w:val="24"/>
                <w:highlight w:val="none"/>
              </w:rPr>
              <w:t>表3-</w:t>
            </w:r>
            <w:r>
              <w:rPr>
                <w:rFonts w:hint="eastAsia"/>
                <w:b/>
                <w:color w:val="auto"/>
                <w:sz w:val="24"/>
                <w:highlight w:val="none"/>
                <w:lang w:val="en-US" w:eastAsia="zh-CN"/>
              </w:rPr>
              <w:t>5</w:t>
            </w:r>
            <w:r>
              <w:rPr>
                <w:b/>
                <w:color w:val="auto"/>
                <w:sz w:val="24"/>
                <w:highlight w:val="none"/>
              </w:rPr>
              <w:t xml:space="preserve">    地下水质量标准（摘录）    单位：mg/L（pH无量纲）</w:t>
            </w:r>
          </w:p>
          <w:tbl>
            <w:tblPr>
              <w:tblStyle w:val="3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21"/>
              <w:gridCol w:w="1104"/>
              <w:gridCol w:w="941"/>
              <w:gridCol w:w="939"/>
              <w:gridCol w:w="1037"/>
              <w:gridCol w:w="1104"/>
              <w:gridCol w:w="990"/>
              <w:gridCol w:w="1859"/>
            </w:tblGrid>
            <w:tr w14:paraId="30154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7" w:type="pct"/>
                  <w:vAlign w:val="center"/>
                </w:tcPr>
                <w:p w14:paraId="5C87BC91">
                  <w:pPr>
                    <w:widowControl/>
                    <w:jc w:val="center"/>
                    <w:rPr>
                      <w:color w:val="auto"/>
                      <w:szCs w:val="21"/>
                      <w:highlight w:val="none"/>
                    </w:rPr>
                  </w:pPr>
                  <w:r>
                    <w:rPr>
                      <w:color w:val="auto"/>
                      <w:szCs w:val="21"/>
                      <w:highlight w:val="none"/>
                    </w:rPr>
                    <w:t>项目</w:t>
                  </w:r>
                </w:p>
              </w:tc>
              <w:tc>
                <w:tcPr>
                  <w:tcW w:w="649" w:type="pct"/>
                  <w:vAlign w:val="center"/>
                </w:tcPr>
                <w:p w14:paraId="0DD47135">
                  <w:pPr>
                    <w:widowControl/>
                    <w:jc w:val="center"/>
                    <w:rPr>
                      <w:color w:val="auto"/>
                      <w:szCs w:val="21"/>
                      <w:highlight w:val="none"/>
                    </w:rPr>
                  </w:pPr>
                  <w:r>
                    <w:rPr>
                      <w:color w:val="auto"/>
                      <w:szCs w:val="21"/>
                      <w:highlight w:val="none"/>
                    </w:rPr>
                    <w:t xml:space="preserve">pH </w:t>
                  </w:r>
                </w:p>
              </w:tc>
              <w:tc>
                <w:tcPr>
                  <w:tcW w:w="552" w:type="pct"/>
                  <w:vAlign w:val="center"/>
                </w:tcPr>
                <w:p w14:paraId="4C737830">
                  <w:pPr>
                    <w:widowControl/>
                    <w:jc w:val="center"/>
                    <w:rPr>
                      <w:color w:val="auto"/>
                      <w:szCs w:val="21"/>
                      <w:highlight w:val="none"/>
                    </w:rPr>
                  </w:pPr>
                  <w:r>
                    <w:rPr>
                      <w:color w:val="auto"/>
                      <w:szCs w:val="21"/>
                      <w:highlight w:val="none"/>
                    </w:rPr>
                    <w:t>氨氮</w:t>
                  </w:r>
                </w:p>
              </w:tc>
              <w:tc>
                <w:tcPr>
                  <w:tcW w:w="552" w:type="pct"/>
                  <w:vAlign w:val="center"/>
                </w:tcPr>
                <w:p w14:paraId="741FF97A">
                  <w:pPr>
                    <w:widowControl/>
                    <w:jc w:val="center"/>
                    <w:rPr>
                      <w:color w:val="auto"/>
                      <w:szCs w:val="21"/>
                      <w:highlight w:val="none"/>
                    </w:rPr>
                  </w:pPr>
                  <w:r>
                    <w:rPr>
                      <w:color w:val="auto"/>
                      <w:szCs w:val="21"/>
                      <w:highlight w:val="none"/>
                    </w:rPr>
                    <w:t>硝酸盐</w:t>
                  </w:r>
                </w:p>
              </w:tc>
              <w:tc>
                <w:tcPr>
                  <w:tcW w:w="610" w:type="pct"/>
                  <w:vAlign w:val="center"/>
                </w:tcPr>
                <w:p w14:paraId="7B41CE80">
                  <w:pPr>
                    <w:widowControl/>
                    <w:jc w:val="center"/>
                    <w:rPr>
                      <w:color w:val="auto"/>
                      <w:szCs w:val="21"/>
                      <w:highlight w:val="none"/>
                    </w:rPr>
                  </w:pPr>
                  <w:r>
                    <w:rPr>
                      <w:color w:val="auto"/>
                      <w:szCs w:val="21"/>
                      <w:highlight w:val="none"/>
                    </w:rPr>
                    <w:t>亚硝</w:t>
                  </w:r>
                </w:p>
                <w:p w14:paraId="40B5622C">
                  <w:pPr>
                    <w:widowControl/>
                    <w:jc w:val="center"/>
                    <w:rPr>
                      <w:color w:val="auto"/>
                      <w:szCs w:val="21"/>
                      <w:highlight w:val="none"/>
                    </w:rPr>
                  </w:pPr>
                  <w:r>
                    <w:rPr>
                      <w:color w:val="auto"/>
                      <w:szCs w:val="21"/>
                      <w:highlight w:val="none"/>
                    </w:rPr>
                    <w:t>酸盐</w:t>
                  </w:r>
                </w:p>
              </w:tc>
              <w:tc>
                <w:tcPr>
                  <w:tcW w:w="649" w:type="pct"/>
                  <w:vAlign w:val="center"/>
                </w:tcPr>
                <w:p w14:paraId="1AC294B8">
                  <w:pPr>
                    <w:widowControl/>
                    <w:jc w:val="center"/>
                    <w:rPr>
                      <w:color w:val="auto"/>
                      <w:szCs w:val="21"/>
                      <w:highlight w:val="none"/>
                    </w:rPr>
                  </w:pPr>
                  <w:r>
                    <w:rPr>
                      <w:color w:val="auto"/>
                      <w:szCs w:val="21"/>
                      <w:highlight w:val="none"/>
                    </w:rPr>
                    <w:t>挥发性酚类</w:t>
                  </w:r>
                </w:p>
              </w:tc>
              <w:tc>
                <w:tcPr>
                  <w:tcW w:w="582" w:type="pct"/>
                  <w:vAlign w:val="center"/>
                </w:tcPr>
                <w:p w14:paraId="5B14D44E">
                  <w:pPr>
                    <w:widowControl/>
                    <w:tabs>
                      <w:tab w:val="center" w:pos="638"/>
                    </w:tabs>
                    <w:jc w:val="center"/>
                    <w:rPr>
                      <w:color w:val="auto"/>
                      <w:szCs w:val="21"/>
                      <w:highlight w:val="none"/>
                    </w:rPr>
                  </w:pPr>
                  <w:r>
                    <w:rPr>
                      <w:color w:val="auto"/>
                      <w:szCs w:val="21"/>
                      <w:highlight w:val="none"/>
                    </w:rPr>
                    <w:t>氰化物</w:t>
                  </w:r>
                </w:p>
              </w:tc>
              <w:tc>
                <w:tcPr>
                  <w:tcW w:w="1093" w:type="pct"/>
                  <w:vAlign w:val="center"/>
                </w:tcPr>
                <w:p w14:paraId="5EACEAE4">
                  <w:pPr>
                    <w:widowControl/>
                    <w:jc w:val="center"/>
                    <w:rPr>
                      <w:color w:val="auto"/>
                      <w:szCs w:val="21"/>
                      <w:highlight w:val="none"/>
                    </w:rPr>
                  </w:pPr>
                  <w:r>
                    <w:rPr>
                      <w:color w:val="auto"/>
                      <w:szCs w:val="21"/>
                      <w:highlight w:val="none"/>
                    </w:rPr>
                    <w:t>砷</w:t>
                  </w:r>
                </w:p>
              </w:tc>
            </w:tr>
            <w:tr w14:paraId="278D3C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7" w:type="pct"/>
                  <w:vAlign w:val="center"/>
                </w:tcPr>
                <w:p w14:paraId="58FA428F">
                  <w:pPr>
                    <w:widowControl/>
                    <w:jc w:val="center"/>
                    <w:rPr>
                      <w:color w:val="auto"/>
                      <w:szCs w:val="21"/>
                      <w:highlight w:val="none"/>
                    </w:rPr>
                  </w:pPr>
                  <w:bookmarkStart w:id="18" w:name="OLE_LINK1"/>
                  <w:r>
                    <w:rPr>
                      <w:color w:val="auto"/>
                      <w:szCs w:val="21"/>
                      <w:highlight w:val="none"/>
                    </w:rPr>
                    <w:fldChar w:fldCharType="begin"/>
                  </w:r>
                  <w:r>
                    <w:rPr>
                      <w:color w:val="auto"/>
                      <w:szCs w:val="21"/>
                      <w:highlight w:val="none"/>
                    </w:rPr>
                    <w:instrText xml:space="preserve"> = 3 \* ROMAN </w:instrText>
                  </w:r>
                  <w:r>
                    <w:rPr>
                      <w:color w:val="auto"/>
                      <w:szCs w:val="21"/>
                      <w:highlight w:val="none"/>
                    </w:rPr>
                    <w:fldChar w:fldCharType="separate"/>
                  </w:r>
                  <w:r>
                    <w:rPr>
                      <w:color w:val="auto"/>
                      <w:szCs w:val="21"/>
                      <w:highlight w:val="none"/>
                    </w:rPr>
                    <w:t>III</w:t>
                  </w:r>
                  <w:r>
                    <w:rPr>
                      <w:color w:val="auto"/>
                      <w:szCs w:val="21"/>
                      <w:highlight w:val="none"/>
                    </w:rPr>
                    <w:fldChar w:fldCharType="end"/>
                  </w:r>
                  <w:r>
                    <w:rPr>
                      <w:color w:val="auto"/>
                      <w:szCs w:val="21"/>
                      <w:highlight w:val="none"/>
                    </w:rPr>
                    <w:t>类</w:t>
                  </w:r>
                  <w:bookmarkEnd w:id="18"/>
                </w:p>
              </w:tc>
              <w:tc>
                <w:tcPr>
                  <w:tcW w:w="649" w:type="pct"/>
                  <w:vAlign w:val="center"/>
                </w:tcPr>
                <w:p w14:paraId="6C331E98">
                  <w:pPr>
                    <w:widowControl/>
                    <w:ind w:right="150"/>
                    <w:jc w:val="center"/>
                    <w:rPr>
                      <w:color w:val="auto"/>
                      <w:szCs w:val="21"/>
                      <w:highlight w:val="none"/>
                    </w:rPr>
                  </w:pPr>
                  <w:r>
                    <w:rPr>
                      <w:color w:val="auto"/>
                      <w:szCs w:val="21"/>
                      <w:highlight w:val="none"/>
                    </w:rPr>
                    <w:t>6.5～8.5</w:t>
                  </w:r>
                </w:p>
              </w:tc>
              <w:tc>
                <w:tcPr>
                  <w:tcW w:w="552" w:type="pct"/>
                  <w:vAlign w:val="center"/>
                </w:tcPr>
                <w:p w14:paraId="6631B5B0">
                  <w:pPr>
                    <w:widowControl/>
                    <w:ind w:right="150"/>
                    <w:jc w:val="center"/>
                    <w:rPr>
                      <w:color w:val="auto"/>
                      <w:szCs w:val="21"/>
                      <w:highlight w:val="none"/>
                    </w:rPr>
                  </w:pPr>
                  <w:r>
                    <w:rPr>
                      <w:color w:val="auto"/>
                      <w:szCs w:val="21"/>
                      <w:highlight w:val="none"/>
                    </w:rPr>
                    <w:t>≤0.5</w:t>
                  </w:r>
                </w:p>
              </w:tc>
              <w:tc>
                <w:tcPr>
                  <w:tcW w:w="552" w:type="pct"/>
                  <w:vAlign w:val="center"/>
                </w:tcPr>
                <w:p w14:paraId="0A47A56C">
                  <w:pPr>
                    <w:widowControl/>
                    <w:ind w:right="150"/>
                    <w:jc w:val="center"/>
                    <w:rPr>
                      <w:color w:val="auto"/>
                      <w:szCs w:val="21"/>
                      <w:highlight w:val="none"/>
                    </w:rPr>
                  </w:pPr>
                  <w:r>
                    <w:rPr>
                      <w:color w:val="auto"/>
                      <w:szCs w:val="21"/>
                      <w:highlight w:val="none"/>
                    </w:rPr>
                    <w:t>≤20</w:t>
                  </w:r>
                </w:p>
              </w:tc>
              <w:tc>
                <w:tcPr>
                  <w:tcW w:w="610" w:type="pct"/>
                  <w:vAlign w:val="center"/>
                </w:tcPr>
                <w:p w14:paraId="0515B81D">
                  <w:pPr>
                    <w:widowControl/>
                    <w:ind w:right="150"/>
                    <w:jc w:val="center"/>
                    <w:rPr>
                      <w:color w:val="auto"/>
                      <w:szCs w:val="21"/>
                      <w:highlight w:val="none"/>
                    </w:rPr>
                  </w:pPr>
                  <w:r>
                    <w:rPr>
                      <w:color w:val="auto"/>
                      <w:szCs w:val="21"/>
                      <w:highlight w:val="none"/>
                    </w:rPr>
                    <w:t>≤1.0</w:t>
                  </w:r>
                </w:p>
              </w:tc>
              <w:tc>
                <w:tcPr>
                  <w:tcW w:w="649" w:type="pct"/>
                  <w:vAlign w:val="center"/>
                </w:tcPr>
                <w:p w14:paraId="207B4A72">
                  <w:pPr>
                    <w:widowControl/>
                    <w:ind w:right="150"/>
                    <w:jc w:val="center"/>
                    <w:rPr>
                      <w:color w:val="auto"/>
                      <w:szCs w:val="21"/>
                      <w:highlight w:val="none"/>
                    </w:rPr>
                  </w:pPr>
                  <w:r>
                    <w:rPr>
                      <w:color w:val="auto"/>
                      <w:szCs w:val="21"/>
                      <w:highlight w:val="none"/>
                    </w:rPr>
                    <w:t>≤0.002</w:t>
                  </w:r>
                </w:p>
              </w:tc>
              <w:tc>
                <w:tcPr>
                  <w:tcW w:w="582" w:type="pct"/>
                  <w:vAlign w:val="center"/>
                </w:tcPr>
                <w:p w14:paraId="45B461A9">
                  <w:pPr>
                    <w:widowControl/>
                    <w:ind w:right="150"/>
                    <w:jc w:val="center"/>
                    <w:rPr>
                      <w:color w:val="auto"/>
                      <w:szCs w:val="21"/>
                      <w:highlight w:val="none"/>
                    </w:rPr>
                  </w:pPr>
                  <w:r>
                    <w:rPr>
                      <w:color w:val="auto"/>
                      <w:szCs w:val="21"/>
                      <w:highlight w:val="none"/>
                    </w:rPr>
                    <w:t>≤0.05</w:t>
                  </w:r>
                </w:p>
              </w:tc>
              <w:tc>
                <w:tcPr>
                  <w:tcW w:w="1093" w:type="pct"/>
                  <w:vAlign w:val="center"/>
                </w:tcPr>
                <w:p w14:paraId="321E3DC0">
                  <w:pPr>
                    <w:widowControl/>
                    <w:ind w:right="150"/>
                    <w:jc w:val="center"/>
                    <w:rPr>
                      <w:color w:val="auto"/>
                      <w:szCs w:val="21"/>
                      <w:highlight w:val="none"/>
                    </w:rPr>
                  </w:pPr>
                  <w:r>
                    <w:rPr>
                      <w:color w:val="auto"/>
                      <w:szCs w:val="21"/>
                      <w:highlight w:val="none"/>
                    </w:rPr>
                    <w:t>≤0.01</w:t>
                  </w:r>
                </w:p>
              </w:tc>
            </w:tr>
            <w:tr w14:paraId="725E3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7" w:type="pct"/>
                  <w:vAlign w:val="center"/>
                </w:tcPr>
                <w:p w14:paraId="08C164FE">
                  <w:pPr>
                    <w:widowControl/>
                    <w:jc w:val="center"/>
                    <w:rPr>
                      <w:color w:val="auto"/>
                      <w:szCs w:val="21"/>
                      <w:highlight w:val="none"/>
                    </w:rPr>
                  </w:pPr>
                  <w:r>
                    <w:rPr>
                      <w:color w:val="auto"/>
                      <w:szCs w:val="21"/>
                      <w:highlight w:val="none"/>
                    </w:rPr>
                    <w:t>项目</w:t>
                  </w:r>
                </w:p>
              </w:tc>
              <w:tc>
                <w:tcPr>
                  <w:tcW w:w="649" w:type="pct"/>
                  <w:vAlign w:val="center"/>
                </w:tcPr>
                <w:p w14:paraId="4A307B7B">
                  <w:pPr>
                    <w:widowControl/>
                    <w:jc w:val="center"/>
                    <w:rPr>
                      <w:color w:val="auto"/>
                      <w:szCs w:val="21"/>
                      <w:highlight w:val="none"/>
                    </w:rPr>
                  </w:pPr>
                  <w:r>
                    <w:rPr>
                      <w:color w:val="auto"/>
                      <w:szCs w:val="21"/>
                      <w:highlight w:val="none"/>
                    </w:rPr>
                    <w:t>汞</w:t>
                  </w:r>
                </w:p>
              </w:tc>
              <w:tc>
                <w:tcPr>
                  <w:tcW w:w="552" w:type="pct"/>
                  <w:vAlign w:val="center"/>
                </w:tcPr>
                <w:p w14:paraId="51BBBE17">
                  <w:pPr>
                    <w:widowControl/>
                    <w:jc w:val="center"/>
                    <w:rPr>
                      <w:color w:val="auto"/>
                      <w:szCs w:val="21"/>
                      <w:highlight w:val="none"/>
                    </w:rPr>
                  </w:pPr>
                  <w:r>
                    <w:rPr>
                      <w:color w:val="auto"/>
                      <w:szCs w:val="21"/>
                      <w:highlight w:val="none"/>
                    </w:rPr>
                    <w:t>铬</w:t>
                  </w:r>
                </w:p>
              </w:tc>
              <w:tc>
                <w:tcPr>
                  <w:tcW w:w="552" w:type="pct"/>
                  <w:vAlign w:val="center"/>
                </w:tcPr>
                <w:p w14:paraId="3EBB87BF">
                  <w:pPr>
                    <w:widowControl/>
                    <w:jc w:val="center"/>
                    <w:rPr>
                      <w:color w:val="auto"/>
                      <w:szCs w:val="21"/>
                      <w:highlight w:val="none"/>
                    </w:rPr>
                  </w:pPr>
                  <w:r>
                    <w:rPr>
                      <w:color w:val="auto"/>
                      <w:szCs w:val="21"/>
                      <w:highlight w:val="none"/>
                    </w:rPr>
                    <w:t>铅</w:t>
                  </w:r>
                </w:p>
              </w:tc>
              <w:tc>
                <w:tcPr>
                  <w:tcW w:w="610" w:type="pct"/>
                  <w:vAlign w:val="center"/>
                </w:tcPr>
                <w:p w14:paraId="3CA9CD53">
                  <w:pPr>
                    <w:widowControl/>
                    <w:jc w:val="center"/>
                    <w:rPr>
                      <w:color w:val="auto"/>
                      <w:szCs w:val="21"/>
                      <w:highlight w:val="none"/>
                    </w:rPr>
                  </w:pPr>
                  <w:r>
                    <w:rPr>
                      <w:color w:val="auto"/>
                      <w:szCs w:val="21"/>
                      <w:highlight w:val="none"/>
                    </w:rPr>
                    <w:t>镉</w:t>
                  </w:r>
                </w:p>
              </w:tc>
              <w:tc>
                <w:tcPr>
                  <w:tcW w:w="649" w:type="pct"/>
                  <w:vAlign w:val="center"/>
                </w:tcPr>
                <w:p w14:paraId="14897D92">
                  <w:pPr>
                    <w:widowControl/>
                    <w:jc w:val="center"/>
                    <w:rPr>
                      <w:color w:val="auto"/>
                      <w:szCs w:val="21"/>
                      <w:highlight w:val="none"/>
                    </w:rPr>
                  </w:pPr>
                  <w:r>
                    <w:rPr>
                      <w:color w:val="auto"/>
                      <w:szCs w:val="21"/>
                      <w:highlight w:val="none"/>
                    </w:rPr>
                    <w:t>铁</w:t>
                  </w:r>
                </w:p>
              </w:tc>
              <w:tc>
                <w:tcPr>
                  <w:tcW w:w="582" w:type="pct"/>
                  <w:vAlign w:val="center"/>
                </w:tcPr>
                <w:p w14:paraId="53D35768">
                  <w:pPr>
                    <w:widowControl/>
                    <w:jc w:val="center"/>
                    <w:rPr>
                      <w:color w:val="auto"/>
                      <w:szCs w:val="21"/>
                      <w:highlight w:val="none"/>
                    </w:rPr>
                  </w:pPr>
                  <w:r>
                    <w:rPr>
                      <w:color w:val="auto"/>
                      <w:szCs w:val="21"/>
                      <w:highlight w:val="none"/>
                    </w:rPr>
                    <w:t>锰</w:t>
                  </w:r>
                </w:p>
              </w:tc>
              <w:tc>
                <w:tcPr>
                  <w:tcW w:w="1093" w:type="pct"/>
                  <w:vAlign w:val="center"/>
                </w:tcPr>
                <w:p w14:paraId="1A314220">
                  <w:pPr>
                    <w:widowControl/>
                    <w:jc w:val="center"/>
                    <w:rPr>
                      <w:color w:val="auto"/>
                      <w:szCs w:val="21"/>
                      <w:highlight w:val="none"/>
                    </w:rPr>
                  </w:pPr>
                  <w:r>
                    <w:rPr>
                      <w:color w:val="auto"/>
                      <w:szCs w:val="21"/>
                      <w:highlight w:val="none"/>
                    </w:rPr>
                    <w:t>溶解性总固体</w:t>
                  </w:r>
                </w:p>
              </w:tc>
            </w:tr>
            <w:tr w14:paraId="6E1B5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7" w:type="pct"/>
                  <w:vAlign w:val="center"/>
                </w:tcPr>
                <w:p w14:paraId="4A8C7094">
                  <w:pPr>
                    <w:widowControl/>
                    <w:jc w:val="center"/>
                    <w:rPr>
                      <w:color w:val="auto"/>
                      <w:szCs w:val="21"/>
                      <w:highlight w:val="none"/>
                    </w:rPr>
                  </w:pPr>
                  <w:r>
                    <w:rPr>
                      <w:color w:val="auto"/>
                      <w:szCs w:val="21"/>
                      <w:highlight w:val="none"/>
                    </w:rPr>
                    <w:fldChar w:fldCharType="begin"/>
                  </w:r>
                  <w:r>
                    <w:rPr>
                      <w:color w:val="auto"/>
                      <w:szCs w:val="21"/>
                      <w:highlight w:val="none"/>
                    </w:rPr>
                    <w:instrText xml:space="preserve"> = 3 \* ROMAN </w:instrText>
                  </w:r>
                  <w:r>
                    <w:rPr>
                      <w:color w:val="auto"/>
                      <w:szCs w:val="21"/>
                      <w:highlight w:val="none"/>
                    </w:rPr>
                    <w:fldChar w:fldCharType="separate"/>
                  </w:r>
                  <w:r>
                    <w:rPr>
                      <w:color w:val="auto"/>
                      <w:szCs w:val="21"/>
                      <w:highlight w:val="none"/>
                    </w:rPr>
                    <w:t>III</w:t>
                  </w:r>
                  <w:r>
                    <w:rPr>
                      <w:color w:val="auto"/>
                      <w:szCs w:val="21"/>
                      <w:highlight w:val="none"/>
                    </w:rPr>
                    <w:fldChar w:fldCharType="end"/>
                  </w:r>
                  <w:r>
                    <w:rPr>
                      <w:color w:val="auto"/>
                      <w:szCs w:val="21"/>
                      <w:highlight w:val="none"/>
                    </w:rPr>
                    <w:t>类</w:t>
                  </w:r>
                </w:p>
              </w:tc>
              <w:tc>
                <w:tcPr>
                  <w:tcW w:w="649" w:type="pct"/>
                  <w:vAlign w:val="center"/>
                </w:tcPr>
                <w:p w14:paraId="67F938DE">
                  <w:pPr>
                    <w:widowControl/>
                    <w:ind w:right="150"/>
                    <w:jc w:val="center"/>
                    <w:rPr>
                      <w:color w:val="auto"/>
                      <w:szCs w:val="21"/>
                      <w:highlight w:val="none"/>
                    </w:rPr>
                  </w:pPr>
                  <w:r>
                    <w:rPr>
                      <w:color w:val="auto"/>
                      <w:szCs w:val="21"/>
                      <w:highlight w:val="none"/>
                    </w:rPr>
                    <w:t>≤0.001</w:t>
                  </w:r>
                </w:p>
              </w:tc>
              <w:tc>
                <w:tcPr>
                  <w:tcW w:w="552" w:type="pct"/>
                  <w:vAlign w:val="center"/>
                </w:tcPr>
                <w:p w14:paraId="74063ED2">
                  <w:pPr>
                    <w:widowControl/>
                    <w:ind w:right="150"/>
                    <w:jc w:val="center"/>
                    <w:rPr>
                      <w:color w:val="auto"/>
                      <w:szCs w:val="21"/>
                      <w:highlight w:val="none"/>
                    </w:rPr>
                  </w:pPr>
                  <w:r>
                    <w:rPr>
                      <w:color w:val="auto"/>
                      <w:szCs w:val="21"/>
                      <w:highlight w:val="none"/>
                    </w:rPr>
                    <w:t>≤0.05</w:t>
                  </w:r>
                </w:p>
              </w:tc>
              <w:tc>
                <w:tcPr>
                  <w:tcW w:w="552" w:type="pct"/>
                  <w:vAlign w:val="center"/>
                </w:tcPr>
                <w:p w14:paraId="2D777CFE">
                  <w:pPr>
                    <w:widowControl/>
                    <w:ind w:right="150"/>
                    <w:jc w:val="center"/>
                    <w:rPr>
                      <w:color w:val="auto"/>
                      <w:szCs w:val="21"/>
                      <w:highlight w:val="none"/>
                    </w:rPr>
                  </w:pPr>
                  <w:r>
                    <w:rPr>
                      <w:color w:val="auto"/>
                      <w:szCs w:val="21"/>
                      <w:highlight w:val="none"/>
                    </w:rPr>
                    <w:t>≤0.01</w:t>
                  </w:r>
                </w:p>
              </w:tc>
              <w:tc>
                <w:tcPr>
                  <w:tcW w:w="610" w:type="pct"/>
                  <w:vAlign w:val="center"/>
                </w:tcPr>
                <w:p w14:paraId="09352676">
                  <w:pPr>
                    <w:widowControl/>
                    <w:ind w:right="150"/>
                    <w:jc w:val="center"/>
                    <w:rPr>
                      <w:color w:val="auto"/>
                      <w:szCs w:val="21"/>
                      <w:highlight w:val="none"/>
                    </w:rPr>
                  </w:pPr>
                  <w:r>
                    <w:rPr>
                      <w:color w:val="auto"/>
                      <w:szCs w:val="21"/>
                      <w:highlight w:val="none"/>
                    </w:rPr>
                    <w:t>≤0.005</w:t>
                  </w:r>
                </w:p>
              </w:tc>
              <w:tc>
                <w:tcPr>
                  <w:tcW w:w="649" w:type="pct"/>
                  <w:vAlign w:val="center"/>
                </w:tcPr>
                <w:p w14:paraId="6A5CC770">
                  <w:pPr>
                    <w:widowControl/>
                    <w:ind w:right="150"/>
                    <w:jc w:val="center"/>
                    <w:rPr>
                      <w:color w:val="auto"/>
                      <w:szCs w:val="21"/>
                      <w:highlight w:val="none"/>
                    </w:rPr>
                  </w:pPr>
                  <w:r>
                    <w:rPr>
                      <w:color w:val="auto"/>
                      <w:szCs w:val="21"/>
                      <w:highlight w:val="none"/>
                    </w:rPr>
                    <w:t>≤0.3</w:t>
                  </w:r>
                </w:p>
              </w:tc>
              <w:tc>
                <w:tcPr>
                  <w:tcW w:w="582" w:type="pct"/>
                  <w:vAlign w:val="center"/>
                </w:tcPr>
                <w:p w14:paraId="0585AA53">
                  <w:pPr>
                    <w:widowControl/>
                    <w:ind w:right="150"/>
                    <w:jc w:val="center"/>
                    <w:rPr>
                      <w:color w:val="auto"/>
                      <w:szCs w:val="21"/>
                      <w:highlight w:val="none"/>
                    </w:rPr>
                  </w:pPr>
                  <w:r>
                    <w:rPr>
                      <w:color w:val="auto"/>
                      <w:szCs w:val="21"/>
                      <w:highlight w:val="none"/>
                    </w:rPr>
                    <w:t>≤0.1</w:t>
                  </w:r>
                </w:p>
              </w:tc>
              <w:tc>
                <w:tcPr>
                  <w:tcW w:w="1093" w:type="pct"/>
                  <w:vAlign w:val="center"/>
                </w:tcPr>
                <w:p w14:paraId="62C13326">
                  <w:pPr>
                    <w:widowControl/>
                    <w:ind w:left="150" w:right="150"/>
                    <w:jc w:val="center"/>
                    <w:rPr>
                      <w:color w:val="auto"/>
                      <w:szCs w:val="21"/>
                      <w:highlight w:val="none"/>
                    </w:rPr>
                  </w:pPr>
                  <w:r>
                    <w:rPr>
                      <w:color w:val="auto"/>
                      <w:szCs w:val="21"/>
                      <w:highlight w:val="none"/>
                    </w:rPr>
                    <w:t>≤1000</w:t>
                  </w:r>
                </w:p>
              </w:tc>
            </w:tr>
            <w:tr w14:paraId="6071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7" w:type="pct"/>
                  <w:vAlign w:val="center"/>
                </w:tcPr>
                <w:p w14:paraId="5F9C962D">
                  <w:pPr>
                    <w:widowControl/>
                    <w:jc w:val="center"/>
                    <w:rPr>
                      <w:color w:val="auto"/>
                      <w:szCs w:val="21"/>
                      <w:highlight w:val="none"/>
                    </w:rPr>
                  </w:pPr>
                  <w:r>
                    <w:rPr>
                      <w:color w:val="auto"/>
                      <w:szCs w:val="21"/>
                      <w:highlight w:val="none"/>
                    </w:rPr>
                    <w:t>项目</w:t>
                  </w:r>
                </w:p>
              </w:tc>
              <w:tc>
                <w:tcPr>
                  <w:tcW w:w="1202" w:type="pct"/>
                  <w:gridSpan w:val="2"/>
                  <w:vAlign w:val="center"/>
                </w:tcPr>
                <w:p w14:paraId="5135DACA">
                  <w:pPr>
                    <w:widowControl/>
                    <w:jc w:val="center"/>
                    <w:rPr>
                      <w:color w:val="auto"/>
                      <w:szCs w:val="21"/>
                      <w:highlight w:val="none"/>
                    </w:rPr>
                  </w:pPr>
                  <w:r>
                    <w:rPr>
                      <w:color w:val="auto"/>
                      <w:szCs w:val="21"/>
                      <w:highlight w:val="none"/>
                    </w:rPr>
                    <w:t>硫酸盐</w:t>
                  </w:r>
                </w:p>
              </w:tc>
              <w:tc>
                <w:tcPr>
                  <w:tcW w:w="552" w:type="pct"/>
                  <w:vAlign w:val="center"/>
                </w:tcPr>
                <w:p w14:paraId="7501543B">
                  <w:pPr>
                    <w:widowControl/>
                    <w:jc w:val="center"/>
                    <w:rPr>
                      <w:color w:val="auto"/>
                      <w:szCs w:val="21"/>
                      <w:highlight w:val="none"/>
                    </w:rPr>
                  </w:pPr>
                  <w:r>
                    <w:rPr>
                      <w:color w:val="auto"/>
                      <w:szCs w:val="21"/>
                      <w:highlight w:val="none"/>
                    </w:rPr>
                    <w:t>总硬度</w:t>
                  </w:r>
                </w:p>
              </w:tc>
              <w:tc>
                <w:tcPr>
                  <w:tcW w:w="610" w:type="pct"/>
                  <w:vAlign w:val="center"/>
                </w:tcPr>
                <w:p w14:paraId="4EEDAAB6">
                  <w:pPr>
                    <w:widowControl/>
                    <w:jc w:val="center"/>
                    <w:rPr>
                      <w:color w:val="auto"/>
                      <w:szCs w:val="21"/>
                      <w:highlight w:val="none"/>
                    </w:rPr>
                  </w:pPr>
                  <w:r>
                    <w:rPr>
                      <w:color w:val="auto"/>
                      <w:szCs w:val="21"/>
                      <w:highlight w:val="none"/>
                    </w:rPr>
                    <w:t>氟化物</w:t>
                  </w:r>
                </w:p>
              </w:tc>
              <w:tc>
                <w:tcPr>
                  <w:tcW w:w="649" w:type="pct"/>
                  <w:vAlign w:val="center"/>
                </w:tcPr>
                <w:p w14:paraId="0B38BA1D">
                  <w:pPr>
                    <w:widowControl/>
                    <w:jc w:val="center"/>
                    <w:rPr>
                      <w:color w:val="auto"/>
                      <w:szCs w:val="21"/>
                      <w:highlight w:val="none"/>
                    </w:rPr>
                  </w:pPr>
                  <w:r>
                    <w:rPr>
                      <w:color w:val="auto"/>
                      <w:szCs w:val="21"/>
                      <w:highlight w:val="none"/>
                    </w:rPr>
                    <w:t>氯化物</w:t>
                  </w:r>
                </w:p>
              </w:tc>
              <w:tc>
                <w:tcPr>
                  <w:tcW w:w="582" w:type="pct"/>
                  <w:vAlign w:val="center"/>
                </w:tcPr>
                <w:p w14:paraId="038A9D69">
                  <w:pPr>
                    <w:widowControl/>
                    <w:tabs>
                      <w:tab w:val="center" w:pos="638"/>
                    </w:tabs>
                    <w:jc w:val="center"/>
                    <w:rPr>
                      <w:color w:val="auto"/>
                      <w:szCs w:val="21"/>
                      <w:highlight w:val="none"/>
                    </w:rPr>
                  </w:pPr>
                  <w:r>
                    <w:rPr>
                      <w:color w:val="auto"/>
                      <w:szCs w:val="21"/>
                      <w:highlight w:val="none"/>
                    </w:rPr>
                    <w:t>锌</w:t>
                  </w:r>
                </w:p>
              </w:tc>
              <w:tc>
                <w:tcPr>
                  <w:tcW w:w="1093" w:type="pct"/>
                  <w:vAlign w:val="center"/>
                </w:tcPr>
                <w:p w14:paraId="6F131047">
                  <w:pPr>
                    <w:widowControl/>
                    <w:tabs>
                      <w:tab w:val="center" w:pos="638"/>
                    </w:tabs>
                    <w:jc w:val="center"/>
                    <w:rPr>
                      <w:color w:val="auto"/>
                      <w:szCs w:val="21"/>
                      <w:highlight w:val="none"/>
                    </w:rPr>
                  </w:pPr>
                  <w:r>
                    <w:rPr>
                      <w:color w:val="auto"/>
                      <w:szCs w:val="21"/>
                      <w:highlight w:val="none"/>
                    </w:rPr>
                    <w:t>总大肠菌群</w:t>
                  </w:r>
                </w:p>
                <w:p w14:paraId="437FB75E">
                  <w:pPr>
                    <w:widowControl/>
                    <w:tabs>
                      <w:tab w:val="center" w:pos="638"/>
                    </w:tabs>
                    <w:jc w:val="center"/>
                    <w:rPr>
                      <w:color w:val="auto"/>
                      <w:szCs w:val="21"/>
                      <w:highlight w:val="none"/>
                    </w:rPr>
                  </w:pPr>
                  <w:r>
                    <w:rPr>
                      <w:color w:val="auto"/>
                      <w:szCs w:val="21"/>
                      <w:highlight w:val="none"/>
                    </w:rPr>
                    <w:t>（CFU/100mL）</w:t>
                  </w:r>
                </w:p>
              </w:tc>
            </w:tr>
            <w:tr w14:paraId="37807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7" w:type="pct"/>
                  <w:vAlign w:val="center"/>
                </w:tcPr>
                <w:p w14:paraId="519EB700">
                  <w:pPr>
                    <w:widowControl/>
                    <w:jc w:val="center"/>
                    <w:rPr>
                      <w:color w:val="auto"/>
                      <w:szCs w:val="21"/>
                      <w:highlight w:val="none"/>
                    </w:rPr>
                  </w:pPr>
                  <w:r>
                    <w:rPr>
                      <w:color w:val="auto"/>
                      <w:szCs w:val="21"/>
                      <w:highlight w:val="none"/>
                    </w:rPr>
                    <w:fldChar w:fldCharType="begin"/>
                  </w:r>
                  <w:r>
                    <w:rPr>
                      <w:color w:val="auto"/>
                      <w:szCs w:val="21"/>
                      <w:highlight w:val="none"/>
                    </w:rPr>
                    <w:instrText xml:space="preserve"> = 3 \* ROMAN </w:instrText>
                  </w:r>
                  <w:r>
                    <w:rPr>
                      <w:color w:val="auto"/>
                      <w:szCs w:val="21"/>
                      <w:highlight w:val="none"/>
                    </w:rPr>
                    <w:fldChar w:fldCharType="separate"/>
                  </w:r>
                  <w:r>
                    <w:rPr>
                      <w:color w:val="auto"/>
                      <w:szCs w:val="21"/>
                      <w:highlight w:val="none"/>
                    </w:rPr>
                    <w:t>III</w:t>
                  </w:r>
                  <w:r>
                    <w:rPr>
                      <w:color w:val="auto"/>
                      <w:szCs w:val="21"/>
                      <w:highlight w:val="none"/>
                    </w:rPr>
                    <w:fldChar w:fldCharType="end"/>
                  </w:r>
                  <w:r>
                    <w:rPr>
                      <w:color w:val="auto"/>
                      <w:szCs w:val="21"/>
                      <w:highlight w:val="none"/>
                    </w:rPr>
                    <w:t>类</w:t>
                  </w:r>
                </w:p>
              </w:tc>
              <w:tc>
                <w:tcPr>
                  <w:tcW w:w="1202" w:type="pct"/>
                  <w:gridSpan w:val="2"/>
                  <w:vAlign w:val="center"/>
                </w:tcPr>
                <w:p w14:paraId="46CEFC0E">
                  <w:pPr>
                    <w:widowControl/>
                    <w:ind w:right="150"/>
                    <w:jc w:val="center"/>
                    <w:rPr>
                      <w:color w:val="auto"/>
                      <w:szCs w:val="21"/>
                      <w:highlight w:val="none"/>
                    </w:rPr>
                  </w:pPr>
                  <w:r>
                    <w:rPr>
                      <w:color w:val="auto"/>
                      <w:szCs w:val="21"/>
                      <w:highlight w:val="none"/>
                    </w:rPr>
                    <w:t>≤250</w:t>
                  </w:r>
                </w:p>
              </w:tc>
              <w:tc>
                <w:tcPr>
                  <w:tcW w:w="552" w:type="pct"/>
                  <w:vAlign w:val="center"/>
                </w:tcPr>
                <w:p w14:paraId="3F02CA6A">
                  <w:pPr>
                    <w:widowControl/>
                    <w:ind w:right="150"/>
                    <w:jc w:val="center"/>
                    <w:rPr>
                      <w:color w:val="auto"/>
                      <w:szCs w:val="21"/>
                      <w:highlight w:val="none"/>
                    </w:rPr>
                  </w:pPr>
                  <w:r>
                    <w:rPr>
                      <w:color w:val="auto"/>
                      <w:szCs w:val="21"/>
                      <w:highlight w:val="none"/>
                    </w:rPr>
                    <w:t>≤450</w:t>
                  </w:r>
                </w:p>
              </w:tc>
              <w:tc>
                <w:tcPr>
                  <w:tcW w:w="610" w:type="pct"/>
                  <w:vAlign w:val="center"/>
                </w:tcPr>
                <w:p w14:paraId="4FAE55AF">
                  <w:pPr>
                    <w:widowControl/>
                    <w:ind w:right="150"/>
                    <w:jc w:val="center"/>
                    <w:rPr>
                      <w:color w:val="auto"/>
                      <w:szCs w:val="21"/>
                      <w:highlight w:val="none"/>
                    </w:rPr>
                  </w:pPr>
                  <w:r>
                    <w:rPr>
                      <w:color w:val="auto"/>
                      <w:szCs w:val="21"/>
                      <w:highlight w:val="none"/>
                    </w:rPr>
                    <w:t>≤1.0</w:t>
                  </w:r>
                </w:p>
              </w:tc>
              <w:tc>
                <w:tcPr>
                  <w:tcW w:w="649" w:type="pct"/>
                  <w:vAlign w:val="center"/>
                </w:tcPr>
                <w:p w14:paraId="2788D119">
                  <w:pPr>
                    <w:widowControl/>
                    <w:ind w:left="150" w:right="150"/>
                    <w:jc w:val="center"/>
                    <w:rPr>
                      <w:color w:val="auto"/>
                      <w:szCs w:val="21"/>
                      <w:highlight w:val="none"/>
                    </w:rPr>
                  </w:pPr>
                  <w:r>
                    <w:rPr>
                      <w:color w:val="auto"/>
                      <w:szCs w:val="21"/>
                      <w:highlight w:val="none"/>
                    </w:rPr>
                    <w:t>≤250</w:t>
                  </w:r>
                </w:p>
              </w:tc>
              <w:tc>
                <w:tcPr>
                  <w:tcW w:w="582" w:type="pct"/>
                  <w:vAlign w:val="center"/>
                </w:tcPr>
                <w:p w14:paraId="59EB5CDC">
                  <w:pPr>
                    <w:widowControl/>
                    <w:ind w:left="150" w:right="150"/>
                    <w:jc w:val="center"/>
                    <w:rPr>
                      <w:color w:val="auto"/>
                      <w:szCs w:val="21"/>
                      <w:highlight w:val="none"/>
                    </w:rPr>
                  </w:pPr>
                  <w:r>
                    <w:rPr>
                      <w:color w:val="auto"/>
                      <w:szCs w:val="21"/>
                      <w:highlight w:val="none"/>
                    </w:rPr>
                    <w:t>≤1.0</w:t>
                  </w:r>
                </w:p>
              </w:tc>
              <w:tc>
                <w:tcPr>
                  <w:tcW w:w="1093" w:type="pct"/>
                  <w:vAlign w:val="center"/>
                </w:tcPr>
                <w:p w14:paraId="46682D95">
                  <w:pPr>
                    <w:widowControl/>
                    <w:ind w:left="150" w:right="150"/>
                    <w:jc w:val="center"/>
                    <w:rPr>
                      <w:color w:val="auto"/>
                      <w:szCs w:val="21"/>
                      <w:highlight w:val="none"/>
                    </w:rPr>
                  </w:pPr>
                  <w:r>
                    <w:rPr>
                      <w:color w:val="auto"/>
                      <w:szCs w:val="21"/>
                      <w:highlight w:val="none"/>
                    </w:rPr>
                    <w:t>≤3.0</w:t>
                  </w:r>
                </w:p>
              </w:tc>
            </w:tr>
          </w:tbl>
          <w:p w14:paraId="459367B6">
            <w:pPr>
              <w:spacing w:line="360" w:lineRule="auto"/>
              <w:ind w:firstLine="48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2、地下水环境质量现状</w:t>
            </w:r>
          </w:p>
          <w:p w14:paraId="39BCBE0B">
            <w:pPr>
              <w:spacing w:line="360" w:lineRule="auto"/>
              <w:ind w:firstLine="480" w:firstLineChars="200"/>
              <w:rPr>
                <w:rFonts w:ascii="Times New Roman" w:hAnsi="Calibri"/>
                <w:color w:val="auto"/>
                <w:sz w:val="24"/>
                <w:highlight w:val="none"/>
              </w:rPr>
            </w:pPr>
            <w:r>
              <w:rPr>
                <w:rFonts w:hint="eastAsia" w:cs="Times New Roman"/>
                <w:color w:val="auto"/>
                <w:sz w:val="24"/>
                <w:szCs w:val="24"/>
                <w:highlight w:val="none"/>
                <w:lang w:val="en-US" w:eastAsia="zh-CN"/>
              </w:rPr>
              <w:t>根据</w:t>
            </w:r>
            <w:r>
              <w:rPr>
                <w:rFonts w:hint="eastAsia" w:ascii="Times New Roman" w:hAnsi="Times New Roman" w:cs="Times New Roman"/>
                <w:color w:val="auto"/>
                <w:sz w:val="24"/>
                <w:szCs w:val="20"/>
                <w:highlight w:val="none"/>
                <w:lang w:eastAsia="zh-CN"/>
              </w:rPr>
              <w:t>建设单位</w:t>
            </w:r>
            <w:r>
              <w:rPr>
                <w:rFonts w:hint="eastAsia" w:cs="Times New Roman"/>
                <w:color w:val="auto"/>
                <w:sz w:val="24"/>
                <w:szCs w:val="20"/>
                <w:highlight w:val="none"/>
                <w:lang w:val="en-US" w:eastAsia="zh-CN"/>
              </w:rPr>
              <w:t>提供的《澄江市大山生活垃圾填埋场2025年5月及第二季度自行检测报告》，2025年5月23日云南中科检测技术有限公司</w:t>
            </w:r>
            <w:r>
              <w:rPr>
                <w:rFonts w:hint="eastAsia" w:ascii="Times New Roman" w:hAnsi="Times New Roman" w:cs="Times New Roman"/>
                <w:color w:val="auto"/>
                <w:sz w:val="24"/>
                <w:szCs w:val="20"/>
                <w:highlight w:val="none"/>
                <w:lang w:val="en-US" w:eastAsia="zh-CN"/>
              </w:rPr>
              <w:t>对</w:t>
            </w:r>
            <w:r>
              <w:rPr>
                <w:rFonts w:hint="eastAsia" w:ascii="Times New Roman" w:hAnsi="Times New Roman"/>
                <w:color w:val="auto"/>
                <w:kern w:val="24"/>
                <w:sz w:val="24"/>
                <w:szCs w:val="24"/>
                <w:highlight w:val="none"/>
                <w:lang w:val="en-US" w:eastAsia="zh-CN"/>
              </w:rPr>
              <w:t>项目区域3个地下水</w:t>
            </w:r>
            <w:r>
              <w:rPr>
                <w:rFonts w:hint="eastAsia" w:ascii="Times New Roman" w:hAnsi="Times New Roman"/>
                <w:color w:val="auto"/>
                <w:kern w:val="24"/>
                <w:sz w:val="24"/>
                <w:szCs w:val="24"/>
                <w:highlight w:val="none"/>
                <w:lang w:eastAsia="zh-CN"/>
              </w:rPr>
              <w:t>进行了</w:t>
            </w:r>
            <w:r>
              <w:rPr>
                <w:rFonts w:hint="eastAsia" w:ascii="Times New Roman" w:hAnsi="Times New Roman"/>
                <w:color w:val="auto"/>
                <w:kern w:val="24"/>
                <w:sz w:val="24"/>
                <w:szCs w:val="24"/>
                <w:highlight w:val="none"/>
                <w:lang w:val="en-US" w:eastAsia="zh-CN"/>
              </w:rPr>
              <w:t>采样</w:t>
            </w:r>
            <w:r>
              <w:rPr>
                <w:rFonts w:hint="eastAsia" w:ascii="Times New Roman" w:hAnsi="Times New Roman"/>
                <w:color w:val="auto"/>
                <w:kern w:val="24"/>
                <w:sz w:val="24"/>
                <w:szCs w:val="24"/>
                <w:highlight w:val="none"/>
                <w:lang w:eastAsia="zh-CN"/>
              </w:rPr>
              <w:t>监测（详见附件</w:t>
            </w:r>
            <w:r>
              <w:rPr>
                <w:rFonts w:hint="eastAsia" w:ascii="Times New Roman" w:hAnsi="Times New Roman"/>
                <w:color w:val="auto"/>
                <w:kern w:val="24"/>
                <w:sz w:val="24"/>
                <w:szCs w:val="24"/>
                <w:highlight w:val="none"/>
                <w:lang w:val="en-US" w:eastAsia="zh-CN"/>
              </w:rPr>
              <w:t>10</w:t>
            </w:r>
            <w:r>
              <w:rPr>
                <w:rFonts w:hint="eastAsia" w:ascii="Times New Roman" w:hAnsi="Times New Roman"/>
                <w:color w:val="auto"/>
                <w:kern w:val="24"/>
                <w:sz w:val="24"/>
                <w:szCs w:val="24"/>
                <w:highlight w:val="none"/>
                <w:lang w:eastAsia="zh-CN"/>
              </w:rPr>
              <w:t>），</w:t>
            </w:r>
            <w:r>
              <w:rPr>
                <w:rFonts w:hint="eastAsia" w:ascii="Times New Roman" w:hAnsi="Times New Roman" w:cs="Times New Roman"/>
                <w:color w:val="auto"/>
                <w:sz w:val="24"/>
                <w:szCs w:val="20"/>
                <w:highlight w:val="none"/>
                <w:lang w:eastAsia="zh-CN"/>
              </w:rPr>
              <w:t>本次评价引用该监测报告</w:t>
            </w:r>
            <w:r>
              <w:rPr>
                <w:rFonts w:hint="eastAsia" w:cs="Times New Roman"/>
                <w:color w:val="auto"/>
                <w:sz w:val="24"/>
                <w:szCs w:val="20"/>
                <w:highlight w:val="none"/>
                <w:lang w:eastAsia="zh-CN"/>
              </w:rPr>
              <w:t>中</w:t>
            </w:r>
            <w:r>
              <w:rPr>
                <w:rFonts w:hint="eastAsia" w:cs="Times New Roman"/>
                <w:color w:val="auto"/>
                <w:sz w:val="24"/>
                <w:szCs w:val="20"/>
                <w:highlight w:val="none"/>
                <w:lang w:val="en-US" w:eastAsia="zh-CN"/>
              </w:rPr>
              <w:t>的监测数据</w:t>
            </w:r>
            <w:r>
              <w:rPr>
                <w:rFonts w:hint="eastAsia" w:ascii="Times New Roman" w:hAnsi="Times New Roman" w:cs="Times New Roman"/>
                <w:color w:val="auto"/>
                <w:sz w:val="24"/>
                <w:szCs w:val="20"/>
                <w:highlight w:val="none"/>
                <w:lang w:eastAsia="zh-CN"/>
              </w:rPr>
              <w:t>进行区域</w:t>
            </w:r>
            <w:r>
              <w:rPr>
                <w:rFonts w:hint="eastAsia" w:ascii="Times New Roman" w:hAnsi="Times New Roman" w:cs="Times New Roman"/>
                <w:color w:val="auto"/>
                <w:sz w:val="24"/>
                <w:szCs w:val="20"/>
                <w:highlight w:val="none"/>
                <w:lang w:val="en-US" w:eastAsia="zh-CN"/>
              </w:rPr>
              <w:t>地下水</w:t>
            </w:r>
            <w:r>
              <w:rPr>
                <w:rFonts w:hint="eastAsia" w:ascii="Times New Roman" w:hAnsi="Times New Roman" w:cs="Times New Roman"/>
                <w:color w:val="auto"/>
                <w:sz w:val="24"/>
                <w:szCs w:val="20"/>
                <w:highlight w:val="none"/>
                <w:lang w:eastAsia="zh-CN"/>
              </w:rPr>
              <w:t>环境质量评价</w:t>
            </w:r>
            <w:r>
              <w:rPr>
                <w:rFonts w:ascii="Times New Roman" w:hAnsi="Calibri"/>
                <w:color w:val="auto"/>
                <w:sz w:val="24"/>
                <w:highlight w:val="none"/>
              </w:rPr>
              <w:t>。</w:t>
            </w:r>
          </w:p>
          <w:p w14:paraId="3C4EAD25">
            <w:pPr>
              <w:spacing w:line="360" w:lineRule="auto"/>
              <w:ind w:firstLine="480" w:firstLineChars="200"/>
              <w:rPr>
                <w:rFonts w:ascii="Times New Roman" w:hAnsi="Calibri"/>
                <w:color w:val="auto"/>
                <w:sz w:val="24"/>
                <w:highlight w:val="none"/>
              </w:rPr>
            </w:pPr>
            <w:r>
              <w:rPr>
                <w:rFonts w:ascii="Times New Roman" w:hAnsi="Calibri"/>
                <w:color w:val="auto"/>
                <w:sz w:val="24"/>
                <w:highlight w:val="none"/>
              </w:rPr>
              <w:t>监测项目：</w:t>
            </w:r>
            <w:r>
              <w:rPr>
                <w:rFonts w:hint="eastAsia"/>
                <w:color w:val="auto"/>
                <w:sz w:val="24"/>
                <w:szCs w:val="24"/>
                <w:highlight w:val="none"/>
                <w:vertAlign w:val="baseline"/>
                <w:lang w:eastAsia="zh-CN"/>
              </w:rPr>
              <w:t>pH、总硬度、溶解性总固体、硫酸盐、氯化物、铁、锰、</w:t>
            </w:r>
            <w:r>
              <w:rPr>
                <w:rFonts w:hint="eastAsia"/>
                <w:color w:val="auto"/>
                <w:sz w:val="24"/>
                <w:szCs w:val="24"/>
                <w:highlight w:val="none"/>
                <w:vertAlign w:val="baseline"/>
                <w:lang w:val="en-US" w:eastAsia="zh-CN"/>
              </w:rPr>
              <w:t>铜、锌、</w:t>
            </w:r>
            <w:r>
              <w:rPr>
                <w:rFonts w:hint="eastAsia"/>
                <w:color w:val="auto"/>
                <w:sz w:val="24"/>
                <w:szCs w:val="24"/>
                <w:highlight w:val="none"/>
                <w:vertAlign w:val="baseline"/>
                <w:lang w:eastAsia="zh-CN"/>
              </w:rPr>
              <w:t>挥发性酚类、高锰酸盐指数、氨氮、总大肠菌群、亚硝酸盐、硝酸盐、氰化物、</w:t>
            </w:r>
            <w:r>
              <w:rPr>
                <w:rFonts w:hint="eastAsia"/>
                <w:color w:val="auto"/>
                <w:sz w:val="24"/>
                <w:szCs w:val="24"/>
                <w:highlight w:val="none"/>
                <w:vertAlign w:val="baseline"/>
                <w:lang w:val="en-US" w:eastAsia="zh-CN"/>
              </w:rPr>
              <w:t>氟化物、</w:t>
            </w:r>
            <w:r>
              <w:rPr>
                <w:rFonts w:hint="eastAsia"/>
                <w:color w:val="auto"/>
                <w:sz w:val="24"/>
                <w:szCs w:val="24"/>
                <w:highlight w:val="none"/>
                <w:vertAlign w:val="baseline"/>
                <w:lang w:eastAsia="zh-CN"/>
              </w:rPr>
              <w:t>汞、砷、镉、铬（六价）、铅</w:t>
            </w:r>
            <w:r>
              <w:rPr>
                <w:rFonts w:hint="eastAsia" w:ascii="Times New Roman" w:hAnsi="Calibri"/>
                <w:color w:val="auto"/>
                <w:sz w:val="24"/>
                <w:highlight w:val="none"/>
              </w:rPr>
              <w:t>，共</w:t>
            </w:r>
            <w:r>
              <w:rPr>
                <w:rFonts w:hint="eastAsia" w:hAnsi="Calibri"/>
                <w:color w:val="auto"/>
                <w:sz w:val="24"/>
                <w:highlight w:val="none"/>
                <w:lang w:val="en-US" w:eastAsia="zh-CN"/>
              </w:rPr>
              <w:t>22</w:t>
            </w:r>
            <w:r>
              <w:rPr>
                <w:rFonts w:hint="eastAsia" w:ascii="Times New Roman" w:hAnsi="Calibri"/>
                <w:color w:val="auto"/>
                <w:sz w:val="24"/>
                <w:highlight w:val="none"/>
              </w:rPr>
              <w:t>项</w:t>
            </w:r>
            <w:r>
              <w:rPr>
                <w:rFonts w:ascii="Times New Roman" w:hAnsi="Calibri"/>
                <w:color w:val="auto"/>
                <w:sz w:val="24"/>
                <w:highlight w:val="none"/>
              </w:rPr>
              <w:t>。　</w:t>
            </w:r>
          </w:p>
          <w:p w14:paraId="40055B0A">
            <w:pPr>
              <w:spacing w:line="360" w:lineRule="auto"/>
              <w:ind w:firstLine="480" w:firstLineChars="200"/>
              <w:rPr>
                <w:rFonts w:hint="default" w:ascii="Times New Roman" w:hAnsi="Calibri"/>
                <w:color w:val="auto"/>
                <w:sz w:val="24"/>
                <w:highlight w:val="none"/>
                <w:lang w:val="en-US"/>
              </w:rPr>
            </w:pPr>
            <w:r>
              <w:rPr>
                <w:rFonts w:ascii="Times New Roman" w:hAnsi="Calibri"/>
                <w:color w:val="auto"/>
                <w:sz w:val="24"/>
                <w:highlight w:val="none"/>
              </w:rPr>
              <w:t>监测布点：</w:t>
            </w:r>
            <w:r>
              <w:rPr>
                <w:rFonts w:hint="eastAsia" w:hAnsi="Calibri"/>
                <w:color w:val="auto"/>
                <w:sz w:val="24"/>
                <w:highlight w:val="none"/>
                <w:lang w:val="en-US" w:eastAsia="zh-CN"/>
              </w:rPr>
              <w:t>W1大平地村地下水、W2大山村地下水1#、W3大山村地下水2#</w:t>
            </w:r>
            <w:r>
              <w:rPr>
                <w:rFonts w:hint="eastAsia" w:ascii="Times New Roman" w:hAnsi="Calibri"/>
                <w:color w:val="auto"/>
                <w:sz w:val="24"/>
                <w:highlight w:val="none"/>
              </w:rPr>
              <w:t>，共3个监测点</w:t>
            </w:r>
            <w:r>
              <w:rPr>
                <w:rFonts w:ascii="Times New Roman" w:hAnsi="Calibri"/>
                <w:color w:val="auto"/>
                <w:sz w:val="24"/>
                <w:highlight w:val="none"/>
              </w:rPr>
              <w:t>。</w:t>
            </w:r>
          </w:p>
          <w:p w14:paraId="0F6BE84F">
            <w:pPr>
              <w:spacing w:line="360" w:lineRule="auto"/>
              <w:ind w:firstLine="480" w:firstLineChars="200"/>
              <w:rPr>
                <w:rFonts w:ascii="Times New Roman" w:hAnsi="Calibri"/>
                <w:color w:val="auto"/>
                <w:sz w:val="24"/>
                <w:highlight w:val="none"/>
              </w:rPr>
            </w:pPr>
            <w:r>
              <w:rPr>
                <w:rFonts w:ascii="Times New Roman" w:hAnsi="Calibri"/>
                <w:color w:val="auto"/>
                <w:sz w:val="24"/>
                <w:highlight w:val="none"/>
              </w:rPr>
              <w:t>监测频率</w:t>
            </w:r>
            <w:r>
              <w:rPr>
                <w:rFonts w:hint="eastAsia" w:hAnsi="Calibri"/>
                <w:color w:val="auto"/>
                <w:sz w:val="24"/>
                <w:highlight w:val="none"/>
                <w:lang w:eastAsia="zh-CN"/>
              </w:rPr>
              <w:t>：</w:t>
            </w:r>
            <w:r>
              <w:rPr>
                <w:rFonts w:ascii="Times New Roman" w:hAnsi="Calibri"/>
                <w:color w:val="auto"/>
                <w:sz w:val="24"/>
                <w:highlight w:val="none"/>
              </w:rPr>
              <w:t>监测</w:t>
            </w:r>
            <w:r>
              <w:rPr>
                <w:rFonts w:hint="eastAsia" w:hAnsi="Calibri"/>
                <w:color w:val="auto"/>
                <w:sz w:val="24"/>
                <w:highlight w:val="none"/>
                <w:lang w:val="en-US" w:eastAsia="zh-CN"/>
              </w:rPr>
              <w:t>1</w:t>
            </w:r>
            <w:r>
              <w:rPr>
                <w:rFonts w:ascii="Times New Roman" w:hAnsi="Calibri"/>
                <w:color w:val="auto"/>
                <w:sz w:val="24"/>
                <w:highlight w:val="none"/>
              </w:rPr>
              <w:t>天，每天取样1次。</w:t>
            </w:r>
          </w:p>
          <w:p w14:paraId="767546B0">
            <w:pPr>
              <w:spacing w:line="360" w:lineRule="auto"/>
              <w:ind w:firstLine="480" w:firstLineChars="200"/>
              <w:rPr>
                <w:rFonts w:hint="eastAsia" w:hAnsi="Calibri"/>
                <w:color w:val="auto"/>
                <w:sz w:val="24"/>
                <w:highlight w:val="none"/>
                <w:lang w:eastAsia="zh-CN"/>
              </w:rPr>
            </w:pPr>
            <w:r>
              <w:rPr>
                <w:rFonts w:hint="eastAsia" w:hAnsi="Calibri"/>
                <w:color w:val="auto"/>
                <w:sz w:val="24"/>
                <w:highlight w:val="none"/>
                <w:lang w:eastAsia="zh-CN"/>
              </w:rPr>
              <w:t>评价标准：《地下水质量标准》（GB/T14848-2017）Ⅲ类标准。</w:t>
            </w:r>
          </w:p>
          <w:p w14:paraId="592F66E2">
            <w:pPr>
              <w:spacing w:line="360" w:lineRule="auto"/>
              <w:ind w:firstLine="480" w:firstLineChars="200"/>
              <w:rPr>
                <w:rFonts w:ascii="Times New Roman" w:hAnsi="Calibri"/>
                <w:color w:val="auto"/>
                <w:sz w:val="24"/>
                <w:highlight w:val="none"/>
              </w:rPr>
            </w:pPr>
            <w:r>
              <w:rPr>
                <w:rFonts w:ascii="Times New Roman" w:hAnsi="Calibri"/>
                <w:color w:val="auto"/>
                <w:sz w:val="24"/>
                <w:highlight w:val="none"/>
              </w:rPr>
              <w:t>监测结果见</w:t>
            </w:r>
            <w:r>
              <w:rPr>
                <w:rFonts w:hint="eastAsia" w:ascii="Times New Roman" w:eastAsia="宋体"/>
                <w:color w:val="auto"/>
                <w:sz w:val="24"/>
                <w:highlight w:val="none"/>
                <w:lang w:eastAsia="zh-CN"/>
              </w:rPr>
              <w:t>下</w:t>
            </w:r>
            <w:r>
              <w:rPr>
                <w:rFonts w:ascii="Times New Roman" w:hAnsi="Calibri"/>
                <w:color w:val="auto"/>
                <w:sz w:val="24"/>
                <w:highlight w:val="none"/>
              </w:rPr>
              <w:t>表</w:t>
            </w:r>
            <w:r>
              <w:rPr>
                <w:rFonts w:hint="eastAsia" w:ascii="Times New Roman" w:hAnsi="Calibri"/>
                <w:color w:val="auto"/>
                <w:sz w:val="24"/>
                <w:highlight w:val="none"/>
                <w:lang w:val="en-US" w:eastAsia="zh-CN"/>
              </w:rPr>
              <w:t>3-</w:t>
            </w:r>
            <w:r>
              <w:rPr>
                <w:rFonts w:hint="eastAsia" w:hAnsi="Calibri"/>
                <w:color w:val="auto"/>
                <w:sz w:val="24"/>
                <w:highlight w:val="none"/>
                <w:lang w:val="en-US" w:eastAsia="zh-CN"/>
              </w:rPr>
              <w:t>6</w:t>
            </w:r>
            <w:r>
              <w:rPr>
                <w:rFonts w:ascii="Times New Roman" w:hAnsi="Calibri"/>
                <w:color w:val="auto"/>
                <w:sz w:val="24"/>
                <w:highlight w:val="none"/>
              </w:rPr>
              <w:t>。</w:t>
            </w:r>
          </w:p>
          <w:p w14:paraId="4E96D38F">
            <w:pPr>
              <w:spacing w:line="360" w:lineRule="auto"/>
              <w:jc w:val="center"/>
              <w:rPr>
                <w:b/>
                <w:color w:val="auto"/>
                <w:sz w:val="24"/>
                <w:szCs w:val="24"/>
                <w:highlight w:val="none"/>
              </w:rPr>
            </w:pPr>
            <w:r>
              <w:rPr>
                <w:rFonts w:hint="eastAsia"/>
                <w:b/>
                <w:color w:val="auto"/>
                <w:sz w:val="24"/>
                <w:szCs w:val="24"/>
                <w:highlight w:val="none"/>
              </w:rPr>
              <w:t>表</w:t>
            </w:r>
            <w:r>
              <w:rPr>
                <w:rFonts w:hint="eastAsia"/>
                <w:b/>
                <w:color w:val="auto"/>
                <w:sz w:val="24"/>
                <w:szCs w:val="24"/>
                <w:highlight w:val="none"/>
                <w:lang w:val="en-US" w:eastAsia="zh-CN"/>
              </w:rPr>
              <w:t xml:space="preserve">3-6 </w:t>
            </w:r>
            <w:r>
              <w:rPr>
                <w:b/>
                <w:color w:val="auto"/>
                <w:sz w:val="24"/>
                <w:szCs w:val="24"/>
                <w:highlight w:val="none"/>
              </w:rPr>
              <w:t xml:space="preserve"> </w:t>
            </w:r>
            <w:r>
              <w:rPr>
                <w:rFonts w:hint="eastAsia"/>
                <w:b/>
                <w:color w:val="auto"/>
                <w:sz w:val="24"/>
                <w:szCs w:val="24"/>
                <w:highlight w:val="none"/>
              </w:rPr>
              <w:t xml:space="preserve">地下水监测结果一览表 </w:t>
            </w:r>
            <w:r>
              <w:rPr>
                <w:b/>
                <w:color w:val="auto"/>
                <w:sz w:val="24"/>
                <w:szCs w:val="24"/>
                <w:highlight w:val="none"/>
              </w:rPr>
              <w:t xml:space="preserve">   </w:t>
            </w:r>
            <w:r>
              <w:rPr>
                <w:rFonts w:hint="eastAsia"/>
                <w:b/>
                <w:color w:val="auto"/>
                <w:sz w:val="24"/>
                <w:szCs w:val="24"/>
                <w:highlight w:val="none"/>
              </w:rPr>
              <w:t>单位：mg</w:t>
            </w:r>
            <w:r>
              <w:rPr>
                <w:b/>
                <w:color w:val="auto"/>
                <w:sz w:val="24"/>
                <w:szCs w:val="24"/>
                <w:highlight w:val="none"/>
              </w:rPr>
              <w:t>/L</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53"/>
              <w:gridCol w:w="542"/>
              <w:gridCol w:w="1515"/>
              <w:gridCol w:w="1289"/>
              <w:gridCol w:w="1289"/>
              <w:gridCol w:w="823"/>
              <w:gridCol w:w="935"/>
            </w:tblGrid>
            <w:tr w14:paraId="702F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tcBorders>
                    <w:tl2br w:val="nil"/>
                    <w:tr2bl w:val="nil"/>
                  </w:tcBorders>
                  <w:noWrap w:val="0"/>
                  <w:vAlign w:val="center"/>
                </w:tcPr>
                <w:p w14:paraId="28BD7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样品</w:t>
                  </w:r>
                </w:p>
                <w:p w14:paraId="09C146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类型</w:t>
                  </w:r>
                </w:p>
              </w:tc>
              <w:tc>
                <w:tcPr>
                  <w:tcW w:w="914" w:type="pct"/>
                  <w:tcBorders>
                    <w:tl2br w:val="nil"/>
                    <w:tr2bl w:val="nil"/>
                  </w:tcBorders>
                  <w:noWrap w:val="0"/>
                  <w:vAlign w:val="center"/>
                </w:tcPr>
                <w:p w14:paraId="32E82D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分析项目</w:t>
                  </w:r>
                </w:p>
              </w:tc>
              <w:tc>
                <w:tcPr>
                  <w:tcW w:w="319" w:type="pct"/>
                  <w:tcBorders>
                    <w:tl2br w:val="nil"/>
                    <w:tr2bl w:val="nil"/>
                  </w:tcBorders>
                  <w:noWrap w:val="0"/>
                  <w:vAlign w:val="center"/>
                </w:tcPr>
                <w:p w14:paraId="5C8D5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日期</w:t>
                  </w:r>
                </w:p>
              </w:tc>
              <w:tc>
                <w:tcPr>
                  <w:tcW w:w="891" w:type="pct"/>
                  <w:tcBorders>
                    <w:tl2br w:val="nil"/>
                    <w:tr2bl w:val="nil"/>
                  </w:tcBorders>
                  <w:noWrap w:val="0"/>
                  <w:vAlign w:val="center"/>
                </w:tcPr>
                <w:p w14:paraId="22CB12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W1大平地村地下水</w:t>
                  </w:r>
                </w:p>
              </w:tc>
              <w:tc>
                <w:tcPr>
                  <w:tcW w:w="758" w:type="pct"/>
                  <w:tcBorders>
                    <w:tl2br w:val="nil"/>
                    <w:tr2bl w:val="nil"/>
                  </w:tcBorders>
                  <w:noWrap w:val="0"/>
                  <w:vAlign w:val="center"/>
                </w:tcPr>
                <w:p w14:paraId="38D831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W2大山村地下水1#</w:t>
                  </w:r>
                </w:p>
              </w:tc>
              <w:tc>
                <w:tcPr>
                  <w:tcW w:w="758" w:type="pct"/>
                  <w:tcBorders>
                    <w:tl2br w:val="nil"/>
                    <w:tr2bl w:val="nil"/>
                  </w:tcBorders>
                  <w:noWrap w:val="0"/>
                  <w:vAlign w:val="center"/>
                </w:tcPr>
                <w:p w14:paraId="04C909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W3大山村地下水2#</w:t>
                  </w:r>
                </w:p>
              </w:tc>
              <w:tc>
                <w:tcPr>
                  <w:tcW w:w="484" w:type="pct"/>
                  <w:tcBorders>
                    <w:tl2br w:val="nil"/>
                    <w:tr2bl w:val="nil"/>
                  </w:tcBorders>
                  <w:noWrap w:val="0"/>
                  <w:vAlign w:val="center"/>
                </w:tcPr>
                <w:p w14:paraId="33AC1E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标准值</w:t>
                  </w:r>
                </w:p>
              </w:tc>
              <w:tc>
                <w:tcPr>
                  <w:tcW w:w="547" w:type="pct"/>
                  <w:tcBorders>
                    <w:tl2br w:val="nil"/>
                    <w:tr2bl w:val="nil"/>
                  </w:tcBorders>
                  <w:noWrap w:val="0"/>
                  <w:vAlign w:val="center"/>
                </w:tcPr>
                <w:p w14:paraId="1268BF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ascii="宋体" w:hAnsi="宋体" w:eastAsia="宋体" w:cs="宋体"/>
                      <w:color w:val="auto"/>
                      <w:sz w:val="21"/>
                      <w:szCs w:val="21"/>
                      <w:highlight w:val="none"/>
                    </w:rPr>
                    <w:t>是否</w:t>
                  </w:r>
                </w:p>
                <w:p w14:paraId="7A758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达标</w:t>
                  </w:r>
                </w:p>
              </w:tc>
            </w:tr>
            <w:tr w14:paraId="4314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restart"/>
                  <w:tcBorders>
                    <w:tl2br w:val="nil"/>
                    <w:tr2bl w:val="nil"/>
                  </w:tcBorders>
                  <w:noWrap w:val="0"/>
                  <w:vAlign w:val="center"/>
                </w:tcPr>
                <w:p w14:paraId="7B838E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地下水</w:t>
                  </w:r>
                </w:p>
              </w:tc>
              <w:tc>
                <w:tcPr>
                  <w:tcW w:w="914" w:type="pct"/>
                  <w:tcBorders>
                    <w:tl2br w:val="nil"/>
                    <w:tr2bl w:val="nil"/>
                  </w:tcBorders>
                  <w:noWrap w:val="0"/>
                  <w:vAlign w:val="center"/>
                </w:tcPr>
                <w:p w14:paraId="7C2B90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pH</w:t>
                  </w:r>
                  <w:r>
                    <w:rPr>
                      <w:rFonts w:hint="eastAsia" w:ascii="宋体" w:hAnsi="宋体" w:eastAsia="宋体" w:cs="宋体"/>
                      <w:color w:val="auto"/>
                      <w:sz w:val="21"/>
                      <w:szCs w:val="21"/>
                      <w:highlight w:val="none"/>
                    </w:rPr>
                    <w:t>（无量纲）</w:t>
                  </w:r>
                </w:p>
              </w:tc>
              <w:tc>
                <w:tcPr>
                  <w:tcW w:w="319" w:type="pct"/>
                  <w:vMerge w:val="restart"/>
                  <w:tcBorders>
                    <w:tl2br w:val="nil"/>
                    <w:tr2bl w:val="nil"/>
                  </w:tcBorders>
                  <w:noWrap w:val="0"/>
                  <w:vAlign w:val="center"/>
                </w:tcPr>
                <w:p w14:paraId="1F8C1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2025年5月23日</w:t>
                  </w:r>
                </w:p>
              </w:tc>
              <w:tc>
                <w:tcPr>
                  <w:tcW w:w="891" w:type="pct"/>
                  <w:tcBorders>
                    <w:tl2br w:val="nil"/>
                    <w:tr2bl w:val="nil"/>
                  </w:tcBorders>
                  <w:noWrap w:val="0"/>
                  <w:vAlign w:val="center"/>
                </w:tcPr>
                <w:p w14:paraId="19E5E4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7.4</w:t>
                  </w:r>
                </w:p>
              </w:tc>
              <w:tc>
                <w:tcPr>
                  <w:tcW w:w="758" w:type="pct"/>
                  <w:tcBorders>
                    <w:tl2br w:val="nil"/>
                    <w:tr2bl w:val="nil"/>
                  </w:tcBorders>
                  <w:noWrap w:val="0"/>
                  <w:vAlign w:val="center"/>
                </w:tcPr>
                <w:p w14:paraId="0B944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7.7</w:t>
                  </w:r>
                </w:p>
              </w:tc>
              <w:tc>
                <w:tcPr>
                  <w:tcW w:w="758" w:type="pct"/>
                  <w:tcBorders>
                    <w:tl2br w:val="nil"/>
                    <w:tr2bl w:val="nil"/>
                  </w:tcBorders>
                  <w:noWrap w:val="0"/>
                  <w:vAlign w:val="center"/>
                </w:tcPr>
                <w:p w14:paraId="4C721E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7.6</w:t>
                  </w:r>
                </w:p>
              </w:tc>
              <w:tc>
                <w:tcPr>
                  <w:tcW w:w="484" w:type="pct"/>
                  <w:tcBorders>
                    <w:tl2br w:val="nil"/>
                    <w:tr2bl w:val="nil"/>
                  </w:tcBorders>
                  <w:noWrap w:val="0"/>
                  <w:vAlign w:val="center"/>
                </w:tcPr>
                <w:p w14:paraId="0A6A82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6.5~8.5</w:t>
                  </w:r>
                </w:p>
              </w:tc>
              <w:tc>
                <w:tcPr>
                  <w:tcW w:w="547" w:type="pct"/>
                  <w:tcBorders>
                    <w:tl2br w:val="nil"/>
                    <w:tr2bl w:val="nil"/>
                  </w:tcBorders>
                  <w:noWrap w:val="0"/>
                  <w:vAlign w:val="center"/>
                </w:tcPr>
                <w:p w14:paraId="4A9CF1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ascii="宋体" w:hAnsi="宋体" w:eastAsia="宋体" w:cs="宋体"/>
                      <w:color w:val="auto"/>
                      <w:sz w:val="21"/>
                      <w:szCs w:val="21"/>
                      <w:highlight w:val="none"/>
                    </w:rPr>
                    <w:t>是</w:t>
                  </w:r>
                </w:p>
              </w:tc>
            </w:tr>
            <w:tr w14:paraId="5B77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1D03DD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468775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总硬度</w:t>
                  </w:r>
                </w:p>
              </w:tc>
              <w:tc>
                <w:tcPr>
                  <w:tcW w:w="319" w:type="pct"/>
                  <w:vMerge w:val="continue"/>
                  <w:tcBorders>
                    <w:tl2br w:val="nil"/>
                    <w:tr2bl w:val="nil"/>
                  </w:tcBorders>
                  <w:noWrap w:val="0"/>
                  <w:vAlign w:val="center"/>
                </w:tcPr>
                <w:p w14:paraId="16F2E5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274EC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209</w:t>
                  </w:r>
                </w:p>
              </w:tc>
              <w:tc>
                <w:tcPr>
                  <w:tcW w:w="758" w:type="pct"/>
                  <w:tcBorders>
                    <w:tl2br w:val="nil"/>
                    <w:tr2bl w:val="nil"/>
                  </w:tcBorders>
                  <w:noWrap w:val="0"/>
                  <w:vAlign w:val="center"/>
                </w:tcPr>
                <w:p w14:paraId="59ABE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267</w:t>
                  </w:r>
                </w:p>
              </w:tc>
              <w:tc>
                <w:tcPr>
                  <w:tcW w:w="758" w:type="pct"/>
                  <w:tcBorders>
                    <w:tl2br w:val="nil"/>
                    <w:tr2bl w:val="nil"/>
                  </w:tcBorders>
                  <w:noWrap w:val="0"/>
                  <w:vAlign w:val="center"/>
                </w:tcPr>
                <w:p w14:paraId="5631D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275</w:t>
                  </w:r>
                </w:p>
              </w:tc>
              <w:tc>
                <w:tcPr>
                  <w:tcW w:w="484" w:type="pct"/>
                  <w:tcBorders>
                    <w:tl2br w:val="nil"/>
                    <w:tr2bl w:val="nil"/>
                  </w:tcBorders>
                  <w:noWrap w:val="0"/>
                  <w:vAlign w:val="center"/>
                </w:tcPr>
                <w:p w14:paraId="4BBB5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450</w:t>
                  </w:r>
                </w:p>
              </w:tc>
              <w:tc>
                <w:tcPr>
                  <w:tcW w:w="547" w:type="pct"/>
                  <w:tcBorders>
                    <w:tl2br w:val="nil"/>
                    <w:tr2bl w:val="nil"/>
                  </w:tcBorders>
                  <w:noWrap w:val="0"/>
                  <w:vAlign w:val="center"/>
                </w:tcPr>
                <w:p w14:paraId="5AC422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ascii="宋体" w:hAnsi="宋体" w:eastAsia="宋体" w:cs="宋体"/>
                      <w:color w:val="auto"/>
                      <w:sz w:val="21"/>
                      <w:szCs w:val="21"/>
                      <w:highlight w:val="none"/>
                    </w:rPr>
                    <w:t>是</w:t>
                  </w:r>
                </w:p>
              </w:tc>
            </w:tr>
            <w:tr w14:paraId="451A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0002D2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4FE65E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溶解性总固体</w:t>
                  </w:r>
                </w:p>
              </w:tc>
              <w:tc>
                <w:tcPr>
                  <w:tcW w:w="319" w:type="pct"/>
                  <w:vMerge w:val="continue"/>
                  <w:tcBorders>
                    <w:tl2br w:val="nil"/>
                    <w:tr2bl w:val="nil"/>
                  </w:tcBorders>
                  <w:noWrap w:val="0"/>
                  <w:vAlign w:val="center"/>
                </w:tcPr>
                <w:p w14:paraId="30B31B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3A89A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369</w:t>
                  </w:r>
                </w:p>
              </w:tc>
              <w:tc>
                <w:tcPr>
                  <w:tcW w:w="758" w:type="pct"/>
                  <w:tcBorders>
                    <w:tl2br w:val="nil"/>
                    <w:tr2bl w:val="nil"/>
                  </w:tcBorders>
                  <w:noWrap w:val="0"/>
                  <w:vAlign w:val="center"/>
                </w:tcPr>
                <w:p w14:paraId="5DACA2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380</w:t>
                  </w:r>
                </w:p>
              </w:tc>
              <w:tc>
                <w:tcPr>
                  <w:tcW w:w="758" w:type="pct"/>
                  <w:tcBorders>
                    <w:tl2br w:val="nil"/>
                    <w:tr2bl w:val="nil"/>
                  </w:tcBorders>
                  <w:noWrap w:val="0"/>
                  <w:vAlign w:val="center"/>
                </w:tcPr>
                <w:p w14:paraId="045FE9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376</w:t>
                  </w:r>
                </w:p>
              </w:tc>
              <w:tc>
                <w:tcPr>
                  <w:tcW w:w="484" w:type="pct"/>
                  <w:tcBorders>
                    <w:tl2br w:val="nil"/>
                    <w:tr2bl w:val="nil"/>
                  </w:tcBorders>
                  <w:noWrap w:val="0"/>
                  <w:vAlign w:val="center"/>
                </w:tcPr>
                <w:p w14:paraId="20E913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1000</w:t>
                  </w:r>
                </w:p>
              </w:tc>
              <w:tc>
                <w:tcPr>
                  <w:tcW w:w="547" w:type="pct"/>
                  <w:tcBorders>
                    <w:tl2br w:val="nil"/>
                    <w:tr2bl w:val="nil"/>
                  </w:tcBorders>
                  <w:noWrap w:val="0"/>
                  <w:vAlign w:val="center"/>
                </w:tcPr>
                <w:p w14:paraId="476E55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5301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1A7A4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00E77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硫酸盐</w:t>
                  </w:r>
                </w:p>
              </w:tc>
              <w:tc>
                <w:tcPr>
                  <w:tcW w:w="319" w:type="pct"/>
                  <w:vMerge w:val="continue"/>
                  <w:tcBorders>
                    <w:tl2br w:val="nil"/>
                    <w:tr2bl w:val="nil"/>
                  </w:tcBorders>
                  <w:noWrap w:val="0"/>
                  <w:vAlign w:val="center"/>
                </w:tcPr>
                <w:p w14:paraId="6EB057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5C66E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56</w:t>
                  </w:r>
                </w:p>
              </w:tc>
              <w:tc>
                <w:tcPr>
                  <w:tcW w:w="758" w:type="pct"/>
                  <w:tcBorders>
                    <w:tl2br w:val="nil"/>
                    <w:tr2bl w:val="nil"/>
                  </w:tcBorders>
                  <w:noWrap w:val="0"/>
                  <w:vAlign w:val="center"/>
                </w:tcPr>
                <w:p w14:paraId="0AA803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w:t>
                  </w:r>
                </w:p>
              </w:tc>
              <w:tc>
                <w:tcPr>
                  <w:tcW w:w="758" w:type="pct"/>
                  <w:tcBorders>
                    <w:tl2br w:val="nil"/>
                    <w:tr2bl w:val="nil"/>
                  </w:tcBorders>
                  <w:noWrap w:val="0"/>
                  <w:vAlign w:val="center"/>
                </w:tcPr>
                <w:p w14:paraId="23916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484" w:type="pct"/>
                  <w:tcBorders>
                    <w:tl2br w:val="nil"/>
                    <w:tr2bl w:val="nil"/>
                  </w:tcBorders>
                  <w:noWrap w:val="0"/>
                  <w:vAlign w:val="center"/>
                </w:tcPr>
                <w:p w14:paraId="50199A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250</w:t>
                  </w:r>
                </w:p>
              </w:tc>
              <w:tc>
                <w:tcPr>
                  <w:tcW w:w="547" w:type="pct"/>
                  <w:tcBorders>
                    <w:tl2br w:val="nil"/>
                    <w:tr2bl w:val="nil"/>
                  </w:tcBorders>
                  <w:noWrap w:val="0"/>
                  <w:vAlign w:val="center"/>
                </w:tcPr>
                <w:p w14:paraId="59DA3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w:t>
                  </w:r>
                </w:p>
              </w:tc>
            </w:tr>
            <w:tr w14:paraId="62B7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5E0FF1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653BF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氯化物</w:t>
                  </w:r>
                </w:p>
              </w:tc>
              <w:tc>
                <w:tcPr>
                  <w:tcW w:w="319" w:type="pct"/>
                  <w:vMerge w:val="continue"/>
                  <w:tcBorders>
                    <w:tl2br w:val="nil"/>
                    <w:tr2bl w:val="nil"/>
                  </w:tcBorders>
                  <w:noWrap w:val="0"/>
                  <w:vAlign w:val="center"/>
                </w:tcPr>
                <w:p w14:paraId="4B3E22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15753A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25</w:t>
                  </w:r>
                </w:p>
              </w:tc>
              <w:tc>
                <w:tcPr>
                  <w:tcW w:w="758" w:type="pct"/>
                  <w:tcBorders>
                    <w:tl2br w:val="nil"/>
                    <w:tr2bl w:val="nil"/>
                  </w:tcBorders>
                  <w:noWrap w:val="0"/>
                  <w:vAlign w:val="center"/>
                </w:tcPr>
                <w:p w14:paraId="1F2046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21</w:t>
                  </w:r>
                </w:p>
              </w:tc>
              <w:tc>
                <w:tcPr>
                  <w:tcW w:w="758" w:type="pct"/>
                  <w:tcBorders>
                    <w:tl2br w:val="nil"/>
                    <w:tr2bl w:val="nil"/>
                  </w:tcBorders>
                  <w:noWrap w:val="0"/>
                  <w:vAlign w:val="center"/>
                </w:tcPr>
                <w:p w14:paraId="7E03AC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19</w:t>
                  </w:r>
                </w:p>
              </w:tc>
              <w:tc>
                <w:tcPr>
                  <w:tcW w:w="484" w:type="pct"/>
                  <w:tcBorders>
                    <w:tl2br w:val="nil"/>
                    <w:tr2bl w:val="nil"/>
                  </w:tcBorders>
                  <w:noWrap w:val="0"/>
                  <w:vAlign w:val="center"/>
                </w:tcPr>
                <w:p w14:paraId="6FF7B8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250</w:t>
                  </w:r>
                </w:p>
              </w:tc>
              <w:tc>
                <w:tcPr>
                  <w:tcW w:w="547" w:type="pct"/>
                  <w:tcBorders>
                    <w:tl2br w:val="nil"/>
                    <w:tr2bl w:val="nil"/>
                  </w:tcBorders>
                  <w:noWrap w:val="0"/>
                  <w:vAlign w:val="center"/>
                </w:tcPr>
                <w:p w14:paraId="219962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7863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73BC4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2EEBA7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铁</w:t>
                  </w:r>
                </w:p>
              </w:tc>
              <w:tc>
                <w:tcPr>
                  <w:tcW w:w="319" w:type="pct"/>
                  <w:vMerge w:val="continue"/>
                  <w:tcBorders>
                    <w:tl2br w:val="nil"/>
                    <w:tr2bl w:val="nil"/>
                  </w:tcBorders>
                  <w:noWrap w:val="0"/>
                  <w:vAlign w:val="center"/>
                </w:tcPr>
                <w:p w14:paraId="414EDA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7B485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0.03L</w:t>
                  </w:r>
                </w:p>
              </w:tc>
              <w:tc>
                <w:tcPr>
                  <w:tcW w:w="758" w:type="pct"/>
                  <w:tcBorders>
                    <w:tl2br w:val="nil"/>
                    <w:tr2bl w:val="nil"/>
                  </w:tcBorders>
                  <w:noWrap w:val="0"/>
                  <w:vAlign w:val="center"/>
                </w:tcPr>
                <w:p w14:paraId="750D69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0.03L</w:t>
                  </w:r>
                </w:p>
              </w:tc>
              <w:tc>
                <w:tcPr>
                  <w:tcW w:w="758" w:type="pct"/>
                  <w:tcBorders>
                    <w:tl2br w:val="nil"/>
                    <w:tr2bl w:val="nil"/>
                  </w:tcBorders>
                  <w:noWrap w:val="0"/>
                  <w:vAlign w:val="center"/>
                </w:tcPr>
                <w:p w14:paraId="702524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0.03L</w:t>
                  </w:r>
                </w:p>
              </w:tc>
              <w:tc>
                <w:tcPr>
                  <w:tcW w:w="484" w:type="pct"/>
                  <w:tcBorders>
                    <w:tl2br w:val="nil"/>
                    <w:tr2bl w:val="nil"/>
                  </w:tcBorders>
                  <w:noWrap w:val="0"/>
                  <w:vAlign w:val="center"/>
                </w:tcPr>
                <w:p w14:paraId="27A9DA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0.3</w:t>
                  </w:r>
                </w:p>
              </w:tc>
              <w:tc>
                <w:tcPr>
                  <w:tcW w:w="547" w:type="pct"/>
                  <w:tcBorders>
                    <w:tl2br w:val="nil"/>
                    <w:tr2bl w:val="nil"/>
                  </w:tcBorders>
                  <w:noWrap w:val="0"/>
                  <w:vAlign w:val="center"/>
                </w:tcPr>
                <w:p w14:paraId="3E3327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68A9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249DCA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255062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锰</w:t>
                  </w:r>
                </w:p>
              </w:tc>
              <w:tc>
                <w:tcPr>
                  <w:tcW w:w="319" w:type="pct"/>
                  <w:vMerge w:val="continue"/>
                  <w:tcBorders>
                    <w:tl2br w:val="nil"/>
                    <w:tr2bl w:val="nil"/>
                  </w:tcBorders>
                  <w:noWrap w:val="0"/>
                  <w:vAlign w:val="center"/>
                </w:tcPr>
                <w:p w14:paraId="5B798D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4C7FF8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0.01L</w:t>
                  </w:r>
                </w:p>
              </w:tc>
              <w:tc>
                <w:tcPr>
                  <w:tcW w:w="758" w:type="pct"/>
                  <w:tcBorders>
                    <w:tl2br w:val="nil"/>
                    <w:tr2bl w:val="nil"/>
                  </w:tcBorders>
                  <w:noWrap w:val="0"/>
                  <w:vAlign w:val="center"/>
                </w:tcPr>
                <w:p w14:paraId="38CA7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0.01L</w:t>
                  </w:r>
                </w:p>
              </w:tc>
              <w:tc>
                <w:tcPr>
                  <w:tcW w:w="758" w:type="pct"/>
                  <w:tcBorders>
                    <w:tl2br w:val="nil"/>
                    <w:tr2bl w:val="nil"/>
                  </w:tcBorders>
                  <w:noWrap w:val="0"/>
                  <w:vAlign w:val="center"/>
                </w:tcPr>
                <w:p w14:paraId="763E3D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0.01L</w:t>
                  </w:r>
                </w:p>
              </w:tc>
              <w:tc>
                <w:tcPr>
                  <w:tcW w:w="484" w:type="pct"/>
                  <w:tcBorders>
                    <w:tl2br w:val="nil"/>
                    <w:tr2bl w:val="nil"/>
                  </w:tcBorders>
                  <w:noWrap w:val="0"/>
                  <w:vAlign w:val="center"/>
                </w:tcPr>
                <w:p w14:paraId="34352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0.10</w:t>
                  </w:r>
                </w:p>
              </w:tc>
              <w:tc>
                <w:tcPr>
                  <w:tcW w:w="547" w:type="pct"/>
                  <w:tcBorders>
                    <w:tl2br w:val="nil"/>
                    <w:tr2bl w:val="nil"/>
                  </w:tcBorders>
                  <w:noWrap w:val="0"/>
                  <w:vAlign w:val="center"/>
                </w:tcPr>
                <w:p w14:paraId="43818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5AD4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1AACC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222183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铜</w:t>
                  </w:r>
                </w:p>
              </w:tc>
              <w:tc>
                <w:tcPr>
                  <w:tcW w:w="319" w:type="pct"/>
                  <w:vMerge w:val="continue"/>
                  <w:tcBorders>
                    <w:tl2br w:val="nil"/>
                    <w:tr2bl w:val="nil"/>
                  </w:tcBorders>
                  <w:noWrap w:val="0"/>
                  <w:vAlign w:val="center"/>
                </w:tcPr>
                <w:p w14:paraId="639C86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6CF9DE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vertAlign w:val="superscript"/>
                      <w:lang w:val="en-US" w:eastAsia="zh-CN"/>
                    </w:rPr>
                  </w:pPr>
                  <w:r>
                    <w:rPr>
                      <w:rFonts w:hint="eastAsia"/>
                      <w:color w:val="auto"/>
                      <w:sz w:val="21"/>
                      <w:szCs w:val="21"/>
                      <w:highlight w:val="none"/>
                      <w:lang w:val="en-US" w:eastAsia="zh-CN"/>
                    </w:rPr>
                    <w:t>4.6×10</w:t>
                  </w:r>
                  <w:r>
                    <w:rPr>
                      <w:rFonts w:hint="eastAsia"/>
                      <w:color w:val="auto"/>
                      <w:sz w:val="21"/>
                      <w:szCs w:val="21"/>
                      <w:highlight w:val="none"/>
                      <w:vertAlign w:val="superscript"/>
                      <w:lang w:val="en-US" w:eastAsia="zh-CN"/>
                    </w:rPr>
                    <w:t>-4</w:t>
                  </w:r>
                </w:p>
              </w:tc>
              <w:tc>
                <w:tcPr>
                  <w:tcW w:w="758" w:type="pct"/>
                  <w:tcBorders>
                    <w:tl2br w:val="nil"/>
                    <w:tr2bl w:val="nil"/>
                  </w:tcBorders>
                  <w:noWrap w:val="0"/>
                  <w:vAlign w:val="center"/>
                </w:tcPr>
                <w:p w14:paraId="0D154A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rPr>
                  </w:pPr>
                  <w:r>
                    <w:rPr>
                      <w:rFonts w:hint="eastAsia"/>
                      <w:color w:val="auto"/>
                      <w:sz w:val="21"/>
                      <w:szCs w:val="21"/>
                      <w:highlight w:val="none"/>
                      <w:lang w:val="en-US" w:eastAsia="zh-CN"/>
                    </w:rPr>
                    <w:t>1.0×10</w:t>
                  </w:r>
                  <w:r>
                    <w:rPr>
                      <w:rFonts w:hint="eastAsia"/>
                      <w:color w:val="auto"/>
                      <w:sz w:val="21"/>
                      <w:szCs w:val="21"/>
                      <w:highlight w:val="none"/>
                      <w:vertAlign w:val="superscript"/>
                      <w:lang w:val="en-US" w:eastAsia="zh-CN"/>
                    </w:rPr>
                    <w:t>-4</w:t>
                  </w:r>
                </w:p>
              </w:tc>
              <w:tc>
                <w:tcPr>
                  <w:tcW w:w="758" w:type="pct"/>
                  <w:tcBorders>
                    <w:tl2br w:val="nil"/>
                    <w:tr2bl w:val="nil"/>
                  </w:tcBorders>
                  <w:noWrap w:val="0"/>
                  <w:vAlign w:val="center"/>
                </w:tcPr>
                <w:p w14:paraId="242BF5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2.7×10</w:t>
                  </w:r>
                  <w:r>
                    <w:rPr>
                      <w:rFonts w:hint="eastAsia"/>
                      <w:color w:val="auto"/>
                      <w:sz w:val="21"/>
                      <w:szCs w:val="21"/>
                      <w:highlight w:val="none"/>
                      <w:vertAlign w:val="superscript"/>
                      <w:lang w:val="en-US" w:eastAsia="zh-CN"/>
                    </w:rPr>
                    <w:t>-4</w:t>
                  </w:r>
                </w:p>
              </w:tc>
              <w:tc>
                <w:tcPr>
                  <w:tcW w:w="484" w:type="pct"/>
                  <w:tcBorders>
                    <w:tl2br w:val="nil"/>
                    <w:tr2bl w:val="nil"/>
                  </w:tcBorders>
                  <w:noWrap w:val="0"/>
                  <w:vAlign w:val="center"/>
                </w:tcPr>
                <w:p w14:paraId="5B8B3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547" w:type="pct"/>
                  <w:tcBorders>
                    <w:tl2br w:val="nil"/>
                    <w:tr2bl w:val="nil"/>
                  </w:tcBorders>
                  <w:noWrap w:val="0"/>
                  <w:vAlign w:val="center"/>
                </w:tcPr>
                <w:p w14:paraId="682BD4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005B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0E31C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4C4030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锌</w:t>
                  </w:r>
                </w:p>
              </w:tc>
              <w:tc>
                <w:tcPr>
                  <w:tcW w:w="319" w:type="pct"/>
                  <w:vMerge w:val="continue"/>
                  <w:tcBorders>
                    <w:tl2br w:val="nil"/>
                    <w:tr2bl w:val="nil"/>
                  </w:tcBorders>
                  <w:noWrap w:val="0"/>
                  <w:vAlign w:val="center"/>
                </w:tcPr>
                <w:p w14:paraId="6F0328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7F4881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等线"/>
                      <w:color w:val="auto"/>
                      <w:sz w:val="21"/>
                      <w:szCs w:val="21"/>
                      <w:highlight w:val="none"/>
                      <w:lang w:eastAsia="zh-CN"/>
                    </w:rPr>
                  </w:pPr>
                  <w:r>
                    <w:rPr>
                      <w:rFonts w:hint="eastAsia"/>
                      <w:color w:val="auto"/>
                      <w:sz w:val="21"/>
                      <w:szCs w:val="21"/>
                      <w:highlight w:val="none"/>
                      <w:lang w:val="en-US" w:eastAsia="zh-CN"/>
                    </w:rPr>
                    <w:t>4.74×10</w:t>
                  </w:r>
                  <w:r>
                    <w:rPr>
                      <w:rFonts w:hint="eastAsia"/>
                      <w:color w:val="auto"/>
                      <w:sz w:val="21"/>
                      <w:szCs w:val="21"/>
                      <w:highlight w:val="none"/>
                      <w:vertAlign w:val="superscript"/>
                      <w:lang w:val="en-US" w:eastAsia="zh-CN"/>
                    </w:rPr>
                    <w:t>-3</w:t>
                  </w:r>
                </w:p>
              </w:tc>
              <w:tc>
                <w:tcPr>
                  <w:tcW w:w="758" w:type="pct"/>
                  <w:tcBorders>
                    <w:tl2br w:val="nil"/>
                    <w:tr2bl w:val="nil"/>
                  </w:tcBorders>
                  <w:noWrap w:val="0"/>
                  <w:vAlign w:val="center"/>
                </w:tcPr>
                <w:p w14:paraId="0B25B5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等线"/>
                      <w:color w:val="auto"/>
                      <w:sz w:val="21"/>
                      <w:szCs w:val="21"/>
                      <w:highlight w:val="none"/>
                      <w:lang w:eastAsia="zh-CN"/>
                    </w:rPr>
                  </w:pPr>
                  <w:r>
                    <w:rPr>
                      <w:rFonts w:hint="eastAsia"/>
                      <w:color w:val="auto"/>
                      <w:sz w:val="21"/>
                      <w:szCs w:val="21"/>
                      <w:highlight w:val="none"/>
                      <w:lang w:val="en-US" w:eastAsia="zh-CN"/>
                    </w:rPr>
                    <w:t>9.11×10</w:t>
                  </w:r>
                  <w:r>
                    <w:rPr>
                      <w:rFonts w:hint="eastAsia"/>
                      <w:color w:val="auto"/>
                      <w:sz w:val="21"/>
                      <w:szCs w:val="21"/>
                      <w:highlight w:val="none"/>
                      <w:vertAlign w:val="superscript"/>
                      <w:lang w:val="en-US" w:eastAsia="zh-CN"/>
                    </w:rPr>
                    <w:t>-3</w:t>
                  </w:r>
                </w:p>
              </w:tc>
              <w:tc>
                <w:tcPr>
                  <w:tcW w:w="758" w:type="pct"/>
                  <w:tcBorders>
                    <w:tl2br w:val="nil"/>
                    <w:tr2bl w:val="nil"/>
                  </w:tcBorders>
                  <w:noWrap w:val="0"/>
                  <w:vAlign w:val="center"/>
                </w:tcPr>
                <w:p w14:paraId="208C55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等线"/>
                      <w:color w:val="auto"/>
                      <w:sz w:val="21"/>
                      <w:szCs w:val="21"/>
                      <w:highlight w:val="none"/>
                      <w:lang w:eastAsia="zh-CN"/>
                    </w:rPr>
                  </w:pPr>
                  <w:r>
                    <w:rPr>
                      <w:rFonts w:hint="eastAsia"/>
                      <w:color w:val="auto"/>
                      <w:sz w:val="21"/>
                      <w:szCs w:val="21"/>
                      <w:highlight w:val="none"/>
                      <w:lang w:val="en-US" w:eastAsia="zh-CN"/>
                    </w:rPr>
                    <w:t>3.08×10</w:t>
                  </w:r>
                  <w:r>
                    <w:rPr>
                      <w:rFonts w:hint="eastAsia"/>
                      <w:color w:val="auto"/>
                      <w:sz w:val="21"/>
                      <w:szCs w:val="21"/>
                      <w:highlight w:val="none"/>
                      <w:vertAlign w:val="superscript"/>
                      <w:lang w:val="en-US" w:eastAsia="zh-CN"/>
                    </w:rPr>
                    <w:t>-3</w:t>
                  </w:r>
                </w:p>
              </w:tc>
              <w:tc>
                <w:tcPr>
                  <w:tcW w:w="484" w:type="pct"/>
                  <w:tcBorders>
                    <w:tl2br w:val="nil"/>
                    <w:tr2bl w:val="nil"/>
                  </w:tcBorders>
                  <w:noWrap w:val="0"/>
                  <w:vAlign w:val="center"/>
                </w:tcPr>
                <w:p w14:paraId="777AA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547" w:type="pct"/>
                  <w:tcBorders>
                    <w:tl2br w:val="nil"/>
                    <w:tr2bl w:val="nil"/>
                  </w:tcBorders>
                  <w:noWrap w:val="0"/>
                  <w:vAlign w:val="center"/>
                </w:tcPr>
                <w:p w14:paraId="7E0FE0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w:t>
                  </w:r>
                </w:p>
              </w:tc>
            </w:tr>
            <w:tr w14:paraId="19FB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5AECC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137A19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ascii="宋体" w:hAnsi="宋体" w:eastAsia="宋体" w:cs="宋体"/>
                      <w:color w:val="auto"/>
                      <w:sz w:val="21"/>
                      <w:szCs w:val="21"/>
                      <w:highlight w:val="none"/>
                    </w:rPr>
                    <w:t>挥发酚</w:t>
                  </w:r>
                </w:p>
              </w:tc>
              <w:tc>
                <w:tcPr>
                  <w:tcW w:w="319" w:type="pct"/>
                  <w:vMerge w:val="continue"/>
                  <w:tcBorders>
                    <w:tl2br w:val="nil"/>
                    <w:tr2bl w:val="nil"/>
                  </w:tcBorders>
                  <w:noWrap w:val="0"/>
                  <w:vAlign w:val="center"/>
                </w:tcPr>
                <w:p w14:paraId="62CEB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3EC011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0.0003L</w:t>
                  </w:r>
                </w:p>
              </w:tc>
              <w:tc>
                <w:tcPr>
                  <w:tcW w:w="758" w:type="pct"/>
                  <w:tcBorders>
                    <w:tl2br w:val="nil"/>
                    <w:tr2bl w:val="nil"/>
                  </w:tcBorders>
                  <w:noWrap w:val="0"/>
                  <w:vAlign w:val="center"/>
                </w:tcPr>
                <w:p w14:paraId="420386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等线"/>
                      <w:color w:val="auto"/>
                      <w:sz w:val="21"/>
                      <w:szCs w:val="21"/>
                      <w:highlight w:val="none"/>
                      <w:lang w:eastAsia="zh-CN"/>
                    </w:rPr>
                  </w:pPr>
                  <w:r>
                    <w:rPr>
                      <w:rFonts w:hint="eastAsia" w:eastAsia="等线"/>
                      <w:color w:val="auto"/>
                      <w:sz w:val="21"/>
                      <w:szCs w:val="21"/>
                      <w:highlight w:val="none"/>
                      <w:lang w:val="en-US" w:eastAsia="zh-CN"/>
                    </w:rPr>
                    <w:t>0.0003L</w:t>
                  </w:r>
                </w:p>
              </w:tc>
              <w:tc>
                <w:tcPr>
                  <w:tcW w:w="758" w:type="pct"/>
                  <w:tcBorders>
                    <w:tl2br w:val="nil"/>
                    <w:tr2bl w:val="nil"/>
                  </w:tcBorders>
                  <w:noWrap w:val="0"/>
                  <w:vAlign w:val="center"/>
                </w:tcPr>
                <w:p w14:paraId="3C9EC1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等线"/>
                      <w:color w:val="auto"/>
                      <w:sz w:val="21"/>
                      <w:szCs w:val="21"/>
                      <w:highlight w:val="none"/>
                      <w:lang w:eastAsia="zh-CN"/>
                    </w:rPr>
                  </w:pPr>
                  <w:r>
                    <w:rPr>
                      <w:rFonts w:hint="eastAsia" w:eastAsia="等线"/>
                      <w:color w:val="auto"/>
                      <w:sz w:val="21"/>
                      <w:szCs w:val="21"/>
                      <w:highlight w:val="none"/>
                      <w:lang w:val="en-US" w:eastAsia="zh-CN"/>
                    </w:rPr>
                    <w:t>0.0003L</w:t>
                  </w:r>
                </w:p>
              </w:tc>
              <w:tc>
                <w:tcPr>
                  <w:tcW w:w="484" w:type="pct"/>
                  <w:tcBorders>
                    <w:tl2br w:val="nil"/>
                    <w:tr2bl w:val="nil"/>
                  </w:tcBorders>
                  <w:noWrap w:val="0"/>
                  <w:vAlign w:val="center"/>
                </w:tcPr>
                <w:p w14:paraId="3F49D3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0.002</w:t>
                  </w:r>
                </w:p>
              </w:tc>
              <w:tc>
                <w:tcPr>
                  <w:tcW w:w="547" w:type="pct"/>
                  <w:tcBorders>
                    <w:tl2br w:val="nil"/>
                    <w:tr2bl w:val="nil"/>
                  </w:tcBorders>
                  <w:noWrap w:val="0"/>
                  <w:vAlign w:val="center"/>
                </w:tcPr>
                <w:p w14:paraId="6DE09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w:t>
                  </w:r>
                </w:p>
              </w:tc>
            </w:tr>
            <w:tr w14:paraId="1746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2B5ACE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1491C0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color w:val="auto"/>
                      <w:sz w:val="21"/>
                      <w:szCs w:val="21"/>
                      <w:highlight w:val="none"/>
                      <w:lang w:eastAsia="zh-CN"/>
                    </w:rPr>
                    <w:t>高锰酸盐指数</w:t>
                  </w:r>
                </w:p>
              </w:tc>
              <w:tc>
                <w:tcPr>
                  <w:tcW w:w="319" w:type="pct"/>
                  <w:vMerge w:val="continue"/>
                  <w:tcBorders>
                    <w:tl2br w:val="nil"/>
                    <w:tr2bl w:val="nil"/>
                  </w:tcBorders>
                  <w:noWrap w:val="0"/>
                  <w:vAlign w:val="center"/>
                </w:tcPr>
                <w:p w14:paraId="301217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400DC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2.54</w:t>
                  </w:r>
                </w:p>
              </w:tc>
              <w:tc>
                <w:tcPr>
                  <w:tcW w:w="758" w:type="pct"/>
                  <w:tcBorders>
                    <w:tl2br w:val="nil"/>
                    <w:tr2bl w:val="nil"/>
                  </w:tcBorders>
                  <w:noWrap w:val="0"/>
                  <w:vAlign w:val="center"/>
                </w:tcPr>
                <w:p w14:paraId="35925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1.12</w:t>
                  </w:r>
                </w:p>
              </w:tc>
              <w:tc>
                <w:tcPr>
                  <w:tcW w:w="758" w:type="pct"/>
                  <w:tcBorders>
                    <w:tl2br w:val="nil"/>
                    <w:tr2bl w:val="nil"/>
                  </w:tcBorders>
                  <w:noWrap w:val="0"/>
                  <w:vAlign w:val="center"/>
                </w:tcPr>
                <w:p w14:paraId="3C299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0.96</w:t>
                  </w:r>
                </w:p>
              </w:tc>
              <w:tc>
                <w:tcPr>
                  <w:tcW w:w="484" w:type="pct"/>
                  <w:tcBorders>
                    <w:tl2br w:val="nil"/>
                    <w:tr2bl w:val="nil"/>
                  </w:tcBorders>
                  <w:noWrap w:val="0"/>
                  <w:vAlign w:val="center"/>
                </w:tcPr>
                <w:p w14:paraId="4372A6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547" w:type="pct"/>
                  <w:tcBorders>
                    <w:tl2br w:val="nil"/>
                    <w:tr2bl w:val="nil"/>
                  </w:tcBorders>
                  <w:noWrap w:val="0"/>
                  <w:vAlign w:val="center"/>
                </w:tcPr>
                <w:p w14:paraId="4AA4B9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w:t>
                  </w:r>
                </w:p>
              </w:tc>
            </w:tr>
            <w:tr w14:paraId="2073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380E5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43E538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氨氮</w:t>
                  </w:r>
                </w:p>
              </w:tc>
              <w:tc>
                <w:tcPr>
                  <w:tcW w:w="319" w:type="pct"/>
                  <w:vMerge w:val="continue"/>
                  <w:tcBorders>
                    <w:tl2br w:val="nil"/>
                    <w:tr2bl w:val="nil"/>
                  </w:tcBorders>
                  <w:noWrap w:val="0"/>
                  <w:vAlign w:val="center"/>
                </w:tcPr>
                <w:p w14:paraId="0D17F9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00A7B6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0.431</w:t>
                  </w:r>
                </w:p>
              </w:tc>
              <w:tc>
                <w:tcPr>
                  <w:tcW w:w="758" w:type="pct"/>
                  <w:tcBorders>
                    <w:tl2br w:val="nil"/>
                    <w:tr2bl w:val="nil"/>
                  </w:tcBorders>
                  <w:noWrap w:val="0"/>
                  <w:vAlign w:val="center"/>
                </w:tcPr>
                <w:p w14:paraId="5B7572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0.133</w:t>
                  </w:r>
                </w:p>
              </w:tc>
              <w:tc>
                <w:tcPr>
                  <w:tcW w:w="758" w:type="pct"/>
                  <w:tcBorders>
                    <w:tl2br w:val="nil"/>
                    <w:tr2bl w:val="nil"/>
                  </w:tcBorders>
                  <w:noWrap w:val="0"/>
                  <w:vAlign w:val="center"/>
                </w:tcPr>
                <w:p w14:paraId="1763C4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0.027</w:t>
                  </w:r>
                </w:p>
              </w:tc>
              <w:tc>
                <w:tcPr>
                  <w:tcW w:w="484" w:type="pct"/>
                  <w:tcBorders>
                    <w:tl2br w:val="nil"/>
                    <w:tr2bl w:val="nil"/>
                  </w:tcBorders>
                  <w:noWrap w:val="0"/>
                  <w:vAlign w:val="center"/>
                </w:tcPr>
                <w:p w14:paraId="311CC6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c>
                <w:tcPr>
                  <w:tcW w:w="547" w:type="pct"/>
                  <w:tcBorders>
                    <w:tl2br w:val="nil"/>
                    <w:tr2bl w:val="nil"/>
                  </w:tcBorders>
                  <w:noWrap w:val="0"/>
                  <w:vAlign w:val="center"/>
                </w:tcPr>
                <w:p w14:paraId="5D57C1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2DE7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7FFDC2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63B1D9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总大肠菌群数</w:t>
                  </w:r>
                  <w:r>
                    <w:rPr>
                      <w:rFonts w:hint="eastAsia"/>
                      <w:color w:val="auto"/>
                      <w:sz w:val="21"/>
                      <w:szCs w:val="21"/>
                      <w:highlight w:val="none"/>
                    </w:rPr>
                    <w:t>(MPN/100mL)</w:t>
                  </w:r>
                </w:p>
              </w:tc>
              <w:tc>
                <w:tcPr>
                  <w:tcW w:w="319" w:type="pct"/>
                  <w:vMerge w:val="continue"/>
                  <w:tcBorders>
                    <w:tl2br w:val="nil"/>
                    <w:tr2bl w:val="nil"/>
                  </w:tcBorders>
                  <w:noWrap w:val="0"/>
                  <w:vAlign w:val="center"/>
                </w:tcPr>
                <w:p w14:paraId="77CB5A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2CC069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未检出</w:t>
                  </w:r>
                </w:p>
              </w:tc>
              <w:tc>
                <w:tcPr>
                  <w:tcW w:w="758" w:type="pct"/>
                  <w:tcBorders>
                    <w:tl2br w:val="nil"/>
                    <w:tr2bl w:val="nil"/>
                  </w:tcBorders>
                  <w:noWrap w:val="0"/>
                  <w:vAlign w:val="center"/>
                </w:tcPr>
                <w:p w14:paraId="78B435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等线"/>
                      <w:color w:val="auto"/>
                      <w:sz w:val="21"/>
                      <w:szCs w:val="21"/>
                      <w:highlight w:val="none"/>
                      <w:lang w:eastAsia="zh-CN"/>
                    </w:rPr>
                  </w:pPr>
                  <w:r>
                    <w:rPr>
                      <w:rFonts w:hint="eastAsia"/>
                      <w:color w:val="auto"/>
                      <w:sz w:val="21"/>
                      <w:szCs w:val="21"/>
                      <w:highlight w:val="none"/>
                      <w:lang w:val="en-US" w:eastAsia="zh-CN"/>
                    </w:rPr>
                    <w:t>未检出</w:t>
                  </w:r>
                </w:p>
              </w:tc>
              <w:tc>
                <w:tcPr>
                  <w:tcW w:w="758" w:type="pct"/>
                  <w:tcBorders>
                    <w:tl2br w:val="nil"/>
                    <w:tr2bl w:val="nil"/>
                  </w:tcBorders>
                  <w:noWrap w:val="0"/>
                  <w:vAlign w:val="center"/>
                </w:tcPr>
                <w:p w14:paraId="619771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未检出</w:t>
                  </w:r>
                </w:p>
              </w:tc>
              <w:tc>
                <w:tcPr>
                  <w:tcW w:w="484" w:type="pct"/>
                  <w:tcBorders>
                    <w:tl2br w:val="nil"/>
                    <w:tr2bl w:val="nil"/>
                  </w:tcBorders>
                  <w:noWrap w:val="0"/>
                  <w:vAlign w:val="center"/>
                </w:tcPr>
                <w:p w14:paraId="1B7189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547" w:type="pct"/>
                  <w:tcBorders>
                    <w:tl2br w:val="nil"/>
                    <w:tr2bl w:val="nil"/>
                  </w:tcBorders>
                  <w:noWrap w:val="0"/>
                  <w:vAlign w:val="center"/>
                </w:tcPr>
                <w:p w14:paraId="496FC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w:t>
                  </w:r>
                </w:p>
              </w:tc>
            </w:tr>
            <w:tr w14:paraId="2E83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6D84D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554152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亚硝酸盐氮</w:t>
                  </w:r>
                </w:p>
              </w:tc>
              <w:tc>
                <w:tcPr>
                  <w:tcW w:w="319" w:type="pct"/>
                  <w:vMerge w:val="continue"/>
                  <w:tcBorders>
                    <w:tl2br w:val="nil"/>
                    <w:tr2bl w:val="nil"/>
                  </w:tcBorders>
                  <w:noWrap w:val="0"/>
                  <w:vAlign w:val="center"/>
                </w:tcPr>
                <w:p w14:paraId="41EAA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514F84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0.05</w:t>
                  </w:r>
                </w:p>
              </w:tc>
              <w:tc>
                <w:tcPr>
                  <w:tcW w:w="758" w:type="pct"/>
                  <w:tcBorders>
                    <w:tl2br w:val="nil"/>
                    <w:tr2bl w:val="nil"/>
                  </w:tcBorders>
                  <w:noWrap w:val="0"/>
                  <w:vAlign w:val="center"/>
                </w:tcPr>
                <w:p w14:paraId="081B2A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0.012</w:t>
                  </w:r>
                </w:p>
              </w:tc>
              <w:tc>
                <w:tcPr>
                  <w:tcW w:w="758" w:type="pct"/>
                  <w:tcBorders>
                    <w:tl2br w:val="nil"/>
                    <w:tr2bl w:val="nil"/>
                  </w:tcBorders>
                  <w:noWrap w:val="0"/>
                  <w:vAlign w:val="center"/>
                </w:tcPr>
                <w:p w14:paraId="56BCD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0.012</w:t>
                  </w:r>
                </w:p>
              </w:tc>
              <w:tc>
                <w:tcPr>
                  <w:tcW w:w="484" w:type="pct"/>
                  <w:tcBorders>
                    <w:tl2br w:val="nil"/>
                    <w:tr2bl w:val="nil"/>
                  </w:tcBorders>
                  <w:noWrap w:val="0"/>
                  <w:vAlign w:val="center"/>
                </w:tcPr>
                <w:p w14:paraId="3A50B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547" w:type="pct"/>
                  <w:tcBorders>
                    <w:tl2br w:val="nil"/>
                    <w:tr2bl w:val="nil"/>
                  </w:tcBorders>
                  <w:noWrap w:val="0"/>
                  <w:vAlign w:val="center"/>
                </w:tcPr>
                <w:p w14:paraId="362FA4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w:t>
                  </w:r>
                </w:p>
              </w:tc>
            </w:tr>
            <w:tr w14:paraId="57CC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7A0AE0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2F6BE7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硝酸盐氮</w:t>
                  </w:r>
                </w:p>
              </w:tc>
              <w:tc>
                <w:tcPr>
                  <w:tcW w:w="319" w:type="pct"/>
                  <w:vMerge w:val="continue"/>
                  <w:tcBorders>
                    <w:tl2br w:val="nil"/>
                    <w:tr2bl w:val="nil"/>
                  </w:tcBorders>
                  <w:noWrap w:val="0"/>
                  <w:vAlign w:val="center"/>
                </w:tcPr>
                <w:p w14:paraId="341BE7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1C42A8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0.28</w:t>
                  </w:r>
                </w:p>
              </w:tc>
              <w:tc>
                <w:tcPr>
                  <w:tcW w:w="758" w:type="pct"/>
                  <w:tcBorders>
                    <w:tl2br w:val="nil"/>
                    <w:tr2bl w:val="nil"/>
                  </w:tcBorders>
                  <w:noWrap w:val="0"/>
                  <w:vAlign w:val="center"/>
                </w:tcPr>
                <w:p w14:paraId="0A6D7A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5.47</w:t>
                  </w:r>
                </w:p>
              </w:tc>
              <w:tc>
                <w:tcPr>
                  <w:tcW w:w="758" w:type="pct"/>
                  <w:tcBorders>
                    <w:tl2br w:val="nil"/>
                    <w:tr2bl w:val="nil"/>
                  </w:tcBorders>
                  <w:noWrap w:val="0"/>
                  <w:vAlign w:val="center"/>
                </w:tcPr>
                <w:p w14:paraId="6B1283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5.57</w:t>
                  </w:r>
                </w:p>
              </w:tc>
              <w:tc>
                <w:tcPr>
                  <w:tcW w:w="484" w:type="pct"/>
                  <w:tcBorders>
                    <w:tl2br w:val="nil"/>
                    <w:tr2bl w:val="nil"/>
                  </w:tcBorders>
                  <w:noWrap w:val="0"/>
                  <w:vAlign w:val="center"/>
                </w:tcPr>
                <w:p w14:paraId="7D1D1B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20.0</w:t>
                  </w:r>
                </w:p>
              </w:tc>
              <w:tc>
                <w:tcPr>
                  <w:tcW w:w="547" w:type="pct"/>
                  <w:tcBorders>
                    <w:tl2br w:val="nil"/>
                    <w:tr2bl w:val="nil"/>
                  </w:tcBorders>
                  <w:noWrap w:val="0"/>
                  <w:vAlign w:val="center"/>
                </w:tcPr>
                <w:p w14:paraId="46053E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w:t>
                  </w:r>
                </w:p>
              </w:tc>
            </w:tr>
            <w:tr w14:paraId="79A8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527F36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16C1C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氰化物</w:t>
                  </w:r>
                </w:p>
              </w:tc>
              <w:tc>
                <w:tcPr>
                  <w:tcW w:w="319" w:type="pct"/>
                  <w:vMerge w:val="continue"/>
                  <w:tcBorders>
                    <w:tl2br w:val="nil"/>
                    <w:tr2bl w:val="nil"/>
                  </w:tcBorders>
                  <w:noWrap w:val="0"/>
                  <w:vAlign w:val="center"/>
                </w:tcPr>
                <w:p w14:paraId="092A99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790034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＜0.002</w:t>
                  </w:r>
                </w:p>
              </w:tc>
              <w:tc>
                <w:tcPr>
                  <w:tcW w:w="758" w:type="pct"/>
                  <w:tcBorders>
                    <w:tl2br w:val="nil"/>
                    <w:tr2bl w:val="nil"/>
                  </w:tcBorders>
                  <w:noWrap w:val="0"/>
                  <w:vAlign w:val="center"/>
                </w:tcPr>
                <w:p w14:paraId="02348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rPr>
                  </w:pPr>
                  <w:r>
                    <w:rPr>
                      <w:rFonts w:hint="eastAsia" w:cs="Times New Roman"/>
                      <w:color w:val="auto"/>
                      <w:kern w:val="2"/>
                      <w:sz w:val="21"/>
                      <w:szCs w:val="21"/>
                      <w:highlight w:val="none"/>
                      <w:lang w:val="en-US" w:eastAsia="zh-CN" w:bidi="ar-SA"/>
                    </w:rPr>
                    <w:t>＜0.002</w:t>
                  </w:r>
                </w:p>
              </w:tc>
              <w:tc>
                <w:tcPr>
                  <w:tcW w:w="758" w:type="pct"/>
                  <w:tcBorders>
                    <w:tl2br w:val="nil"/>
                    <w:tr2bl w:val="nil"/>
                  </w:tcBorders>
                  <w:noWrap w:val="0"/>
                  <w:vAlign w:val="center"/>
                </w:tcPr>
                <w:p w14:paraId="02EEC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s="Times New Roman"/>
                      <w:color w:val="auto"/>
                      <w:kern w:val="2"/>
                      <w:sz w:val="21"/>
                      <w:szCs w:val="21"/>
                      <w:highlight w:val="none"/>
                      <w:lang w:val="en-US" w:eastAsia="zh-CN" w:bidi="ar-SA"/>
                    </w:rPr>
                    <w:t>＜0.002</w:t>
                  </w:r>
                </w:p>
              </w:tc>
              <w:tc>
                <w:tcPr>
                  <w:tcW w:w="484" w:type="pct"/>
                  <w:tcBorders>
                    <w:tl2br w:val="nil"/>
                    <w:tr2bl w:val="nil"/>
                  </w:tcBorders>
                  <w:noWrap w:val="0"/>
                  <w:vAlign w:val="center"/>
                </w:tcPr>
                <w:p w14:paraId="1400F6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0.05</w:t>
                  </w:r>
                </w:p>
              </w:tc>
              <w:tc>
                <w:tcPr>
                  <w:tcW w:w="547" w:type="pct"/>
                  <w:tcBorders>
                    <w:tl2br w:val="nil"/>
                    <w:tr2bl w:val="nil"/>
                  </w:tcBorders>
                  <w:noWrap w:val="0"/>
                  <w:vAlign w:val="center"/>
                </w:tcPr>
                <w:p w14:paraId="14282F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2F7B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4B2AA4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22A59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氟化物</w:t>
                  </w:r>
                </w:p>
              </w:tc>
              <w:tc>
                <w:tcPr>
                  <w:tcW w:w="319" w:type="pct"/>
                  <w:vMerge w:val="continue"/>
                  <w:tcBorders>
                    <w:tl2br w:val="nil"/>
                    <w:tr2bl w:val="nil"/>
                  </w:tcBorders>
                  <w:noWrap w:val="0"/>
                  <w:vAlign w:val="center"/>
                </w:tcPr>
                <w:p w14:paraId="2FE99B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242521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0.43</w:t>
                  </w:r>
                </w:p>
              </w:tc>
              <w:tc>
                <w:tcPr>
                  <w:tcW w:w="758" w:type="pct"/>
                  <w:tcBorders>
                    <w:tl2br w:val="nil"/>
                    <w:tr2bl w:val="nil"/>
                  </w:tcBorders>
                  <w:noWrap w:val="0"/>
                  <w:vAlign w:val="center"/>
                </w:tcPr>
                <w:p w14:paraId="4489DF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0.05L</w:t>
                  </w:r>
                </w:p>
              </w:tc>
              <w:tc>
                <w:tcPr>
                  <w:tcW w:w="758" w:type="pct"/>
                  <w:tcBorders>
                    <w:tl2br w:val="nil"/>
                    <w:tr2bl w:val="nil"/>
                  </w:tcBorders>
                  <w:noWrap w:val="0"/>
                  <w:vAlign w:val="center"/>
                </w:tcPr>
                <w:p w14:paraId="4D259D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0.05L</w:t>
                  </w:r>
                </w:p>
              </w:tc>
              <w:tc>
                <w:tcPr>
                  <w:tcW w:w="484" w:type="pct"/>
                  <w:tcBorders>
                    <w:tl2br w:val="nil"/>
                    <w:tr2bl w:val="nil"/>
                  </w:tcBorders>
                  <w:noWrap w:val="0"/>
                  <w:vAlign w:val="center"/>
                </w:tcPr>
                <w:p w14:paraId="32A797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547" w:type="pct"/>
                  <w:tcBorders>
                    <w:tl2br w:val="nil"/>
                    <w:tr2bl w:val="nil"/>
                  </w:tcBorders>
                  <w:noWrap w:val="0"/>
                  <w:vAlign w:val="center"/>
                </w:tcPr>
                <w:p w14:paraId="62AE5F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1983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2AB35F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1CB33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汞</w:t>
                  </w:r>
                </w:p>
              </w:tc>
              <w:tc>
                <w:tcPr>
                  <w:tcW w:w="319" w:type="pct"/>
                  <w:vMerge w:val="continue"/>
                  <w:tcBorders>
                    <w:tl2br w:val="nil"/>
                    <w:tr2bl w:val="nil"/>
                  </w:tcBorders>
                  <w:noWrap w:val="0"/>
                  <w:vAlign w:val="center"/>
                </w:tcPr>
                <w:p w14:paraId="25E012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4881C0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highlight w:val="none"/>
                      <w:vertAlign w:val="baseline"/>
                      <w:lang w:val="en-US" w:eastAsia="zh-CN" w:bidi="ar-SA"/>
                    </w:rPr>
                  </w:pPr>
                  <w:r>
                    <w:rPr>
                      <w:rFonts w:hint="eastAsia"/>
                      <w:color w:val="auto"/>
                      <w:sz w:val="21"/>
                      <w:szCs w:val="21"/>
                      <w:highlight w:val="none"/>
                      <w:lang w:val="en-US" w:eastAsia="zh-CN"/>
                    </w:rPr>
                    <w:t>4×10</w:t>
                  </w:r>
                  <w:r>
                    <w:rPr>
                      <w:rFonts w:hint="eastAsia"/>
                      <w:color w:val="auto"/>
                      <w:sz w:val="21"/>
                      <w:szCs w:val="21"/>
                      <w:highlight w:val="none"/>
                      <w:vertAlign w:val="superscript"/>
                      <w:lang w:val="en-US" w:eastAsia="zh-CN"/>
                    </w:rPr>
                    <w:t>-5</w:t>
                  </w:r>
                  <w:r>
                    <w:rPr>
                      <w:rFonts w:hint="eastAsia"/>
                      <w:color w:val="auto"/>
                      <w:sz w:val="21"/>
                      <w:szCs w:val="21"/>
                      <w:highlight w:val="none"/>
                      <w:vertAlign w:val="baseline"/>
                      <w:lang w:val="en-US" w:eastAsia="zh-CN"/>
                    </w:rPr>
                    <w:t>L</w:t>
                  </w:r>
                </w:p>
              </w:tc>
              <w:tc>
                <w:tcPr>
                  <w:tcW w:w="758" w:type="pct"/>
                  <w:tcBorders>
                    <w:tl2br w:val="nil"/>
                    <w:tr2bl w:val="nil"/>
                  </w:tcBorders>
                  <w:noWrap w:val="0"/>
                  <w:vAlign w:val="center"/>
                </w:tcPr>
                <w:p w14:paraId="4A138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等线"/>
                      <w:color w:val="auto"/>
                      <w:sz w:val="21"/>
                      <w:szCs w:val="21"/>
                      <w:highlight w:val="none"/>
                      <w:lang w:eastAsia="zh-CN"/>
                    </w:rPr>
                  </w:pPr>
                  <w:r>
                    <w:rPr>
                      <w:rFonts w:hint="eastAsia"/>
                      <w:color w:val="auto"/>
                      <w:sz w:val="21"/>
                      <w:szCs w:val="21"/>
                      <w:highlight w:val="none"/>
                      <w:lang w:val="en-US" w:eastAsia="zh-CN"/>
                    </w:rPr>
                    <w:t>4×10</w:t>
                  </w:r>
                  <w:r>
                    <w:rPr>
                      <w:rFonts w:hint="eastAsia"/>
                      <w:color w:val="auto"/>
                      <w:sz w:val="21"/>
                      <w:szCs w:val="21"/>
                      <w:highlight w:val="none"/>
                      <w:vertAlign w:val="superscript"/>
                      <w:lang w:val="en-US" w:eastAsia="zh-CN"/>
                    </w:rPr>
                    <w:t>-5</w:t>
                  </w:r>
                  <w:r>
                    <w:rPr>
                      <w:rFonts w:hint="eastAsia"/>
                      <w:color w:val="auto"/>
                      <w:sz w:val="21"/>
                      <w:szCs w:val="21"/>
                      <w:highlight w:val="none"/>
                      <w:vertAlign w:val="baseline"/>
                      <w:lang w:val="en-US" w:eastAsia="zh-CN"/>
                    </w:rPr>
                    <w:t>L</w:t>
                  </w:r>
                </w:p>
              </w:tc>
              <w:tc>
                <w:tcPr>
                  <w:tcW w:w="758" w:type="pct"/>
                  <w:tcBorders>
                    <w:tl2br w:val="nil"/>
                    <w:tr2bl w:val="nil"/>
                  </w:tcBorders>
                  <w:noWrap w:val="0"/>
                  <w:vAlign w:val="center"/>
                </w:tcPr>
                <w:p w14:paraId="094B0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4×10</w:t>
                  </w:r>
                  <w:r>
                    <w:rPr>
                      <w:rFonts w:hint="eastAsia"/>
                      <w:color w:val="auto"/>
                      <w:sz w:val="21"/>
                      <w:szCs w:val="21"/>
                      <w:highlight w:val="none"/>
                      <w:vertAlign w:val="superscript"/>
                      <w:lang w:val="en-US" w:eastAsia="zh-CN"/>
                    </w:rPr>
                    <w:t>-5</w:t>
                  </w:r>
                  <w:r>
                    <w:rPr>
                      <w:rFonts w:hint="eastAsia"/>
                      <w:color w:val="auto"/>
                      <w:sz w:val="21"/>
                      <w:szCs w:val="21"/>
                      <w:highlight w:val="none"/>
                      <w:vertAlign w:val="baseline"/>
                      <w:lang w:val="en-US" w:eastAsia="zh-CN"/>
                    </w:rPr>
                    <w:t>L</w:t>
                  </w:r>
                </w:p>
              </w:tc>
              <w:tc>
                <w:tcPr>
                  <w:tcW w:w="484" w:type="pct"/>
                  <w:tcBorders>
                    <w:tl2br w:val="nil"/>
                    <w:tr2bl w:val="nil"/>
                  </w:tcBorders>
                  <w:noWrap w:val="0"/>
                  <w:vAlign w:val="center"/>
                </w:tcPr>
                <w:p w14:paraId="613687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0.001</w:t>
                  </w:r>
                </w:p>
              </w:tc>
              <w:tc>
                <w:tcPr>
                  <w:tcW w:w="547" w:type="pct"/>
                  <w:tcBorders>
                    <w:tl2br w:val="nil"/>
                    <w:tr2bl w:val="nil"/>
                  </w:tcBorders>
                  <w:noWrap w:val="0"/>
                  <w:vAlign w:val="center"/>
                </w:tcPr>
                <w:p w14:paraId="3895FD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w:t>
                  </w:r>
                </w:p>
              </w:tc>
            </w:tr>
            <w:tr w14:paraId="504E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36573A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3E49AC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砷</w:t>
                  </w:r>
                </w:p>
              </w:tc>
              <w:tc>
                <w:tcPr>
                  <w:tcW w:w="319" w:type="pct"/>
                  <w:vMerge w:val="continue"/>
                  <w:tcBorders>
                    <w:tl2br w:val="nil"/>
                    <w:tr2bl w:val="nil"/>
                  </w:tcBorders>
                  <w:noWrap w:val="0"/>
                  <w:vAlign w:val="center"/>
                </w:tcPr>
                <w:p w14:paraId="6244E1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272773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2.14×10</w:t>
                  </w:r>
                  <w:r>
                    <w:rPr>
                      <w:rFonts w:hint="eastAsia"/>
                      <w:color w:val="auto"/>
                      <w:sz w:val="21"/>
                      <w:szCs w:val="21"/>
                      <w:highlight w:val="none"/>
                      <w:vertAlign w:val="superscript"/>
                      <w:lang w:val="en-US" w:eastAsia="zh-CN"/>
                    </w:rPr>
                    <w:t>-3</w:t>
                  </w:r>
                </w:p>
              </w:tc>
              <w:tc>
                <w:tcPr>
                  <w:tcW w:w="758" w:type="pct"/>
                  <w:tcBorders>
                    <w:tl2br w:val="nil"/>
                    <w:tr2bl w:val="nil"/>
                  </w:tcBorders>
                  <w:noWrap w:val="0"/>
                  <w:vAlign w:val="center"/>
                </w:tcPr>
                <w:p w14:paraId="12BE8E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4.1×10</w:t>
                  </w:r>
                  <w:r>
                    <w:rPr>
                      <w:rFonts w:hint="eastAsia"/>
                      <w:color w:val="auto"/>
                      <w:sz w:val="21"/>
                      <w:szCs w:val="21"/>
                      <w:highlight w:val="none"/>
                      <w:vertAlign w:val="superscript"/>
                      <w:lang w:val="en-US" w:eastAsia="zh-CN"/>
                    </w:rPr>
                    <w:t>-4</w:t>
                  </w:r>
                </w:p>
              </w:tc>
              <w:tc>
                <w:tcPr>
                  <w:tcW w:w="758" w:type="pct"/>
                  <w:tcBorders>
                    <w:tl2br w:val="nil"/>
                    <w:tr2bl w:val="nil"/>
                  </w:tcBorders>
                  <w:noWrap w:val="0"/>
                  <w:vAlign w:val="center"/>
                </w:tcPr>
                <w:p w14:paraId="51773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6.9×10</w:t>
                  </w:r>
                  <w:r>
                    <w:rPr>
                      <w:rFonts w:hint="eastAsia"/>
                      <w:color w:val="auto"/>
                      <w:sz w:val="21"/>
                      <w:szCs w:val="21"/>
                      <w:highlight w:val="none"/>
                      <w:vertAlign w:val="superscript"/>
                      <w:lang w:val="en-US" w:eastAsia="zh-CN"/>
                    </w:rPr>
                    <w:t>-4</w:t>
                  </w:r>
                </w:p>
              </w:tc>
              <w:tc>
                <w:tcPr>
                  <w:tcW w:w="484" w:type="pct"/>
                  <w:tcBorders>
                    <w:tl2br w:val="nil"/>
                    <w:tr2bl w:val="nil"/>
                  </w:tcBorders>
                  <w:noWrap w:val="0"/>
                  <w:vAlign w:val="center"/>
                </w:tcPr>
                <w:p w14:paraId="1BF91D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0.01</w:t>
                  </w:r>
                </w:p>
              </w:tc>
              <w:tc>
                <w:tcPr>
                  <w:tcW w:w="547" w:type="pct"/>
                  <w:tcBorders>
                    <w:tl2br w:val="nil"/>
                    <w:tr2bl w:val="nil"/>
                  </w:tcBorders>
                  <w:noWrap w:val="0"/>
                  <w:vAlign w:val="center"/>
                </w:tcPr>
                <w:p w14:paraId="19D05E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7F7E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785D01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6A5067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rPr>
                    <w:t>镉</w:t>
                  </w:r>
                </w:p>
              </w:tc>
              <w:tc>
                <w:tcPr>
                  <w:tcW w:w="319" w:type="pct"/>
                  <w:vMerge w:val="continue"/>
                  <w:tcBorders>
                    <w:tl2br w:val="nil"/>
                    <w:tr2bl w:val="nil"/>
                  </w:tcBorders>
                  <w:noWrap w:val="0"/>
                  <w:vAlign w:val="center"/>
                </w:tcPr>
                <w:p w14:paraId="1E3F5C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3F4858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9×10</w:t>
                  </w:r>
                  <w:r>
                    <w:rPr>
                      <w:rFonts w:hint="eastAsia"/>
                      <w:color w:val="auto"/>
                      <w:sz w:val="21"/>
                      <w:szCs w:val="21"/>
                      <w:highlight w:val="none"/>
                      <w:vertAlign w:val="superscript"/>
                      <w:lang w:val="en-US" w:eastAsia="zh-CN"/>
                    </w:rPr>
                    <w:t>-5</w:t>
                  </w:r>
                </w:p>
              </w:tc>
              <w:tc>
                <w:tcPr>
                  <w:tcW w:w="758" w:type="pct"/>
                  <w:tcBorders>
                    <w:tl2br w:val="nil"/>
                    <w:tr2bl w:val="nil"/>
                  </w:tcBorders>
                  <w:noWrap w:val="0"/>
                  <w:vAlign w:val="center"/>
                </w:tcPr>
                <w:p w14:paraId="659538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5×10</w:t>
                  </w:r>
                  <w:r>
                    <w:rPr>
                      <w:rFonts w:hint="eastAsia"/>
                      <w:color w:val="auto"/>
                      <w:sz w:val="21"/>
                      <w:szCs w:val="21"/>
                      <w:highlight w:val="none"/>
                      <w:vertAlign w:val="superscript"/>
                      <w:lang w:val="en-US" w:eastAsia="zh-CN"/>
                    </w:rPr>
                    <w:t>-5</w:t>
                  </w:r>
                  <w:r>
                    <w:rPr>
                      <w:rFonts w:hint="eastAsia"/>
                      <w:color w:val="auto"/>
                      <w:sz w:val="21"/>
                      <w:szCs w:val="21"/>
                      <w:highlight w:val="none"/>
                      <w:vertAlign w:val="baseline"/>
                      <w:lang w:val="en-US" w:eastAsia="zh-CN"/>
                    </w:rPr>
                    <w:t>L</w:t>
                  </w:r>
                </w:p>
              </w:tc>
              <w:tc>
                <w:tcPr>
                  <w:tcW w:w="758" w:type="pct"/>
                  <w:tcBorders>
                    <w:tl2br w:val="nil"/>
                    <w:tr2bl w:val="nil"/>
                  </w:tcBorders>
                  <w:noWrap w:val="0"/>
                  <w:vAlign w:val="center"/>
                </w:tcPr>
                <w:p w14:paraId="547B50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等线" w:cs="Times New Roman"/>
                      <w:color w:val="auto"/>
                      <w:kern w:val="2"/>
                      <w:sz w:val="21"/>
                      <w:szCs w:val="21"/>
                      <w:highlight w:val="none"/>
                      <w:lang w:val="en-US" w:eastAsia="zh-CN" w:bidi="ar-SA"/>
                    </w:rPr>
                  </w:pPr>
                  <w:r>
                    <w:rPr>
                      <w:rFonts w:hint="eastAsia"/>
                      <w:color w:val="auto"/>
                      <w:sz w:val="21"/>
                      <w:szCs w:val="21"/>
                      <w:highlight w:val="none"/>
                      <w:lang w:val="en-US" w:eastAsia="zh-CN"/>
                    </w:rPr>
                    <w:t>5×10</w:t>
                  </w:r>
                  <w:r>
                    <w:rPr>
                      <w:rFonts w:hint="eastAsia"/>
                      <w:color w:val="auto"/>
                      <w:sz w:val="21"/>
                      <w:szCs w:val="21"/>
                      <w:highlight w:val="none"/>
                      <w:vertAlign w:val="superscript"/>
                      <w:lang w:val="en-US" w:eastAsia="zh-CN"/>
                    </w:rPr>
                    <w:t>-5</w:t>
                  </w:r>
                  <w:r>
                    <w:rPr>
                      <w:rFonts w:hint="eastAsia"/>
                      <w:color w:val="auto"/>
                      <w:sz w:val="21"/>
                      <w:szCs w:val="21"/>
                      <w:highlight w:val="none"/>
                      <w:vertAlign w:val="baseline"/>
                      <w:lang w:val="en-US" w:eastAsia="zh-CN"/>
                    </w:rPr>
                    <w:t>L</w:t>
                  </w:r>
                </w:p>
              </w:tc>
              <w:tc>
                <w:tcPr>
                  <w:tcW w:w="484" w:type="pct"/>
                  <w:tcBorders>
                    <w:tl2br w:val="nil"/>
                    <w:tr2bl w:val="nil"/>
                  </w:tcBorders>
                  <w:noWrap w:val="0"/>
                  <w:vAlign w:val="center"/>
                </w:tcPr>
                <w:p w14:paraId="7A13F0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0.005</w:t>
                  </w:r>
                </w:p>
              </w:tc>
              <w:tc>
                <w:tcPr>
                  <w:tcW w:w="547" w:type="pct"/>
                  <w:tcBorders>
                    <w:tl2br w:val="nil"/>
                    <w:tr2bl w:val="nil"/>
                  </w:tcBorders>
                  <w:noWrap w:val="0"/>
                  <w:vAlign w:val="center"/>
                </w:tcPr>
                <w:p w14:paraId="6890E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是</w:t>
                  </w:r>
                </w:p>
              </w:tc>
            </w:tr>
            <w:tr w14:paraId="6054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4E02E9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6B4BD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六价铬</w:t>
                  </w:r>
                </w:p>
              </w:tc>
              <w:tc>
                <w:tcPr>
                  <w:tcW w:w="319" w:type="pct"/>
                  <w:vMerge w:val="continue"/>
                  <w:tcBorders>
                    <w:tl2br w:val="nil"/>
                    <w:tr2bl w:val="nil"/>
                  </w:tcBorders>
                  <w:noWrap w:val="0"/>
                  <w:vAlign w:val="center"/>
                </w:tcPr>
                <w:p w14:paraId="0BDB08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21EAC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s="Times New Roman"/>
                      <w:color w:val="auto"/>
                      <w:kern w:val="2"/>
                      <w:sz w:val="21"/>
                      <w:szCs w:val="21"/>
                      <w:highlight w:val="none"/>
                      <w:lang w:val="en-US" w:eastAsia="zh-CN" w:bidi="ar-SA"/>
                    </w:rPr>
                    <w:t>＜0.004</w:t>
                  </w:r>
                </w:p>
              </w:tc>
              <w:tc>
                <w:tcPr>
                  <w:tcW w:w="758" w:type="pct"/>
                  <w:tcBorders>
                    <w:tl2br w:val="nil"/>
                    <w:tr2bl w:val="nil"/>
                  </w:tcBorders>
                  <w:noWrap w:val="0"/>
                  <w:vAlign w:val="center"/>
                </w:tcPr>
                <w:p w14:paraId="3D9059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s="Times New Roman"/>
                      <w:color w:val="auto"/>
                      <w:kern w:val="2"/>
                      <w:sz w:val="21"/>
                      <w:szCs w:val="21"/>
                      <w:highlight w:val="none"/>
                      <w:lang w:val="en-US" w:eastAsia="zh-CN" w:bidi="ar-SA"/>
                    </w:rPr>
                    <w:t>＜0.004</w:t>
                  </w:r>
                </w:p>
              </w:tc>
              <w:tc>
                <w:tcPr>
                  <w:tcW w:w="758" w:type="pct"/>
                  <w:tcBorders>
                    <w:tl2br w:val="nil"/>
                    <w:tr2bl w:val="nil"/>
                  </w:tcBorders>
                  <w:noWrap w:val="0"/>
                  <w:vAlign w:val="center"/>
                </w:tcPr>
                <w:p w14:paraId="1FBCC6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＜0.004</w:t>
                  </w:r>
                </w:p>
              </w:tc>
              <w:tc>
                <w:tcPr>
                  <w:tcW w:w="484" w:type="pct"/>
                  <w:tcBorders>
                    <w:tl2br w:val="nil"/>
                    <w:tr2bl w:val="nil"/>
                  </w:tcBorders>
                  <w:noWrap w:val="0"/>
                  <w:vAlign w:val="center"/>
                </w:tcPr>
                <w:p w14:paraId="1FE60A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0.05</w:t>
                  </w:r>
                </w:p>
              </w:tc>
              <w:tc>
                <w:tcPr>
                  <w:tcW w:w="547" w:type="pct"/>
                  <w:tcBorders>
                    <w:tl2br w:val="nil"/>
                    <w:tr2bl w:val="nil"/>
                  </w:tcBorders>
                  <w:noWrap w:val="0"/>
                  <w:vAlign w:val="center"/>
                </w:tcPr>
                <w:p w14:paraId="55469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18D6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vMerge w:val="continue"/>
                  <w:tcBorders>
                    <w:tl2br w:val="nil"/>
                    <w:tr2bl w:val="nil"/>
                  </w:tcBorders>
                  <w:noWrap w:val="0"/>
                  <w:vAlign w:val="center"/>
                </w:tcPr>
                <w:p w14:paraId="06ADF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914" w:type="pct"/>
                  <w:tcBorders>
                    <w:tl2br w:val="nil"/>
                    <w:tr2bl w:val="nil"/>
                  </w:tcBorders>
                  <w:noWrap w:val="0"/>
                  <w:vAlign w:val="center"/>
                </w:tcPr>
                <w:p w14:paraId="5DE26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铅</w:t>
                  </w:r>
                </w:p>
              </w:tc>
              <w:tc>
                <w:tcPr>
                  <w:tcW w:w="319" w:type="pct"/>
                  <w:vMerge w:val="continue"/>
                  <w:tcBorders>
                    <w:tl2br w:val="nil"/>
                    <w:tr2bl w:val="nil"/>
                  </w:tcBorders>
                  <w:noWrap w:val="0"/>
                  <w:vAlign w:val="center"/>
                </w:tcPr>
                <w:p w14:paraId="5ABA3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891" w:type="pct"/>
                  <w:tcBorders>
                    <w:tl2br w:val="nil"/>
                    <w:tr2bl w:val="nil"/>
                  </w:tcBorders>
                  <w:noWrap w:val="0"/>
                  <w:vAlign w:val="center"/>
                </w:tcPr>
                <w:p w14:paraId="44331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4.1×10</w:t>
                  </w:r>
                  <w:r>
                    <w:rPr>
                      <w:rFonts w:hint="eastAsia"/>
                      <w:color w:val="auto"/>
                      <w:sz w:val="21"/>
                      <w:szCs w:val="21"/>
                      <w:highlight w:val="none"/>
                      <w:vertAlign w:val="superscript"/>
                      <w:lang w:val="en-US" w:eastAsia="zh-CN"/>
                    </w:rPr>
                    <w:t>-4</w:t>
                  </w:r>
                </w:p>
              </w:tc>
              <w:tc>
                <w:tcPr>
                  <w:tcW w:w="758" w:type="pct"/>
                  <w:tcBorders>
                    <w:tl2br w:val="nil"/>
                    <w:tr2bl w:val="nil"/>
                  </w:tcBorders>
                  <w:noWrap w:val="0"/>
                  <w:vAlign w:val="center"/>
                </w:tcPr>
                <w:p w14:paraId="0D56F4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lang w:val="en-US" w:eastAsia="zh-CN"/>
                    </w:rPr>
                    <w:t>9×10</w:t>
                  </w:r>
                  <w:r>
                    <w:rPr>
                      <w:rFonts w:hint="eastAsia"/>
                      <w:color w:val="auto"/>
                      <w:sz w:val="21"/>
                      <w:szCs w:val="21"/>
                      <w:highlight w:val="none"/>
                      <w:vertAlign w:val="superscript"/>
                      <w:lang w:val="en-US" w:eastAsia="zh-CN"/>
                    </w:rPr>
                    <w:t>-5</w:t>
                  </w:r>
                  <w:r>
                    <w:rPr>
                      <w:rFonts w:hint="eastAsia"/>
                      <w:color w:val="auto"/>
                      <w:sz w:val="21"/>
                      <w:szCs w:val="21"/>
                      <w:highlight w:val="none"/>
                      <w:vertAlign w:val="baseline"/>
                      <w:lang w:val="en-US" w:eastAsia="zh-CN"/>
                    </w:rPr>
                    <w:t>L</w:t>
                  </w:r>
                </w:p>
              </w:tc>
              <w:tc>
                <w:tcPr>
                  <w:tcW w:w="758" w:type="pct"/>
                  <w:tcBorders>
                    <w:tl2br w:val="nil"/>
                    <w:tr2bl w:val="nil"/>
                  </w:tcBorders>
                  <w:noWrap w:val="0"/>
                  <w:vAlign w:val="center"/>
                </w:tcPr>
                <w:p w14:paraId="78EE0A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9×10</w:t>
                  </w:r>
                  <w:r>
                    <w:rPr>
                      <w:rFonts w:hint="eastAsia"/>
                      <w:color w:val="auto"/>
                      <w:sz w:val="21"/>
                      <w:szCs w:val="21"/>
                      <w:highlight w:val="none"/>
                      <w:vertAlign w:val="superscript"/>
                      <w:lang w:val="en-US" w:eastAsia="zh-CN"/>
                    </w:rPr>
                    <w:t>-5</w:t>
                  </w:r>
                  <w:r>
                    <w:rPr>
                      <w:rFonts w:hint="eastAsia"/>
                      <w:color w:val="auto"/>
                      <w:sz w:val="21"/>
                      <w:szCs w:val="21"/>
                      <w:highlight w:val="none"/>
                      <w:vertAlign w:val="baseline"/>
                      <w:lang w:val="en-US" w:eastAsia="zh-CN"/>
                    </w:rPr>
                    <w:t>L</w:t>
                  </w:r>
                </w:p>
              </w:tc>
              <w:tc>
                <w:tcPr>
                  <w:tcW w:w="484" w:type="pct"/>
                  <w:tcBorders>
                    <w:tl2br w:val="nil"/>
                    <w:tr2bl w:val="nil"/>
                  </w:tcBorders>
                  <w:noWrap w:val="0"/>
                  <w:vAlign w:val="center"/>
                </w:tcPr>
                <w:p w14:paraId="2CBA5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0.01</w:t>
                  </w:r>
                </w:p>
              </w:tc>
              <w:tc>
                <w:tcPr>
                  <w:tcW w:w="547" w:type="pct"/>
                  <w:tcBorders>
                    <w:tl2br w:val="nil"/>
                    <w:tr2bl w:val="nil"/>
                  </w:tcBorders>
                  <w:noWrap w:val="0"/>
                  <w:vAlign w:val="center"/>
                </w:tcPr>
                <w:p w14:paraId="3103C7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是</w:t>
                  </w:r>
                </w:p>
              </w:tc>
            </w:tr>
            <w:tr w14:paraId="322C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5" w:type="pct"/>
                  <w:tcBorders>
                    <w:tl2br w:val="nil"/>
                    <w:tr2bl w:val="nil"/>
                  </w:tcBorders>
                  <w:noWrap w:val="0"/>
                  <w:vAlign w:val="center"/>
                </w:tcPr>
                <w:p w14:paraId="6168D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备注</w:t>
                  </w:r>
                </w:p>
              </w:tc>
              <w:tc>
                <w:tcPr>
                  <w:tcW w:w="4674" w:type="pct"/>
                  <w:gridSpan w:val="7"/>
                  <w:tcBorders>
                    <w:tl2br w:val="nil"/>
                    <w:tr2bl w:val="nil"/>
                  </w:tcBorders>
                  <w:noWrap w:val="0"/>
                  <w:vAlign w:val="center"/>
                </w:tcPr>
                <w:p w14:paraId="23ED4FA2">
                  <w:pPr>
                    <w:numPr>
                      <w:ilvl w:val="0"/>
                      <w:numId w:val="0"/>
                    </w:numP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1.采样方式：瞬时采样；</w:t>
                  </w:r>
                </w:p>
                <w:p w14:paraId="71B53801">
                  <w:pPr>
                    <w:numPr>
                      <w:ilvl w:val="0"/>
                      <w:numId w:val="0"/>
                    </w:numP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“检出限+L”表示检测结果低于分析方法检出限；</w:t>
                  </w:r>
                </w:p>
                <w:p w14:paraId="545FA2D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+检出限/最低检测质量浓度</w:t>
                  </w:r>
                  <w:r>
                    <w:rPr>
                      <w:rFonts w:hint="default" w:ascii="Times New Roman" w:hAnsi="Times New Roman" w:cs="Times New Roman"/>
                      <w:color w:val="auto"/>
                      <w:sz w:val="21"/>
                      <w:szCs w:val="21"/>
                      <w:highlight w:val="none"/>
                      <w:lang w:val="en-US" w:eastAsia="zh-CN"/>
                    </w:rPr>
                    <w:t>”表示检测结果</w:t>
                  </w:r>
                  <w:r>
                    <w:rPr>
                      <w:rFonts w:hint="eastAsia" w:cs="Times New Roman"/>
                      <w:color w:val="auto"/>
                      <w:sz w:val="21"/>
                      <w:szCs w:val="21"/>
                      <w:highlight w:val="none"/>
                      <w:lang w:val="en-US" w:eastAsia="zh-CN"/>
                    </w:rPr>
                    <w:t>低于检出限/最低检测质量浓度</w:t>
                  </w:r>
                  <w:r>
                    <w:rPr>
                      <w:rFonts w:hint="default" w:ascii="Times New Roman" w:hAnsi="Times New Roman" w:cs="Times New Roman"/>
                      <w:color w:val="auto"/>
                      <w:sz w:val="21"/>
                      <w:szCs w:val="21"/>
                      <w:highlight w:val="none"/>
                      <w:lang w:val="en-US" w:eastAsia="zh-CN"/>
                    </w:rPr>
                    <w:t>。</w:t>
                  </w:r>
                </w:p>
              </w:tc>
            </w:tr>
          </w:tbl>
          <w:p w14:paraId="490C9BA1">
            <w:pPr>
              <w:pStyle w:val="62"/>
              <w:spacing w:line="360" w:lineRule="auto"/>
              <w:ind w:firstLine="480" w:firstLineChars="200"/>
              <w:rPr>
                <w:rFonts w:hint="eastAsia" w:ascii="Times New Roman" w:hAnsi="Times New Roman" w:cs="Times New Roman"/>
                <w:b/>
                <w:color w:val="auto"/>
                <w:kern w:val="0"/>
                <w:sz w:val="24"/>
                <w:highlight w:val="none"/>
                <w:lang w:eastAsia="zh-CN"/>
              </w:rPr>
            </w:pPr>
            <w:r>
              <w:rPr>
                <w:rFonts w:hint="eastAsia"/>
                <w:color w:val="auto"/>
                <w:kern w:val="0"/>
                <w:sz w:val="24"/>
                <w:szCs w:val="24"/>
                <w:highlight w:val="none"/>
              </w:rPr>
              <w:t>根据上表，项目区域地下水质</w:t>
            </w:r>
            <w:r>
              <w:rPr>
                <w:color w:val="auto"/>
                <w:kern w:val="0"/>
                <w:sz w:val="24"/>
                <w:szCs w:val="24"/>
                <w:highlight w:val="none"/>
              </w:rPr>
              <w:t>能够满足《地下水质量标准》</w:t>
            </w:r>
            <w:r>
              <w:rPr>
                <w:rFonts w:hint="default" w:ascii="Times New Roman" w:hAnsi="Times New Roman" w:cs="Times New Roman"/>
                <w:color w:val="auto"/>
                <w:kern w:val="0"/>
                <w:sz w:val="24"/>
                <w:szCs w:val="24"/>
                <w:highlight w:val="none"/>
              </w:rPr>
              <w:t>(GB/T14848-2017)</w:t>
            </w:r>
            <w:r>
              <w:rPr>
                <w:rFonts w:hint="eastAsia" w:ascii="Times New Roman" w:hAnsi="Times New Roman" w:cs="Times New Roman"/>
                <w:snapToGrid w:val="0"/>
                <w:color w:val="auto"/>
                <w:kern w:val="0"/>
                <w:sz w:val="24"/>
                <w:highlight w:val="none"/>
              </w:rPr>
              <w:t>Ⅲ</w:t>
            </w:r>
            <w:r>
              <w:rPr>
                <w:color w:val="auto"/>
                <w:kern w:val="0"/>
                <w:sz w:val="24"/>
                <w:szCs w:val="24"/>
                <w:highlight w:val="none"/>
              </w:rPr>
              <w:t>类标准要求，地下水质尚好</w:t>
            </w:r>
            <w:r>
              <w:rPr>
                <w:rFonts w:hint="eastAsia" w:ascii="Times New Roman" w:hAnsi="Times New Roman" w:cs="Times New Roman"/>
                <w:snapToGrid w:val="0"/>
                <w:color w:val="auto"/>
                <w:kern w:val="0"/>
                <w:sz w:val="24"/>
                <w:highlight w:val="none"/>
              </w:rPr>
              <w:t>。</w:t>
            </w:r>
          </w:p>
          <w:p w14:paraId="2CEB8E89">
            <w:pPr>
              <w:pStyle w:val="62"/>
              <w:spacing w:line="360" w:lineRule="auto"/>
              <w:ind w:firstLine="482" w:firstLineChars="200"/>
              <w:rPr>
                <w:rFonts w:ascii="Times New Roman" w:hAnsi="Times New Roman" w:cs="Times New Roman"/>
                <w:b/>
                <w:color w:val="auto"/>
                <w:kern w:val="0"/>
                <w:sz w:val="24"/>
                <w:highlight w:val="none"/>
              </w:rPr>
            </w:pPr>
            <w:r>
              <w:rPr>
                <w:rFonts w:hint="eastAsia" w:ascii="Times New Roman" w:hAnsi="Times New Roman" w:cs="Times New Roman"/>
                <w:b/>
                <w:color w:val="auto"/>
                <w:kern w:val="0"/>
                <w:sz w:val="24"/>
                <w:highlight w:val="none"/>
                <w:lang w:eastAsia="zh-CN"/>
              </w:rPr>
              <w:t>四</w:t>
            </w:r>
            <w:r>
              <w:rPr>
                <w:rFonts w:hint="eastAsia" w:ascii="Times New Roman" w:hAnsi="Times New Roman" w:cs="Times New Roman"/>
                <w:b/>
                <w:color w:val="auto"/>
                <w:kern w:val="0"/>
                <w:sz w:val="24"/>
                <w:highlight w:val="none"/>
              </w:rPr>
              <w:t>、声环境</w:t>
            </w:r>
          </w:p>
          <w:p w14:paraId="70981F83">
            <w:pPr>
              <w:pStyle w:val="62"/>
              <w:spacing w:line="360" w:lineRule="auto"/>
              <w:ind w:firstLine="480" w:firstLineChars="200"/>
              <w:rPr>
                <w:rFonts w:hint="default" w:ascii="Times New Roman" w:hAnsi="Times New Roman" w:cs="Times New Roman"/>
                <w:color w:val="auto"/>
                <w:kern w:val="24"/>
                <w:sz w:val="24"/>
                <w:highlight w:val="none"/>
                <w:lang w:val="en-US" w:eastAsia="zh-CN"/>
              </w:rPr>
            </w:pPr>
            <w:r>
              <w:rPr>
                <w:rFonts w:hint="eastAsia" w:ascii="Times New Roman" w:hAnsi="Times New Roman" w:cs="Times New Roman"/>
                <w:color w:val="auto"/>
                <w:kern w:val="24"/>
                <w:sz w:val="24"/>
                <w:highlight w:val="none"/>
                <w:lang w:val="en-US" w:eastAsia="zh-CN"/>
              </w:rPr>
              <w:t>1、声环境质量标准</w:t>
            </w:r>
          </w:p>
          <w:p w14:paraId="24A642EA">
            <w:pPr>
              <w:pStyle w:val="84"/>
              <w:ind w:firstLine="480"/>
              <w:rPr>
                <w:rFonts w:hint="eastAsia" w:ascii="Times New Roman" w:hAnsi="Times New Roman" w:cs="Times New Roman"/>
                <w:color w:val="auto"/>
                <w:kern w:val="24"/>
                <w:sz w:val="24"/>
                <w:highlight w:val="none"/>
                <w:lang w:val="en-US" w:eastAsia="zh-CN"/>
              </w:rPr>
            </w:pPr>
            <w:r>
              <w:rPr>
                <w:rFonts w:hint="default" w:ascii="Times New Roman" w:hAnsi="Times New Roman" w:cs="Times New Roman"/>
                <w:color w:val="auto"/>
                <w:sz w:val="24"/>
                <w:szCs w:val="24"/>
                <w:highlight w:val="none"/>
              </w:rPr>
              <w:t>项目</w:t>
            </w:r>
            <w:r>
              <w:rPr>
                <w:rFonts w:hint="eastAsia" w:cs="Times New Roman"/>
                <w:color w:val="auto"/>
                <w:sz w:val="24"/>
                <w:szCs w:val="24"/>
                <w:highlight w:val="none"/>
                <w:lang w:val="en-US" w:eastAsia="zh-CN"/>
              </w:rPr>
              <w:t>所在</w:t>
            </w:r>
            <w:r>
              <w:rPr>
                <w:rFonts w:hint="eastAsia" w:ascii="Times New Roman" w:hAnsi="Times New Roman" w:cs="Times New Roman" w:eastAsiaTheme="minorEastAsia"/>
                <w:color w:val="auto"/>
                <w:sz w:val="24"/>
                <w:szCs w:val="24"/>
                <w:highlight w:val="none"/>
                <w:lang w:val="en-US" w:eastAsia="zh-CN" w:bidi="ar-SA"/>
              </w:rPr>
              <w:t>区域</w:t>
            </w:r>
            <w:r>
              <w:rPr>
                <w:rFonts w:hint="eastAsia" w:cs="Times New Roman"/>
                <w:color w:val="auto"/>
                <w:kern w:val="24"/>
                <w:sz w:val="24"/>
                <w:highlight w:val="none"/>
                <w:lang w:val="en-US" w:eastAsia="zh-CN"/>
              </w:rPr>
              <w:t>声环境</w:t>
            </w:r>
            <w:r>
              <w:rPr>
                <w:rFonts w:hint="eastAsia" w:ascii="Times New Roman" w:hAnsi="Times New Roman" w:cs="Times New Roman"/>
                <w:color w:val="auto"/>
                <w:kern w:val="24"/>
                <w:sz w:val="24"/>
                <w:highlight w:val="none"/>
                <w:lang w:val="en-US" w:eastAsia="zh-CN"/>
              </w:rPr>
              <w:t>执行GB3096-2008《声环境质量标准》</w:t>
            </w:r>
            <w:r>
              <w:rPr>
                <w:rFonts w:hint="eastAsia" w:cs="Times New Roman"/>
                <w:color w:val="auto"/>
                <w:kern w:val="24"/>
                <w:sz w:val="24"/>
                <w:highlight w:val="none"/>
                <w:lang w:val="en-US" w:eastAsia="zh-CN"/>
              </w:rPr>
              <w:t>2</w:t>
            </w:r>
            <w:r>
              <w:rPr>
                <w:rFonts w:hint="eastAsia" w:ascii="Times New Roman" w:hAnsi="Times New Roman" w:cs="Times New Roman"/>
                <w:color w:val="auto"/>
                <w:kern w:val="24"/>
                <w:sz w:val="24"/>
                <w:highlight w:val="none"/>
                <w:lang w:val="en-US" w:eastAsia="zh-CN"/>
              </w:rPr>
              <w:t>类标准。标准值见表</w:t>
            </w:r>
            <w:r>
              <w:rPr>
                <w:rFonts w:hint="eastAsia" w:cs="Times New Roman"/>
                <w:color w:val="auto"/>
                <w:kern w:val="24"/>
                <w:sz w:val="24"/>
                <w:highlight w:val="none"/>
                <w:lang w:val="en-US" w:eastAsia="zh-CN"/>
              </w:rPr>
              <w:t>3-7</w:t>
            </w:r>
            <w:r>
              <w:rPr>
                <w:rFonts w:hint="eastAsia" w:ascii="Times New Roman" w:hAnsi="Times New Roman" w:cs="Times New Roman"/>
                <w:color w:val="auto"/>
                <w:kern w:val="24"/>
                <w:sz w:val="24"/>
                <w:highlight w:val="none"/>
                <w:lang w:val="en-US" w:eastAsia="zh-CN"/>
              </w:rPr>
              <w:t>。</w:t>
            </w:r>
          </w:p>
          <w:p w14:paraId="6A76EB00">
            <w:pPr>
              <w:pStyle w:val="84"/>
              <w:ind w:left="0" w:leftChars="0" w:firstLine="0" w:firstLineChars="0"/>
              <w:jc w:val="center"/>
              <w:rPr>
                <w:rFonts w:hint="eastAsia" w:ascii="Times New Roman" w:hAnsi="Times New Roman" w:cs="Times New Roman"/>
                <w:b/>
                <w:bCs/>
                <w:color w:val="auto"/>
                <w:kern w:val="24"/>
                <w:sz w:val="24"/>
                <w:highlight w:val="none"/>
                <w:lang w:val="en-US" w:eastAsia="zh-CN"/>
              </w:rPr>
            </w:pPr>
            <w:r>
              <w:rPr>
                <w:rFonts w:hint="eastAsia" w:ascii="Times New Roman" w:hAnsi="Times New Roman" w:cs="Times New Roman"/>
                <w:b/>
                <w:bCs/>
                <w:color w:val="auto"/>
                <w:kern w:val="24"/>
                <w:sz w:val="24"/>
                <w:highlight w:val="none"/>
                <w:lang w:val="en-US" w:eastAsia="zh-CN"/>
              </w:rPr>
              <w:t>表3-</w:t>
            </w:r>
            <w:r>
              <w:rPr>
                <w:rFonts w:hint="eastAsia" w:cs="Times New Roman"/>
                <w:b/>
                <w:bCs/>
                <w:color w:val="auto"/>
                <w:kern w:val="24"/>
                <w:sz w:val="24"/>
                <w:highlight w:val="none"/>
                <w:lang w:val="en-US" w:eastAsia="zh-CN"/>
              </w:rPr>
              <w:t>7</w:t>
            </w:r>
            <w:r>
              <w:rPr>
                <w:rFonts w:hint="eastAsia" w:ascii="Times New Roman" w:hAnsi="Times New Roman" w:cs="Times New Roman"/>
                <w:b/>
                <w:bCs/>
                <w:color w:val="auto"/>
                <w:kern w:val="24"/>
                <w:sz w:val="24"/>
                <w:highlight w:val="none"/>
                <w:lang w:val="en-US" w:eastAsia="zh-CN"/>
              </w:rPr>
              <w:t xml:space="preserve">  声环境质量标准   单位：dB(A)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1"/>
              <w:gridCol w:w="2284"/>
              <w:gridCol w:w="2285"/>
            </w:tblGrid>
            <w:tr w14:paraId="014A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pct"/>
                  <w:vMerge w:val="restart"/>
                  <w:shd w:val="clear" w:color="auto" w:fill="auto"/>
                  <w:noWrap w:val="0"/>
                  <w:vAlign w:val="center"/>
                </w:tcPr>
                <w:p w14:paraId="47B3D4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声环境功能区类别</w:t>
                  </w:r>
                </w:p>
              </w:tc>
              <w:tc>
                <w:tcPr>
                  <w:tcW w:w="2687" w:type="pct"/>
                  <w:gridSpan w:val="2"/>
                  <w:shd w:val="clear" w:color="auto" w:fill="auto"/>
                  <w:noWrap w:val="0"/>
                  <w:vAlign w:val="center"/>
                </w:tcPr>
                <w:p w14:paraId="40330D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时段</w:t>
                  </w:r>
                </w:p>
              </w:tc>
            </w:tr>
            <w:tr w14:paraId="4D1F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pct"/>
                  <w:vMerge w:val="continue"/>
                  <w:shd w:val="clear" w:color="auto" w:fill="auto"/>
                  <w:noWrap w:val="0"/>
                  <w:vAlign w:val="center"/>
                </w:tcPr>
                <w:p w14:paraId="7E0DC3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343" w:type="pct"/>
                  <w:shd w:val="clear" w:color="auto" w:fill="auto"/>
                  <w:noWrap w:val="0"/>
                  <w:vAlign w:val="center"/>
                </w:tcPr>
                <w:p w14:paraId="22BED9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昼间</w:t>
                  </w:r>
                </w:p>
              </w:tc>
              <w:tc>
                <w:tcPr>
                  <w:tcW w:w="1344" w:type="pct"/>
                  <w:shd w:val="clear" w:color="auto" w:fill="auto"/>
                  <w:noWrap w:val="0"/>
                  <w:vAlign w:val="center"/>
                </w:tcPr>
                <w:p w14:paraId="5D4C32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夜间</w:t>
                  </w:r>
                </w:p>
              </w:tc>
            </w:tr>
            <w:tr w14:paraId="0BA5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pct"/>
                  <w:shd w:val="clear" w:color="auto" w:fill="auto"/>
                  <w:noWrap w:val="0"/>
                  <w:vAlign w:val="center"/>
                </w:tcPr>
                <w:p w14:paraId="79085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r>
                    <w:rPr>
                      <w:rFonts w:hint="eastAsia" w:ascii="Times New Roman" w:hAnsi="Times New Roman" w:eastAsia="宋体" w:cs="Times New Roman"/>
                      <w:color w:val="auto"/>
                      <w:sz w:val="21"/>
                      <w:szCs w:val="21"/>
                      <w:highlight w:val="none"/>
                      <w:vertAlign w:val="baseline"/>
                      <w:lang w:val="en-US" w:eastAsia="zh-CN"/>
                    </w:rPr>
                    <w:t>类</w:t>
                  </w:r>
                </w:p>
              </w:tc>
              <w:tc>
                <w:tcPr>
                  <w:tcW w:w="1343" w:type="pct"/>
                  <w:shd w:val="clear" w:color="auto" w:fill="auto"/>
                  <w:noWrap w:val="0"/>
                  <w:vAlign w:val="center"/>
                </w:tcPr>
                <w:p w14:paraId="4678DA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w:t>
                  </w:r>
                  <w:r>
                    <w:rPr>
                      <w:rFonts w:hint="eastAsia" w:cs="Times New Roman"/>
                      <w:color w:val="auto"/>
                      <w:sz w:val="21"/>
                      <w:szCs w:val="21"/>
                      <w:highlight w:val="none"/>
                      <w:vertAlign w:val="baseline"/>
                      <w:lang w:val="en-US" w:eastAsia="zh-CN"/>
                    </w:rPr>
                    <w:t>0</w:t>
                  </w:r>
                </w:p>
              </w:tc>
              <w:tc>
                <w:tcPr>
                  <w:tcW w:w="1344" w:type="pct"/>
                  <w:shd w:val="clear" w:color="auto" w:fill="auto"/>
                  <w:noWrap w:val="0"/>
                  <w:vAlign w:val="center"/>
                </w:tcPr>
                <w:p w14:paraId="65937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r>
                    <w:rPr>
                      <w:rFonts w:hint="eastAsia" w:cs="Times New Roman"/>
                      <w:color w:val="auto"/>
                      <w:sz w:val="21"/>
                      <w:szCs w:val="21"/>
                      <w:highlight w:val="none"/>
                      <w:vertAlign w:val="baseline"/>
                      <w:lang w:val="en-US" w:eastAsia="zh-CN"/>
                    </w:rPr>
                    <w:t>0</w:t>
                  </w:r>
                </w:p>
              </w:tc>
            </w:tr>
          </w:tbl>
          <w:p w14:paraId="314AF51E">
            <w:pPr>
              <w:pStyle w:val="62"/>
              <w:spacing w:line="360" w:lineRule="auto"/>
              <w:ind w:firstLine="480" w:firstLineChars="200"/>
              <w:rPr>
                <w:rFonts w:hint="default" w:ascii="Times New Roman" w:hAnsi="Times New Roman" w:cs="Times New Roman"/>
                <w:color w:val="auto"/>
                <w:kern w:val="24"/>
                <w:sz w:val="24"/>
                <w:highlight w:val="none"/>
                <w:lang w:val="en-US" w:eastAsia="zh-CN"/>
              </w:rPr>
            </w:pPr>
            <w:r>
              <w:rPr>
                <w:rFonts w:hint="eastAsia" w:ascii="Times New Roman" w:hAnsi="Times New Roman" w:cs="Times New Roman"/>
                <w:color w:val="auto"/>
                <w:kern w:val="24"/>
                <w:sz w:val="24"/>
                <w:highlight w:val="none"/>
                <w:lang w:val="en-US" w:eastAsia="zh-CN"/>
              </w:rPr>
              <w:t>2、声环境质量现状</w:t>
            </w:r>
          </w:p>
          <w:p w14:paraId="44596F24">
            <w:pPr>
              <w:pStyle w:val="6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24"/>
                <w:sz w:val="24"/>
                <w:highlight w:val="none"/>
                <w:lang w:val="en-US" w:eastAsia="zh-CN"/>
              </w:rPr>
            </w:pPr>
            <w:r>
              <w:rPr>
                <w:rFonts w:hint="default" w:ascii="Times New Roman" w:hAnsi="Times New Roman" w:cs="Times New Roman"/>
                <w:color w:val="auto"/>
                <w:kern w:val="24"/>
                <w:sz w:val="24"/>
                <w:highlight w:val="none"/>
                <w:lang w:val="en-US"/>
              </w:rPr>
              <w:t>经现场踏勘</w:t>
            </w:r>
            <w:r>
              <w:rPr>
                <w:rFonts w:hint="eastAsia" w:ascii="Times New Roman" w:hAnsi="Times New Roman" w:cs="Times New Roman"/>
                <w:color w:val="auto"/>
                <w:kern w:val="24"/>
                <w:sz w:val="24"/>
                <w:highlight w:val="none"/>
                <w:lang w:val="en-US" w:eastAsia="zh-CN"/>
              </w:rPr>
              <w:t>，</w:t>
            </w:r>
            <w:r>
              <w:rPr>
                <w:rFonts w:hint="default" w:ascii="Times New Roman" w:hAnsi="Times New Roman" w:cs="Times New Roman"/>
                <w:color w:val="auto"/>
                <w:kern w:val="24"/>
                <w:sz w:val="24"/>
                <w:highlight w:val="none"/>
                <w:lang w:val="en-US"/>
              </w:rPr>
              <w:t>项目区域噪声源主要为交通噪声及生产噪声，</w:t>
            </w:r>
            <w:r>
              <w:rPr>
                <w:rFonts w:hint="default" w:ascii="Times New Roman" w:hAnsi="Times New Roman" w:eastAsia="宋体" w:cs="Times New Roman"/>
                <w:color w:val="auto"/>
                <w:sz w:val="24"/>
                <w:highlight w:val="none"/>
                <w:lang w:bidi="ar"/>
              </w:rPr>
              <w:t>根据《建设项目环境影响报告表编制技术指南（污染影响类）》（试行），</w:t>
            </w:r>
            <w:r>
              <w:rPr>
                <w:rFonts w:hint="eastAsia" w:ascii="Times New Roman" w:hAnsi="Times New Roman" w:cs="Times New Roman"/>
                <w:color w:val="auto"/>
                <w:kern w:val="24"/>
                <w:sz w:val="24"/>
                <w:highlight w:val="none"/>
                <w:lang w:val="en-US"/>
              </w:rPr>
              <w:t>项目厂界外周边50m范围内无声环境保护目标，</w:t>
            </w:r>
            <w:r>
              <w:rPr>
                <w:rFonts w:hint="eastAsia" w:ascii="Times New Roman" w:hAnsi="Times New Roman" w:cs="Times New Roman"/>
                <w:color w:val="auto"/>
                <w:kern w:val="24"/>
                <w:sz w:val="24"/>
                <w:highlight w:val="none"/>
                <w:lang w:val="en-US" w:eastAsia="zh-CN"/>
              </w:rPr>
              <w:t>不需进行现状监测或调查</w:t>
            </w:r>
            <w:r>
              <w:rPr>
                <w:rFonts w:hint="eastAsia" w:ascii="Times New Roman" w:hAnsi="Times New Roman" w:cs="Times New Roman"/>
                <w:color w:val="auto"/>
                <w:kern w:val="24"/>
                <w:sz w:val="24"/>
                <w:highlight w:val="none"/>
                <w:lang w:val="en-US"/>
              </w:rPr>
              <w:t>。</w:t>
            </w:r>
          </w:p>
          <w:p w14:paraId="45E88B7D">
            <w:pPr>
              <w:pStyle w:val="62"/>
              <w:spacing w:line="360" w:lineRule="auto"/>
              <w:ind w:firstLine="482" w:firstLineChars="200"/>
              <w:rPr>
                <w:rFonts w:hint="default" w:ascii="Times New Roman" w:hAnsi="Times New Roman" w:cs="Times New Roman"/>
                <w:b/>
                <w:bCs/>
                <w:color w:val="auto"/>
                <w:kern w:val="24"/>
                <w:sz w:val="24"/>
                <w:highlight w:val="none"/>
                <w:lang w:val="en-US" w:eastAsia="zh-CN"/>
              </w:rPr>
            </w:pPr>
            <w:r>
              <w:rPr>
                <w:rFonts w:hint="eastAsia" w:ascii="Times New Roman" w:hAnsi="Times New Roman" w:cs="Times New Roman"/>
                <w:b/>
                <w:bCs/>
                <w:color w:val="auto"/>
                <w:kern w:val="24"/>
                <w:sz w:val="24"/>
                <w:highlight w:val="none"/>
                <w:lang w:val="en-US" w:eastAsia="zh-CN"/>
              </w:rPr>
              <w:t>五</w:t>
            </w:r>
            <w:r>
              <w:rPr>
                <w:rFonts w:hint="default" w:ascii="Times New Roman" w:hAnsi="Times New Roman" w:cs="Times New Roman"/>
                <w:b/>
                <w:bCs/>
                <w:color w:val="auto"/>
                <w:kern w:val="24"/>
                <w:sz w:val="24"/>
                <w:highlight w:val="none"/>
                <w:lang w:val="en-US" w:eastAsia="zh-CN"/>
              </w:rPr>
              <w:t>、生态环境现状</w:t>
            </w:r>
          </w:p>
          <w:p w14:paraId="3E8F2C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项目占地类型为</w:t>
            </w:r>
            <w:r>
              <w:rPr>
                <w:rFonts w:hint="eastAsia"/>
                <w:color w:val="auto"/>
                <w:sz w:val="24"/>
                <w:highlight w:val="none"/>
                <w:lang w:val="en-US" w:eastAsia="zh-CN"/>
              </w:rPr>
              <w:t>公共设施用地</w:t>
            </w:r>
            <w:r>
              <w:rPr>
                <w:rFonts w:hint="eastAsia" w:eastAsia="宋体"/>
                <w:color w:val="auto"/>
                <w:sz w:val="24"/>
                <w:highlight w:val="none"/>
                <w:lang w:eastAsia="zh-CN"/>
              </w:rPr>
              <w:t>，</w:t>
            </w:r>
            <w:r>
              <w:rPr>
                <w:rFonts w:hint="eastAsia"/>
                <w:color w:val="auto"/>
                <w:sz w:val="24"/>
                <w:highlight w:val="none"/>
                <w:lang w:val="en-US" w:eastAsia="zh-CN"/>
              </w:rPr>
              <w:t>根据</w:t>
            </w:r>
            <w:r>
              <w:rPr>
                <w:rFonts w:hint="eastAsia"/>
                <w:color w:val="auto"/>
                <w:sz w:val="24"/>
                <w:highlight w:val="none"/>
              </w:rPr>
              <w:t>现场踏勘</w:t>
            </w:r>
            <w:r>
              <w:rPr>
                <w:rFonts w:hint="eastAsia"/>
                <w:color w:val="auto"/>
                <w:sz w:val="24"/>
                <w:highlight w:val="none"/>
                <w:lang w:eastAsia="zh-CN"/>
              </w:rPr>
              <w:t>，</w:t>
            </w:r>
            <w:r>
              <w:rPr>
                <w:rFonts w:hint="eastAsia"/>
                <w:color w:val="auto"/>
                <w:sz w:val="24"/>
                <w:highlight w:val="none"/>
                <w:lang w:val="en-US" w:eastAsia="zh-CN"/>
              </w:rPr>
              <w:t>项目周边</w:t>
            </w:r>
            <w:r>
              <w:rPr>
                <w:rFonts w:hint="eastAsia"/>
                <w:color w:val="auto"/>
                <w:sz w:val="24"/>
                <w:highlight w:val="none"/>
              </w:rPr>
              <w:t>植被</w:t>
            </w:r>
            <w:r>
              <w:rPr>
                <w:rFonts w:hint="eastAsia"/>
                <w:color w:val="auto"/>
                <w:sz w:val="24"/>
                <w:highlight w:val="none"/>
                <w:lang w:val="en-US" w:eastAsia="zh-CN"/>
              </w:rPr>
              <w:t>主要为灌木丛、云南省</w:t>
            </w:r>
            <w:r>
              <w:rPr>
                <w:rFonts w:hint="eastAsia"/>
                <w:color w:val="auto"/>
                <w:sz w:val="24"/>
                <w:highlight w:val="none"/>
                <w:lang w:eastAsia="zh-CN"/>
              </w:rPr>
              <w:t>；</w:t>
            </w:r>
            <w:r>
              <w:rPr>
                <w:rFonts w:hint="eastAsia"/>
                <w:color w:val="auto"/>
                <w:sz w:val="24"/>
                <w:highlight w:val="none"/>
              </w:rPr>
              <w:t>动物种类主要为</w:t>
            </w:r>
            <w:r>
              <w:rPr>
                <w:color w:val="auto"/>
                <w:sz w:val="24"/>
                <w:highlight w:val="none"/>
              </w:rPr>
              <w:t>少量鸟类及啮齿类动物</w:t>
            </w:r>
            <w:r>
              <w:rPr>
                <w:rFonts w:hint="eastAsia"/>
                <w:color w:val="auto"/>
                <w:sz w:val="24"/>
                <w:highlight w:val="none"/>
              </w:rPr>
              <w:t>等</w:t>
            </w:r>
            <w:bookmarkStart w:id="19" w:name="_Hlk524988295"/>
            <w:r>
              <w:rPr>
                <w:color w:val="auto"/>
                <w:sz w:val="24"/>
                <w:highlight w:val="none"/>
              </w:rPr>
              <w:t>区域常见的广布种</w:t>
            </w:r>
            <w:bookmarkEnd w:id="19"/>
            <w:r>
              <w:rPr>
                <w:rFonts w:hint="eastAsia"/>
                <w:color w:val="auto"/>
                <w:sz w:val="24"/>
                <w:highlight w:val="none"/>
              </w:rPr>
              <w:t>，</w:t>
            </w:r>
            <w:r>
              <w:rPr>
                <w:color w:val="auto"/>
                <w:sz w:val="24"/>
                <w:highlight w:val="none"/>
              </w:rPr>
              <w:t>无国家珍稀濒危保护物种、国家重点保护野生植物和云南省级重点保护动物，也没有发现特有种类存在。</w:t>
            </w:r>
            <w:r>
              <w:rPr>
                <w:rFonts w:hint="eastAsia"/>
                <w:color w:val="auto"/>
                <w:sz w:val="24"/>
                <w:highlight w:val="none"/>
              </w:rPr>
              <w:t>评价区域内无自然保护区和风景名胜区，不涉及国家级和省级保护动植物、珍稀濒危物种和地方特有种。</w:t>
            </w:r>
          </w:p>
          <w:p w14:paraId="526A6F6F">
            <w:pPr>
              <w:pStyle w:val="62"/>
              <w:spacing w:line="360" w:lineRule="auto"/>
              <w:ind w:firstLine="482" w:firstLineChars="200"/>
              <w:rPr>
                <w:rFonts w:hint="eastAsia" w:eastAsia="宋体"/>
                <w:b/>
                <w:bCs/>
                <w:color w:val="auto"/>
                <w:sz w:val="24"/>
                <w:szCs w:val="24"/>
                <w:highlight w:val="none"/>
                <w:lang w:val="en-US" w:eastAsia="zh-CN"/>
              </w:rPr>
            </w:pPr>
            <w:r>
              <w:rPr>
                <w:rFonts w:hint="eastAsia"/>
                <w:b/>
                <w:bCs/>
                <w:color w:val="auto"/>
                <w:sz w:val="24"/>
                <w:szCs w:val="24"/>
                <w:highlight w:val="none"/>
                <w:lang w:val="en-US" w:eastAsia="zh-CN"/>
              </w:rPr>
              <w:t>六、土壤环境现状</w:t>
            </w:r>
          </w:p>
          <w:p w14:paraId="0B5ED3DE">
            <w:pPr>
              <w:pStyle w:val="62"/>
              <w:spacing w:line="360" w:lineRule="auto"/>
              <w:ind w:firstLine="480" w:firstLineChars="200"/>
              <w:rPr>
                <w:rFonts w:ascii="Times New Roman" w:hAnsi="Times New Roman" w:cs="Times New Roman"/>
                <w:color w:val="auto"/>
                <w:kern w:val="24"/>
                <w:sz w:val="24"/>
                <w:highlight w:val="none"/>
                <w:lang w:val="en-US"/>
              </w:rPr>
            </w:pPr>
            <w:r>
              <w:rPr>
                <w:rFonts w:ascii="Times New Roman" w:hAnsi="Times New Roman" w:cs="Times New Roman"/>
                <w:color w:val="auto"/>
                <w:kern w:val="24"/>
                <w:sz w:val="24"/>
                <w:highlight w:val="none"/>
                <w:lang w:val="en-US"/>
              </w:rPr>
              <w:t>1、土壤环境质量标准</w:t>
            </w:r>
          </w:p>
          <w:p w14:paraId="2F1C50D5">
            <w:pPr>
              <w:spacing w:line="360" w:lineRule="auto"/>
              <w:ind w:firstLine="480" w:firstLineChars="200"/>
              <w:rPr>
                <w:bCs/>
                <w:color w:val="auto"/>
                <w:sz w:val="24"/>
                <w:highlight w:val="none"/>
              </w:rPr>
            </w:pPr>
            <w:r>
              <w:rPr>
                <w:bCs/>
                <w:color w:val="auto"/>
                <w:sz w:val="24"/>
                <w:highlight w:val="none"/>
              </w:rPr>
              <w:t>本项目用地土壤环境质量标准执行《土壤环境质量  建设用地土壤污染风险管控标准（试行）》（GB 36600-2018）中第二类用地筛选值及管制值，具体见表3</w:t>
            </w:r>
            <w:r>
              <w:rPr>
                <w:rFonts w:hint="eastAsia"/>
                <w:bCs/>
                <w:color w:val="auto"/>
                <w:sz w:val="24"/>
                <w:highlight w:val="none"/>
              </w:rPr>
              <w:t>-</w:t>
            </w:r>
            <w:r>
              <w:rPr>
                <w:rFonts w:hint="eastAsia"/>
                <w:bCs/>
                <w:color w:val="auto"/>
                <w:sz w:val="24"/>
                <w:highlight w:val="none"/>
                <w:lang w:val="en-US" w:eastAsia="zh-CN"/>
              </w:rPr>
              <w:t>8</w:t>
            </w:r>
            <w:r>
              <w:rPr>
                <w:bCs/>
                <w:color w:val="auto"/>
                <w:sz w:val="24"/>
                <w:highlight w:val="none"/>
              </w:rPr>
              <w:t>。</w:t>
            </w:r>
          </w:p>
          <w:p w14:paraId="75D25A11">
            <w:pPr>
              <w:spacing w:line="360" w:lineRule="auto"/>
              <w:jc w:val="center"/>
              <w:rPr>
                <w:b/>
                <w:color w:val="auto"/>
                <w:sz w:val="24"/>
                <w:highlight w:val="none"/>
              </w:rPr>
            </w:pPr>
            <w:r>
              <w:rPr>
                <w:b/>
                <w:color w:val="auto"/>
                <w:sz w:val="24"/>
                <w:highlight w:val="none"/>
              </w:rPr>
              <w:t>表3-</w:t>
            </w:r>
            <w:r>
              <w:rPr>
                <w:rFonts w:hint="eastAsia"/>
                <w:b/>
                <w:color w:val="auto"/>
                <w:sz w:val="24"/>
                <w:highlight w:val="none"/>
                <w:lang w:val="en-US" w:eastAsia="zh-CN"/>
              </w:rPr>
              <w:t>8</w:t>
            </w:r>
            <w:r>
              <w:rPr>
                <w:b/>
                <w:color w:val="auto"/>
                <w:sz w:val="24"/>
                <w:highlight w:val="none"/>
              </w:rPr>
              <w:t xml:space="preserve">    建设用地土壤环境质量标准（单位：mg/kg）</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066"/>
              <w:gridCol w:w="1800"/>
              <w:gridCol w:w="1673"/>
              <w:gridCol w:w="1681"/>
            </w:tblGrid>
            <w:tr w14:paraId="6208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5D405E0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序号</w:t>
                  </w:r>
                </w:p>
              </w:tc>
              <w:tc>
                <w:tcPr>
                  <w:tcW w:w="1215" w:type="pct"/>
                </w:tcPr>
                <w:p w14:paraId="2B2CE0B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污染项目</w:t>
                  </w:r>
                </w:p>
              </w:tc>
              <w:tc>
                <w:tcPr>
                  <w:tcW w:w="1059" w:type="pct"/>
                </w:tcPr>
                <w:p w14:paraId="6D79A8F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CAS编号</w:t>
                  </w:r>
                </w:p>
              </w:tc>
              <w:tc>
                <w:tcPr>
                  <w:tcW w:w="984" w:type="pct"/>
                </w:tcPr>
                <w:p w14:paraId="572BB7E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筛选值</w:t>
                  </w:r>
                </w:p>
              </w:tc>
              <w:tc>
                <w:tcPr>
                  <w:tcW w:w="987" w:type="pct"/>
                </w:tcPr>
                <w:p w14:paraId="35CDBA2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管制值</w:t>
                  </w:r>
                </w:p>
              </w:tc>
            </w:tr>
            <w:tr w14:paraId="2440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4CB331B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重金属和无机物</w:t>
                  </w:r>
                </w:p>
              </w:tc>
            </w:tr>
            <w:tr w14:paraId="494A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66E7B54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w:t>
                  </w:r>
                </w:p>
              </w:tc>
              <w:tc>
                <w:tcPr>
                  <w:tcW w:w="1215" w:type="pct"/>
                </w:tcPr>
                <w:p w14:paraId="238A28F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砷</w:t>
                  </w:r>
                </w:p>
              </w:tc>
              <w:tc>
                <w:tcPr>
                  <w:tcW w:w="1059" w:type="pct"/>
                </w:tcPr>
                <w:p w14:paraId="684C65D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7440-38-2</w:t>
                  </w:r>
                </w:p>
              </w:tc>
              <w:tc>
                <w:tcPr>
                  <w:tcW w:w="984" w:type="pct"/>
                </w:tcPr>
                <w:p w14:paraId="598000B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60</w:t>
                  </w:r>
                </w:p>
              </w:tc>
              <w:tc>
                <w:tcPr>
                  <w:tcW w:w="987" w:type="pct"/>
                </w:tcPr>
                <w:p w14:paraId="1A63528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140</w:t>
                  </w:r>
                </w:p>
              </w:tc>
            </w:tr>
            <w:tr w14:paraId="29D0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2644BE51">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w:t>
                  </w:r>
                </w:p>
              </w:tc>
              <w:tc>
                <w:tcPr>
                  <w:tcW w:w="1215" w:type="pct"/>
                </w:tcPr>
                <w:p w14:paraId="76CB89D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镉</w:t>
                  </w:r>
                </w:p>
              </w:tc>
              <w:tc>
                <w:tcPr>
                  <w:tcW w:w="1059" w:type="pct"/>
                </w:tcPr>
                <w:p w14:paraId="19D0222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7440-43-9</w:t>
                  </w:r>
                </w:p>
              </w:tc>
              <w:tc>
                <w:tcPr>
                  <w:tcW w:w="984" w:type="pct"/>
                </w:tcPr>
                <w:p w14:paraId="038DD78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65</w:t>
                  </w:r>
                </w:p>
              </w:tc>
              <w:tc>
                <w:tcPr>
                  <w:tcW w:w="987" w:type="pct"/>
                </w:tcPr>
                <w:p w14:paraId="4809A63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172</w:t>
                  </w:r>
                </w:p>
              </w:tc>
            </w:tr>
            <w:tr w14:paraId="55EA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1358085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w:t>
                  </w:r>
                </w:p>
              </w:tc>
              <w:tc>
                <w:tcPr>
                  <w:tcW w:w="1215" w:type="pct"/>
                </w:tcPr>
                <w:p w14:paraId="224CB7D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六价铬</w:t>
                  </w:r>
                </w:p>
              </w:tc>
              <w:tc>
                <w:tcPr>
                  <w:tcW w:w="1059" w:type="pct"/>
                </w:tcPr>
                <w:p w14:paraId="3784A7B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18540-29-9</w:t>
                  </w:r>
                </w:p>
              </w:tc>
              <w:tc>
                <w:tcPr>
                  <w:tcW w:w="984" w:type="pct"/>
                </w:tcPr>
                <w:p w14:paraId="584889A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5.7</w:t>
                  </w:r>
                </w:p>
              </w:tc>
              <w:tc>
                <w:tcPr>
                  <w:tcW w:w="987" w:type="pct"/>
                </w:tcPr>
                <w:p w14:paraId="0C29387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78</w:t>
                  </w:r>
                </w:p>
              </w:tc>
            </w:tr>
            <w:tr w14:paraId="51C3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372C815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w:t>
                  </w:r>
                </w:p>
              </w:tc>
              <w:tc>
                <w:tcPr>
                  <w:tcW w:w="1215" w:type="pct"/>
                </w:tcPr>
                <w:p w14:paraId="40D7057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铜</w:t>
                  </w:r>
                </w:p>
              </w:tc>
              <w:tc>
                <w:tcPr>
                  <w:tcW w:w="1059" w:type="pct"/>
                </w:tcPr>
                <w:p w14:paraId="65474D2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7440-50-8</w:t>
                  </w:r>
                </w:p>
              </w:tc>
              <w:tc>
                <w:tcPr>
                  <w:tcW w:w="984" w:type="pct"/>
                </w:tcPr>
                <w:p w14:paraId="1976512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18000</w:t>
                  </w:r>
                </w:p>
              </w:tc>
              <w:tc>
                <w:tcPr>
                  <w:tcW w:w="987" w:type="pct"/>
                </w:tcPr>
                <w:p w14:paraId="5D24C93A">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36000</w:t>
                  </w:r>
                </w:p>
              </w:tc>
            </w:tr>
            <w:tr w14:paraId="11AC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3AFCCD3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w:t>
                  </w:r>
                </w:p>
              </w:tc>
              <w:tc>
                <w:tcPr>
                  <w:tcW w:w="1215" w:type="pct"/>
                </w:tcPr>
                <w:p w14:paraId="2B30680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铅</w:t>
                  </w:r>
                </w:p>
              </w:tc>
              <w:tc>
                <w:tcPr>
                  <w:tcW w:w="1059" w:type="pct"/>
                </w:tcPr>
                <w:p w14:paraId="5E4FCC1A">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7439-92-1</w:t>
                  </w:r>
                </w:p>
              </w:tc>
              <w:tc>
                <w:tcPr>
                  <w:tcW w:w="984" w:type="pct"/>
                </w:tcPr>
                <w:p w14:paraId="48FFD98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800</w:t>
                  </w:r>
                </w:p>
              </w:tc>
              <w:tc>
                <w:tcPr>
                  <w:tcW w:w="987" w:type="pct"/>
                </w:tcPr>
                <w:p w14:paraId="6B736F3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2500</w:t>
                  </w:r>
                </w:p>
              </w:tc>
            </w:tr>
            <w:tr w14:paraId="6BA6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1DE7313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w:t>
                  </w:r>
                </w:p>
              </w:tc>
              <w:tc>
                <w:tcPr>
                  <w:tcW w:w="1215" w:type="pct"/>
                </w:tcPr>
                <w:p w14:paraId="5E24625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汞</w:t>
                  </w:r>
                </w:p>
              </w:tc>
              <w:tc>
                <w:tcPr>
                  <w:tcW w:w="1059" w:type="pct"/>
                </w:tcPr>
                <w:p w14:paraId="12A447D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7439-97-6</w:t>
                  </w:r>
                </w:p>
              </w:tc>
              <w:tc>
                <w:tcPr>
                  <w:tcW w:w="984" w:type="pct"/>
                </w:tcPr>
                <w:p w14:paraId="0562646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38</w:t>
                  </w:r>
                </w:p>
              </w:tc>
              <w:tc>
                <w:tcPr>
                  <w:tcW w:w="987" w:type="pct"/>
                </w:tcPr>
                <w:p w14:paraId="55B2209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82</w:t>
                  </w:r>
                </w:p>
              </w:tc>
            </w:tr>
            <w:tr w14:paraId="7443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70F5F40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w:t>
                  </w:r>
                </w:p>
              </w:tc>
              <w:tc>
                <w:tcPr>
                  <w:tcW w:w="1215" w:type="pct"/>
                </w:tcPr>
                <w:p w14:paraId="2ECC81F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镍</w:t>
                  </w:r>
                </w:p>
              </w:tc>
              <w:tc>
                <w:tcPr>
                  <w:tcW w:w="1059" w:type="pct"/>
                </w:tcPr>
                <w:p w14:paraId="317194B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7440-02-0</w:t>
                  </w:r>
                </w:p>
              </w:tc>
              <w:tc>
                <w:tcPr>
                  <w:tcW w:w="984" w:type="pct"/>
                </w:tcPr>
                <w:p w14:paraId="1FF1183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900</w:t>
                  </w:r>
                </w:p>
              </w:tc>
              <w:tc>
                <w:tcPr>
                  <w:tcW w:w="987" w:type="pct"/>
                </w:tcPr>
                <w:p w14:paraId="72845B4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2000</w:t>
                  </w:r>
                </w:p>
              </w:tc>
            </w:tr>
            <w:tr w14:paraId="3F67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000" w:type="pct"/>
                  <w:gridSpan w:val="5"/>
                </w:tcPr>
                <w:p w14:paraId="1E775E7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挥发性有机物</w:t>
                  </w:r>
                </w:p>
              </w:tc>
            </w:tr>
            <w:tr w14:paraId="4393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0C3A990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8</w:t>
                  </w:r>
                </w:p>
              </w:tc>
              <w:tc>
                <w:tcPr>
                  <w:tcW w:w="1215" w:type="pct"/>
                </w:tcPr>
                <w:p w14:paraId="2E9B68DA">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四氯化碳</w:t>
                  </w:r>
                </w:p>
              </w:tc>
              <w:tc>
                <w:tcPr>
                  <w:tcW w:w="1059" w:type="pct"/>
                </w:tcPr>
                <w:p w14:paraId="5698F3F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56-23-5</w:t>
                  </w:r>
                </w:p>
              </w:tc>
              <w:tc>
                <w:tcPr>
                  <w:tcW w:w="984" w:type="pct"/>
                </w:tcPr>
                <w:p w14:paraId="7ACB7FA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2.8</w:t>
                  </w:r>
                </w:p>
              </w:tc>
              <w:tc>
                <w:tcPr>
                  <w:tcW w:w="987" w:type="pct"/>
                </w:tcPr>
                <w:p w14:paraId="0F87785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36</w:t>
                  </w:r>
                </w:p>
              </w:tc>
            </w:tr>
            <w:tr w14:paraId="1BD3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330A9D6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9</w:t>
                  </w:r>
                </w:p>
              </w:tc>
              <w:tc>
                <w:tcPr>
                  <w:tcW w:w="1215" w:type="pct"/>
                </w:tcPr>
                <w:p w14:paraId="3C16055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氯仿</w:t>
                  </w:r>
                </w:p>
              </w:tc>
              <w:tc>
                <w:tcPr>
                  <w:tcW w:w="1059" w:type="pct"/>
                </w:tcPr>
                <w:p w14:paraId="6434495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67-66-3</w:t>
                  </w:r>
                </w:p>
              </w:tc>
              <w:tc>
                <w:tcPr>
                  <w:tcW w:w="984" w:type="pct"/>
                </w:tcPr>
                <w:p w14:paraId="307FB9F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0.9</w:t>
                  </w:r>
                </w:p>
              </w:tc>
              <w:tc>
                <w:tcPr>
                  <w:tcW w:w="987" w:type="pct"/>
                </w:tcPr>
                <w:p w14:paraId="5A4A391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w:t>
                  </w:r>
                </w:p>
              </w:tc>
            </w:tr>
            <w:tr w14:paraId="20AA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6001B49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w:t>
                  </w:r>
                </w:p>
              </w:tc>
              <w:tc>
                <w:tcPr>
                  <w:tcW w:w="1215" w:type="pct"/>
                </w:tcPr>
                <w:p w14:paraId="294A7BA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氯甲烷</w:t>
                  </w:r>
                </w:p>
              </w:tc>
              <w:tc>
                <w:tcPr>
                  <w:tcW w:w="1059" w:type="pct"/>
                </w:tcPr>
                <w:p w14:paraId="59A9CB9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74-87-3</w:t>
                  </w:r>
                </w:p>
              </w:tc>
              <w:tc>
                <w:tcPr>
                  <w:tcW w:w="984" w:type="pct"/>
                </w:tcPr>
                <w:p w14:paraId="5027122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37</w:t>
                  </w:r>
                </w:p>
              </w:tc>
              <w:tc>
                <w:tcPr>
                  <w:tcW w:w="987" w:type="pct"/>
                </w:tcPr>
                <w:p w14:paraId="243184A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120</w:t>
                  </w:r>
                </w:p>
              </w:tc>
            </w:tr>
            <w:tr w14:paraId="070D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753" w:type="pct"/>
                </w:tcPr>
                <w:p w14:paraId="64A8BA1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11</w:t>
                  </w:r>
                </w:p>
              </w:tc>
              <w:tc>
                <w:tcPr>
                  <w:tcW w:w="1215" w:type="pct"/>
                </w:tcPr>
                <w:p w14:paraId="7D6A137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1,1-二氯乙烷</w:t>
                  </w:r>
                </w:p>
              </w:tc>
              <w:tc>
                <w:tcPr>
                  <w:tcW w:w="1059" w:type="pct"/>
                </w:tcPr>
                <w:p w14:paraId="69D117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75-34-3</w:t>
                  </w:r>
                </w:p>
              </w:tc>
              <w:tc>
                <w:tcPr>
                  <w:tcW w:w="984" w:type="pct"/>
                </w:tcPr>
                <w:p w14:paraId="5F8859D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9</w:t>
                  </w:r>
                </w:p>
              </w:tc>
              <w:tc>
                <w:tcPr>
                  <w:tcW w:w="987" w:type="pct"/>
                </w:tcPr>
                <w:p w14:paraId="4B2381F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100</w:t>
                  </w:r>
                </w:p>
              </w:tc>
            </w:tr>
            <w:tr w14:paraId="5E12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30D9082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w:t>
                  </w:r>
                </w:p>
              </w:tc>
              <w:tc>
                <w:tcPr>
                  <w:tcW w:w="1215" w:type="pct"/>
                </w:tcPr>
                <w:p w14:paraId="6356BEF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1,2-二氯乙烷</w:t>
                  </w:r>
                </w:p>
              </w:tc>
              <w:tc>
                <w:tcPr>
                  <w:tcW w:w="1059" w:type="pct"/>
                </w:tcPr>
                <w:p w14:paraId="450D3C5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107-06-2</w:t>
                  </w:r>
                </w:p>
              </w:tc>
              <w:tc>
                <w:tcPr>
                  <w:tcW w:w="984" w:type="pct"/>
                </w:tcPr>
                <w:p w14:paraId="1576887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w:t>
                  </w:r>
                </w:p>
              </w:tc>
              <w:tc>
                <w:tcPr>
                  <w:tcW w:w="987" w:type="pct"/>
                </w:tcPr>
                <w:p w14:paraId="5C06793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21</w:t>
                  </w:r>
                </w:p>
              </w:tc>
            </w:tr>
            <w:tr w14:paraId="3AA8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4BBA4FF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13</w:t>
                  </w:r>
                </w:p>
              </w:tc>
              <w:tc>
                <w:tcPr>
                  <w:tcW w:w="1215" w:type="pct"/>
                </w:tcPr>
                <w:p w14:paraId="1939704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1,1-二氯乙烯</w:t>
                  </w:r>
                </w:p>
              </w:tc>
              <w:tc>
                <w:tcPr>
                  <w:tcW w:w="1059" w:type="pct"/>
                </w:tcPr>
                <w:p w14:paraId="3775290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75-35-4</w:t>
                  </w:r>
                </w:p>
              </w:tc>
              <w:tc>
                <w:tcPr>
                  <w:tcW w:w="984" w:type="pct"/>
                </w:tcPr>
                <w:p w14:paraId="3564D30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66</w:t>
                  </w:r>
                </w:p>
              </w:tc>
              <w:tc>
                <w:tcPr>
                  <w:tcW w:w="987" w:type="pct"/>
                </w:tcPr>
                <w:p w14:paraId="4B6980A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200</w:t>
                  </w:r>
                </w:p>
              </w:tc>
            </w:tr>
            <w:tr w14:paraId="7A0E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7C38F93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14</w:t>
                  </w:r>
                </w:p>
              </w:tc>
              <w:tc>
                <w:tcPr>
                  <w:tcW w:w="1215" w:type="pct"/>
                </w:tcPr>
                <w:p w14:paraId="47F3350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顺-1,2-二氯乙烯</w:t>
                  </w:r>
                </w:p>
              </w:tc>
              <w:tc>
                <w:tcPr>
                  <w:tcW w:w="1059" w:type="pct"/>
                </w:tcPr>
                <w:p w14:paraId="7DE3ACA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156-59-2</w:t>
                  </w:r>
                </w:p>
              </w:tc>
              <w:tc>
                <w:tcPr>
                  <w:tcW w:w="984" w:type="pct"/>
                </w:tcPr>
                <w:p w14:paraId="61A6FF9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596</w:t>
                  </w:r>
                </w:p>
              </w:tc>
              <w:tc>
                <w:tcPr>
                  <w:tcW w:w="987" w:type="pct"/>
                </w:tcPr>
                <w:p w14:paraId="41EFE96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2000</w:t>
                  </w:r>
                </w:p>
              </w:tc>
            </w:tr>
            <w:tr w14:paraId="2F95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70365D5A">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w:t>
                  </w:r>
                </w:p>
              </w:tc>
              <w:tc>
                <w:tcPr>
                  <w:tcW w:w="1215" w:type="pct"/>
                </w:tcPr>
                <w:p w14:paraId="0B64A50A">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反-1,2-二氯乙烯</w:t>
                  </w:r>
                </w:p>
              </w:tc>
              <w:tc>
                <w:tcPr>
                  <w:tcW w:w="1059" w:type="pct"/>
                </w:tcPr>
                <w:p w14:paraId="0ED69B3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156-60-5</w:t>
                  </w:r>
                </w:p>
              </w:tc>
              <w:tc>
                <w:tcPr>
                  <w:tcW w:w="984" w:type="pct"/>
                </w:tcPr>
                <w:p w14:paraId="78EF1CD1">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54</w:t>
                  </w:r>
                </w:p>
              </w:tc>
              <w:tc>
                <w:tcPr>
                  <w:tcW w:w="987" w:type="pct"/>
                </w:tcPr>
                <w:p w14:paraId="6E2E418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163</w:t>
                  </w:r>
                </w:p>
              </w:tc>
            </w:tr>
            <w:tr w14:paraId="5854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42DD8D5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16</w:t>
                  </w:r>
                </w:p>
              </w:tc>
              <w:tc>
                <w:tcPr>
                  <w:tcW w:w="1215" w:type="pct"/>
                </w:tcPr>
                <w:p w14:paraId="2AB38CF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二氯甲烷</w:t>
                  </w:r>
                </w:p>
              </w:tc>
              <w:tc>
                <w:tcPr>
                  <w:tcW w:w="1059" w:type="pct"/>
                </w:tcPr>
                <w:p w14:paraId="4B1AE7A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75-09-2</w:t>
                  </w:r>
                </w:p>
              </w:tc>
              <w:tc>
                <w:tcPr>
                  <w:tcW w:w="984" w:type="pct"/>
                </w:tcPr>
                <w:p w14:paraId="17F15A7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616</w:t>
                  </w:r>
                </w:p>
              </w:tc>
              <w:tc>
                <w:tcPr>
                  <w:tcW w:w="987" w:type="pct"/>
                </w:tcPr>
                <w:p w14:paraId="5A50DEC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2000</w:t>
                  </w:r>
                </w:p>
              </w:tc>
            </w:tr>
            <w:tr w14:paraId="7FB1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369BE2E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17</w:t>
                  </w:r>
                </w:p>
              </w:tc>
              <w:tc>
                <w:tcPr>
                  <w:tcW w:w="1215" w:type="pct"/>
                </w:tcPr>
                <w:p w14:paraId="33DDAB2A">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1,2-二氯丙烷</w:t>
                  </w:r>
                </w:p>
              </w:tc>
              <w:tc>
                <w:tcPr>
                  <w:tcW w:w="1059" w:type="pct"/>
                </w:tcPr>
                <w:p w14:paraId="382F502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78-87-5</w:t>
                  </w:r>
                </w:p>
              </w:tc>
              <w:tc>
                <w:tcPr>
                  <w:tcW w:w="984" w:type="pct"/>
                </w:tcPr>
                <w:p w14:paraId="6CDF070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w:t>
                  </w:r>
                </w:p>
              </w:tc>
              <w:tc>
                <w:tcPr>
                  <w:tcW w:w="987" w:type="pct"/>
                </w:tcPr>
                <w:p w14:paraId="3B2C860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47</w:t>
                  </w:r>
                </w:p>
              </w:tc>
            </w:tr>
            <w:tr w14:paraId="4F84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5A1EF7C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18</w:t>
                  </w:r>
                </w:p>
              </w:tc>
              <w:tc>
                <w:tcPr>
                  <w:tcW w:w="1215" w:type="pct"/>
                </w:tcPr>
                <w:p w14:paraId="147754C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1,1,1,2-四氯乙烷</w:t>
                  </w:r>
                </w:p>
              </w:tc>
              <w:tc>
                <w:tcPr>
                  <w:tcW w:w="1059" w:type="pct"/>
                </w:tcPr>
                <w:p w14:paraId="73B9A3A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630-20-6</w:t>
                  </w:r>
                </w:p>
              </w:tc>
              <w:tc>
                <w:tcPr>
                  <w:tcW w:w="984" w:type="pct"/>
                </w:tcPr>
                <w:p w14:paraId="18E820B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w:t>
                  </w:r>
                </w:p>
              </w:tc>
              <w:tc>
                <w:tcPr>
                  <w:tcW w:w="987" w:type="pct"/>
                </w:tcPr>
                <w:p w14:paraId="0684C02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100</w:t>
                  </w:r>
                </w:p>
              </w:tc>
            </w:tr>
            <w:tr w14:paraId="22F8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29AD613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19</w:t>
                  </w:r>
                </w:p>
              </w:tc>
              <w:tc>
                <w:tcPr>
                  <w:tcW w:w="1215" w:type="pct"/>
                </w:tcPr>
                <w:p w14:paraId="76F2895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1,1,2,2-四氯乙烷</w:t>
                  </w:r>
                </w:p>
              </w:tc>
              <w:tc>
                <w:tcPr>
                  <w:tcW w:w="1059" w:type="pct"/>
                </w:tcPr>
                <w:p w14:paraId="442E4D8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79-34-5</w:t>
                  </w:r>
                </w:p>
              </w:tc>
              <w:tc>
                <w:tcPr>
                  <w:tcW w:w="984" w:type="pct"/>
                </w:tcPr>
                <w:p w14:paraId="774232F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6.8</w:t>
                  </w:r>
                </w:p>
              </w:tc>
              <w:tc>
                <w:tcPr>
                  <w:tcW w:w="987" w:type="pct"/>
                </w:tcPr>
                <w:p w14:paraId="74D6C95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50</w:t>
                  </w:r>
                </w:p>
              </w:tc>
            </w:tr>
            <w:tr w14:paraId="3717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050673A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20</w:t>
                  </w:r>
                </w:p>
              </w:tc>
              <w:tc>
                <w:tcPr>
                  <w:tcW w:w="1215" w:type="pct"/>
                </w:tcPr>
                <w:p w14:paraId="1B77BBE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四氯乙烯</w:t>
                  </w:r>
                </w:p>
              </w:tc>
              <w:tc>
                <w:tcPr>
                  <w:tcW w:w="1059" w:type="pct"/>
                </w:tcPr>
                <w:p w14:paraId="273CA35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127-18-4</w:t>
                  </w:r>
                </w:p>
              </w:tc>
              <w:tc>
                <w:tcPr>
                  <w:tcW w:w="984" w:type="pct"/>
                </w:tcPr>
                <w:p w14:paraId="40ED75F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53</w:t>
                  </w:r>
                </w:p>
              </w:tc>
              <w:tc>
                <w:tcPr>
                  <w:tcW w:w="987" w:type="pct"/>
                </w:tcPr>
                <w:p w14:paraId="17C2E9D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183</w:t>
                  </w:r>
                </w:p>
              </w:tc>
            </w:tr>
            <w:tr w14:paraId="624C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5DFC37E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21</w:t>
                  </w:r>
                </w:p>
              </w:tc>
              <w:tc>
                <w:tcPr>
                  <w:tcW w:w="1215" w:type="pct"/>
                </w:tcPr>
                <w:p w14:paraId="46A9A65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1,1,1-三氯乙烷</w:t>
                  </w:r>
                </w:p>
              </w:tc>
              <w:tc>
                <w:tcPr>
                  <w:tcW w:w="1059" w:type="pct"/>
                </w:tcPr>
                <w:p w14:paraId="2A70CAC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71-55-6</w:t>
                  </w:r>
                </w:p>
              </w:tc>
              <w:tc>
                <w:tcPr>
                  <w:tcW w:w="984" w:type="pct"/>
                </w:tcPr>
                <w:p w14:paraId="05C7B9E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840</w:t>
                  </w:r>
                </w:p>
              </w:tc>
              <w:tc>
                <w:tcPr>
                  <w:tcW w:w="987" w:type="pct"/>
                </w:tcPr>
                <w:p w14:paraId="2257FAF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840</w:t>
                  </w:r>
                </w:p>
              </w:tc>
            </w:tr>
            <w:tr w14:paraId="6B56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40D43AD1">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22</w:t>
                  </w:r>
                </w:p>
              </w:tc>
              <w:tc>
                <w:tcPr>
                  <w:tcW w:w="1215" w:type="pct"/>
                </w:tcPr>
                <w:p w14:paraId="3A5C835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1,1,2-三氯乙烷</w:t>
                  </w:r>
                </w:p>
              </w:tc>
              <w:tc>
                <w:tcPr>
                  <w:tcW w:w="1059" w:type="pct"/>
                </w:tcPr>
                <w:p w14:paraId="27B121B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79-00-5</w:t>
                  </w:r>
                </w:p>
              </w:tc>
              <w:tc>
                <w:tcPr>
                  <w:tcW w:w="984" w:type="pct"/>
                </w:tcPr>
                <w:p w14:paraId="015F9F2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2.8</w:t>
                  </w:r>
                </w:p>
              </w:tc>
              <w:tc>
                <w:tcPr>
                  <w:tcW w:w="987" w:type="pct"/>
                </w:tcPr>
                <w:p w14:paraId="0174557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w:t>
                  </w:r>
                </w:p>
              </w:tc>
            </w:tr>
            <w:tr w14:paraId="0BCA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4A00174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23</w:t>
                  </w:r>
                </w:p>
              </w:tc>
              <w:tc>
                <w:tcPr>
                  <w:tcW w:w="1215" w:type="pct"/>
                </w:tcPr>
                <w:p w14:paraId="54BF8F8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三氯乙烯</w:t>
                  </w:r>
                </w:p>
              </w:tc>
              <w:tc>
                <w:tcPr>
                  <w:tcW w:w="1059" w:type="pct"/>
                </w:tcPr>
                <w:p w14:paraId="4164E59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79-01-6</w:t>
                  </w:r>
                </w:p>
              </w:tc>
              <w:tc>
                <w:tcPr>
                  <w:tcW w:w="984" w:type="pct"/>
                </w:tcPr>
                <w:p w14:paraId="611D032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2.8</w:t>
                  </w:r>
                </w:p>
              </w:tc>
              <w:tc>
                <w:tcPr>
                  <w:tcW w:w="987" w:type="pct"/>
                </w:tcPr>
                <w:p w14:paraId="1446AFE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20</w:t>
                  </w:r>
                </w:p>
              </w:tc>
            </w:tr>
            <w:tr w14:paraId="371F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75B2543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24</w:t>
                  </w:r>
                </w:p>
              </w:tc>
              <w:tc>
                <w:tcPr>
                  <w:tcW w:w="1215" w:type="pct"/>
                </w:tcPr>
                <w:p w14:paraId="2ADF74E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1,2,3-三氯丙烷</w:t>
                  </w:r>
                </w:p>
              </w:tc>
              <w:tc>
                <w:tcPr>
                  <w:tcW w:w="1059" w:type="pct"/>
                </w:tcPr>
                <w:p w14:paraId="6341BA3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96-18-4</w:t>
                  </w:r>
                </w:p>
              </w:tc>
              <w:tc>
                <w:tcPr>
                  <w:tcW w:w="984" w:type="pct"/>
                </w:tcPr>
                <w:p w14:paraId="6CB7C8C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0.5</w:t>
                  </w:r>
                </w:p>
              </w:tc>
              <w:tc>
                <w:tcPr>
                  <w:tcW w:w="987" w:type="pct"/>
                </w:tcPr>
                <w:p w14:paraId="413F6DD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w:t>
                  </w:r>
                </w:p>
              </w:tc>
            </w:tr>
            <w:tr w14:paraId="5272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1275FCE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25</w:t>
                  </w:r>
                </w:p>
              </w:tc>
              <w:tc>
                <w:tcPr>
                  <w:tcW w:w="1215" w:type="pct"/>
                </w:tcPr>
                <w:p w14:paraId="7DA3C3E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氯乙烯</w:t>
                  </w:r>
                </w:p>
              </w:tc>
              <w:tc>
                <w:tcPr>
                  <w:tcW w:w="1059" w:type="pct"/>
                </w:tcPr>
                <w:p w14:paraId="3C47AFE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75-01-4</w:t>
                  </w:r>
                </w:p>
              </w:tc>
              <w:tc>
                <w:tcPr>
                  <w:tcW w:w="984" w:type="pct"/>
                </w:tcPr>
                <w:p w14:paraId="5B45E56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0.43</w:t>
                  </w:r>
                </w:p>
              </w:tc>
              <w:tc>
                <w:tcPr>
                  <w:tcW w:w="987" w:type="pct"/>
                </w:tcPr>
                <w:p w14:paraId="56F5BE2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4.3</w:t>
                  </w:r>
                </w:p>
              </w:tc>
            </w:tr>
            <w:tr w14:paraId="6DEE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326DF84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26</w:t>
                  </w:r>
                </w:p>
              </w:tc>
              <w:tc>
                <w:tcPr>
                  <w:tcW w:w="1215" w:type="pct"/>
                </w:tcPr>
                <w:p w14:paraId="641A018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苯</w:t>
                  </w:r>
                </w:p>
              </w:tc>
              <w:tc>
                <w:tcPr>
                  <w:tcW w:w="1059" w:type="pct"/>
                </w:tcPr>
                <w:p w14:paraId="1F65DF5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71-43-2</w:t>
                  </w:r>
                </w:p>
              </w:tc>
              <w:tc>
                <w:tcPr>
                  <w:tcW w:w="984" w:type="pct"/>
                </w:tcPr>
                <w:p w14:paraId="28F6106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w:t>
                  </w:r>
                </w:p>
              </w:tc>
              <w:tc>
                <w:tcPr>
                  <w:tcW w:w="987" w:type="pct"/>
                </w:tcPr>
                <w:p w14:paraId="099E51F1">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40</w:t>
                  </w:r>
                </w:p>
              </w:tc>
            </w:tr>
            <w:tr w14:paraId="1833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2E51B5C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27</w:t>
                  </w:r>
                </w:p>
              </w:tc>
              <w:tc>
                <w:tcPr>
                  <w:tcW w:w="1215" w:type="pct"/>
                </w:tcPr>
                <w:p w14:paraId="12A749A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氯苯</w:t>
                  </w:r>
                </w:p>
              </w:tc>
              <w:tc>
                <w:tcPr>
                  <w:tcW w:w="1059" w:type="pct"/>
                </w:tcPr>
                <w:p w14:paraId="72BCA68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108-90-7</w:t>
                  </w:r>
                </w:p>
              </w:tc>
              <w:tc>
                <w:tcPr>
                  <w:tcW w:w="984" w:type="pct"/>
                </w:tcPr>
                <w:p w14:paraId="4DE5045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270</w:t>
                  </w:r>
                </w:p>
              </w:tc>
              <w:tc>
                <w:tcPr>
                  <w:tcW w:w="987" w:type="pct"/>
                </w:tcPr>
                <w:p w14:paraId="660B8B9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1000</w:t>
                  </w:r>
                </w:p>
              </w:tc>
            </w:tr>
            <w:tr w14:paraId="6873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00D66A0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28</w:t>
                  </w:r>
                </w:p>
              </w:tc>
              <w:tc>
                <w:tcPr>
                  <w:tcW w:w="1215" w:type="pct"/>
                </w:tcPr>
                <w:p w14:paraId="40D14EE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1,2-二氯苯</w:t>
                  </w:r>
                </w:p>
              </w:tc>
              <w:tc>
                <w:tcPr>
                  <w:tcW w:w="1059" w:type="pct"/>
                </w:tcPr>
                <w:p w14:paraId="0766861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95-50-1</w:t>
                  </w:r>
                </w:p>
              </w:tc>
              <w:tc>
                <w:tcPr>
                  <w:tcW w:w="984" w:type="pct"/>
                </w:tcPr>
                <w:p w14:paraId="2E8F9BE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560</w:t>
                  </w:r>
                </w:p>
              </w:tc>
              <w:tc>
                <w:tcPr>
                  <w:tcW w:w="987" w:type="pct"/>
                </w:tcPr>
                <w:p w14:paraId="6BB2707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560</w:t>
                  </w:r>
                </w:p>
              </w:tc>
            </w:tr>
            <w:tr w14:paraId="224F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4E9B2F3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29</w:t>
                  </w:r>
                </w:p>
              </w:tc>
              <w:tc>
                <w:tcPr>
                  <w:tcW w:w="1215" w:type="pct"/>
                </w:tcPr>
                <w:p w14:paraId="53DC43D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1,4-二氯苯</w:t>
                  </w:r>
                </w:p>
              </w:tc>
              <w:tc>
                <w:tcPr>
                  <w:tcW w:w="1059" w:type="pct"/>
                </w:tcPr>
                <w:p w14:paraId="6E2E991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106-46-7</w:t>
                  </w:r>
                </w:p>
              </w:tc>
              <w:tc>
                <w:tcPr>
                  <w:tcW w:w="984" w:type="pct"/>
                </w:tcPr>
                <w:p w14:paraId="788908A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20</w:t>
                  </w:r>
                </w:p>
              </w:tc>
              <w:tc>
                <w:tcPr>
                  <w:tcW w:w="987" w:type="pct"/>
                </w:tcPr>
                <w:p w14:paraId="37ADBF8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200</w:t>
                  </w:r>
                </w:p>
              </w:tc>
            </w:tr>
            <w:tr w14:paraId="1220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1853E1C1">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30</w:t>
                  </w:r>
                </w:p>
              </w:tc>
              <w:tc>
                <w:tcPr>
                  <w:tcW w:w="1215" w:type="pct"/>
                </w:tcPr>
                <w:p w14:paraId="4C81DD7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乙苯</w:t>
                  </w:r>
                </w:p>
              </w:tc>
              <w:tc>
                <w:tcPr>
                  <w:tcW w:w="1059" w:type="pct"/>
                </w:tcPr>
                <w:p w14:paraId="7183840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100-41-4</w:t>
                  </w:r>
                </w:p>
              </w:tc>
              <w:tc>
                <w:tcPr>
                  <w:tcW w:w="984" w:type="pct"/>
                </w:tcPr>
                <w:p w14:paraId="7440840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28</w:t>
                  </w:r>
                </w:p>
              </w:tc>
              <w:tc>
                <w:tcPr>
                  <w:tcW w:w="987" w:type="pct"/>
                </w:tcPr>
                <w:p w14:paraId="79A9BA1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280</w:t>
                  </w:r>
                </w:p>
              </w:tc>
            </w:tr>
            <w:tr w14:paraId="14FE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7A6E8B11">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31</w:t>
                  </w:r>
                </w:p>
              </w:tc>
              <w:tc>
                <w:tcPr>
                  <w:tcW w:w="1215" w:type="pct"/>
                </w:tcPr>
                <w:p w14:paraId="5D9E076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苯乙烯</w:t>
                  </w:r>
                </w:p>
              </w:tc>
              <w:tc>
                <w:tcPr>
                  <w:tcW w:w="1059" w:type="pct"/>
                </w:tcPr>
                <w:p w14:paraId="2156B53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100-42-5</w:t>
                  </w:r>
                </w:p>
              </w:tc>
              <w:tc>
                <w:tcPr>
                  <w:tcW w:w="984" w:type="pct"/>
                </w:tcPr>
                <w:p w14:paraId="6934A4E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1290</w:t>
                  </w:r>
                </w:p>
              </w:tc>
              <w:tc>
                <w:tcPr>
                  <w:tcW w:w="987" w:type="pct"/>
                </w:tcPr>
                <w:p w14:paraId="1F85AF6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1290</w:t>
                  </w:r>
                </w:p>
              </w:tc>
            </w:tr>
            <w:tr w14:paraId="1BB3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5E874CC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32</w:t>
                  </w:r>
                </w:p>
              </w:tc>
              <w:tc>
                <w:tcPr>
                  <w:tcW w:w="1215" w:type="pct"/>
                </w:tcPr>
                <w:p w14:paraId="689A12F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甲苯</w:t>
                  </w:r>
                </w:p>
              </w:tc>
              <w:tc>
                <w:tcPr>
                  <w:tcW w:w="1059" w:type="pct"/>
                </w:tcPr>
                <w:p w14:paraId="6A4B6E3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108-88-3</w:t>
                  </w:r>
                </w:p>
              </w:tc>
              <w:tc>
                <w:tcPr>
                  <w:tcW w:w="984" w:type="pct"/>
                </w:tcPr>
                <w:p w14:paraId="37CB59C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1200</w:t>
                  </w:r>
                </w:p>
              </w:tc>
              <w:tc>
                <w:tcPr>
                  <w:tcW w:w="987" w:type="pct"/>
                </w:tcPr>
                <w:p w14:paraId="7F6B719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1200</w:t>
                  </w:r>
                </w:p>
              </w:tc>
            </w:tr>
            <w:tr w14:paraId="45CD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60FEDC1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33</w:t>
                  </w:r>
                </w:p>
              </w:tc>
              <w:tc>
                <w:tcPr>
                  <w:tcW w:w="1215" w:type="pct"/>
                </w:tcPr>
                <w:p w14:paraId="3D10A4E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间二甲苯+对二甲苯</w:t>
                  </w:r>
                </w:p>
              </w:tc>
              <w:tc>
                <w:tcPr>
                  <w:tcW w:w="1059" w:type="pct"/>
                </w:tcPr>
                <w:p w14:paraId="1AA90D9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108-38-3,106-42-3</w:t>
                  </w:r>
                </w:p>
              </w:tc>
              <w:tc>
                <w:tcPr>
                  <w:tcW w:w="984" w:type="pct"/>
                </w:tcPr>
                <w:p w14:paraId="3D9988BA">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570</w:t>
                  </w:r>
                </w:p>
              </w:tc>
              <w:tc>
                <w:tcPr>
                  <w:tcW w:w="987" w:type="pct"/>
                </w:tcPr>
                <w:p w14:paraId="13573D2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570</w:t>
                  </w:r>
                </w:p>
              </w:tc>
            </w:tr>
            <w:tr w14:paraId="2287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0EFE2FF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34</w:t>
                  </w:r>
                </w:p>
              </w:tc>
              <w:tc>
                <w:tcPr>
                  <w:tcW w:w="1215" w:type="pct"/>
                </w:tcPr>
                <w:p w14:paraId="47AAAF6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邻二甲苯</w:t>
                  </w:r>
                </w:p>
              </w:tc>
              <w:tc>
                <w:tcPr>
                  <w:tcW w:w="1059" w:type="pct"/>
                </w:tcPr>
                <w:p w14:paraId="455DC0E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95-47-6</w:t>
                  </w:r>
                </w:p>
              </w:tc>
              <w:tc>
                <w:tcPr>
                  <w:tcW w:w="984" w:type="pct"/>
                </w:tcPr>
                <w:p w14:paraId="781D315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640</w:t>
                  </w:r>
                </w:p>
              </w:tc>
              <w:tc>
                <w:tcPr>
                  <w:tcW w:w="987" w:type="pct"/>
                </w:tcPr>
                <w:p w14:paraId="21A4CAD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640</w:t>
                  </w:r>
                </w:p>
              </w:tc>
            </w:tr>
            <w:tr w14:paraId="4CE9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72324F7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半挥发性有机物</w:t>
                  </w:r>
                </w:p>
              </w:tc>
            </w:tr>
            <w:tr w14:paraId="52D6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07D0DE0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35</w:t>
                  </w:r>
                </w:p>
              </w:tc>
              <w:tc>
                <w:tcPr>
                  <w:tcW w:w="1215" w:type="pct"/>
                </w:tcPr>
                <w:p w14:paraId="677D31C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硝基苯</w:t>
                  </w:r>
                </w:p>
              </w:tc>
              <w:tc>
                <w:tcPr>
                  <w:tcW w:w="1059" w:type="pct"/>
                </w:tcPr>
                <w:p w14:paraId="53D8C83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98-95-3</w:t>
                  </w:r>
                </w:p>
              </w:tc>
              <w:tc>
                <w:tcPr>
                  <w:tcW w:w="984" w:type="pct"/>
                </w:tcPr>
                <w:p w14:paraId="2F861E2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76</w:t>
                  </w:r>
                </w:p>
              </w:tc>
              <w:tc>
                <w:tcPr>
                  <w:tcW w:w="987" w:type="pct"/>
                </w:tcPr>
                <w:p w14:paraId="69E6501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760</w:t>
                  </w:r>
                </w:p>
              </w:tc>
            </w:tr>
            <w:tr w14:paraId="5D51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6CC953A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36</w:t>
                  </w:r>
                </w:p>
              </w:tc>
              <w:tc>
                <w:tcPr>
                  <w:tcW w:w="1215" w:type="pct"/>
                </w:tcPr>
                <w:p w14:paraId="6512835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苯胺</w:t>
                  </w:r>
                </w:p>
              </w:tc>
              <w:tc>
                <w:tcPr>
                  <w:tcW w:w="1059" w:type="pct"/>
                </w:tcPr>
                <w:p w14:paraId="7D4796A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62-53-3</w:t>
                  </w:r>
                </w:p>
              </w:tc>
              <w:tc>
                <w:tcPr>
                  <w:tcW w:w="984" w:type="pct"/>
                </w:tcPr>
                <w:p w14:paraId="29FBA4B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260</w:t>
                  </w:r>
                </w:p>
              </w:tc>
              <w:tc>
                <w:tcPr>
                  <w:tcW w:w="987" w:type="pct"/>
                </w:tcPr>
                <w:p w14:paraId="1ECE950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663</w:t>
                  </w:r>
                </w:p>
              </w:tc>
            </w:tr>
            <w:tr w14:paraId="1333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20BE331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37</w:t>
                  </w:r>
                </w:p>
              </w:tc>
              <w:tc>
                <w:tcPr>
                  <w:tcW w:w="1215" w:type="pct"/>
                </w:tcPr>
                <w:p w14:paraId="7071357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2-氯苯酚</w:t>
                  </w:r>
                </w:p>
              </w:tc>
              <w:tc>
                <w:tcPr>
                  <w:tcW w:w="1059" w:type="pct"/>
                </w:tcPr>
                <w:p w14:paraId="1642295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95-57-8</w:t>
                  </w:r>
                </w:p>
              </w:tc>
              <w:tc>
                <w:tcPr>
                  <w:tcW w:w="984" w:type="pct"/>
                </w:tcPr>
                <w:p w14:paraId="16295A3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2256</w:t>
                  </w:r>
                </w:p>
              </w:tc>
              <w:tc>
                <w:tcPr>
                  <w:tcW w:w="987" w:type="pct"/>
                </w:tcPr>
                <w:p w14:paraId="101641C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4500</w:t>
                  </w:r>
                </w:p>
              </w:tc>
            </w:tr>
            <w:tr w14:paraId="64A9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17FA3D9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38</w:t>
                  </w:r>
                </w:p>
              </w:tc>
              <w:tc>
                <w:tcPr>
                  <w:tcW w:w="1215" w:type="pct"/>
                </w:tcPr>
                <w:p w14:paraId="7F7D1B6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苯并[a]蒽</w:t>
                  </w:r>
                </w:p>
              </w:tc>
              <w:tc>
                <w:tcPr>
                  <w:tcW w:w="1059" w:type="pct"/>
                </w:tcPr>
                <w:p w14:paraId="6A32A65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56-55-3</w:t>
                  </w:r>
                </w:p>
              </w:tc>
              <w:tc>
                <w:tcPr>
                  <w:tcW w:w="984" w:type="pct"/>
                </w:tcPr>
                <w:p w14:paraId="0131E02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w:t>
                  </w:r>
                </w:p>
              </w:tc>
              <w:tc>
                <w:tcPr>
                  <w:tcW w:w="987" w:type="pct"/>
                </w:tcPr>
                <w:p w14:paraId="727D6AA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151</w:t>
                  </w:r>
                </w:p>
              </w:tc>
            </w:tr>
            <w:tr w14:paraId="2CB1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666F8DB1">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39</w:t>
                  </w:r>
                </w:p>
              </w:tc>
              <w:tc>
                <w:tcPr>
                  <w:tcW w:w="1215" w:type="pct"/>
                </w:tcPr>
                <w:p w14:paraId="5B4236E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苯并[a]芘</w:t>
                  </w:r>
                </w:p>
              </w:tc>
              <w:tc>
                <w:tcPr>
                  <w:tcW w:w="1059" w:type="pct"/>
                </w:tcPr>
                <w:p w14:paraId="7195CB0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50-32-8</w:t>
                  </w:r>
                </w:p>
              </w:tc>
              <w:tc>
                <w:tcPr>
                  <w:tcW w:w="984" w:type="pct"/>
                </w:tcPr>
                <w:p w14:paraId="4D911B71">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w:t>
                  </w:r>
                </w:p>
              </w:tc>
              <w:tc>
                <w:tcPr>
                  <w:tcW w:w="987" w:type="pct"/>
                </w:tcPr>
                <w:p w14:paraId="062059B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w:t>
                  </w:r>
                </w:p>
              </w:tc>
            </w:tr>
            <w:tr w14:paraId="30F7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7DD8731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40</w:t>
                  </w:r>
                </w:p>
              </w:tc>
              <w:tc>
                <w:tcPr>
                  <w:tcW w:w="1215" w:type="pct"/>
                </w:tcPr>
                <w:p w14:paraId="239758A7">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苯并[b]荧蒽</w:t>
                  </w:r>
                </w:p>
              </w:tc>
              <w:tc>
                <w:tcPr>
                  <w:tcW w:w="1059" w:type="pct"/>
                </w:tcPr>
                <w:p w14:paraId="3B46825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205-99-2</w:t>
                  </w:r>
                </w:p>
              </w:tc>
              <w:tc>
                <w:tcPr>
                  <w:tcW w:w="984" w:type="pct"/>
                </w:tcPr>
                <w:p w14:paraId="32256592">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w:t>
                  </w:r>
                </w:p>
              </w:tc>
              <w:tc>
                <w:tcPr>
                  <w:tcW w:w="987" w:type="pct"/>
                </w:tcPr>
                <w:p w14:paraId="70BCCD53">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151</w:t>
                  </w:r>
                </w:p>
              </w:tc>
            </w:tr>
            <w:tr w14:paraId="78BC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48AA280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41</w:t>
                  </w:r>
                </w:p>
              </w:tc>
              <w:tc>
                <w:tcPr>
                  <w:tcW w:w="1215" w:type="pct"/>
                </w:tcPr>
                <w:p w14:paraId="02B2C68A">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苯并[k]荧蒽</w:t>
                  </w:r>
                </w:p>
              </w:tc>
              <w:tc>
                <w:tcPr>
                  <w:tcW w:w="1059" w:type="pct"/>
                </w:tcPr>
                <w:p w14:paraId="5A4BE71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207-08-9</w:t>
                  </w:r>
                </w:p>
              </w:tc>
              <w:tc>
                <w:tcPr>
                  <w:tcW w:w="984" w:type="pct"/>
                </w:tcPr>
                <w:p w14:paraId="4825C61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151</w:t>
                  </w:r>
                </w:p>
              </w:tc>
              <w:tc>
                <w:tcPr>
                  <w:tcW w:w="987" w:type="pct"/>
                </w:tcPr>
                <w:p w14:paraId="205A283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1500</w:t>
                  </w:r>
                </w:p>
              </w:tc>
            </w:tr>
            <w:tr w14:paraId="255D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5B8FACA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42</w:t>
                  </w:r>
                </w:p>
              </w:tc>
              <w:tc>
                <w:tcPr>
                  <w:tcW w:w="1215" w:type="pct"/>
                </w:tcPr>
                <w:p w14:paraId="5A659075">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䓛</w:t>
                  </w:r>
                </w:p>
              </w:tc>
              <w:tc>
                <w:tcPr>
                  <w:tcW w:w="1059" w:type="pct"/>
                </w:tcPr>
                <w:p w14:paraId="1471898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218-01-9</w:t>
                  </w:r>
                </w:p>
              </w:tc>
              <w:tc>
                <w:tcPr>
                  <w:tcW w:w="984" w:type="pct"/>
                </w:tcPr>
                <w:p w14:paraId="1E27F1D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1293</w:t>
                  </w:r>
                </w:p>
              </w:tc>
              <w:tc>
                <w:tcPr>
                  <w:tcW w:w="987" w:type="pct"/>
                </w:tcPr>
                <w:p w14:paraId="15CCD53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12900</w:t>
                  </w:r>
                </w:p>
              </w:tc>
            </w:tr>
            <w:tr w14:paraId="2E3F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5ED7B7D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43</w:t>
                  </w:r>
                </w:p>
              </w:tc>
              <w:tc>
                <w:tcPr>
                  <w:tcW w:w="1215" w:type="pct"/>
                </w:tcPr>
                <w:p w14:paraId="2468519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二苯并[a, h]蒽</w:t>
                  </w:r>
                </w:p>
              </w:tc>
              <w:tc>
                <w:tcPr>
                  <w:tcW w:w="1059" w:type="pct"/>
                </w:tcPr>
                <w:p w14:paraId="5D748DC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53-70-3</w:t>
                  </w:r>
                </w:p>
              </w:tc>
              <w:tc>
                <w:tcPr>
                  <w:tcW w:w="984" w:type="pct"/>
                </w:tcPr>
                <w:p w14:paraId="369F8F30">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w:t>
                  </w:r>
                </w:p>
              </w:tc>
              <w:tc>
                <w:tcPr>
                  <w:tcW w:w="987" w:type="pct"/>
                </w:tcPr>
                <w:p w14:paraId="2CCAAF2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w:t>
                  </w:r>
                </w:p>
              </w:tc>
            </w:tr>
            <w:tr w14:paraId="0278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06D510C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44</w:t>
                  </w:r>
                </w:p>
              </w:tc>
              <w:tc>
                <w:tcPr>
                  <w:tcW w:w="1215" w:type="pct"/>
                </w:tcPr>
                <w:p w14:paraId="2570B72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茚并[1,2,3-cd]芘</w:t>
                  </w:r>
                </w:p>
              </w:tc>
              <w:tc>
                <w:tcPr>
                  <w:tcW w:w="1059" w:type="pct"/>
                </w:tcPr>
                <w:p w14:paraId="2955182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193-39-5</w:t>
                  </w:r>
                </w:p>
              </w:tc>
              <w:tc>
                <w:tcPr>
                  <w:tcW w:w="984" w:type="pct"/>
                </w:tcPr>
                <w:p w14:paraId="3FCA623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w:t>
                  </w:r>
                </w:p>
              </w:tc>
              <w:tc>
                <w:tcPr>
                  <w:tcW w:w="987" w:type="pct"/>
                </w:tcPr>
                <w:p w14:paraId="4BBFA42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151</w:t>
                  </w:r>
                </w:p>
              </w:tc>
            </w:tr>
            <w:tr w14:paraId="42D7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tcPr>
                <w:p w14:paraId="1C049EA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45</w:t>
                  </w:r>
                </w:p>
              </w:tc>
              <w:tc>
                <w:tcPr>
                  <w:tcW w:w="1215" w:type="pct"/>
                </w:tcPr>
                <w:p w14:paraId="00D6B90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萘</w:t>
                  </w:r>
                </w:p>
              </w:tc>
              <w:tc>
                <w:tcPr>
                  <w:tcW w:w="1059" w:type="pct"/>
                </w:tcPr>
                <w:p w14:paraId="75DF1E3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91-20-3</w:t>
                  </w:r>
                </w:p>
              </w:tc>
              <w:tc>
                <w:tcPr>
                  <w:tcW w:w="984" w:type="pct"/>
                </w:tcPr>
                <w:p w14:paraId="4226CC7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70</w:t>
                  </w:r>
                </w:p>
              </w:tc>
              <w:tc>
                <w:tcPr>
                  <w:tcW w:w="987" w:type="pct"/>
                </w:tcPr>
                <w:p w14:paraId="47372B7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700</w:t>
                  </w:r>
                </w:p>
              </w:tc>
            </w:tr>
          </w:tbl>
          <w:p w14:paraId="156B35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eastAsia="zh-CN"/>
              </w:rPr>
            </w:pPr>
            <w:r>
              <w:rPr>
                <w:rFonts w:ascii="Times New Roman" w:hAnsi="Times New Roman" w:cs="Times New Roman"/>
                <w:color w:val="auto"/>
                <w:sz w:val="24"/>
                <w:highlight w:val="none"/>
              </w:rPr>
              <w:t>2、土壤环境质量现状</w:t>
            </w:r>
          </w:p>
          <w:p w14:paraId="51AD8443">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w:t>
            </w:r>
            <w:r>
              <w:rPr>
                <w:rFonts w:hint="default" w:ascii="Times New Roman" w:hAnsi="Times New Roman" w:cs="Times New Roman"/>
                <w:color w:val="auto"/>
                <w:sz w:val="24"/>
                <w:szCs w:val="24"/>
                <w:highlight w:val="none"/>
                <w:lang w:val="en-US" w:eastAsia="zh-CN"/>
              </w:rPr>
              <w:t>建设项目环境影响报告表编制技术指南</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污染影响类</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试行</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原则上不开展土壤环境质量现状调查，建设项目存在土壤环境污染途径的，应结合污染源、保护目标分布情况开展现状调查以留作背景值。结合项目拟建全量化处理站、固化渣暂存间的平面布置及现有调节池的位置</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本次环评布设</w:t>
            </w:r>
            <w:r>
              <w:rPr>
                <w:rFonts w:hint="eastAsia" w:ascii="Times New Roman" w:hAnsi="Times New Roman" w:cs="Times New Roman"/>
                <w:color w:val="auto"/>
                <w:sz w:val="24"/>
                <w:szCs w:val="24"/>
                <w:highlight w:val="none"/>
                <w:lang w:val="en-US" w:eastAsia="zh-CN"/>
              </w:rPr>
              <w:t>3个</w:t>
            </w:r>
            <w:r>
              <w:rPr>
                <w:rFonts w:hint="eastAsia" w:cs="Times New Roman"/>
                <w:color w:val="auto"/>
                <w:sz w:val="24"/>
                <w:szCs w:val="24"/>
                <w:highlight w:val="none"/>
                <w:lang w:val="en-US" w:eastAsia="zh-CN"/>
              </w:rPr>
              <w:t>土壤环境</w:t>
            </w:r>
            <w:r>
              <w:rPr>
                <w:rFonts w:hint="eastAsia" w:ascii="Times New Roman" w:hAnsi="Times New Roman" w:cs="Times New Roman"/>
                <w:color w:val="auto"/>
                <w:sz w:val="24"/>
                <w:szCs w:val="24"/>
                <w:highlight w:val="none"/>
                <w:lang w:val="en-US" w:eastAsia="zh-CN"/>
              </w:rPr>
              <w:t>表层样点</w:t>
            </w:r>
            <w:r>
              <w:rPr>
                <w:rFonts w:hint="eastAsia" w:cs="Times New Roman"/>
                <w:color w:val="auto"/>
                <w:sz w:val="24"/>
                <w:szCs w:val="24"/>
                <w:highlight w:val="none"/>
                <w:lang w:val="en-US" w:eastAsia="zh-CN"/>
              </w:rPr>
              <w:t>留作背景值</w:t>
            </w:r>
            <w:r>
              <w:rPr>
                <w:rFonts w:hint="default" w:ascii="Times New Roman" w:hAnsi="Times New Roman" w:cs="Times New Roman"/>
                <w:color w:val="auto"/>
                <w:sz w:val="24"/>
                <w:szCs w:val="24"/>
                <w:highlight w:val="none"/>
              </w:rPr>
              <w:t>。</w:t>
            </w:r>
          </w:p>
          <w:p w14:paraId="3F3E2267">
            <w:pPr>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本项目委托</w:t>
            </w:r>
            <w:r>
              <w:rPr>
                <w:rFonts w:hint="eastAsia" w:ascii="Times New Roman"/>
                <w:color w:val="auto"/>
                <w:sz w:val="24"/>
                <w:highlight w:val="none"/>
                <w:lang w:val="en-US" w:eastAsia="zh-CN"/>
              </w:rPr>
              <w:t>云南中基检测服务有限公司</w:t>
            </w:r>
            <w:r>
              <w:rPr>
                <w:rFonts w:hint="default" w:ascii="Times New Roman" w:hAnsi="Times New Roman" w:eastAsia="宋体" w:cs="Times New Roman"/>
                <w:color w:val="auto"/>
                <w:sz w:val="24"/>
                <w:szCs w:val="22"/>
                <w:highlight w:val="none"/>
              </w:rPr>
              <w:t>于</w:t>
            </w:r>
            <w:r>
              <w:rPr>
                <w:rFonts w:hint="eastAsia"/>
                <w:color w:val="auto"/>
                <w:sz w:val="24"/>
                <w:szCs w:val="22"/>
                <w:highlight w:val="none"/>
              </w:rPr>
              <w:t>2025</w:t>
            </w:r>
            <w:r>
              <w:rPr>
                <w:color w:val="auto"/>
                <w:sz w:val="24"/>
                <w:szCs w:val="22"/>
                <w:highlight w:val="none"/>
              </w:rPr>
              <w:t>年</w:t>
            </w:r>
            <w:r>
              <w:rPr>
                <w:rFonts w:hint="eastAsia"/>
                <w:color w:val="auto"/>
                <w:sz w:val="24"/>
                <w:szCs w:val="22"/>
                <w:highlight w:val="none"/>
              </w:rPr>
              <w:t>8月17日</w:t>
            </w:r>
            <w:r>
              <w:rPr>
                <w:rFonts w:hint="default" w:ascii="Times New Roman" w:hAnsi="Times New Roman" w:eastAsia="宋体" w:cs="Times New Roman"/>
                <w:color w:val="auto"/>
                <w:sz w:val="24"/>
                <w:szCs w:val="22"/>
                <w:highlight w:val="none"/>
              </w:rPr>
              <w:t>对本项目</w:t>
            </w:r>
            <w:r>
              <w:rPr>
                <w:rFonts w:hint="eastAsia" w:ascii="Times New Roman" w:hAnsi="Times New Roman" w:eastAsia="宋体" w:cs="Times New Roman"/>
                <w:color w:val="auto"/>
                <w:sz w:val="24"/>
                <w:szCs w:val="22"/>
                <w:highlight w:val="none"/>
                <w:lang w:eastAsia="zh-CN"/>
              </w:rPr>
              <w:t>占地范围</w:t>
            </w:r>
            <w:r>
              <w:rPr>
                <w:rFonts w:hint="default" w:ascii="Times New Roman" w:hAnsi="Times New Roman" w:eastAsia="宋体" w:cs="Times New Roman"/>
                <w:color w:val="auto"/>
                <w:sz w:val="24"/>
                <w:szCs w:val="22"/>
                <w:highlight w:val="none"/>
              </w:rPr>
              <w:t>内</w:t>
            </w:r>
            <w:r>
              <w:rPr>
                <w:rFonts w:hint="eastAsia" w:ascii="Times New Roman" w:hAnsi="Times New Roman" w:eastAsia="宋体" w:cs="Times New Roman"/>
                <w:color w:val="auto"/>
                <w:sz w:val="24"/>
                <w:szCs w:val="22"/>
                <w:highlight w:val="none"/>
                <w:lang w:eastAsia="zh-CN"/>
              </w:rPr>
              <w:t>的</w:t>
            </w:r>
            <w:r>
              <w:rPr>
                <w:rFonts w:hint="default" w:ascii="Times New Roman" w:hAnsi="Times New Roman" w:eastAsia="宋体" w:cs="Times New Roman"/>
                <w:color w:val="auto"/>
                <w:sz w:val="24"/>
                <w:szCs w:val="22"/>
                <w:highlight w:val="none"/>
              </w:rPr>
              <w:t>土壤进行采样监测</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rPr>
              <w:t>共设置</w:t>
            </w:r>
            <w:r>
              <w:rPr>
                <w:rFonts w:hint="eastAsia" w:ascii="Times New Roman" w:hAnsi="Times New Roman" w:eastAsia="宋体" w:cs="Times New Roman"/>
                <w:color w:val="auto"/>
                <w:sz w:val="24"/>
                <w:szCs w:val="22"/>
                <w:highlight w:val="none"/>
                <w:lang w:val="en-US" w:eastAsia="zh-CN"/>
              </w:rPr>
              <w:t>3</w:t>
            </w:r>
            <w:r>
              <w:rPr>
                <w:rFonts w:hint="default" w:ascii="Times New Roman" w:hAnsi="Times New Roman" w:eastAsia="宋体" w:cs="Times New Roman"/>
                <w:color w:val="auto"/>
                <w:sz w:val="24"/>
                <w:szCs w:val="22"/>
                <w:highlight w:val="none"/>
              </w:rPr>
              <w:t>个</w:t>
            </w:r>
            <w:r>
              <w:rPr>
                <w:rFonts w:hint="eastAsia" w:ascii="Times New Roman" w:hAnsi="Times New Roman" w:eastAsia="宋体" w:cs="Times New Roman"/>
                <w:color w:val="auto"/>
                <w:sz w:val="24"/>
                <w:szCs w:val="22"/>
                <w:highlight w:val="none"/>
                <w:lang w:eastAsia="zh-CN"/>
              </w:rPr>
              <w:t>表层样监测</w:t>
            </w:r>
            <w:r>
              <w:rPr>
                <w:rFonts w:hint="default" w:ascii="Times New Roman" w:hAnsi="Times New Roman" w:eastAsia="宋体" w:cs="Times New Roman"/>
                <w:color w:val="auto"/>
                <w:sz w:val="24"/>
                <w:szCs w:val="22"/>
                <w:highlight w:val="none"/>
              </w:rPr>
              <w:t>点，</w:t>
            </w:r>
            <w:r>
              <w:rPr>
                <w:rFonts w:hint="eastAsia" w:eastAsia="宋体"/>
                <w:color w:val="auto"/>
                <w:sz w:val="24"/>
                <w:highlight w:val="none"/>
                <w:lang w:eastAsia="zh-CN"/>
              </w:rPr>
              <w:t>详见附件</w:t>
            </w:r>
            <w:r>
              <w:rPr>
                <w:rFonts w:hint="eastAsia" w:eastAsia="宋体"/>
                <w:color w:val="auto"/>
                <w:sz w:val="24"/>
                <w:highlight w:val="none"/>
                <w:lang w:val="en-US" w:eastAsia="zh-CN"/>
              </w:rPr>
              <w:t>1</w:t>
            </w:r>
            <w:r>
              <w:rPr>
                <w:rFonts w:hint="eastAsia"/>
                <w:color w:val="auto"/>
                <w:sz w:val="24"/>
                <w:highlight w:val="none"/>
                <w:lang w:val="en-US" w:eastAsia="zh-CN"/>
              </w:rPr>
              <w:t>2</w:t>
            </w:r>
            <w:r>
              <w:rPr>
                <w:rFonts w:hint="default" w:ascii="Times New Roman" w:hAnsi="Times New Roman" w:eastAsia="宋体" w:cs="Times New Roman"/>
                <w:b w:val="0"/>
                <w:bCs/>
                <w:color w:val="auto"/>
                <w:sz w:val="24"/>
                <w:highlight w:val="none"/>
              </w:rPr>
              <w:t>。</w:t>
            </w:r>
          </w:p>
          <w:p w14:paraId="1F7485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eastAsia" w:cs="Times New Roman"/>
                <w:color w:val="auto"/>
                <w:sz w:val="24"/>
                <w:szCs w:val="22"/>
                <w:highlight w:val="none"/>
                <w:lang w:val="en-US" w:eastAsia="zh-CN"/>
              </w:rPr>
              <w:t>（1）</w:t>
            </w:r>
            <w:r>
              <w:rPr>
                <w:rFonts w:hint="default" w:ascii="Times New Roman" w:hAnsi="Times New Roman" w:eastAsia="宋体" w:cs="Times New Roman"/>
                <w:color w:val="auto"/>
                <w:sz w:val="24"/>
                <w:szCs w:val="22"/>
                <w:highlight w:val="none"/>
              </w:rPr>
              <w:t>监测项目</w:t>
            </w:r>
          </w:p>
          <w:p w14:paraId="3C78FC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监测项目：pH、镉、汞、砷、铅、铬（六价）、铜、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p w14:paraId="263C2F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cs="Times New Roman"/>
                <w:color w:val="auto"/>
                <w:sz w:val="24"/>
                <w:szCs w:val="22"/>
                <w:highlight w:val="none"/>
                <w:lang w:val="en-US" w:eastAsia="zh-CN"/>
              </w:rPr>
              <w:t>（2）</w:t>
            </w:r>
            <w:r>
              <w:rPr>
                <w:rFonts w:hint="eastAsia" w:cs="Times New Roman"/>
                <w:color w:val="auto"/>
                <w:sz w:val="24"/>
                <w:szCs w:val="22"/>
                <w:highlight w:val="none"/>
                <w:lang w:eastAsia="zh-CN"/>
              </w:rPr>
              <w:t>监测点位：</w:t>
            </w:r>
            <w:r>
              <w:rPr>
                <w:rFonts w:hint="eastAsia" w:cs="Times New Roman"/>
                <w:color w:val="auto"/>
                <w:sz w:val="24"/>
                <w:szCs w:val="22"/>
                <w:highlight w:val="none"/>
                <w:lang w:val="en-US" w:eastAsia="zh-CN"/>
              </w:rPr>
              <w:t>1#现有渗滤液处理站用地范围内（即拟建处理站用地范围内）</w:t>
            </w:r>
            <w:r>
              <w:rPr>
                <w:rFonts w:hint="eastAsia" w:cs="Times New Roman"/>
                <w:color w:val="auto"/>
                <w:sz w:val="24"/>
                <w:szCs w:val="22"/>
                <w:highlight w:val="none"/>
                <w:lang w:eastAsia="zh-CN"/>
              </w:rPr>
              <w:t>、</w:t>
            </w:r>
            <w:r>
              <w:rPr>
                <w:rFonts w:hint="eastAsia" w:cs="Times New Roman"/>
                <w:color w:val="auto"/>
                <w:sz w:val="24"/>
                <w:szCs w:val="22"/>
                <w:highlight w:val="none"/>
                <w:lang w:val="en-US" w:eastAsia="zh-CN"/>
              </w:rPr>
              <w:t>2#现有渗滤液处理站用地范围内（即拟建处理站用地范围内）</w:t>
            </w:r>
            <w:r>
              <w:rPr>
                <w:rFonts w:hint="eastAsia" w:cs="Times New Roman"/>
                <w:color w:val="auto"/>
                <w:sz w:val="24"/>
                <w:szCs w:val="22"/>
                <w:highlight w:val="none"/>
                <w:lang w:eastAsia="zh-CN"/>
              </w:rPr>
              <w:t>、</w:t>
            </w:r>
            <w:r>
              <w:rPr>
                <w:rFonts w:hint="eastAsia" w:cs="Times New Roman"/>
                <w:color w:val="auto"/>
                <w:sz w:val="24"/>
                <w:szCs w:val="22"/>
                <w:highlight w:val="none"/>
                <w:lang w:val="en-US" w:eastAsia="zh-CN"/>
              </w:rPr>
              <w:t>3#</w:t>
            </w:r>
            <w:r>
              <w:rPr>
                <w:rFonts w:hint="eastAsia" w:cs="Times New Roman"/>
                <w:color w:val="auto"/>
                <w:sz w:val="24"/>
                <w:szCs w:val="22"/>
                <w:highlight w:val="none"/>
                <w:lang w:eastAsia="zh-CN"/>
              </w:rPr>
              <w:t>拟建</w:t>
            </w:r>
            <w:r>
              <w:rPr>
                <w:rFonts w:hint="eastAsia" w:cs="Times New Roman"/>
                <w:color w:val="auto"/>
                <w:sz w:val="24"/>
                <w:szCs w:val="22"/>
                <w:highlight w:val="none"/>
                <w:lang w:val="en-US" w:eastAsia="zh-CN"/>
              </w:rPr>
              <w:t>暂存间</w:t>
            </w:r>
            <w:r>
              <w:rPr>
                <w:rFonts w:hint="eastAsia" w:cs="Times New Roman"/>
                <w:color w:val="auto"/>
                <w:sz w:val="24"/>
                <w:szCs w:val="22"/>
                <w:highlight w:val="none"/>
                <w:lang w:eastAsia="zh-CN"/>
              </w:rPr>
              <w:t>用地范围内，共</w:t>
            </w:r>
            <w:r>
              <w:rPr>
                <w:rFonts w:hint="eastAsia" w:cs="Times New Roman"/>
                <w:color w:val="auto"/>
                <w:sz w:val="24"/>
                <w:szCs w:val="22"/>
                <w:highlight w:val="none"/>
                <w:lang w:val="en-US" w:eastAsia="zh-CN"/>
              </w:rPr>
              <w:t>3个监测点位。</w:t>
            </w:r>
          </w:p>
          <w:p w14:paraId="16813B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eastAsia" w:cs="Times New Roman"/>
                <w:color w:val="auto"/>
                <w:sz w:val="24"/>
                <w:szCs w:val="22"/>
                <w:highlight w:val="none"/>
                <w:lang w:val="en-US" w:eastAsia="zh-CN"/>
              </w:rPr>
              <w:t>（3）</w:t>
            </w:r>
            <w:r>
              <w:rPr>
                <w:rFonts w:hint="default" w:ascii="Times New Roman" w:hAnsi="Times New Roman" w:eastAsia="宋体" w:cs="Times New Roman"/>
                <w:color w:val="auto"/>
                <w:sz w:val="24"/>
                <w:szCs w:val="22"/>
                <w:highlight w:val="none"/>
              </w:rPr>
              <w:t>监测时间和采样频率</w:t>
            </w:r>
          </w:p>
          <w:p w14:paraId="03AACF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eastAsia" w:cs="Times New Roman"/>
                <w:color w:val="auto"/>
                <w:sz w:val="24"/>
                <w:szCs w:val="22"/>
                <w:highlight w:val="none"/>
                <w:lang w:val="en-US" w:eastAsia="zh-CN"/>
              </w:rPr>
              <w:t>采样时间</w:t>
            </w:r>
            <w:r>
              <w:rPr>
                <w:rFonts w:hint="eastAsia" w:ascii="Times New Roman" w:hAnsi="Times New Roman" w:eastAsia="宋体" w:cs="Times New Roman"/>
                <w:color w:val="auto"/>
                <w:sz w:val="24"/>
                <w:szCs w:val="22"/>
                <w:highlight w:val="none"/>
                <w:lang w:val="en-US" w:eastAsia="zh-CN"/>
              </w:rPr>
              <w:t>202</w:t>
            </w:r>
            <w:r>
              <w:rPr>
                <w:rFonts w:hint="eastAsia" w:cs="Times New Roman"/>
                <w:color w:val="auto"/>
                <w:sz w:val="24"/>
                <w:szCs w:val="22"/>
                <w:highlight w:val="none"/>
                <w:lang w:val="en-US" w:eastAsia="zh-CN"/>
              </w:rPr>
              <w:t>5</w:t>
            </w:r>
            <w:r>
              <w:rPr>
                <w:rFonts w:hint="default" w:ascii="Times New Roman" w:hAnsi="Times New Roman" w:eastAsia="宋体" w:cs="Times New Roman"/>
                <w:color w:val="auto"/>
                <w:sz w:val="24"/>
                <w:szCs w:val="22"/>
                <w:highlight w:val="none"/>
              </w:rPr>
              <w:t>年</w:t>
            </w:r>
            <w:r>
              <w:rPr>
                <w:rFonts w:hint="eastAsia" w:cs="Times New Roman"/>
                <w:color w:val="auto"/>
                <w:sz w:val="24"/>
                <w:szCs w:val="22"/>
                <w:highlight w:val="none"/>
                <w:lang w:val="en-US" w:eastAsia="zh-CN"/>
              </w:rPr>
              <w:t>8月17日</w:t>
            </w:r>
            <w:r>
              <w:rPr>
                <w:rFonts w:hint="default" w:ascii="Times New Roman" w:hAnsi="Times New Roman" w:eastAsia="宋体" w:cs="Times New Roman"/>
                <w:color w:val="auto"/>
                <w:sz w:val="24"/>
                <w:szCs w:val="22"/>
                <w:highlight w:val="none"/>
              </w:rPr>
              <w:t>，采一次样品。</w:t>
            </w:r>
          </w:p>
          <w:p w14:paraId="008515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eastAsia" w:cs="Times New Roman"/>
                <w:color w:val="auto"/>
                <w:sz w:val="24"/>
                <w:szCs w:val="22"/>
                <w:highlight w:val="none"/>
                <w:lang w:val="en-US" w:eastAsia="zh-CN"/>
              </w:rPr>
              <w:t>（4）</w:t>
            </w:r>
            <w:r>
              <w:rPr>
                <w:rFonts w:hint="default" w:ascii="Times New Roman" w:hAnsi="Times New Roman" w:eastAsia="宋体" w:cs="Times New Roman"/>
                <w:color w:val="auto"/>
                <w:sz w:val="24"/>
                <w:szCs w:val="22"/>
                <w:highlight w:val="none"/>
              </w:rPr>
              <w:t>结果统计分析及评价</w:t>
            </w:r>
          </w:p>
          <w:p w14:paraId="6CB6CD8C">
            <w:pPr>
              <w:pStyle w:val="68"/>
              <w:keepNext w:val="0"/>
              <w:keepLines w:val="0"/>
              <w:pageBreakBefore w:val="0"/>
              <w:widowControl w:val="0"/>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b/>
                <w:bCs/>
                <w:i w:val="0"/>
                <w:iCs w:val="0"/>
                <w:color w:val="auto"/>
                <w:sz w:val="24"/>
                <w:szCs w:val="24"/>
                <w:highlight w:val="none"/>
              </w:rPr>
            </w:pPr>
            <w:r>
              <w:rPr>
                <w:rFonts w:hint="eastAsia" w:ascii="Times New Roman" w:hAnsi="Times New Roman" w:eastAsia="宋体" w:cs="Times New Roman"/>
                <w:b/>
                <w:bCs/>
                <w:i w:val="0"/>
                <w:iCs w:val="0"/>
                <w:color w:val="auto"/>
                <w:sz w:val="24"/>
                <w:szCs w:val="24"/>
                <w:highlight w:val="none"/>
              </w:rPr>
              <w:t>表</w:t>
            </w:r>
            <w:r>
              <w:rPr>
                <w:rFonts w:hint="eastAsia" w:eastAsia="宋体" w:cs="Times New Roman"/>
                <w:b/>
                <w:bCs/>
                <w:i w:val="0"/>
                <w:iCs w:val="0"/>
                <w:color w:val="auto"/>
                <w:sz w:val="24"/>
                <w:szCs w:val="24"/>
                <w:highlight w:val="none"/>
                <w:lang w:val="en-US" w:eastAsia="zh-CN"/>
              </w:rPr>
              <w:t>3-9</w:t>
            </w:r>
            <w:r>
              <w:rPr>
                <w:rFonts w:hint="eastAsia" w:ascii="Times New Roman" w:hAnsi="Times New Roman" w:eastAsia="宋体" w:cs="Times New Roman"/>
                <w:b/>
                <w:bCs/>
                <w:i w:val="0"/>
                <w:iCs w:val="0"/>
                <w:color w:val="auto"/>
                <w:sz w:val="24"/>
                <w:szCs w:val="24"/>
                <w:highlight w:val="none"/>
              </w:rPr>
              <w:t xml:space="preserve">  项目土壤理化特性调查表</w:t>
            </w:r>
          </w:p>
          <w:tbl>
            <w:tblPr>
              <w:tblStyle w:val="3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335"/>
              <w:gridCol w:w="1920"/>
              <w:gridCol w:w="1868"/>
              <w:gridCol w:w="1967"/>
            </w:tblGrid>
            <w:tr w14:paraId="2519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15" w:type="pct"/>
                  <w:gridSpan w:val="2"/>
                  <w:tcBorders>
                    <w:tl2br w:val="nil"/>
                    <w:tr2bl w:val="nil"/>
                  </w:tcBorders>
                  <w:noWrap w:val="0"/>
                  <w:vAlign w:val="center"/>
                </w:tcPr>
                <w:p w14:paraId="3A42DA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ascii="宋体" w:hAnsi="宋体" w:eastAsia="宋体" w:cs="宋体"/>
                      <w:color w:val="auto"/>
                      <w:sz w:val="21"/>
                      <w:szCs w:val="21"/>
                      <w:highlight w:val="none"/>
                    </w:rPr>
                    <w:t>点位</w:t>
                  </w:r>
                </w:p>
              </w:tc>
              <w:tc>
                <w:tcPr>
                  <w:tcW w:w="1129" w:type="pct"/>
                  <w:tcBorders>
                    <w:tl2br w:val="nil"/>
                    <w:tr2bl w:val="nil"/>
                  </w:tcBorders>
                  <w:noWrap w:val="0"/>
                  <w:vAlign w:val="center"/>
                </w:tcPr>
                <w:p w14:paraId="0BC5A5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rPr>
                  </w:pPr>
                  <w:r>
                    <w:rPr>
                      <w:rFonts w:hint="default"/>
                      <w:color w:val="auto"/>
                      <w:sz w:val="21"/>
                      <w:szCs w:val="21"/>
                      <w:highlight w:val="none"/>
                      <w:lang w:val="en-US" w:eastAsia="zh-CN"/>
                    </w:rPr>
                    <w:t>1#现有渗滤液处理站用地范围内</w:t>
                  </w:r>
                </w:p>
              </w:tc>
              <w:tc>
                <w:tcPr>
                  <w:tcW w:w="1098" w:type="pct"/>
                  <w:tcBorders>
                    <w:tl2br w:val="nil"/>
                    <w:tr2bl w:val="nil"/>
                  </w:tcBorders>
                  <w:noWrap w:val="0"/>
                  <w:vAlign w:val="center"/>
                </w:tcPr>
                <w:p w14:paraId="212D74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rPr>
                  </w:pPr>
                  <w:r>
                    <w:rPr>
                      <w:rFonts w:hint="default"/>
                      <w:color w:val="auto"/>
                      <w:sz w:val="21"/>
                      <w:szCs w:val="21"/>
                      <w:highlight w:val="none"/>
                      <w:lang w:val="en-US" w:eastAsia="zh-CN"/>
                    </w:rPr>
                    <w:t>2#现有渗滤液处理站用地范围内</w:t>
                  </w:r>
                </w:p>
              </w:tc>
              <w:tc>
                <w:tcPr>
                  <w:tcW w:w="1156" w:type="pct"/>
                  <w:tcBorders>
                    <w:tl2br w:val="nil"/>
                    <w:tr2bl w:val="nil"/>
                  </w:tcBorders>
                  <w:noWrap w:val="0"/>
                  <w:vAlign w:val="center"/>
                </w:tcPr>
                <w:p w14:paraId="363EE4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rPr>
                  </w:pPr>
                  <w:r>
                    <w:rPr>
                      <w:rFonts w:hint="default"/>
                      <w:color w:val="auto"/>
                      <w:sz w:val="21"/>
                      <w:szCs w:val="21"/>
                      <w:highlight w:val="none"/>
                      <w:lang w:val="en-US" w:eastAsia="zh-CN"/>
                    </w:rPr>
                    <w:t>3#拟建暂存间用地范围内</w:t>
                  </w:r>
                </w:p>
              </w:tc>
            </w:tr>
            <w:tr w14:paraId="0A4B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gridSpan w:val="2"/>
                  <w:tcBorders>
                    <w:tl2br w:val="nil"/>
                    <w:tr2bl w:val="nil"/>
                  </w:tcBorders>
                  <w:noWrap w:val="0"/>
                  <w:vAlign w:val="center"/>
                </w:tcPr>
                <w:p w14:paraId="00E930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时间</w:t>
                  </w:r>
                </w:p>
              </w:tc>
              <w:tc>
                <w:tcPr>
                  <w:tcW w:w="3384" w:type="pct"/>
                  <w:gridSpan w:val="3"/>
                  <w:tcBorders>
                    <w:tl2br w:val="nil"/>
                    <w:tr2bl w:val="nil"/>
                  </w:tcBorders>
                  <w:noWrap w:val="0"/>
                  <w:vAlign w:val="center"/>
                </w:tcPr>
                <w:p w14:paraId="6ABF0E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2</w:t>
                  </w:r>
                  <w:r>
                    <w:rPr>
                      <w:color w:val="auto"/>
                      <w:sz w:val="21"/>
                      <w:szCs w:val="21"/>
                      <w:highlight w:val="none"/>
                    </w:rPr>
                    <w:t>02</w:t>
                  </w:r>
                  <w:r>
                    <w:rPr>
                      <w:rFonts w:hint="eastAsia"/>
                      <w:color w:val="auto"/>
                      <w:sz w:val="21"/>
                      <w:szCs w:val="21"/>
                      <w:highlight w:val="none"/>
                      <w:lang w:val="en-US" w:eastAsia="zh-CN"/>
                    </w:rPr>
                    <w:t>5年8月17日</w:t>
                  </w:r>
                </w:p>
              </w:tc>
            </w:tr>
            <w:tr w14:paraId="76E0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gridSpan w:val="2"/>
                  <w:tcBorders>
                    <w:tl2br w:val="nil"/>
                    <w:tr2bl w:val="nil"/>
                  </w:tcBorders>
                  <w:noWrap w:val="0"/>
                  <w:vAlign w:val="center"/>
                </w:tcPr>
                <w:p w14:paraId="442549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经度</w:t>
                  </w:r>
                  <w:r>
                    <w:rPr>
                      <w:rFonts w:hint="eastAsia"/>
                      <w:color w:val="auto"/>
                      <w:sz w:val="21"/>
                      <w:szCs w:val="21"/>
                      <w:highlight w:val="none"/>
                    </w:rPr>
                    <w:t>/</w:t>
                  </w:r>
                  <w:r>
                    <w:rPr>
                      <w:rFonts w:hint="eastAsia" w:ascii="宋体" w:hAnsi="宋体" w:eastAsia="宋体" w:cs="宋体"/>
                      <w:color w:val="auto"/>
                      <w:sz w:val="21"/>
                      <w:szCs w:val="21"/>
                      <w:highlight w:val="none"/>
                    </w:rPr>
                    <w:t>纬度</w:t>
                  </w:r>
                </w:p>
              </w:tc>
              <w:tc>
                <w:tcPr>
                  <w:tcW w:w="1129" w:type="pct"/>
                  <w:tcBorders>
                    <w:tl2br w:val="nil"/>
                    <w:tr2bl w:val="nil"/>
                  </w:tcBorders>
                  <w:noWrap w:val="0"/>
                  <w:vAlign w:val="center"/>
                </w:tcPr>
                <w:p w14:paraId="1E89AF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103.023132°E</w:t>
                  </w:r>
                </w:p>
                <w:p w14:paraId="257B49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24.702118°N</w:t>
                  </w:r>
                </w:p>
              </w:tc>
              <w:tc>
                <w:tcPr>
                  <w:tcW w:w="1098" w:type="pct"/>
                  <w:tcBorders>
                    <w:tl2br w:val="nil"/>
                    <w:tr2bl w:val="nil"/>
                  </w:tcBorders>
                  <w:noWrap w:val="0"/>
                  <w:vAlign w:val="center"/>
                </w:tcPr>
                <w:p w14:paraId="5C263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103.023205°E</w:t>
                  </w:r>
                </w:p>
                <w:p w14:paraId="4AD406B1">
                  <w:pPr>
                    <w:pStyle w:val="14"/>
                    <w:jc w:val="center"/>
                    <w:rPr>
                      <w:rFonts w:hint="eastAsia"/>
                      <w:color w:val="auto"/>
                      <w:highlight w:val="none"/>
                    </w:rPr>
                  </w:pPr>
                  <w:r>
                    <w:rPr>
                      <w:rFonts w:hint="default" w:ascii="Times New Roman" w:hAnsi="Times New Roman" w:cs="Times New Roman"/>
                      <w:color w:val="auto"/>
                      <w:highlight w:val="none"/>
                      <w:lang w:val="en-US" w:eastAsia="zh-CN"/>
                    </w:rPr>
                    <w:t>24.702120°N</w:t>
                  </w:r>
                </w:p>
              </w:tc>
              <w:tc>
                <w:tcPr>
                  <w:tcW w:w="1156" w:type="pct"/>
                  <w:tcBorders>
                    <w:tl2br w:val="nil"/>
                    <w:tr2bl w:val="nil"/>
                  </w:tcBorders>
                  <w:noWrap w:val="0"/>
                  <w:vAlign w:val="center"/>
                </w:tcPr>
                <w:p w14:paraId="1BA318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103.023078°E</w:t>
                  </w:r>
                </w:p>
                <w:p w14:paraId="1ABDA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24.703296°N</w:t>
                  </w:r>
                </w:p>
              </w:tc>
            </w:tr>
            <w:tr w14:paraId="396F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gridSpan w:val="2"/>
                  <w:tcBorders>
                    <w:tl2br w:val="nil"/>
                    <w:tr2bl w:val="nil"/>
                  </w:tcBorders>
                  <w:noWrap w:val="0"/>
                  <w:vAlign w:val="center"/>
                </w:tcPr>
                <w:p w14:paraId="1866F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层次（</w:t>
                  </w:r>
                  <w:r>
                    <w:rPr>
                      <w:rFonts w:hint="eastAsia"/>
                      <w:color w:val="auto"/>
                      <w:sz w:val="21"/>
                      <w:szCs w:val="21"/>
                      <w:highlight w:val="none"/>
                    </w:rPr>
                    <w:t>cm</w:t>
                  </w:r>
                  <w:r>
                    <w:rPr>
                      <w:rFonts w:hint="eastAsia" w:ascii="宋体" w:hAnsi="宋体" w:eastAsia="宋体" w:cs="宋体"/>
                      <w:color w:val="auto"/>
                      <w:sz w:val="21"/>
                      <w:szCs w:val="21"/>
                      <w:highlight w:val="none"/>
                    </w:rPr>
                    <w:t>）</w:t>
                  </w:r>
                </w:p>
              </w:tc>
              <w:tc>
                <w:tcPr>
                  <w:tcW w:w="1129" w:type="pct"/>
                  <w:tcBorders>
                    <w:tl2br w:val="nil"/>
                    <w:tr2bl w:val="nil"/>
                  </w:tcBorders>
                  <w:noWrap w:val="0"/>
                  <w:vAlign w:val="center"/>
                </w:tcPr>
                <w:p w14:paraId="0D99FC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bCs/>
                      <w:color w:val="auto"/>
                      <w:szCs w:val="21"/>
                      <w:highlight w:val="none"/>
                    </w:rPr>
                    <w:t>0~0.</w:t>
                  </w:r>
                  <w:r>
                    <w:rPr>
                      <w:rFonts w:hint="eastAsia"/>
                      <w:bCs/>
                      <w:color w:val="auto"/>
                      <w:szCs w:val="21"/>
                      <w:highlight w:val="none"/>
                      <w:lang w:val="en-US" w:eastAsia="zh-CN"/>
                    </w:rPr>
                    <w:t>2m</w:t>
                  </w:r>
                </w:p>
              </w:tc>
              <w:tc>
                <w:tcPr>
                  <w:tcW w:w="1868" w:type="dxa"/>
                  <w:tcBorders>
                    <w:tl2br w:val="nil"/>
                    <w:tr2bl w:val="nil"/>
                  </w:tcBorders>
                  <w:noWrap w:val="0"/>
                  <w:vAlign w:val="center"/>
                </w:tcPr>
                <w:p w14:paraId="6F07CF09">
                  <w:pPr>
                    <w:pStyle w:val="113"/>
                    <w:spacing w:line="320" w:lineRule="exact"/>
                    <w:rPr>
                      <w:rFonts w:hint="eastAsia"/>
                      <w:color w:val="auto"/>
                      <w:sz w:val="21"/>
                      <w:szCs w:val="21"/>
                      <w:highlight w:val="none"/>
                    </w:rPr>
                  </w:pPr>
                  <w:r>
                    <w:rPr>
                      <w:rFonts w:hint="eastAsia"/>
                      <w:bCs/>
                      <w:color w:val="auto"/>
                      <w:sz w:val="21"/>
                      <w:szCs w:val="21"/>
                      <w:highlight w:val="none"/>
                    </w:rPr>
                    <w:t>0~0.</w:t>
                  </w:r>
                  <w:r>
                    <w:rPr>
                      <w:rFonts w:hint="eastAsia"/>
                      <w:bCs/>
                      <w:color w:val="auto"/>
                      <w:sz w:val="21"/>
                      <w:szCs w:val="21"/>
                      <w:highlight w:val="none"/>
                      <w:lang w:val="en-US" w:eastAsia="zh-CN"/>
                    </w:rPr>
                    <w:t>2m</w:t>
                  </w:r>
                </w:p>
              </w:tc>
              <w:tc>
                <w:tcPr>
                  <w:tcW w:w="1967" w:type="dxa"/>
                  <w:tcBorders>
                    <w:tl2br w:val="nil"/>
                    <w:tr2bl w:val="nil"/>
                  </w:tcBorders>
                  <w:noWrap w:val="0"/>
                  <w:vAlign w:val="center"/>
                </w:tcPr>
                <w:p w14:paraId="63731ABA">
                  <w:pPr>
                    <w:pStyle w:val="113"/>
                    <w:spacing w:line="320" w:lineRule="exact"/>
                    <w:rPr>
                      <w:rFonts w:hint="eastAsia"/>
                      <w:color w:val="auto"/>
                      <w:sz w:val="21"/>
                      <w:szCs w:val="21"/>
                      <w:highlight w:val="none"/>
                    </w:rPr>
                  </w:pPr>
                  <w:r>
                    <w:rPr>
                      <w:rFonts w:hint="eastAsia"/>
                      <w:bCs/>
                      <w:color w:val="auto"/>
                      <w:sz w:val="21"/>
                      <w:szCs w:val="21"/>
                      <w:highlight w:val="none"/>
                    </w:rPr>
                    <w:t>0~0.</w:t>
                  </w:r>
                  <w:r>
                    <w:rPr>
                      <w:rFonts w:hint="eastAsia"/>
                      <w:bCs/>
                      <w:color w:val="auto"/>
                      <w:sz w:val="21"/>
                      <w:szCs w:val="21"/>
                      <w:highlight w:val="none"/>
                      <w:lang w:val="en-US" w:eastAsia="zh-CN"/>
                    </w:rPr>
                    <w:t>2m</w:t>
                  </w:r>
                </w:p>
              </w:tc>
            </w:tr>
            <w:tr w14:paraId="403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restart"/>
                  <w:tcBorders>
                    <w:tl2br w:val="nil"/>
                    <w:tr2bl w:val="nil"/>
                  </w:tcBorders>
                  <w:noWrap w:val="0"/>
                  <w:vAlign w:val="center"/>
                </w:tcPr>
                <w:p w14:paraId="54988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现场记录</w:t>
                  </w:r>
                </w:p>
              </w:tc>
              <w:tc>
                <w:tcPr>
                  <w:tcW w:w="1373" w:type="pct"/>
                  <w:tcBorders>
                    <w:tl2br w:val="nil"/>
                    <w:tr2bl w:val="nil"/>
                  </w:tcBorders>
                  <w:shd w:val="clear" w:color="auto" w:fill="auto"/>
                  <w:noWrap w:val="0"/>
                  <w:vAlign w:val="center"/>
                </w:tcPr>
                <w:p w14:paraId="39773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rPr>
                    <w:t>颜色</w:t>
                  </w:r>
                </w:p>
              </w:tc>
              <w:tc>
                <w:tcPr>
                  <w:tcW w:w="1129" w:type="pct"/>
                  <w:tcBorders>
                    <w:tl2br w:val="nil"/>
                    <w:tr2bl w:val="nil"/>
                  </w:tcBorders>
                  <w:shd w:val="clear" w:color="auto" w:fill="auto"/>
                  <w:noWrap w:val="0"/>
                  <w:vAlign w:val="center"/>
                </w:tcPr>
                <w:p w14:paraId="65D619DB">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 xml:space="preserve">暗棕色 </w:t>
                  </w:r>
                </w:p>
              </w:tc>
              <w:tc>
                <w:tcPr>
                  <w:tcW w:w="1868" w:type="dxa"/>
                  <w:tcBorders>
                    <w:tl2br w:val="nil"/>
                    <w:tr2bl w:val="nil"/>
                  </w:tcBorders>
                  <w:noWrap w:val="0"/>
                  <w:vAlign w:val="center"/>
                </w:tcPr>
                <w:p w14:paraId="4E97A6EB">
                  <w:pPr>
                    <w:adjustRightInd w:val="0"/>
                    <w:snapToGrid w:val="0"/>
                    <w:jc w:val="center"/>
                    <w:rPr>
                      <w:rFonts w:hint="eastAsia"/>
                      <w:color w:val="auto"/>
                      <w:sz w:val="21"/>
                      <w:szCs w:val="21"/>
                      <w:highlight w:val="none"/>
                    </w:rPr>
                  </w:pPr>
                  <w:r>
                    <w:rPr>
                      <w:rFonts w:hint="eastAsia" w:cs="Times New Roman"/>
                      <w:color w:val="auto"/>
                      <w:sz w:val="21"/>
                      <w:szCs w:val="21"/>
                      <w:highlight w:val="none"/>
                      <w:lang w:val="en-US" w:eastAsia="zh-CN"/>
                    </w:rPr>
                    <w:t xml:space="preserve">暗棕色 </w:t>
                  </w:r>
                </w:p>
              </w:tc>
              <w:tc>
                <w:tcPr>
                  <w:tcW w:w="1967" w:type="dxa"/>
                  <w:tcBorders>
                    <w:tl2br w:val="nil"/>
                    <w:tr2bl w:val="nil"/>
                  </w:tcBorders>
                  <w:noWrap w:val="0"/>
                  <w:vAlign w:val="center"/>
                </w:tcPr>
                <w:p w14:paraId="28D3D250">
                  <w:pPr>
                    <w:adjustRightInd w:val="0"/>
                    <w:snapToGrid w:val="0"/>
                    <w:jc w:val="center"/>
                    <w:rPr>
                      <w:rFonts w:hint="eastAsia"/>
                      <w:color w:val="auto"/>
                      <w:sz w:val="21"/>
                      <w:szCs w:val="21"/>
                      <w:highlight w:val="none"/>
                    </w:rPr>
                  </w:pPr>
                  <w:r>
                    <w:rPr>
                      <w:rFonts w:hint="eastAsia" w:cs="Times New Roman"/>
                      <w:color w:val="auto"/>
                      <w:sz w:val="21"/>
                      <w:szCs w:val="21"/>
                      <w:highlight w:val="none"/>
                      <w:lang w:val="en-US" w:eastAsia="zh-CN"/>
                    </w:rPr>
                    <w:t xml:space="preserve">暗棕色 </w:t>
                  </w:r>
                </w:p>
              </w:tc>
            </w:tr>
            <w:tr w14:paraId="4A2A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tcBorders>
                    <w:tl2br w:val="nil"/>
                    <w:tr2bl w:val="nil"/>
                  </w:tcBorders>
                  <w:noWrap w:val="0"/>
                  <w:vAlign w:val="center"/>
                </w:tcPr>
                <w:p w14:paraId="4535ED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73" w:type="pct"/>
                  <w:tcBorders>
                    <w:tl2br w:val="nil"/>
                    <w:tr2bl w:val="nil"/>
                  </w:tcBorders>
                  <w:shd w:val="clear" w:color="auto" w:fill="auto"/>
                  <w:noWrap w:val="0"/>
                  <w:vAlign w:val="center"/>
                </w:tcPr>
                <w:p w14:paraId="5646A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rPr>
                    <w:t>结构</w:t>
                  </w:r>
                </w:p>
              </w:tc>
              <w:tc>
                <w:tcPr>
                  <w:tcW w:w="1129" w:type="pct"/>
                  <w:tcBorders>
                    <w:tl2br w:val="nil"/>
                    <w:tr2bl w:val="nil"/>
                  </w:tcBorders>
                  <w:shd w:val="clear" w:color="auto" w:fill="auto"/>
                  <w:noWrap w:val="0"/>
                  <w:vAlign w:val="center"/>
                </w:tcPr>
                <w:p w14:paraId="0A3B3DB2">
                  <w:pPr>
                    <w:spacing w:line="365" w:lineRule="atLeast"/>
                    <w:ind w:left="0" w:leftChars="0"/>
                    <w:jc w:val="center"/>
                    <w:textAlignment w:val="bottom"/>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团粒</w:t>
                  </w:r>
                </w:p>
              </w:tc>
              <w:tc>
                <w:tcPr>
                  <w:tcW w:w="1868" w:type="dxa"/>
                  <w:tcBorders>
                    <w:tl2br w:val="nil"/>
                    <w:tr2bl w:val="nil"/>
                  </w:tcBorders>
                  <w:noWrap w:val="0"/>
                  <w:vAlign w:val="center"/>
                </w:tcPr>
                <w:p w14:paraId="513CD96D">
                  <w:pPr>
                    <w:spacing w:line="365" w:lineRule="atLeast"/>
                    <w:ind w:left="0" w:leftChars="0"/>
                    <w:jc w:val="center"/>
                    <w:textAlignment w:val="bottom"/>
                    <w:rPr>
                      <w:rFonts w:hint="eastAsia"/>
                      <w:color w:val="auto"/>
                      <w:sz w:val="21"/>
                      <w:szCs w:val="21"/>
                      <w:highlight w:val="none"/>
                    </w:rPr>
                  </w:pPr>
                  <w:r>
                    <w:rPr>
                      <w:rFonts w:hint="eastAsia" w:cs="Times New Roman"/>
                      <w:color w:val="auto"/>
                      <w:kern w:val="0"/>
                      <w:sz w:val="21"/>
                      <w:szCs w:val="21"/>
                      <w:highlight w:val="none"/>
                      <w:lang w:val="en-US" w:eastAsia="zh-CN"/>
                    </w:rPr>
                    <w:t>团粒</w:t>
                  </w:r>
                </w:p>
              </w:tc>
              <w:tc>
                <w:tcPr>
                  <w:tcW w:w="1967" w:type="dxa"/>
                  <w:tcBorders>
                    <w:tl2br w:val="nil"/>
                    <w:tr2bl w:val="nil"/>
                  </w:tcBorders>
                  <w:noWrap w:val="0"/>
                  <w:vAlign w:val="center"/>
                </w:tcPr>
                <w:p w14:paraId="28E6A358">
                  <w:pPr>
                    <w:spacing w:line="365" w:lineRule="atLeast"/>
                    <w:ind w:left="0" w:leftChars="0"/>
                    <w:jc w:val="center"/>
                    <w:textAlignment w:val="bottom"/>
                    <w:rPr>
                      <w:rFonts w:hint="eastAsia"/>
                      <w:color w:val="auto"/>
                      <w:sz w:val="21"/>
                      <w:szCs w:val="21"/>
                      <w:highlight w:val="none"/>
                    </w:rPr>
                  </w:pPr>
                  <w:r>
                    <w:rPr>
                      <w:rFonts w:hint="eastAsia" w:cs="Times New Roman"/>
                      <w:color w:val="auto"/>
                      <w:kern w:val="0"/>
                      <w:sz w:val="21"/>
                      <w:szCs w:val="21"/>
                      <w:highlight w:val="none"/>
                      <w:lang w:val="en-US" w:eastAsia="zh-CN"/>
                    </w:rPr>
                    <w:t>团粒</w:t>
                  </w:r>
                </w:p>
              </w:tc>
            </w:tr>
            <w:tr w14:paraId="24A3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tcBorders>
                    <w:tl2br w:val="nil"/>
                    <w:tr2bl w:val="nil"/>
                  </w:tcBorders>
                  <w:noWrap w:val="0"/>
                  <w:vAlign w:val="center"/>
                </w:tcPr>
                <w:p w14:paraId="7A73FF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73" w:type="pct"/>
                  <w:tcBorders>
                    <w:tl2br w:val="nil"/>
                    <w:tr2bl w:val="nil"/>
                  </w:tcBorders>
                  <w:shd w:val="clear" w:color="auto" w:fill="auto"/>
                  <w:noWrap w:val="0"/>
                  <w:vAlign w:val="center"/>
                </w:tcPr>
                <w:p w14:paraId="307846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rPr>
                    <w:t>质地</w:t>
                  </w:r>
                </w:p>
              </w:tc>
              <w:tc>
                <w:tcPr>
                  <w:tcW w:w="1129" w:type="pct"/>
                  <w:tcBorders>
                    <w:tl2br w:val="nil"/>
                    <w:tr2bl w:val="nil"/>
                  </w:tcBorders>
                  <w:shd w:val="clear" w:color="auto" w:fill="auto"/>
                  <w:noWrap w:val="0"/>
                  <w:vAlign w:val="center"/>
                </w:tcPr>
                <w:p w14:paraId="79B697C4">
                  <w:pPr>
                    <w:spacing w:line="365" w:lineRule="atLeast"/>
                    <w:ind w:left="0" w:leftChars="0"/>
                    <w:jc w:val="center"/>
                    <w:textAlignment w:val="bottom"/>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砂</w:t>
                  </w:r>
                  <w:r>
                    <w:rPr>
                      <w:rFonts w:hint="default" w:ascii="Times New Roman" w:hAnsi="Times New Roman" w:eastAsia="宋体" w:cs="Times New Roman"/>
                      <w:color w:val="auto"/>
                      <w:kern w:val="0"/>
                      <w:sz w:val="21"/>
                      <w:szCs w:val="21"/>
                      <w:highlight w:val="none"/>
                      <w:lang w:val="en-US" w:eastAsia="zh-CN"/>
                    </w:rPr>
                    <w:t>壤土</w:t>
                  </w:r>
                </w:p>
              </w:tc>
              <w:tc>
                <w:tcPr>
                  <w:tcW w:w="1868" w:type="dxa"/>
                  <w:tcBorders>
                    <w:tl2br w:val="nil"/>
                    <w:tr2bl w:val="nil"/>
                  </w:tcBorders>
                  <w:noWrap w:val="0"/>
                  <w:vAlign w:val="center"/>
                </w:tcPr>
                <w:p w14:paraId="29A96ECF">
                  <w:pPr>
                    <w:spacing w:line="365" w:lineRule="atLeast"/>
                    <w:ind w:left="0" w:leftChars="0"/>
                    <w:jc w:val="center"/>
                    <w:textAlignment w:val="bottom"/>
                    <w:rPr>
                      <w:rFonts w:hint="eastAsia"/>
                      <w:color w:val="auto"/>
                      <w:sz w:val="21"/>
                      <w:szCs w:val="21"/>
                      <w:highlight w:val="none"/>
                    </w:rPr>
                  </w:pPr>
                  <w:r>
                    <w:rPr>
                      <w:rFonts w:hint="eastAsia" w:cs="Times New Roman"/>
                      <w:color w:val="auto"/>
                      <w:kern w:val="0"/>
                      <w:sz w:val="21"/>
                      <w:szCs w:val="21"/>
                      <w:highlight w:val="none"/>
                      <w:lang w:val="en-US" w:eastAsia="zh-CN"/>
                    </w:rPr>
                    <w:t>砂</w:t>
                  </w:r>
                  <w:r>
                    <w:rPr>
                      <w:rFonts w:hint="default" w:ascii="Times New Roman" w:hAnsi="Times New Roman" w:eastAsia="宋体" w:cs="Times New Roman"/>
                      <w:color w:val="auto"/>
                      <w:kern w:val="0"/>
                      <w:sz w:val="21"/>
                      <w:szCs w:val="21"/>
                      <w:highlight w:val="none"/>
                      <w:lang w:val="en-US" w:eastAsia="zh-CN"/>
                    </w:rPr>
                    <w:t>壤土</w:t>
                  </w:r>
                </w:p>
              </w:tc>
              <w:tc>
                <w:tcPr>
                  <w:tcW w:w="1967" w:type="dxa"/>
                  <w:tcBorders>
                    <w:tl2br w:val="nil"/>
                    <w:tr2bl w:val="nil"/>
                  </w:tcBorders>
                  <w:noWrap w:val="0"/>
                  <w:vAlign w:val="center"/>
                </w:tcPr>
                <w:p w14:paraId="18588381">
                  <w:pPr>
                    <w:spacing w:line="365" w:lineRule="atLeast"/>
                    <w:ind w:left="0" w:leftChars="0"/>
                    <w:jc w:val="center"/>
                    <w:textAlignment w:val="bottom"/>
                    <w:rPr>
                      <w:rFonts w:hint="eastAsia"/>
                      <w:color w:val="auto"/>
                      <w:sz w:val="21"/>
                      <w:szCs w:val="21"/>
                      <w:highlight w:val="none"/>
                    </w:rPr>
                  </w:pPr>
                  <w:r>
                    <w:rPr>
                      <w:rFonts w:hint="eastAsia" w:cs="Times New Roman"/>
                      <w:color w:val="auto"/>
                      <w:kern w:val="0"/>
                      <w:sz w:val="21"/>
                      <w:szCs w:val="21"/>
                      <w:highlight w:val="none"/>
                      <w:lang w:val="en-US" w:eastAsia="zh-CN"/>
                    </w:rPr>
                    <w:t>砂</w:t>
                  </w:r>
                  <w:r>
                    <w:rPr>
                      <w:rFonts w:hint="default" w:ascii="Times New Roman" w:hAnsi="Times New Roman" w:eastAsia="宋体" w:cs="Times New Roman"/>
                      <w:color w:val="auto"/>
                      <w:kern w:val="0"/>
                      <w:sz w:val="21"/>
                      <w:szCs w:val="21"/>
                      <w:highlight w:val="none"/>
                      <w:lang w:val="en-US" w:eastAsia="zh-CN"/>
                    </w:rPr>
                    <w:t>壤土</w:t>
                  </w:r>
                </w:p>
              </w:tc>
            </w:tr>
            <w:tr w14:paraId="6449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tcBorders>
                    <w:tl2br w:val="nil"/>
                    <w:tr2bl w:val="nil"/>
                  </w:tcBorders>
                  <w:noWrap w:val="0"/>
                  <w:vAlign w:val="center"/>
                </w:tcPr>
                <w:p w14:paraId="76C8E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73" w:type="pct"/>
                  <w:tcBorders>
                    <w:tl2br w:val="nil"/>
                    <w:tr2bl w:val="nil"/>
                  </w:tcBorders>
                  <w:shd w:val="clear" w:color="auto" w:fill="auto"/>
                  <w:noWrap w:val="0"/>
                  <w:vAlign w:val="center"/>
                </w:tcPr>
                <w:p w14:paraId="72F6B7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rPr>
                    <w:t>砂砾含量</w:t>
                  </w:r>
                </w:p>
              </w:tc>
              <w:tc>
                <w:tcPr>
                  <w:tcW w:w="1129" w:type="pct"/>
                  <w:tcBorders>
                    <w:tl2br w:val="nil"/>
                    <w:tr2bl w:val="nil"/>
                  </w:tcBorders>
                  <w:shd w:val="clear" w:color="auto" w:fill="auto"/>
                  <w:noWrap w:val="0"/>
                  <w:vAlign w:val="center"/>
                </w:tcPr>
                <w:p w14:paraId="798C35DE">
                  <w:pPr>
                    <w:spacing w:line="365" w:lineRule="atLeast"/>
                    <w:ind w:left="0" w:leftChars="0"/>
                    <w:jc w:val="center"/>
                    <w:textAlignment w:val="bottom"/>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lang w:val="en-US" w:eastAsia="zh-CN"/>
                    </w:rPr>
                    <w:t>%</w:t>
                  </w:r>
                </w:p>
              </w:tc>
              <w:tc>
                <w:tcPr>
                  <w:tcW w:w="1868" w:type="dxa"/>
                  <w:tcBorders>
                    <w:tl2br w:val="nil"/>
                    <w:tr2bl w:val="nil"/>
                  </w:tcBorders>
                  <w:noWrap w:val="0"/>
                  <w:vAlign w:val="center"/>
                </w:tcPr>
                <w:p w14:paraId="0A7720C4">
                  <w:pPr>
                    <w:spacing w:line="365" w:lineRule="atLeast"/>
                    <w:ind w:left="0" w:leftChars="0"/>
                    <w:jc w:val="center"/>
                    <w:textAlignment w:val="bottom"/>
                    <w:rPr>
                      <w:rFonts w:hint="eastAsia"/>
                      <w:color w:val="auto"/>
                      <w:sz w:val="21"/>
                      <w:szCs w:val="21"/>
                      <w:highlight w:val="none"/>
                    </w:rPr>
                  </w:pPr>
                  <w:r>
                    <w:rPr>
                      <w:rFonts w:hint="eastAsia" w:cs="Times New Roman"/>
                      <w:color w:val="auto"/>
                      <w:kern w:val="0"/>
                      <w:sz w:val="21"/>
                      <w:szCs w:val="21"/>
                      <w:highlight w:val="none"/>
                      <w:lang w:val="en-US" w:eastAsia="zh-CN"/>
                    </w:rPr>
                    <w:t>13</w:t>
                  </w:r>
                  <w:r>
                    <w:rPr>
                      <w:rFonts w:hint="default" w:ascii="Times New Roman" w:hAnsi="Times New Roman" w:eastAsia="宋体" w:cs="Times New Roman"/>
                      <w:color w:val="auto"/>
                      <w:kern w:val="0"/>
                      <w:sz w:val="21"/>
                      <w:szCs w:val="21"/>
                      <w:highlight w:val="none"/>
                      <w:lang w:val="en-US" w:eastAsia="zh-CN"/>
                    </w:rPr>
                    <w:t>%</w:t>
                  </w:r>
                </w:p>
              </w:tc>
              <w:tc>
                <w:tcPr>
                  <w:tcW w:w="1967" w:type="dxa"/>
                  <w:tcBorders>
                    <w:tl2br w:val="nil"/>
                    <w:tr2bl w:val="nil"/>
                  </w:tcBorders>
                  <w:noWrap w:val="0"/>
                  <w:vAlign w:val="center"/>
                </w:tcPr>
                <w:p w14:paraId="71C45726">
                  <w:pPr>
                    <w:spacing w:line="365" w:lineRule="atLeast"/>
                    <w:ind w:left="0" w:leftChars="0"/>
                    <w:jc w:val="center"/>
                    <w:textAlignment w:val="bottom"/>
                    <w:rPr>
                      <w:rFonts w:hint="eastAsia"/>
                      <w:color w:val="auto"/>
                      <w:sz w:val="21"/>
                      <w:szCs w:val="21"/>
                      <w:highlight w:val="none"/>
                    </w:rPr>
                  </w:pPr>
                  <w:r>
                    <w:rPr>
                      <w:rFonts w:hint="eastAsia" w:cs="Times New Roman"/>
                      <w:color w:val="auto"/>
                      <w:kern w:val="0"/>
                      <w:sz w:val="21"/>
                      <w:szCs w:val="21"/>
                      <w:highlight w:val="none"/>
                      <w:lang w:val="en-US" w:eastAsia="zh-CN"/>
                    </w:rPr>
                    <w:t>11</w:t>
                  </w:r>
                  <w:r>
                    <w:rPr>
                      <w:rFonts w:hint="default" w:ascii="Times New Roman" w:hAnsi="Times New Roman" w:eastAsia="宋体" w:cs="Times New Roman"/>
                      <w:color w:val="auto"/>
                      <w:kern w:val="0"/>
                      <w:sz w:val="21"/>
                      <w:szCs w:val="21"/>
                      <w:highlight w:val="none"/>
                      <w:lang w:val="en-US" w:eastAsia="zh-CN"/>
                    </w:rPr>
                    <w:t>%</w:t>
                  </w:r>
                </w:p>
              </w:tc>
            </w:tr>
            <w:tr w14:paraId="7F27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tcBorders>
                    <w:tl2br w:val="nil"/>
                    <w:tr2bl w:val="nil"/>
                  </w:tcBorders>
                  <w:noWrap w:val="0"/>
                  <w:vAlign w:val="center"/>
                </w:tcPr>
                <w:p w14:paraId="607CF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73" w:type="pct"/>
                  <w:tcBorders>
                    <w:tl2br w:val="nil"/>
                    <w:tr2bl w:val="nil"/>
                  </w:tcBorders>
                  <w:shd w:val="clear" w:color="auto" w:fill="auto"/>
                  <w:noWrap w:val="0"/>
                  <w:vAlign w:val="center"/>
                </w:tcPr>
                <w:p w14:paraId="01B368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rPr>
                    <w:t>其他异物</w:t>
                  </w:r>
                </w:p>
              </w:tc>
              <w:tc>
                <w:tcPr>
                  <w:tcW w:w="1129" w:type="pct"/>
                  <w:tcBorders>
                    <w:tl2br w:val="nil"/>
                    <w:tr2bl w:val="nil"/>
                  </w:tcBorders>
                  <w:shd w:val="clear" w:color="auto" w:fill="auto"/>
                  <w:noWrap w:val="0"/>
                  <w:vAlign w:val="center"/>
                </w:tcPr>
                <w:p w14:paraId="5277E687">
                  <w:pPr>
                    <w:spacing w:line="365" w:lineRule="atLeast"/>
                    <w:ind w:left="0" w:leftChars="0"/>
                    <w:jc w:val="center"/>
                    <w:textAlignment w:val="bottom"/>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砂砾、少量根系</w:t>
                  </w:r>
                </w:p>
              </w:tc>
              <w:tc>
                <w:tcPr>
                  <w:tcW w:w="1868" w:type="dxa"/>
                  <w:tcBorders>
                    <w:tl2br w:val="nil"/>
                    <w:tr2bl w:val="nil"/>
                  </w:tcBorders>
                  <w:noWrap w:val="0"/>
                  <w:vAlign w:val="center"/>
                </w:tcPr>
                <w:p w14:paraId="581E406D">
                  <w:pPr>
                    <w:spacing w:line="365" w:lineRule="atLeast"/>
                    <w:ind w:left="0" w:leftChars="0"/>
                    <w:jc w:val="center"/>
                    <w:textAlignment w:val="bottom"/>
                    <w:rPr>
                      <w:rFonts w:hint="eastAsia"/>
                      <w:color w:val="auto"/>
                      <w:sz w:val="21"/>
                      <w:szCs w:val="21"/>
                      <w:highlight w:val="none"/>
                    </w:rPr>
                  </w:pPr>
                  <w:r>
                    <w:rPr>
                      <w:rFonts w:hint="eastAsia" w:cs="Times New Roman"/>
                      <w:color w:val="auto"/>
                      <w:kern w:val="0"/>
                      <w:sz w:val="21"/>
                      <w:szCs w:val="21"/>
                      <w:highlight w:val="none"/>
                      <w:lang w:val="en-US" w:eastAsia="zh-CN" w:bidi="ar-SA"/>
                    </w:rPr>
                    <w:t>砂砾、少量根系</w:t>
                  </w:r>
                </w:p>
              </w:tc>
              <w:tc>
                <w:tcPr>
                  <w:tcW w:w="1967" w:type="dxa"/>
                  <w:tcBorders>
                    <w:tl2br w:val="nil"/>
                    <w:tr2bl w:val="nil"/>
                  </w:tcBorders>
                  <w:noWrap w:val="0"/>
                  <w:vAlign w:val="center"/>
                </w:tcPr>
                <w:p w14:paraId="4CE36C56">
                  <w:pPr>
                    <w:spacing w:line="365" w:lineRule="atLeast"/>
                    <w:ind w:left="0" w:leftChars="0"/>
                    <w:jc w:val="center"/>
                    <w:textAlignment w:val="bottom"/>
                    <w:rPr>
                      <w:rFonts w:hint="eastAsia"/>
                      <w:color w:val="auto"/>
                      <w:sz w:val="21"/>
                      <w:szCs w:val="21"/>
                      <w:highlight w:val="none"/>
                    </w:rPr>
                  </w:pPr>
                  <w:r>
                    <w:rPr>
                      <w:rFonts w:hint="eastAsia" w:cs="Times New Roman"/>
                      <w:color w:val="auto"/>
                      <w:kern w:val="0"/>
                      <w:sz w:val="21"/>
                      <w:szCs w:val="21"/>
                      <w:highlight w:val="none"/>
                      <w:lang w:val="en-US" w:eastAsia="zh-CN" w:bidi="ar-SA"/>
                    </w:rPr>
                    <w:t>砂砾、少量根系</w:t>
                  </w:r>
                </w:p>
              </w:tc>
            </w:tr>
            <w:tr w14:paraId="3715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exact"/>
              </w:trPr>
              <w:tc>
                <w:tcPr>
                  <w:tcW w:w="242" w:type="pct"/>
                  <w:vMerge w:val="restart"/>
                  <w:tcBorders>
                    <w:tl2br w:val="nil"/>
                    <w:tr2bl w:val="nil"/>
                  </w:tcBorders>
                  <w:noWrap w:val="0"/>
                  <w:vAlign w:val="center"/>
                </w:tcPr>
                <w:p w14:paraId="1BDE9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实验室测定</w:t>
                  </w:r>
                </w:p>
              </w:tc>
              <w:tc>
                <w:tcPr>
                  <w:tcW w:w="1373" w:type="pct"/>
                  <w:tcBorders>
                    <w:tl2br w:val="nil"/>
                    <w:tr2bl w:val="nil"/>
                  </w:tcBorders>
                  <w:noWrap w:val="0"/>
                  <w:vAlign w:val="center"/>
                </w:tcPr>
                <w:p w14:paraId="6B88A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pH</w:t>
                  </w:r>
                  <w:r>
                    <w:rPr>
                      <w:rFonts w:hint="eastAsia" w:ascii="宋体" w:hAnsi="宋体" w:eastAsia="宋体" w:cs="宋体"/>
                      <w:color w:val="auto"/>
                      <w:sz w:val="21"/>
                      <w:szCs w:val="21"/>
                      <w:highlight w:val="none"/>
                    </w:rPr>
                    <w:t>值（无量纲）</w:t>
                  </w:r>
                </w:p>
              </w:tc>
              <w:tc>
                <w:tcPr>
                  <w:tcW w:w="1129" w:type="pct"/>
                  <w:tcBorders>
                    <w:tl2br w:val="nil"/>
                    <w:tr2bl w:val="nil"/>
                  </w:tcBorders>
                  <w:noWrap w:val="0"/>
                  <w:vAlign w:val="center"/>
                </w:tcPr>
                <w:p w14:paraId="54D363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7.32</w:t>
                  </w:r>
                </w:p>
              </w:tc>
              <w:tc>
                <w:tcPr>
                  <w:tcW w:w="1098" w:type="pct"/>
                  <w:tcBorders>
                    <w:tl2br w:val="nil"/>
                    <w:tr2bl w:val="nil"/>
                  </w:tcBorders>
                  <w:noWrap w:val="0"/>
                  <w:vAlign w:val="center"/>
                </w:tcPr>
                <w:p w14:paraId="3105D1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7.21</w:t>
                  </w:r>
                </w:p>
              </w:tc>
              <w:tc>
                <w:tcPr>
                  <w:tcW w:w="1156" w:type="pct"/>
                  <w:tcBorders>
                    <w:tl2br w:val="nil"/>
                    <w:tr2bl w:val="nil"/>
                  </w:tcBorders>
                  <w:noWrap w:val="0"/>
                  <w:vAlign w:val="center"/>
                </w:tcPr>
                <w:p w14:paraId="4CE24C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7.48</w:t>
                  </w:r>
                </w:p>
              </w:tc>
            </w:tr>
            <w:tr w14:paraId="7E69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exact"/>
              </w:trPr>
              <w:tc>
                <w:tcPr>
                  <w:tcW w:w="242" w:type="pct"/>
                  <w:vMerge w:val="continue"/>
                  <w:tcBorders>
                    <w:tl2br w:val="nil"/>
                    <w:tr2bl w:val="nil"/>
                  </w:tcBorders>
                  <w:noWrap w:val="0"/>
                  <w:vAlign w:val="center"/>
                </w:tcPr>
                <w:p w14:paraId="5F2625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c>
                <w:tcPr>
                  <w:tcW w:w="1373" w:type="pct"/>
                  <w:tcBorders>
                    <w:tl2br w:val="nil"/>
                    <w:tr2bl w:val="nil"/>
                  </w:tcBorders>
                  <w:noWrap w:val="0"/>
                  <w:vAlign w:val="center"/>
                </w:tcPr>
                <w:p w14:paraId="1AF30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阳离子交换量</w:t>
                  </w:r>
                  <w:r>
                    <w:rPr>
                      <w:rFonts w:hint="default" w:ascii="Times New Roman" w:hAnsi="Times New Roman" w:eastAsia="宋体" w:cs="Times New Roman"/>
                      <w:bCs/>
                      <w:color w:val="auto"/>
                      <w:spacing w:val="-5"/>
                      <w:sz w:val="21"/>
                      <w:szCs w:val="21"/>
                      <w:highlight w:val="none"/>
                      <w:lang w:val="en-US" w:eastAsia="zh-CN" w:bidi="he-IL"/>
                    </w:rPr>
                    <w:t>（cmol</w:t>
                  </w:r>
                  <w:r>
                    <w:rPr>
                      <w:rFonts w:hint="default" w:ascii="Times New Roman" w:hAnsi="Times New Roman" w:eastAsia="宋体" w:cs="Times New Roman"/>
                      <w:bCs/>
                      <w:color w:val="auto"/>
                      <w:spacing w:val="-5"/>
                      <w:sz w:val="21"/>
                      <w:szCs w:val="21"/>
                      <w:highlight w:val="none"/>
                      <w:vertAlign w:val="superscript"/>
                      <w:lang w:val="en-US" w:eastAsia="zh-CN" w:bidi="he-IL"/>
                    </w:rPr>
                    <w:t>+</w:t>
                  </w:r>
                  <w:r>
                    <w:rPr>
                      <w:rFonts w:hint="default" w:ascii="Times New Roman" w:hAnsi="Times New Roman" w:eastAsia="宋体" w:cs="Times New Roman"/>
                      <w:bCs/>
                      <w:color w:val="auto"/>
                      <w:spacing w:val="-5"/>
                      <w:sz w:val="21"/>
                      <w:szCs w:val="21"/>
                      <w:highlight w:val="none"/>
                      <w:lang w:val="en-US" w:eastAsia="zh-CN" w:bidi="he-IL"/>
                    </w:rPr>
                    <w:t>/kg）</w:t>
                  </w:r>
                  <w:r>
                    <w:rPr>
                      <w:rFonts w:hint="eastAsia" w:ascii="宋体" w:hAnsi="宋体" w:eastAsia="宋体" w:cs="宋体"/>
                      <w:color w:val="auto"/>
                      <w:sz w:val="21"/>
                      <w:szCs w:val="21"/>
                      <w:highlight w:val="none"/>
                    </w:rPr>
                    <w:t>（</w:t>
                  </w:r>
                  <w:r>
                    <w:rPr>
                      <w:rFonts w:hint="eastAsia"/>
                      <w:color w:val="auto"/>
                      <w:sz w:val="21"/>
                      <w:szCs w:val="21"/>
                      <w:highlight w:val="none"/>
                    </w:rPr>
                    <w:t>cmol</w:t>
                  </w:r>
                  <w:r>
                    <w:rPr>
                      <w:rFonts w:hint="eastAsia"/>
                      <w:color w:val="auto"/>
                      <w:sz w:val="21"/>
                      <w:szCs w:val="21"/>
                      <w:highlight w:val="none"/>
                      <w:vertAlign w:val="superscript"/>
                    </w:rPr>
                    <w:t>+</w:t>
                  </w:r>
                  <w:r>
                    <w:rPr>
                      <w:rFonts w:hint="eastAsia"/>
                      <w:color w:val="auto"/>
                      <w:sz w:val="21"/>
                      <w:szCs w:val="21"/>
                      <w:highlight w:val="none"/>
                    </w:rPr>
                    <w:t>/kg</w:t>
                  </w:r>
                  <w:r>
                    <w:rPr>
                      <w:rFonts w:hint="eastAsia" w:ascii="宋体" w:hAnsi="宋体" w:eastAsia="宋体" w:cs="宋体"/>
                      <w:color w:val="auto"/>
                      <w:sz w:val="21"/>
                      <w:szCs w:val="21"/>
                      <w:highlight w:val="none"/>
                    </w:rPr>
                    <w:t>）</w:t>
                  </w:r>
                </w:p>
              </w:tc>
              <w:tc>
                <w:tcPr>
                  <w:tcW w:w="1129" w:type="pct"/>
                  <w:tcBorders>
                    <w:tl2br w:val="nil"/>
                    <w:tr2bl w:val="nil"/>
                  </w:tcBorders>
                  <w:noWrap w:val="0"/>
                  <w:vAlign w:val="center"/>
                </w:tcPr>
                <w:p w14:paraId="52AE92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3.5</w:t>
                  </w:r>
                </w:p>
              </w:tc>
              <w:tc>
                <w:tcPr>
                  <w:tcW w:w="1098" w:type="pct"/>
                  <w:tcBorders>
                    <w:tl2br w:val="nil"/>
                    <w:tr2bl w:val="nil"/>
                  </w:tcBorders>
                  <w:noWrap w:val="0"/>
                  <w:vAlign w:val="center"/>
                </w:tcPr>
                <w:p w14:paraId="61A0E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15.0</w:t>
                  </w:r>
                </w:p>
              </w:tc>
              <w:tc>
                <w:tcPr>
                  <w:tcW w:w="1156" w:type="pct"/>
                  <w:tcBorders>
                    <w:tl2br w:val="nil"/>
                    <w:tr2bl w:val="nil"/>
                  </w:tcBorders>
                  <w:noWrap w:val="0"/>
                  <w:vAlign w:val="center"/>
                </w:tcPr>
                <w:p w14:paraId="3A588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7.8</w:t>
                  </w:r>
                </w:p>
              </w:tc>
            </w:tr>
            <w:tr w14:paraId="2C41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tcBorders>
                    <w:tl2br w:val="nil"/>
                    <w:tr2bl w:val="nil"/>
                  </w:tcBorders>
                  <w:noWrap w:val="0"/>
                  <w:vAlign w:val="center"/>
                </w:tcPr>
                <w:p w14:paraId="39250A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1373" w:type="pct"/>
                  <w:tcBorders>
                    <w:tl2br w:val="nil"/>
                    <w:tr2bl w:val="nil"/>
                  </w:tcBorders>
                  <w:noWrap w:val="0"/>
                  <w:vAlign w:val="center"/>
                </w:tcPr>
                <w:p w14:paraId="39742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氧化还原电位（</w:t>
                  </w:r>
                  <w:r>
                    <w:rPr>
                      <w:rFonts w:hint="eastAsia"/>
                      <w:color w:val="auto"/>
                      <w:sz w:val="21"/>
                      <w:szCs w:val="21"/>
                      <w:highlight w:val="none"/>
                    </w:rPr>
                    <w:t>mV</w:t>
                  </w:r>
                  <w:r>
                    <w:rPr>
                      <w:rFonts w:hint="eastAsia" w:ascii="宋体" w:hAnsi="宋体" w:eastAsia="宋体" w:cs="宋体"/>
                      <w:color w:val="auto"/>
                      <w:sz w:val="21"/>
                      <w:szCs w:val="21"/>
                      <w:highlight w:val="none"/>
                    </w:rPr>
                    <w:t>）</w:t>
                  </w:r>
                </w:p>
              </w:tc>
              <w:tc>
                <w:tcPr>
                  <w:tcW w:w="1129" w:type="pct"/>
                  <w:tcBorders>
                    <w:tl2br w:val="nil"/>
                    <w:tr2bl w:val="nil"/>
                  </w:tcBorders>
                  <w:noWrap w:val="0"/>
                  <w:vAlign w:val="center"/>
                </w:tcPr>
                <w:p w14:paraId="7EC1C1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364</w:t>
                  </w:r>
                </w:p>
              </w:tc>
              <w:tc>
                <w:tcPr>
                  <w:tcW w:w="1098" w:type="pct"/>
                  <w:tcBorders>
                    <w:tl2br w:val="nil"/>
                    <w:tr2bl w:val="nil"/>
                  </w:tcBorders>
                  <w:noWrap w:val="0"/>
                  <w:vAlign w:val="center"/>
                </w:tcPr>
                <w:p w14:paraId="4B65DC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337</w:t>
                  </w:r>
                </w:p>
              </w:tc>
              <w:tc>
                <w:tcPr>
                  <w:tcW w:w="1156" w:type="pct"/>
                  <w:tcBorders>
                    <w:tl2br w:val="nil"/>
                    <w:tr2bl w:val="nil"/>
                  </w:tcBorders>
                  <w:noWrap w:val="0"/>
                  <w:vAlign w:val="center"/>
                </w:tcPr>
                <w:p w14:paraId="5CADA8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385</w:t>
                  </w:r>
                </w:p>
              </w:tc>
            </w:tr>
            <w:tr w14:paraId="4117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tcBorders>
                    <w:tl2br w:val="nil"/>
                    <w:tr2bl w:val="nil"/>
                  </w:tcBorders>
                  <w:noWrap w:val="0"/>
                  <w:vAlign w:val="center"/>
                </w:tcPr>
                <w:p w14:paraId="4B6948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1373" w:type="pct"/>
                  <w:tcBorders>
                    <w:tl2br w:val="nil"/>
                    <w:tr2bl w:val="nil"/>
                  </w:tcBorders>
                  <w:noWrap w:val="0"/>
                  <w:vAlign w:val="center"/>
                </w:tcPr>
                <w:p w14:paraId="740446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bidi="he-IL"/>
                    </w:rPr>
                    <w:t>渗滤率</w:t>
                  </w:r>
                  <w:r>
                    <w:rPr>
                      <w:rFonts w:hint="default" w:ascii="Times New Roman" w:hAnsi="Times New Roman" w:eastAsia="宋体" w:cs="Times New Roman"/>
                      <w:bCs/>
                      <w:color w:val="auto"/>
                      <w:spacing w:val="-5"/>
                      <w:sz w:val="21"/>
                      <w:szCs w:val="21"/>
                      <w:highlight w:val="none"/>
                      <w:lang w:val="en-US" w:eastAsia="zh-CN" w:bidi="he-IL"/>
                    </w:rPr>
                    <w:t>（mm/min）</w:t>
                  </w:r>
                </w:p>
              </w:tc>
              <w:tc>
                <w:tcPr>
                  <w:tcW w:w="1129" w:type="pct"/>
                  <w:tcBorders>
                    <w:tl2br w:val="nil"/>
                    <w:tr2bl w:val="nil"/>
                  </w:tcBorders>
                  <w:noWrap w:val="0"/>
                  <w:vAlign w:val="center"/>
                </w:tcPr>
                <w:p w14:paraId="5A4A9C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3.73</w:t>
                  </w:r>
                </w:p>
              </w:tc>
              <w:tc>
                <w:tcPr>
                  <w:tcW w:w="1098" w:type="pct"/>
                  <w:tcBorders>
                    <w:tl2br w:val="nil"/>
                    <w:tr2bl w:val="nil"/>
                  </w:tcBorders>
                  <w:noWrap w:val="0"/>
                  <w:vAlign w:val="center"/>
                </w:tcPr>
                <w:p w14:paraId="1BCF71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3.64</w:t>
                  </w:r>
                </w:p>
              </w:tc>
              <w:tc>
                <w:tcPr>
                  <w:tcW w:w="1156" w:type="pct"/>
                  <w:tcBorders>
                    <w:tl2br w:val="nil"/>
                    <w:tr2bl w:val="nil"/>
                  </w:tcBorders>
                  <w:noWrap w:val="0"/>
                  <w:vAlign w:val="center"/>
                </w:tcPr>
                <w:p w14:paraId="3ED559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3.73</w:t>
                  </w:r>
                </w:p>
              </w:tc>
            </w:tr>
            <w:tr w14:paraId="2857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tcBorders>
                    <w:tl2br w:val="nil"/>
                    <w:tr2bl w:val="nil"/>
                  </w:tcBorders>
                  <w:noWrap w:val="0"/>
                  <w:vAlign w:val="center"/>
                </w:tcPr>
                <w:p w14:paraId="34BD2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1373" w:type="pct"/>
                  <w:tcBorders>
                    <w:tl2br w:val="nil"/>
                    <w:tr2bl w:val="nil"/>
                  </w:tcBorders>
                  <w:noWrap w:val="0"/>
                  <w:vAlign w:val="center"/>
                </w:tcPr>
                <w:p w14:paraId="40BACA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ascii="宋体" w:hAnsi="宋体" w:eastAsia="宋体" w:cs="宋体"/>
                      <w:color w:val="auto"/>
                      <w:sz w:val="21"/>
                      <w:szCs w:val="21"/>
                      <w:highlight w:val="none"/>
                    </w:rPr>
                    <w:t>土壤容重</w:t>
                  </w:r>
                  <w:r>
                    <w:rPr>
                      <w:rFonts w:hint="eastAsia"/>
                      <w:color w:val="auto"/>
                      <w:sz w:val="21"/>
                      <w:szCs w:val="21"/>
                      <w:highlight w:val="none"/>
                    </w:rPr>
                    <w:t>(</w:t>
                  </w:r>
                  <w:r>
                    <w:rPr>
                      <w:rFonts w:hint="eastAsia"/>
                      <w:color w:val="auto"/>
                      <w:sz w:val="21"/>
                      <w:szCs w:val="21"/>
                      <w:highlight w:val="none"/>
                      <w:lang w:val="en-US" w:eastAsia="zh-CN"/>
                    </w:rPr>
                    <w:t>kg/m</w:t>
                  </w:r>
                  <w:r>
                    <w:rPr>
                      <w:rFonts w:hint="eastAsia"/>
                      <w:color w:val="auto"/>
                      <w:sz w:val="21"/>
                      <w:szCs w:val="21"/>
                      <w:highlight w:val="none"/>
                      <w:vertAlign w:val="superscript"/>
                      <w:lang w:val="en-US" w:eastAsia="zh-CN"/>
                    </w:rPr>
                    <w:t>3</w:t>
                  </w:r>
                  <w:r>
                    <w:rPr>
                      <w:rFonts w:hint="eastAsia"/>
                      <w:color w:val="auto"/>
                      <w:sz w:val="21"/>
                      <w:szCs w:val="21"/>
                      <w:highlight w:val="none"/>
                    </w:rPr>
                    <w:t>)</w:t>
                  </w:r>
                </w:p>
              </w:tc>
              <w:tc>
                <w:tcPr>
                  <w:tcW w:w="1129" w:type="pct"/>
                  <w:tcBorders>
                    <w:tl2br w:val="nil"/>
                    <w:tr2bl w:val="nil"/>
                  </w:tcBorders>
                  <w:noWrap w:val="0"/>
                  <w:vAlign w:val="center"/>
                </w:tcPr>
                <w:p w14:paraId="11DF0F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1.68</w:t>
                  </w:r>
                </w:p>
              </w:tc>
              <w:tc>
                <w:tcPr>
                  <w:tcW w:w="1098" w:type="pct"/>
                  <w:tcBorders>
                    <w:tl2br w:val="nil"/>
                    <w:tr2bl w:val="nil"/>
                  </w:tcBorders>
                  <w:noWrap w:val="0"/>
                  <w:vAlign w:val="center"/>
                </w:tcPr>
                <w:p w14:paraId="51212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1.82</w:t>
                  </w:r>
                </w:p>
              </w:tc>
              <w:tc>
                <w:tcPr>
                  <w:tcW w:w="1156" w:type="pct"/>
                  <w:tcBorders>
                    <w:tl2br w:val="nil"/>
                    <w:tr2bl w:val="nil"/>
                  </w:tcBorders>
                  <w:noWrap w:val="0"/>
                  <w:vAlign w:val="center"/>
                </w:tcPr>
                <w:p w14:paraId="270AF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1.88</w:t>
                  </w:r>
                </w:p>
              </w:tc>
            </w:tr>
            <w:tr w14:paraId="7C21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tcBorders>
                    <w:tl2br w:val="nil"/>
                    <w:tr2bl w:val="nil"/>
                  </w:tcBorders>
                  <w:noWrap w:val="0"/>
                  <w:vAlign w:val="center"/>
                </w:tcPr>
                <w:p w14:paraId="386009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1373" w:type="pct"/>
                  <w:tcBorders>
                    <w:tl2br w:val="nil"/>
                    <w:tr2bl w:val="nil"/>
                  </w:tcBorders>
                  <w:noWrap w:val="0"/>
                  <w:vAlign w:val="center"/>
                </w:tcPr>
                <w:p w14:paraId="1356F5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bidi="he-IL"/>
                    </w:rPr>
                    <w:t>水溶性盐总量（</w:t>
                  </w:r>
                  <w:r>
                    <w:rPr>
                      <w:rFonts w:hint="default" w:ascii="Times New Roman" w:hAnsi="Times New Roman" w:eastAsia="宋体" w:cs="Times New Roman"/>
                      <w:b w:val="0"/>
                      <w:bCs w:val="0"/>
                      <w:color w:val="auto"/>
                      <w:spacing w:val="-5"/>
                      <w:sz w:val="21"/>
                      <w:szCs w:val="21"/>
                      <w:highlight w:val="none"/>
                      <w:lang w:val="en-US" w:eastAsia="zh-CN" w:bidi="he-IL"/>
                    </w:rPr>
                    <w:t>g</w:t>
                  </w:r>
                  <w:r>
                    <w:rPr>
                      <w:rFonts w:hint="default" w:ascii="Times New Roman" w:hAnsi="Times New Roman" w:eastAsia="宋体" w:cs="Times New Roman"/>
                      <w:bCs/>
                      <w:color w:val="auto"/>
                      <w:spacing w:val="-5"/>
                      <w:sz w:val="21"/>
                      <w:szCs w:val="21"/>
                      <w:highlight w:val="none"/>
                      <w:lang w:val="en-US" w:eastAsia="zh-CN" w:bidi="he-IL"/>
                    </w:rPr>
                    <w:t>/kg）</w:t>
                  </w:r>
                </w:p>
              </w:tc>
              <w:tc>
                <w:tcPr>
                  <w:tcW w:w="1129" w:type="pct"/>
                  <w:tcBorders>
                    <w:tl2br w:val="nil"/>
                    <w:tr2bl w:val="nil"/>
                  </w:tcBorders>
                  <w:noWrap w:val="0"/>
                  <w:vAlign w:val="center"/>
                </w:tcPr>
                <w:p w14:paraId="3BF22B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2.1</w:t>
                  </w:r>
                </w:p>
              </w:tc>
              <w:tc>
                <w:tcPr>
                  <w:tcW w:w="1098" w:type="pct"/>
                  <w:tcBorders>
                    <w:tl2br w:val="nil"/>
                    <w:tr2bl w:val="nil"/>
                  </w:tcBorders>
                  <w:noWrap w:val="0"/>
                  <w:vAlign w:val="center"/>
                </w:tcPr>
                <w:p w14:paraId="4115A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1.6</w:t>
                  </w:r>
                </w:p>
              </w:tc>
              <w:tc>
                <w:tcPr>
                  <w:tcW w:w="1156" w:type="pct"/>
                  <w:tcBorders>
                    <w:tl2br w:val="nil"/>
                    <w:tr2bl w:val="nil"/>
                  </w:tcBorders>
                  <w:noWrap w:val="0"/>
                  <w:vAlign w:val="center"/>
                </w:tcPr>
                <w:p w14:paraId="0F77D6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1.4</w:t>
                  </w:r>
                </w:p>
              </w:tc>
            </w:tr>
            <w:tr w14:paraId="0E3B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tcBorders>
                    <w:tl2br w:val="nil"/>
                    <w:tr2bl w:val="nil"/>
                  </w:tcBorders>
                  <w:noWrap w:val="0"/>
                  <w:vAlign w:val="center"/>
                </w:tcPr>
                <w:p w14:paraId="42745C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1373" w:type="pct"/>
                  <w:tcBorders>
                    <w:tl2br w:val="nil"/>
                    <w:tr2bl w:val="nil"/>
                  </w:tcBorders>
                  <w:noWrap w:val="0"/>
                  <w:vAlign w:val="center"/>
                </w:tcPr>
                <w:p w14:paraId="4C4030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ascii="宋体" w:hAnsi="宋体" w:eastAsia="宋体" w:cs="宋体"/>
                      <w:color w:val="auto"/>
                      <w:sz w:val="21"/>
                      <w:szCs w:val="21"/>
                      <w:highlight w:val="none"/>
                    </w:rPr>
                    <w:t>孔隙度（</w:t>
                  </w:r>
                  <w:r>
                    <w:rPr>
                      <w:rFonts w:hint="eastAsia"/>
                      <w:color w:val="auto"/>
                      <w:sz w:val="21"/>
                      <w:szCs w:val="21"/>
                      <w:highlight w:val="none"/>
                    </w:rPr>
                    <w:t>%</w:t>
                  </w:r>
                  <w:r>
                    <w:rPr>
                      <w:rFonts w:hint="eastAsia" w:ascii="宋体" w:hAnsi="宋体" w:eastAsia="宋体" w:cs="宋体"/>
                      <w:color w:val="auto"/>
                      <w:sz w:val="21"/>
                      <w:szCs w:val="21"/>
                      <w:highlight w:val="none"/>
                    </w:rPr>
                    <w:t>）</w:t>
                  </w:r>
                </w:p>
              </w:tc>
              <w:tc>
                <w:tcPr>
                  <w:tcW w:w="1129" w:type="pct"/>
                  <w:tcBorders>
                    <w:tl2br w:val="nil"/>
                    <w:tr2bl w:val="nil"/>
                  </w:tcBorders>
                  <w:noWrap w:val="0"/>
                  <w:vAlign w:val="center"/>
                </w:tcPr>
                <w:p w14:paraId="5B793B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36</w:t>
                  </w:r>
                </w:p>
              </w:tc>
              <w:tc>
                <w:tcPr>
                  <w:tcW w:w="1098" w:type="pct"/>
                  <w:tcBorders>
                    <w:tl2br w:val="nil"/>
                    <w:tr2bl w:val="nil"/>
                  </w:tcBorders>
                  <w:noWrap w:val="0"/>
                  <w:vAlign w:val="center"/>
                </w:tcPr>
                <w:p w14:paraId="256DEE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41</w:t>
                  </w:r>
                </w:p>
              </w:tc>
              <w:tc>
                <w:tcPr>
                  <w:tcW w:w="1156" w:type="pct"/>
                  <w:tcBorders>
                    <w:tl2br w:val="nil"/>
                    <w:tr2bl w:val="nil"/>
                  </w:tcBorders>
                  <w:noWrap w:val="0"/>
                  <w:vAlign w:val="center"/>
                </w:tcPr>
                <w:p w14:paraId="1FA83E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38</w:t>
                  </w:r>
                </w:p>
              </w:tc>
            </w:tr>
          </w:tbl>
          <w:p w14:paraId="2D4CA73A">
            <w:pPr>
              <w:adjustRightInd w:val="0"/>
              <w:ind w:firstLine="480"/>
              <w:textAlignment w:val="baseline"/>
              <w:rPr>
                <w:rFonts w:hint="eastAsia"/>
                <w:color w:val="auto"/>
                <w:kern w:val="0"/>
                <w:highlight w:val="none"/>
                <w:lang w:eastAsia="zh-CN"/>
              </w:rPr>
            </w:pPr>
          </w:p>
          <w:p w14:paraId="4C9D13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土壤监测结果一览表（单位mg/kg，</w:t>
            </w:r>
            <w:r>
              <w:rPr>
                <w:rFonts w:hint="default" w:ascii="Times New Roman" w:hAnsi="Times New Roman" w:eastAsia="宋体" w:cs="Times New Roman"/>
                <w:b/>
                <w:bCs/>
                <w:color w:val="auto"/>
                <w:sz w:val="24"/>
                <w:szCs w:val="24"/>
                <w:highlight w:val="none"/>
                <w:lang w:val="en-US" w:eastAsia="zh-CN"/>
              </w:rPr>
              <w:t>p</w:t>
            </w:r>
            <w:r>
              <w:rPr>
                <w:rFonts w:hint="default" w:ascii="Times New Roman" w:hAnsi="Times New Roman" w:eastAsia="宋体" w:cs="Times New Roman"/>
                <w:b/>
                <w:bCs/>
                <w:color w:val="auto"/>
                <w:sz w:val="24"/>
                <w:szCs w:val="24"/>
                <w:highlight w:val="none"/>
              </w:rPr>
              <w:t>H无量纲）</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70"/>
              <w:gridCol w:w="1650"/>
              <w:gridCol w:w="1762"/>
              <w:gridCol w:w="1598"/>
              <w:gridCol w:w="1003"/>
            </w:tblGrid>
            <w:tr w14:paraId="5BFF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restart"/>
                  <w:noWrap w:val="0"/>
                  <w:vAlign w:val="center"/>
                </w:tcPr>
                <w:p w14:paraId="07A4DE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样品类型</w:t>
                  </w:r>
                </w:p>
              </w:tc>
              <w:tc>
                <w:tcPr>
                  <w:tcW w:w="1041" w:type="pct"/>
                  <w:vMerge w:val="restart"/>
                  <w:noWrap w:val="0"/>
                  <w:vAlign w:val="center"/>
                </w:tcPr>
                <w:p w14:paraId="072819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监测</w:t>
                  </w:r>
                  <w:r>
                    <w:rPr>
                      <w:rFonts w:hint="eastAsia" w:ascii="Times New Roman" w:hAnsi="Times New Roman" w:eastAsia="宋体" w:cs="Times New Roman"/>
                      <w:b w:val="0"/>
                      <w:bCs w:val="0"/>
                      <w:color w:val="auto"/>
                      <w:sz w:val="21"/>
                      <w:szCs w:val="21"/>
                      <w:highlight w:val="none"/>
                      <w:vertAlign w:val="baseline"/>
                      <w:lang w:eastAsia="zh-CN"/>
                    </w:rPr>
                    <w:t>点位</w:t>
                  </w:r>
                </w:p>
              </w:tc>
              <w:tc>
                <w:tcPr>
                  <w:tcW w:w="2947" w:type="pct"/>
                  <w:gridSpan w:val="3"/>
                  <w:noWrap w:val="0"/>
                  <w:vAlign w:val="center"/>
                </w:tcPr>
                <w:p w14:paraId="36C9A4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eastAsia="zh-CN"/>
                    </w:rPr>
                    <w:t>监测点位</w:t>
                  </w:r>
                  <w:r>
                    <w:rPr>
                      <w:rFonts w:hint="eastAsia" w:ascii="Times New Roman" w:hAnsi="Times New Roman" w:eastAsia="宋体" w:cs="Times New Roman"/>
                      <w:b w:val="0"/>
                      <w:bCs w:val="0"/>
                      <w:color w:val="auto"/>
                      <w:sz w:val="21"/>
                      <w:szCs w:val="21"/>
                      <w:highlight w:val="none"/>
                      <w:vertAlign w:val="baseline"/>
                      <w:lang w:eastAsia="zh-CN"/>
                    </w:rPr>
                    <w:t>及采样深度</w:t>
                  </w:r>
                </w:p>
              </w:tc>
              <w:tc>
                <w:tcPr>
                  <w:tcW w:w="590" w:type="pct"/>
                  <w:vMerge w:val="restart"/>
                  <w:noWrap w:val="0"/>
                  <w:vAlign w:val="center"/>
                </w:tcPr>
                <w:p w14:paraId="56A5E0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筛选值</w:t>
                  </w:r>
                </w:p>
              </w:tc>
            </w:tr>
            <w:tr w14:paraId="5416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noWrap w:val="0"/>
                  <w:vAlign w:val="center"/>
                </w:tcPr>
                <w:p w14:paraId="5B1991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vMerge w:val="continue"/>
                  <w:tcBorders>
                    <w:bottom w:val="single" w:color="000000" w:sz="6" w:space="0"/>
                  </w:tcBorders>
                  <w:noWrap w:val="0"/>
                  <w:vAlign w:val="center"/>
                </w:tcPr>
                <w:p w14:paraId="0E8DC2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970" w:type="pct"/>
                  <w:noWrap w:val="0"/>
                  <w:vAlign w:val="center"/>
                </w:tcPr>
                <w:p w14:paraId="1A1E17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color w:val="auto"/>
                      <w:sz w:val="21"/>
                      <w:szCs w:val="21"/>
                      <w:highlight w:val="none"/>
                      <w:lang w:val="en-US" w:eastAsia="zh-CN"/>
                    </w:rPr>
                    <w:t>1#现有渗滤液处理站用地范围内</w:t>
                  </w:r>
                </w:p>
              </w:tc>
              <w:tc>
                <w:tcPr>
                  <w:tcW w:w="1036" w:type="pct"/>
                  <w:noWrap w:val="0"/>
                  <w:vAlign w:val="center"/>
                </w:tcPr>
                <w:p w14:paraId="7EB0E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color w:val="auto"/>
                      <w:sz w:val="21"/>
                      <w:szCs w:val="21"/>
                      <w:highlight w:val="none"/>
                      <w:lang w:val="en-US" w:eastAsia="zh-CN"/>
                    </w:rPr>
                    <w:t>2#现有渗滤液处理站用地范围内</w:t>
                  </w:r>
                </w:p>
              </w:tc>
              <w:tc>
                <w:tcPr>
                  <w:tcW w:w="940" w:type="pct"/>
                  <w:noWrap w:val="0"/>
                  <w:vAlign w:val="center"/>
                </w:tcPr>
                <w:p w14:paraId="029567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color w:val="auto"/>
                      <w:sz w:val="21"/>
                      <w:szCs w:val="21"/>
                      <w:highlight w:val="none"/>
                      <w:lang w:val="en-US" w:eastAsia="zh-CN"/>
                    </w:rPr>
                    <w:t>3#拟建暂存间用地范围内</w:t>
                  </w:r>
                </w:p>
              </w:tc>
              <w:tc>
                <w:tcPr>
                  <w:tcW w:w="590" w:type="pct"/>
                  <w:vMerge w:val="continue"/>
                  <w:noWrap w:val="0"/>
                  <w:vAlign w:val="center"/>
                </w:tcPr>
                <w:p w14:paraId="59D428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62FD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1" w:type="pct"/>
                  <w:vMerge w:val="continue"/>
                  <w:noWrap w:val="0"/>
                  <w:vAlign w:val="center"/>
                </w:tcPr>
                <w:p w14:paraId="295E28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tcBorders>
                    <w:top w:val="single" w:color="000000" w:sz="6" w:space="0"/>
                    <w:bottom w:val="single" w:color="000000" w:sz="6" w:space="0"/>
                  </w:tcBorders>
                  <w:noWrap w:val="0"/>
                  <w:vAlign w:val="center"/>
                </w:tcPr>
                <w:p w14:paraId="7858D2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eastAsia="zh-CN"/>
                    </w:rPr>
                  </w:pPr>
                  <w:r>
                    <w:rPr>
                      <w:rFonts w:hint="eastAsia" w:ascii="Times New Roman" w:hAnsi="Times New Roman" w:eastAsia="宋体" w:cs="Times New Roman"/>
                      <w:b w:val="0"/>
                      <w:bCs w:val="0"/>
                      <w:color w:val="auto"/>
                      <w:sz w:val="21"/>
                      <w:szCs w:val="21"/>
                      <w:highlight w:val="none"/>
                      <w:vertAlign w:val="baseline"/>
                      <w:lang w:eastAsia="zh-CN"/>
                    </w:rPr>
                    <w:t>采样深度</w:t>
                  </w:r>
                </w:p>
              </w:tc>
              <w:tc>
                <w:tcPr>
                  <w:tcW w:w="970" w:type="pct"/>
                  <w:noWrap w:val="0"/>
                  <w:vAlign w:val="center"/>
                </w:tcPr>
                <w:p w14:paraId="57A7F3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pacing w:val="0"/>
                      <w:sz w:val="21"/>
                      <w:szCs w:val="21"/>
                      <w:highlight w:val="none"/>
                      <w:lang w:val="en-US" w:eastAsia="zh-CN"/>
                    </w:rPr>
                    <w:t>0.2m</w:t>
                  </w:r>
                </w:p>
              </w:tc>
              <w:tc>
                <w:tcPr>
                  <w:tcW w:w="1036" w:type="pct"/>
                  <w:noWrap w:val="0"/>
                  <w:vAlign w:val="center"/>
                </w:tcPr>
                <w:p w14:paraId="5C2E4F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pacing w:val="0"/>
                      <w:sz w:val="21"/>
                      <w:szCs w:val="21"/>
                      <w:highlight w:val="none"/>
                      <w:lang w:val="en-US" w:eastAsia="zh-CN"/>
                    </w:rPr>
                    <w:t>0.2m</w:t>
                  </w:r>
                </w:p>
              </w:tc>
              <w:tc>
                <w:tcPr>
                  <w:tcW w:w="940" w:type="pct"/>
                  <w:noWrap w:val="0"/>
                  <w:vAlign w:val="center"/>
                </w:tcPr>
                <w:p w14:paraId="785783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pacing w:val="0"/>
                      <w:sz w:val="21"/>
                      <w:szCs w:val="21"/>
                      <w:highlight w:val="none"/>
                      <w:lang w:val="en-US" w:eastAsia="zh-CN"/>
                    </w:rPr>
                    <w:t>0.2m</w:t>
                  </w:r>
                </w:p>
              </w:tc>
              <w:tc>
                <w:tcPr>
                  <w:tcW w:w="590" w:type="pct"/>
                  <w:vMerge w:val="continue"/>
                  <w:noWrap w:val="0"/>
                  <w:vAlign w:val="center"/>
                </w:tcPr>
                <w:p w14:paraId="39941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4328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restart"/>
                  <w:noWrap w:val="0"/>
                  <w:vAlign w:val="center"/>
                </w:tcPr>
                <w:p w14:paraId="6DE27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土壤</w:t>
                  </w:r>
                </w:p>
              </w:tc>
              <w:tc>
                <w:tcPr>
                  <w:tcW w:w="4578" w:type="pct"/>
                  <w:gridSpan w:val="5"/>
                  <w:tcBorders>
                    <w:top w:val="single" w:color="000000" w:sz="6" w:space="0"/>
                  </w:tcBorders>
                  <w:noWrap w:val="0"/>
                  <w:vAlign w:val="center"/>
                </w:tcPr>
                <w:p w14:paraId="71B80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重金属和无机物</w:t>
                  </w:r>
                </w:p>
              </w:tc>
            </w:tr>
            <w:tr w14:paraId="7C0D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noWrap w:val="0"/>
                  <w:vAlign w:val="center"/>
                </w:tcPr>
                <w:p w14:paraId="682215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p>
              </w:tc>
              <w:tc>
                <w:tcPr>
                  <w:tcW w:w="1041" w:type="pct"/>
                  <w:tcBorders>
                    <w:top w:val="single" w:color="000000" w:sz="6" w:space="0"/>
                  </w:tcBorders>
                  <w:noWrap w:val="0"/>
                  <w:vAlign w:val="center"/>
                </w:tcPr>
                <w:p w14:paraId="159D0115">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镉</w:t>
                  </w:r>
                </w:p>
              </w:tc>
              <w:tc>
                <w:tcPr>
                  <w:tcW w:w="970" w:type="pct"/>
                  <w:noWrap w:val="0"/>
                  <w:vAlign w:val="center"/>
                </w:tcPr>
                <w:p w14:paraId="6DDF843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0.3</w:t>
                  </w:r>
                  <w:r>
                    <w:rPr>
                      <w:rFonts w:hint="eastAsia" w:cs="Times New Roman"/>
                      <w:b w:val="0"/>
                      <w:bCs w:val="0"/>
                      <w:color w:val="auto"/>
                      <w:kern w:val="2"/>
                      <w:sz w:val="21"/>
                      <w:szCs w:val="21"/>
                      <w:highlight w:val="none"/>
                      <w:vertAlign w:val="baseline"/>
                      <w:lang w:val="en-US" w:eastAsia="zh-CN" w:bidi="ar-SA"/>
                    </w:rPr>
                    <w:t>5</w:t>
                  </w:r>
                </w:p>
              </w:tc>
              <w:tc>
                <w:tcPr>
                  <w:tcW w:w="1036" w:type="pct"/>
                  <w:noWrap w:val="0"/>
                  <w:vAlign w:val="center"/>
                </w:tcPr>
                <w:p w14:paraId="5282A3AF">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0.16</w:t>
                  </w:r>
                </w:p>
              </w:tc>
              <w:tc>
                <w:tcPr>
                  <w:tcW w:w="940" w:type="pct"/>
                  <w:noWrap w:val="0"/>
                  <w:vAlign w:val="center"/>
                </w:tcPr>
                <w:p w14:paraId="75FBFC81">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0.24</w:t>
                  </w:r>
                </w:p>
              </w:tc>
              <w:tc>
                <w:tcPr>
                  <w:tcW w:w="590" w:type="pct"/>
                  <w:noWrap w:val="0"/>
                  <w:vAlign w:val="center"/>
                </w:tcPr>
                <w:p w14:paraId="5FB1DF2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rPr>
                    <w:t>65</w:t>
                  </w:r>
                </w:p>
              </w:tc>
            </w:tr>
            <w:tr w14:paraId="08A2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115CBE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p>
              </w:tc>
              <w:tc>
                <w:tcPr>
                  <w:tcW w:w="1041" w:type="pct"/>
                  <w:tcBorders>
                    <w:top w:val="single" w:color="000000" w:sz="6" w:space="0"/>
                  </w:tcBorders>
                  <w:noWrap w:val="0"/>
                  <w:vAlign w:val="center"/>
                </w:tcPr>
                <w:p w14:paraId="7AB239DA">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汞</w:t>
                  </w:r>
                </w:p>
              </w:tc>
              <w:tc>
                <w:tcPr>
                  <w:tcW w:w="970" w:type="pct"/>
                  <w:noWrap w:val="0"/>
                  <w:vAlign w:val="center"/>
                </w:tcPr>
                <w:p w14:paraId="28001C4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0.169</w:t>
                  </w:r>
                </w:p>
              </w:tc>
              <w:tc>
                <w:tcPr>
                  <w:tcW w:w="1036" w:type="pct"/>
                  <w:noWrap w:val="0"/>
                  <w:vAlign w:val="center"/>
                </w:tcPr>
                <w:p w14:paraId="571BBD86">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0.174</w:t>
                  </w:r>
                </w:p>
              </w:tc>
              <w:tc>
                <w:tcPr>
                  <w:tcW w:w="940" w:type="pct"/>
                  <w:noWrap w:val="0"/>
                  <w:vAlign w:val="center"/>
                </w:tcPr>
                <w:p w14:paraId="6AAB073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0.135</w:t>
                  </w:r>
                </w:p>
              </w:tc>
              <w:tc>
                <w:tcPr>
                  <w:tcW w:w="590" w:type="pct"/>
                  <w:noWrap w:val="0"/>
                  <w:vAlign w:val="center"/>
                </w:tcPr>
                <w:p w14:paraId="07D9F6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rPr>
                    <w:t>38</w:t>
                  </w:r>
                </w:p>
              </w:tc>
            </w:tr>
            <w:tr w14:paraId="5A86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7D0ADD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p>
              </w:tc>
              <w:tc>
                <w:tcPr>
                  <w:tcW w:w="1041" w:type="pct"/>
                  <w:tcBorders>
                    <w:top w:val="single" w:color="000000" w:sz="6" w:space="0"/>
                  </w:tcBorders>
                  <w:noWrap w:val="0"/>
                  <w:vAlign w:val="center"/>
                </w:tcPr>
                <w:p w14:paraId="01B2A406">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砷</w:t>
                  </w:r>
                </w:p>
              </w:tc>
              <w:tc>
                <w:tcPr>
                  <w:tcW w:w="970" w:type="pct"/>
                  <w:noWrap w:val="0"/>
                  <w:vAlign w:val="center"/>
                </w:tcPr>
                <w:p w14:paraId="2733A3B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23.5</w:t>
                  </w:r>
                </w:p>
              </w:tc>
              <w:tc>
                <w:tcPr>
                  <w:tcW w:w="1036" w:type="pct"/>
                  <w:noWrap w:val="0"/>
                  <w:vAlign w:val="center"/>
                </w:tcPr>
                <w:p w14:paraId="68C28649">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53.2</w:t>
                  </w:r>
                </w:p>
              </w:tc>
              <w:tc>
                <w:tcPr>
                  <w:tcW w:w="940" w:type="pct"/>
                  <w:noWrap w:val="0"/>
                  <w:vAlign w:val="center"/>
                </w:tcPr>
                <w:p w14:paraId="53853647">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25.7</w:t>
                  </w:r>
                </w:p>
              </w:tc>
              <w:tc>
                <w:tcPr>
                  <w:tcW w:w="590" w:type="pct"/>
                  <w:noWrap w:val="0"/>
                  <w:vAlign w:val="center"/>
                </w:tcPr>
                <w:p w14:paraId="745F38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rPr>
                    <w:t>60</w:t>
                  </w:r>
                </w:p>
              </w:tc>
            </w:tr>
            <w:tr w14:paraId="447B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7ADED4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p>
              </w:tc>
              <w:tc>
                <w:tcPr>
                  <w:tcW w:w="1041" w:type="pct"/>
                  <w:tcBorders>
                    <w:top w:val="single" w:color="000000" w:sz="6" w:space="0"/>
                  </w:tcBorders>
                  <w:noWrap w:val="0"/>
                  <w:vAlign w:val="center"/>
                </w:tcPr>
                <w:p w14:paraId="702B8508">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铅</w:t>
                  </w:r>
                </w:p>
              </w:tc>
              <w:tc>
                <w:tcPr>
                  <w:tcW w:w="970" w:type="pct"/>
                  <w:noWrap w:val="0"/>
                  <w:vAlign w:val="center"/>
                </w:tcPr>
                <w:p w14:paraId="0CBA60F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68</w:t>
                  </w:r>
                </w:p>
              </w:tc>
              <w:tc>
                <w:tcPr>
                  <w:tcW w:w="1036" w:type="pct"/>
                  <w:noWrap w:val="0"/>
                  <w:vAlign w:val="center"/>
                </w:tcPr>
                <w:p w14:paraId="13ECC723">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65</w:t>
                  </w:r>
                </w:p>
              </w:tc>
              <w:tc>
                <w:tcPr>
                  <w:tcW w:w="940" w:type="pct"/>
                  <w:noWrap w:val="0"/>
                  <w:vAlign w:val="center"/>
                </w:tcPr>
                <w:p w14:paraId="2D83BAB9">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81</w:t>
                  </w:r>
                </w:p>
              </w:tc>
              <w:tc>
                <w:tcPr>
                  <w:tcW w:w="590" w:type="pct"/>
                  <w:noWrap w:val="0"/>
                  <w:vAlign w:val="center"/>
                </w:tcPr>
                <w:p w14:paraId="4C715B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rPr>
                    <w:t>800</w:t>
                  </w:r>
                </w:p>
              </w:tc>
            </w:tr>
            <w:tr w14:paraId="3190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64F1E7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2FD1F6C4">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铬</w:t>
                  </w:r>
                  <w:r>
                    <w:rPr>
                      <w:rFonts w:hint="default" w:ascii="Times New Roman" w:hAnsi="Times New Roman" w:eastAsia="宋体" w:cs="Times New Roman"/>
                      <w:b w:val="0"/>
                      <w:bCs w:val="0"/>
                      <w:color w:val="auto"/>
                      <w:sz w:val="21"/>
                      <w:szCs w:val="21"/>
                      <w:highlight w:val="none"/>
                      <w:lang w:eastAsia="zh-CN"/>
                    </w:rPr>
                    <w:t>（六价）</w:t>
                  </w:r>
                </w:p>
              </w:tc>
              <w:tc>
                <w:tcPr>
                  <w:tcW w:w="970" w:type="pct"/>
                  <w:noWrap w:val="0"/>
                  <w:vAlign w:val="center"/>
                </w:tcPr>
                <w:p w14:paraId="2E2CADA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未检出</w:t>
                  </w:r>
                </w:p>
              </w:tc>
              <w:tc>
                <w:tcPr>
                  <w:tcW w:w="1036" w:type="pct"/>
                  <w:noWrap w:val="0"/>
                  <w:vAlign w:val="center"/>
                </w:tcPr>
                <w:p w14:paraId="5B57F0F3">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未检出</w:t>
                  </w:r>
                </w:p>
              </w:tc>
              <w:tc>
                <w:tcPr>
                  <w:tcW w:w="940" w:type="pct"/>
                  <w:noWrap w:val="0"/>
                  <w:vAlign w:val="center"/>
                </w:tcPr>
                <w:p w14:paraId="1629AD2C">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未检出</w:t>
                  </w:r>
                </w:p>
              </w:tc>
              <w:tc>
                <w:tcPr>
                  <w:tcW w:w="590" w:type="pct"/>
                  <w:noWrap w:val="0"/>
                  <w:vAlign w:val="center"/>
                </w:tcPr>
                <w:p w14:paraId="3B3F93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rPr>
                    <w:t>5.7</w:t>
                  </w:r>
                </w:p>
              </w:tc>
            </w:tr>
            <w:tr w14:paraId="6FC6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0A1E3C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5B0037CE">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铜</w:t>
                  </w:r>
                </w:p>
              </w:tc>
              <w:tc>
                <w:tcPr>
                  <w:tcW w:w="970" w:type="pct"/>
                  <w:noWrap w:val="0"/>
                  <w:vAlign w:val="center"/>
                </w:tcPr>
                <w:p w14:paraId="60ACD17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66</w:t>
                  </w:r>
                </w:p>
              </w:tc>
              <w:tc>
                <w:tcPr>
                  <w:tcW w:w="1036" w:type="pct"/>
                  <w:noWrap w:val="0"/>
                  <w:vAlign w:val="center"/>
                </w:tcPr>
                <w:p w14:paraId="21A2F5E2">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84</w:t>
                  </w:r>
                </w:p>
              </w:tc>
              <w:tc>
                <w:tcPr>
                  <w:tcW w:w="940" w:type="pct"/>
                  <w:noWrap w:val="0"/>
                  <w:vAlign w:val="center"/>
                </w:tcPr>
                <w:p w14:paraId="20F56265">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79</w:t>
                  </w:r>
                </w:p>
              </w:tc>
              <w:tc>
                <w:tcPr>
                  <w:tcW w:w="590" w:type="pct"/>
                  <w:noWrap w:val="0"/>
                  <w:vAlign w:val="center"/>
                </w:tcPr>
                <w:p w14:paraId="30B653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rPr>
                    <w:t>18000</w:t>
                  </w:r>
                </w:p>
              </w:tc>
            </w:tr>
            <w:tr w14:paraId="25A8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4B4B6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53023D10">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镍</w:t>
                  </w:r>
                </w:p>
              </w:tc>
              <w:tc>
                <w:tcPr>
                  <w:tcW w:w="970" w:type="pct"/>
                  <w:noWrap w:val="0"/>
                  <w:vAlign w:val="center"/>
                </w:tcPr>
                <w:p w14:paraId="0E7CF0D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59</w:t>
                  </w:r>
                </w:p>
              </w:tc>
              <w:tc>
                <w:tcPr>
                  <w:tcW w:w="1036" w:type="pct"/>
                  <w:noWrap w:val="0"/>
                  <w:vAlign w:val="center"/>
                </w:tcPr>
                <w:p w14:paraId="407C27A7">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102</w:t>
                  </w:r>
                </w:p>
              </w:tc>
              <w:tc>
                <w:tcPr>
                  <w:tcW w:w="940" w:type="pct"/>
                  <w:noWrap w:val="0"/>
                  <w:vAlign w:val="center"/>
                </w:tcPr>
                <w:p w14:paraId="63EDC54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74</w:t>
                  </w:r>
                </w:p>
              </w:tc>
              <w:tc>
                <w:tcPr>
                  <w:tcW w:w="590" w:type="pct"/>
                  <w:noWrap w:val="0"/>
                  <w:vAlign w:val="center"/>
                </w:tcPr>
                <w:p w14:paraId="3F640B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rPr>
                    <w:t>900</w:t>
                  </w:r>
                </w:p>
              </w:tc>
            </w:tr>
            <w:tr w14:paraId="251C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421" w:type="pct"/>
                  <w:vMerge w:val="continue"/>
                  <w:noWrap w:val="0"/>
                  <w:vAlign w:val="center"/>
                </w:tcPr>
                <w:p w14:paraId="365F26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4578" w:type="pct"/>
                  <w:gridSpan w:val="5"/>
                  <w:noWrap w:val="0"/>
                  <w:vAlign w:val="center"/>
                </w:tcPr>
                <w:p w14:paraId="20FF3D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eastAsia="zh-CN"/>
                    </w:rPr>
                  </w:pPr>
                  <w:r>
                    <w:rPr>
                      <w:rFonts w:hint="eastAsia" w:ascii="Times New Roman" w:hAnsi="Times New Roman" w:eastAsia="宋体" w:cs="Times New Roman"/>
                      <w:b w:val="0"/>
                      <w:bCs w:val="0"/>
                      <w:color w:val="auto"/>
                      <w:sz w:val="21"/>
                      <w:szCs w:val="21"/>
                      <w:highlight w:val="none"/>
                      <w:vertAlign w:val="baseline"/>
                      <w:lang w:eastAsia="zh-CN"/>
                    </w:rPr>
                    <w:t>挥发性有机物</w:t>
                  </w:r>
                </w:p>
              </w:tc>
            </w:tr>
            <w:tr w14:paraId="4750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noWrap w:val="0"/>
                  <w:vAlign w:val="center"/>
                </w:tcPr>
                <w:p w14:paraId="50827A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40A1152F">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eastAsia="zh-CN"/>
                    </w:rPr>
                    <w:t>四氯化碳</w:t>
                  </w:r>
                </w:p>
              </w:tc>
              <w:tc>
                <w:tcPr>
                  <w:tcW w:w="970" w:type="pct"/>
                  <w:noWrap w:val="0"/>
                  <w:vAlign w:val="center"/>
                </w:tcPr>
                <w:p w14:paraId="08A4CE07">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1.3L</w:t>
                  </w:r>
                </w:p>
              </w:tc>
              <w:tc>
                <w:tcPr>
                  <w:tcW w:w="1036" w:type="pct"/>
                  <w:noWrap w:val="0"/>
                  <w:vAlign w:val="center"/>
                </w:tcPr>
                <w:p w14:paraId="6587F71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1087BEB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77A712C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2.8</w:t>
                  </w:r>
                </w:p>
              </w:tc>
            </w:tr>
            <w:tr w14:paraId="7C4A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230CD5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61F7D41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eastAsia="zh-CN"/>
                    </w:rPr>
                    <w:t>氯仿</w:t>
                  </w:r>
                </w:p>
              </w:tc>
              <w:tc>
                <w:tcPr>
                  <w:tcW w:w="970" w:type="pct"/>
                  <w:noWrap w:val="0"/>
                  <w:vAlign w:val="center"/>
                </w:tcPr>
                <w:p w14:paraId="58221143">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1.1L</w:t>
                  </w:r>
                </w:p>
              </w:tc>
              <w:tc>
                <w:tcPr>
                  <w:tcW w:w="1036" w:type="pct"/>
                  <w:noWrap w:val="0"/>
                  <w:vAlign w:val="center"/>
                </w:tcPr>
                <w:p w14:paraId="39FDB25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50EFC94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7F1CFD34">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w:t>
                  </w:r>
                </w:p>
              </w:tc>
            </w:tr>
            <w:tr w14:paraId="60FE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6B34DB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7339879F">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eastAsia="zh-CN"/>
                    </w:rPr>
                    <w:t>氯甲烷</w:t>
                  </w:r>
                </w:p>
              </w:tc>
              <w:tc>
                <w:tcPr>
                  <w:tcW w:w="970" w:type="pct"/>
                  <w:noWrap w:val="0"/>
                  <w:vAlign w:val="center"/>
                </w:tcPr>
                <w:p w14:paraId="43A51E1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1.0L</w:t>
                  </w:r>
                </w:p>
              </w:tc>
              <w:tc>
                <w:tcPr>
                  <w:tcW w:w="1036" w:type="pct"/>
                  <w:noWrap w:val="0"/>
                  <w:vAlign w:val="center"/>
                </w:tcPr>
                <w:p w14:paraId="3C65E09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33D0119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3599E369">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w:t>
                  </w:r>
                </w:p>
              </w:tc>
            </w:tr>
            <w:tr w14:paraId="44B6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5F8EE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4C71B898">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1,1-二氯乙烷</w:t>
                  </w:r>
                </w:p>
              </w:tc>
              <w:tc>
                <w:tcPr>
                  <w:tcW w:w="970" w:type="pct"/>
                  <w:noWrap w:val="0"/>
                  <w:vAlign w:val="center"/>
                </w:tcPr>
                <w:p w14:paraId="073F3AFC">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1.2L</w:t>
                  </w:r>
                </w:p>
              </w:tc>
              <w:tc>
                <w:tcPr>
                  <w:tcW w:w="1036" w:type="pct"/>
                  <w:noWrap w:val="0"/>
                  <w:vAlign w:val="center"/>
                </w:tcPr>
                <w:p w14:paraId="774CF2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6C21D02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1196FB00">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w:t>
                  </w:r>
                </w:p>
              </w:tc>
            </w:tr>
            <w:tr w14:paraId="7C0C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12C92C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688A9AA2">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1,2-二氯乙烷</w:t>
                  </w:r>
                </w:p>
              </w:tc>
              <w:tc>
                <w:tcPr>
                  <w:tcW w:w="970" w:type="pct"/>
                  <w:noWrap w:val="0"/>
                  <w:vAlign w:val="center"/>
                </w:tcPr>
                <w:p w14:paraId="1CDA7778">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1.3L</w:t>
                  </w:r>
                </w:p>
              </w:tc>
              <w:tc>
                <w:tcPr>
                  <w:tcW w:w="1036" w:type="pct"/>
                  <w:noWrap w:val="0"/>
                  <w:vAlign w:val="center"/>
                </w:tcPr>
                <w:p w14:paraId="5549781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3169CDE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28C6D594">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r>
            <w:tr w14:paraId="7505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0B46C9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497C2923">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1,1-二氯乙烯</w:t>
                  </w:r>
                </w:p>
              </w:tc>
              <w:tc>
                <w:tcPr>
                  <w:tcW w:w="970" w:type="pct"/>
                  <w:noWrap w:val="0"/>
                  <w:vAlign w:val="center"/>
                </w:tcPr>
                <w:p w14:paraId="780CE3C0">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1.0L</w:t>
                  </w:r>
                </w:p>
              </w:tc>
              <w:tc>
                <w:tcPr>
                  <w:tcW w:w="1036" w:type="pct"/>
                  <w:noWrap w:val="0"/>
                  <w:vAlign w:val="center"/>
                </w:tcPr>
                <w:p w14:paraId="23EAE48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11ACA2B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736B34FF">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66</w:t>
                  </w:r>
                </w:p>
              </w:tc>
            </w:tr>
            <w:tr w14:paraId="7E39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76438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3745A50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顺-1,2-二氯乙烯</w:t>
                  </w:r>
                </w:p>
              </w:tc>
              <w:tc>
                <w:tcPr>
                  <w:tcW w:w="970" w:type="pct"/>
                  <w:noWrap w:val="0"/>
                  <w:vAlign w:val="center"/>
                </w:tcPr>
                <w:p w14:paraId="7E859E8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1.3L</w:t>
                  </w:r>
                </w:p>
              </w:tc>
              <w:tc>
                <w:tcPr>
                  <w:tcW w:w="1036" w:type="pct"/>
                  <w:noWrap w:val="0"/>
                  <w:vAlign w:val="center"/>
                </w:tcPr>
                <w:p w14:paraId="2B3E4A3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411C4F4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7D100E2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596</w:t>
                  </w:r>
                </w:p>
              </w:tc>
            </w:tr>
            <w:tr w14:paraId="0944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51F6B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3444A856">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反-1,2-二氯乙烯</w:t>
                  </w:r>
                </w:p>
              </w:tc>
              <w:tc>
                <w:tcPr>
                  <w:tcW w:w="970" w:type="pct"/>
                  <w:noWrap w:val="0"/>
                  <w:vAlign w:val="center"/>
                </w:tcPr>
                <w:p w14:paraId="7080D2B8">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1.4L</w:t>
                  </w:r>
                </w:p>
              </w:tc>
              <w:tc>
                <w:tcPr>
                  <w:tcW w:w="1036" w:type="pct"/>
                  <w:noWrap w:val="0"/>
                  <w:vAlign w:val="center"/>
                </w:tcPr>
                <w:p w14:paraId="04DBC1E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00D5F18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11373422">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w:t>
                  </w:r>
                </w:p>
              </w:tc>
            </w:tr>
            <w:tr w14:paraId="5E38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470F4F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638DA07D">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eastAsia="zh-CN"/>
                    </w:rPr>
                    <w:t>二氯甲烷</w:t>
                  </w:r>
                </w:p>
              </w:tc>
              <w:tc>
                <w:tcPr>
                  <w:tcW w:w="970" w:type="pct"/>
                  <w:noWrap w:val="0"/>
                  <w:vAlign w:val="center"/>
                </w:tcPr>
                <w:p w14:paraId="24B71F8A">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1.5L</w:t>
                  </w:r>
                </w:p>
              </w:tc>
              <w:tc>
                <w:tcPr>
                  <w:tcW w:w="1036" w:type="pct"/>
                  <w:noWrap w:val="0"/>
                  <w:vAlign w:val="center"/>
                </w:tcPr>
                <w:p w14:paraId="518E43B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2FE07DF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73642CC0">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616</w:t>
                  </w:r>
                </w:p>
              </w:tc>
            </w:tr>
            <w:tr w14:paraId="71DA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6A2F4D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1EDF68D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1,2-二氯丙烷</w:t>
                  </w:r>
                </w:p>
              </w:tc>
              <w:tc>
                <w:tcPr>
                  <w:tcW w:w="970" w:type="pct"/>
                  <w:noWrap w:val="0"/>
                  <w:vAlign w:val="center"/>
                </w:tcPr>
                <w:p w14:paraId="30CD11B6">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1.1L</w:t>
                  </w:r>
                </w:p>
              </w:tc>
              <w:tc>
                <w:tcPr>
                  <w:tcW w:w="1036" w:type="pct"/>
                  <w:noWrap w:val="0"/>
                  <w:vAlign w:val="center"/>
                </w:tcPr>
                <w:p w14:paraId="5340B92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5F83AA8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456237B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r>
            <w:tr w14:paraId="1150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2E672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508450EB">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1,1,1,2-四氯乙烷</w:t>
                  </w:r>
                </w:p>
              </w:tc>
              <w:tc>
                <w:tcPr>
                  <w:tcW w:w="970" w:type="pct"/>
                  <w:noWrap w:val="0"/>
                  <w:vAlign w:val="center"/>
                </w:tcPr>
                <w:p w14:paraId="06F7D361">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1.2L</w:t>
                  </w:r>
                </w:p>
              </w:tc>
              <w:tc>
                <w:tcPr>
                  <w:tcW w:w="1036" w:type="pct"/>
                  <w:noWrap w:val="0"/>
                  <w:vAlign w:val="center"/>
                </w:tcPr>
                <w:p w14:paraId="57F1530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1308947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5B46CCDD">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14:paraId="428F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41C26E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0958C93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1,1,2,2-四氯乙烷</w:t>
                  </w:r>
                </w:p>
              </w:tc>
              <w:tc>
                <w:tcPr>
                  <w:tcW w:w="970" w:type="pct"/>
                  <w:noWrap w:val="0"/>
                  <w:vAlign w:val="center"/>
                </w:tcPr>
                <w:p w14:paraId="2835551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1.2L</w:t>
                  </w:r>
                </w:p>
              </w:tc>
              <w:tc>
                <w:tcPr>
                  <w:tcW w:w="1036" w:type="pct"/>
                  <w:noWrap w:val="0"/>
                  <w:vAlign w:val="center"/>
                </w:tcPr>
                <w:p w14:paraId="4F210A2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0789FE3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62ACBF9B">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6.8</w:t>
                  </w:r>
                </w:p>
              </w:tc>
            </w:tr>
            <w:tr w14:paraId="5BFA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69AEC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6A2C1AC7">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四氯乙烯</w:t>
                  </w:r>
                </w:p>
              </w:tc>
              <w:tc>
                <w:tcPr>
                  <w:tcW w:w="970" w:type="pct"/>
                  <w:noWrap w:val="0"/>
                  <w:vAlign w:val="center"/>
                </w:tcPr>
                <w:p w14:paraId="0920D830">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1.4L</w:t>
                  </w:r>
                </w:p>
              </w:tc>
              <w:tc>
                <w:tcPr>
                  <w:tcW w:w="1036" w:type="pct"/>
                  <w:noWrap w:val="0"/>
                  <w:vAlign w:val="center"/>
                </w:tcPr>
                <w:p w14:paraId="19768B7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0C1C34F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4270E374">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53</w:t>
                  </w:r>
                </w:p>
              </w:tc>
            </w:tr>
            <w:tr w14:paraId="1944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6B45C2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37436D0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1,1,1-三氯乙烷</w:t>
                  </w:r>
                </w:p>
              </w:tc>
              <w:tc>
                <w:tcPr>
                  <w:tcW w:w="970" w:type="pct"/>
                  <w:noWrap w:val="0"/>
                  <w:vAlign w:val="center"/>
                </w:tcPr>
                <w:p w14:paraId="5E59620B">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1.3L</w:t>
                  </w:r>
                </w:p>
              </w:tc>
              <w:tc>
                <w:tcPr>
                  <w:tcW w:w="1036" w:type="pct"/>
                  <w:noWrap w:val="0"/>
                  <w:vAlign w:val="center"/>
                </w:tcPr>
                <w:p w14:paraId="250C44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5A74FDA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2E958509">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840</w:t>
                  </w:r>
                </w:p>
              </w:tc>
            </w:tr>
            <w:tr w14:paraId="77C8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5A2C52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256F7183">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1,1,2-三氯乙烷</w:t>
                  </w:r>
                </w:p>
              </w:tc>
              <w:tc>
                <w:tcPr>
                  <w:tcW w:w="970" w:type="pct"/>
                  <w:noWrap w:val="0"/>
                  <w:vAlign w:val="center"/>
                </w:tcPr>
                <w:p w14:paraId="011FF6D3">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1.2L</w:t>
                  </w:r>
                </w:p>
              </w:tc>
              <w:tc>
                <w:tcPr>
                  <w:tcW w:w="1036" w:type="pct"/>
                  <w:noWrap w:val="0"/>
                  <w:vAlign w:val="center"/>
                </w:tcPr>
                <w:p w14:paraId="7723883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4F81B21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0543B341">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2.8</w:t>
                  </w:r>
                </w:p>
              </w:tc>
            </w:tr>
            <w:tr w14:paraId="11F3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0DFA8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70873112">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三氯乙烯</w:t>
                  </w:r>
                </w:p>
              </w:tc>
              <w:tc>
                <w:tcPr>
                  <w:tcW w:w="970" w:type="pct"/>
                  <w:noWrap w:val="0"/>
                  <w:vAlign w:val="center"/>
                </w:tcPr>
                <w:p w14:paraId="74E2978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1.2L</w:t>
                  </w:r>
                </w:p>
              </w:tc>
              <w:tc>
                <w:tcPr>
                  <w:tcW w:w="1036" w:type="pct"/>
                  <w:noWrap w:val="0"/>
                  <w:vAlign w:val="center"/>
                </w:tcPr>
                <w:p w14:paraId="1AFA392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23DD1C6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4B9AEBCB">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2.8</w:t>
                  </w:r>
                </w:p>
              </w:tc>
            </w:tr>
            <w:tr w14:paraId="67F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0D4008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21302AC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1,2,3-三氯丙烷</w:t>
                  </w:r>
                </w:p>
              </w:tc>
              <w:tc>
                <w:tcPr>
                  <w:tcW w:w="970" w:type="pct"/>
                  <w:noWrap w:val="0"/>
                  <w:vAlign w:val="center"/>
                </w:tcPr>
                <w:p w14:paraId="6BC39CE1">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1.2L</w:t>
                  </w:r>
                </w:p>
              </w:tc>
              <w:tc>
                <w:tcPr>
                  <w:tcW w:w="1036" w:type="pct"/>
                  <w:noWrap w:val="0"/>
                  <w:vAlign w:val="center"/>
                </w:tcPr>
                <w:p w14:paraId="00D4DD1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6999B31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58CBE333">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0.5</w:t>
                  </w:r>
                </w:p>
              </w:tc>
            </w:tr>
            <w:tr w14:paraId="6C2A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7AEC30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70860848">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氯乙烯</w:t>
                  </w:r>
                </w:p>
              </w:tc>
              <w:tc>
                <w:tcPr>
                  <w:tcW w:w="970" w:type="pct"/>
                  <w:noWrap w:val="0"/>
                  <w:vAlign w:val="center"/>
                </w:tcPr>
                <w:p w14:paraId="2B75FDD2">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1.0L</w:t>
                  </w:r>
                </w:p>
              </w:tc>
              <w:tc>
                <w:tcPr>
                  <w:tcW w:w="1036" w:type="pct"/>
                  <w:noWrap w:val="0"/>
                  <w:vAlign w:val="center"/>
                </w:tcPr>
                <w:p w14:paraId="493A98D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234C467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15B3507D">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0.43</w:t>
                  </w:r>
                </w:p>
              </w:tc>
            </w:tr>
            <w:tr w14:paraId="49FC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2C8F3A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58F9022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苯</w:t>
                  </w:r>
                </w:p>
              </w:tc>
              <w:tc>
                <w:tcPr>
                  <w:tcW w:w="970" w:type="pct"/>
                  <w:noWrap w:val="0"/>
                  <w:vAlign w:val="center"/>
                </w:tcPr>
                <w:p w14:paraId="7D860452">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1.9L</w:t>
                  </w:r>
                </w:p>
              </w:tc>
              <w:tc>
                <w:tcPr>
                  <w:tcW w:w="1036" w:type="pct"/>
                  <w:noWrap w:val="0"/>
                  <w:vAlign w:val="center"/>
                </w:tcPr>
                <w:p w14:paraId="0F2150B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0A54FDB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0FCEEDD0">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4</w:t>
                  </w:r>
                </w:p>
              </w:tc>
            </w:tr>
            <w:tr w14:paraId="4AAA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65B59A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2FF988F9">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氯苯</w:t>
                  </w:r>
                </w:p>
              </w:tc>
              <w:tc>
                <w:tcPr>
                  <w:tcW w:w="970" w:type="pct"/>
                  <w:noWrap w:val="0"/>
                  <w:vAlign w:val="center"/>
                </w:tcPr>
                <w:p w14:paraId="7EC825C6">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1.2L</w:t>
                  </w:r>
                </w:p>
              </w:tc>
              <w:tc>
                <w:tcPr>
                  <w:tcW w:w="1036" w:type="pct"/>
                  <w:noWrap w:val="0"/>
                  <w:vAlign w:val="center"/>
                </w:tcPr>
                <w:p w14:paraId="6C0086E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6E26A48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5C4CBF24">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270</w:t>
                  </w:r>
                </w:p>
              </w:tc>
            </w:tr>
            <w:tr w14:paraId="4317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5113B3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0CC32C9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1,2-二氯苯</w:t>
                  </w:r>
                </w:p>
              </w:tc>
              <w:tc>
                <w:tcPr>
                  <w:tcW w:w="970" w:type="pct"/>
                  <w:noWrap w:val="0"/>
                  <w:vAlign w:val="center"/>
                </w:tcPr>
                <w:p w14:paraId="73624856">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1.5L</w:t>
                  </w:r>
                </w:p>
              </w:tc>
              <w:tc>
                <w:tcPr>
                  <w:tcW w:w="1036" w:type="pct"/>
                  <w:noWrap w:val="0"/>
                  <w:vAlign w:val="center"/>
                </w:tcPr>
                <w:p w14:paraId="073073A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1F86BB4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2F5570AD">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560</w:t>
                  </w:r>
                </w:p>
              </w:tc>
            </w:tr>
            <w:tr w14:paraId="6DC6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3DA972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2C8A26C0">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1,4-二氯苯</w:t>
                  </w:r>
                </w:p>
              </w:tc>
              <w:tc>
                <w:tcPr>
                  <w:tcW w:w="970" w:type="pct"/>
                  <w:noWrap w:val="0"/>
                  <w:vAlign w:val="center"/>
                </w:tcPr>
                <w:p w14:paraId="4C7F3BDF">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1.5L</w:t>
                  </w:r>
                </w:p>
              </w:tc>
              <w:tc>
                <w:tcPr>
                  <w:tcW w:w="1036" w:type="pct"/>
                  <w:noWrap w:val="0"/>
                  <w:vAlign w:val="center"/>
                </w:tcPr>
                <w:p w14:paraId="7AA8B5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56C65B4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027DE339">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20</w:t>
                  </w:r>
                </w:p>
              </w:tc>
            </w:tr>
            <w:tr w14:paraId="2662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3E3E1F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501B390A">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乙苯</w:t>
                  </w:r>
                </w:p>
              </w:tc>
              <w:tc>
                <w:tcPr>
                  <w:tcW w:w="970" w:type="pct"/>
                  <w:noWrap w:val="0"/>
                  <w:vAlign w:val="center"/>
                </w:tcPr>
                <w:p w14:paraId="557DAC57">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1.2L</w:t>
                  </w:r>
                </w:p>
              </w:tc>
              <w:tc>
                <w:tcPr>
                  <w:tcW w:w="1036" w:type="pct"/>
                  <w:noWrap w:val="0"/>
                  <w:vAlign w:val="center"/>
                </w:tcPr>
                <w:p w14:paraId="45E3E62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382D3B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46F69F7C">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28</w:t>
                  </w:r>
                </w:p>
              </w:tc>
            </w:tr>
            <w:tr w14:paraId="1F71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3F875C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56AF3C7D">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苯乙烯</w:t>
                  </w:r>
                </w:p>
              </w:tc>
              <w:tc>
                <w:tcPr>
                  <w:tcW w:w="970" w:type="pct"/>
                  <w:noWrap w:val="0"/>
                  <w:vAlign w:val="center"/>
                </w:tcPr>
                <w:p w14:paraId="51CCE481">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1.1L</w:t>
                  </w:r>
                </w:p>
              </w:tc>
              <w:tc>
                <w:tcPr>
                  <w:tcW w:w="1036" w:type="pct"/>
                  <w:noWrap w:val="0"/>
                  <w:vAlign w:val="center"/>
                </w:tcPr>
                <w:p w14:paraId="67EEB75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5B4DDCA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242895C2">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1290</w:t>
                  </w:r>
                </w:p>
              </w:tc>
            </w:tr>
            <w:tr w14:paraId="504F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2AFFC3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03C7EB9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甲苯</w:t>
                  </w:r>
                </w:p>
              </w:tc>
              <w:tc>
                <w:tcPr>
                  <w:tcW w:w="970" w:type="pct"/>
                  <w:noWrap w:val="0"/>
                  <w:vAlign w:val="center"/>
                </w:tcPr>
                <w:p w14:paraId="20583D73">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1.3L</w:t>
                  </w:r>
                </w:p>
              </w:tc>
              <w:tc>
                <w:tcPr>
                  <w:tcW w:w="1036" w:type="pct"/>
                  <w:noWrap w:val="0"/>
                  <w:vAlign w:val="center"/>
                </w:tcPr>
                <w:p w14:paraId="7D7377D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455A7B5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6B79D46F">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1200</w:t>
                  </w:r>
                </w:p>
              </w:tc>
            </w:tr>
            <w:tr w14:paraId="6633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2A7835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2C511F7D">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间二甲苯+对二甲苯</w:t>
                  </w:r>
                </w:p>
              </w:tc>
              <w:tc>
                <w:tcPr>
                  <w:tcW w:w="970" w:type="pct"/>
                  <w:noWrap w:val="0"/>
                  <w:vAlign w:val="center"/>
                </w:tcPr>
                <w:p w14:paraId="38620F5D">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1.2L</w:t>
                  </w:r>
                </w:p>
              </w:tc>
              <w:tc>
                <w:tcPr>
                  <w:tcW w:w="1036" w:type="pct"/>
                  <w:noWrap w:val="0"/>
                  <w:vAlign w:val="center"/>
                </w:tcPr>
                <w:p w14:paraId="687A351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6661610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6C787D5D">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570</w:t>
                  </w:r>
                </w:p>
              </w:tc>
            </w:tr>
            <w:tr w14:paraId="25FC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4C1C8B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44E5E1EA">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邻二甲苯</w:t>
                  </w:r>
                </w:p>
              </w:tc>
              <w:tc>
                <w:tcPr>
                  <w:tcW w:w="970" w:type="pct"/>
                  <w:noWrap w:val="0"/>
                  <w:vAlign w:val="center"/>
                </w:tcPr>
                <w:p w14:paraId="13932641">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lang w:val="en-US" w:eastAsia="zh-CN"/>
                    </w:rPr>
                    <w:t>1.2L</w:t>
                  </w:r>
                </w:p>
              </w:tc>
              <w:tc>
                <w:tcPr>
                  <w:tcW w:w="1036" w:type="pct"/>
                  <w:noWrap w:val="0"/>
                  <w:vAlign w:val="center"/>
                </w:tcPr>
                <w:p w14:paraId="5DD8F37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71197E9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145B3AF4">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640</w:t>
                  </w:r>
                </w:p>
              </w:tc>
            </w:tr>
            <w:tr w14:paraId="174E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1EE3E3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4578" w:type="pct"/>
                  <w:gridSpan w:val="5"/>
                  <w:noWrap w:val="0"/>
                  <w:vAlign w:val="center"/>
                </w:tcPr>
                <w:p w14:paraId="323EC90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 w:val="0"/>
                      <w:bCs w:val="0"/>
                      <w:color w:val="auto"/>
                      <w:sz w:val="21"/>
                      <w:szCs w:val="21"/>
                      <w:highlight w:val="none"/>
                      <w:vertAlign w:val="baseline"/>
                      <w:lang w:eastAsia="zh-CN"/>
                    </w:rPr>
                  </w:pPr>
                  <w:r>
                    <w:rPr>
                      <w:rFonts w:hint="eastAsia" w:ascii="Times New Roman" w:hAnsi="Times New Roman" w:eastAsia="宋体" w:cs="Times New Roman"/>
                      <w:b w:val="0"/>
                      <w:bCs w:val="0"/>
                      <w:color w:val="auto"/>
                      <w:sz w:val="21"/>
                      <w:szCs w:val="21"/>
                      <w:highlight w:val="none"/>
                      <w:vertAlign w:val="baseline"/>
                      <w:lang w:eastAsia="zh-CN"/>
                    </w:rPr>
                    <w:t>半挥发性有机物</w:t>
                  </w:r>
                </w:p>
              </w:tc>
            </w:tr>
            <w:tr w14:paraId="111F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421" w:type="pct"/>
                  <w:vMerge w:val="continue"/>
                  <w:noWrap w:val="0"/>
                  <w:vAlign w:val="center"/>
                </w:tcPr>
                <w:p w14:paraId="53123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4DDF3970">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硝基苯</w:t>
                  </w:r>
                </w:p>
              </w:tc>
              <w:tc>
                <w:tcPr>
                  <w:tcW w:w="970" w:type="pct"/>
                  <w:noWrap w:val="0"/>
                  <w:vAlign w:val="center"/>
                </w:tcPr>
                <w:p w14:paraId="0F6979FD">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0.09L</w:t>
                  </w:r>
                </w:p>
              </w:tc>
              <w:tc>
                <w:tcPr>
                  <w:tcW w:w="1036" w:type="pct"/>
                  <w:noWrap w:val="0"/>
                  <w:vAlign w:val="center"/>
                </w:tcPr>
                <w:p w14:paraId="0557EE2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4DDA286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top"/>
                </w:tcPr>
                <w:p w14:paraId="39E9A1E3">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76</w:t>
                  </w:r>
                </w:p>
              </w:tc>
            </w:tr>
            <w:tr w14:paraId="68E6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1E7F5D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5722444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苯胺</w:t>
                  </w:r>
                </w:p>
              </w:tc>
              <w:tc>
                <w:tcPr>
                  <w:tcW w:w="970" w:type="pct"/>
                  <w:noWrap w:val="0"/>
                  <w:vAlign w:val="center"/>
                </w:tcPr>
                <w:p w14:paraId="00AE1BAF">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0.1L</w:t>
                  </w:r>
                </w:p>
              </w:tc>
              <w:tc>
                <w:tcPr>
                  <w:tcW w:w="1036" w:type="pct"/>
                  <w:noWrap w:val="0"/>
                  <w:vAlign w:val="center"/>
                </w:tcPr>
                <w:p w14:paraId="67ED1F2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56235CD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top"/>
                </w:tcPr>
                <w:p w14:paraId="630BBA93">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260</w:t>
                  </w:r>
                </w:p>
              </w:tc>
            </w:tr>
            <w:tr w14:paraId="3EA1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3DCF8F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422B94EB">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2-氯</w:t>
                  </w:r>
                  <w:r>
                    <w:rPr>
                      <w:rFonts w:hint="default" w:ascii="Times New Roman" w:hAnsi="Times New Roman" w:eastAsia="宋体" w:cs="Times New Roman"/>
                      <w:b w:val="0"/>
                      <w:bCs w:val="0"/>
                      <w:color w:val="auto"/>
                      <w:sz w:val="21"/>
                      <w:szCs w:val="21"/>
                      <w:highlight w:val="none"/>
                      <w:lang w:eastAsia="zh-CN"/>
                    </w:rPr>
                    <w:t>苯</w:t>
                  </w:r>
                  <w:r>
                    <w:rPr>
                      <w:rFonts w:hint="default" w:ascii="Times New Roman" w:hAnsi="Times New Roman" w:eastAsia="宋体" w:cs="Times New Roman"/>
                      <w:b w:val="0"/>
                      <w:bCs w:val="0"/>
                      <w:color w:val="auto"/>
                      <w:sz w:val="21"/>
                      <w:szCs w:val="21"/>
                      <w:highlight w:val="none"/>
                    </w:rPr>
                    <w:t>酚</w:t>
                  </w:r>
                </w:p>
              </w:tc>
              <w:tc>
                <w:tcPr>
                  <w:tcW w:w="970" w:type="pct"/>
                  <w:noWrap w:val="0"/>
                  <w:vAlign w:val="center"/>
                </w:tcPr>
                <w:p w14:paraId="01E945A7">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0.06L</w:t>
                  </w:r>
                </w:p>
              </w:tc>
              <w:tc>
                <w:tcPr>
                  <w:tcW w:w="1036" w:type="pct"/>
                  <w:noWrap w:val="0"/>
                  <w:vAlign w:val="center"/>
                </w:tcPr>
                <w:p w14:paraId="0C5F831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662BE4F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top"/>
                </w:tcPr>
                <w:p w14:paraId="6C89BA98">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2256</w:t>
                  </w:r>
                </w:p>
              </w:tc>
            </w:tr>
            <w:tr w14:paraId="3A55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48438F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04396316">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苯并[a]蒽</w:t>
                  </w:r>
                </w:p>
              </w:tc>
              <w:tc>
                <w:tcPr>
                  <w:tcW w:w="970" w:type="pct"/>
                  <w:noWrap w:val="0"/>
                  <w:vAlign w:val="center"/>
                </w:tcPr>
                <w:p w14:paraId="726F3957">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0.1L</w:t>
                  </w:r>
                </w:p>
              </w:tc>
              <w:tc>
                <w:tcPr>
                  <w:tcW w:w="1036" w:type="pct"/>
                  <w:noWrap w:val="0"/>
                  <w:vAlign w:val="center"/>
                </w:tcPr>
                <w:p w14:paraId="1D6E981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22AC932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top"/>
                </w:tcPr>
                <w:p w14:paraId="4B77AC14">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15</w:t>
                  </w:r>
                </w:p>
              </w:tc>
            </w:tr>
            <w:tr w14:paraId="7951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2F5114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668A3BC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苯并[a]芘</w:t>
                  </w:r>
                </w:p>
              </w:tc>
              <w:tc>
                <w:tcPr>
                  <w:tcW w:w="970" w:type="pct"/>
                  <w:noWrap w:val="0"/>
                  <w:vAlign w:val="center"/>
                </w:tcPr>
                <w:p w14:paraId="1664C29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0.1L</w:t>
                  </w:r>
                </w:p>
              </w:tc>
              <w:tc>
                <w:tcPr>
                  <w:tcW w:w="1036" w:type="pct"/>
                  <w:noWrap w:val="0"/>
                  <w:vAlign w:val="center"/>
                </w:tcPr>
                <w:p w14:paraId="5751E14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029BEA5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top"/>
                </w:tcPr>
                <w:p w14:paraId="2D2CDE07">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1.5</w:t>
                  </w:r>
                </w:p>
              </w:tc>
            </w:tr>
            <w:tr w14:paraId="0318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75B3E4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65298659">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苯并[b]荧蒽</w:t>
                  </w:r>
                </w:p>
              </w:tc>
              <w:tc>
                <w:tcPr>
                  <w:tcW w:w="970" w:type="pct"/>
                  <w:noWrap w:val="0"/>
                  <w:vAlign w:val="center"/>
                </w:tcPr>
                <w:p w14:paraId="3BB1D0B9">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0.2L</w:t>
                  </w:r>
                </w:p>
              </w:tc>
              <w:tc>
                <w:tcPr>
                  <w:tcW w:w="1036" w:type="pct"/>
                  <w:noWrap w:val="0"/>
                  <w:vAlign w:val="center"/>
                </w:tcPr>
                <w:p w14:paraId="20185E1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08BBC3B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top"/>
                </w:tcPr>
                <w:p w14:paraId="12C0D798">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15</w:t>
                  </w:r>
                </w:p>
              </w:tc>
            </w:tr>
            <w:tr w14:paraId="1E3C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4E7C0A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5B22C48A">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苯并[k]荧蒽</w:t>
                  </w:r>
                </w:p>
              </w:tc>
              <w:tc>
                <w:tcPr>
                  <w:tcW w:w="970" w:type="pct"/>
                  <w:noWrap w:val="0"/>
                  <w:vAlign w:val="center"/>
                </w:tcPr>
                <w:p w14:paraId="0C0E932B">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0.1L</w:t>
                  </w:r>
                </w:p>
              </w:tc>
              <w:tc>
                <w:tcPr>
                  <w:tcW w:w="1036" w:type="pct"/>
                  <w:noWrap w:val="0"/>
                  <w:vAlign w:val="center"/>
                </w:tcPr>
                <w:p w14:paraId="1C22973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0A52658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top"/>
                </w:tcPr>
                <w:p w14:paraId="1E1AE6D1">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151</w:t>
                  </w:r>
                </w:p>
              </w:tc>
            </w:tr>
            <w:tr w14:paraId="5579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2AD62C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54FAEA58">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䓛</w:t>
                  </w:r>
                </w:p>
              </w:tc>
              <w:tc>
                <w:tcPr>
                  <w:tcW w:w="970" w:type="pct"/>
                  <w:noWrap w:val="0"/>
                  <w:vAlign w:val="center"/>
                </w:tcPr>
                <w:p w14:paraId="292DB39C">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0.1L</w:t>
                  </w:r>
                </w:p>
              </w:tc>
              <w:tc>
                <w:tcPr>
                  <w:tcW w:w="1036" w:type="pct"/>
                  <w:noWrap w:val="0"/>
                  <w:vAlign w:val="center"/>
                </w:tcPr>
                <w:p w14:paraId="2F3BD74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5935766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top"/>
                </w:tcPr>
                <w:p w14:paraId="59CA476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1293</w:t>
                  </w:r>
                </w:p>
              </w:tc>
            </w:tr>
            <w:tr w14:paraId="6E5B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6A9E3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03A1AB1B">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二苯并[a, h]蒽</w:t>
                  </w:r>
                </w:p>
              </w:tc>
              <w:tc>
                <w:tcPr>
                  <w:tcW w:w="970" w:type="pct"/>
                  <w:noWrap w:val="0"/>
                  <w:vAlign w:val="center"/>
                </w:tcPr>
                <w:p w14:paraId="36AC37F3">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0.1L</w:t>
                  </w:r>
                </w:p>
              </w:tc>
              <w:tc>
                <w:tcPr>
                  <w:tcW w:w="1036" w:type="pct"/>
                  <w:noWrap w:val="0"/>
                  <w:vAlign w:val="center"/>
                </w:tcPr>
                <w:p w14:paraId="62CA12D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588964F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top"/>
                </w:tcPr>
                <w:p w14:paraId="58E954F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1.5</w:t>
                  </w:r>
                </w:p>
              </w:tc>
            </w:tr>
            <w:tr w14:paraId="3D29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2DB7F7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231100AC">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茚并[1,2,3-cd]芘</w:t>
                  </w:r>
                </w:p>
              </w:tc>
              <w:tc>
                <w:tcPr>
                  <w:tcW w:w="970" w:type="pct"/>
                  <w:noWrap w:val="0"/>
                  <w:vAlign w:val="center"/>
                </w:tcPr>
                <w:p w14:paraId="04910DC6">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0.1L</w:t>
                  </w:r>
                </w:p>
              </w:tc>
              <w:tc>
                <w:tcPr>
                  <w:tcW w:w="1036" w:type="pct"/>
                  <w:noWrap w:val="0"/>
                  <w:vAlign w:val="center"/>
                </w:tcPr>
                <w:p w14:paraId="4901B71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5CA61FB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center"/>
                </w:tcPr>
                <w:p w14:paraId="4C62135D">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15</w:t>
                  </w:r>
                </w:p>
              </w:tc>
            </w:tr>
            <w:tr w14:paraId="6E4D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noWrap w:val="0"/>
                  <w:vAlign w:val="center"/>
                </w:tcPr>
                <w:p w14:paraId="40AE11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041" w:type="pct"/>
                  <w:noWrap w:val="0"/>
                  <w:vAlign w:val="center"/>
                </w:tcPr>
                <w:p w14:paraId="7C386138">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萘</w:t>
                  </w:r>
                </w:p>
              </w:tc>
              <w:tc>
                <w:tcPr>
                  <w:tcW w:w="970" w:type="pct"/>
                  <w:noWrap w:val="0"/>
                  <w:vAlign w:val="center"/>
                </w:tcPr>
                <w:p w14:paraId="278AF496">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0.09L</w:t>
                  </w:r>
                </w:p>
              </w:tc>
              <w:tc>
                <w:tcPr>
                  <w:tcW w:w="1036" w:type="pct"/>
                  <w:noWrap w:val="0"/>
                  <w:vAlign w:val="center"/>
                </w:tcPr>
                <w:p w14:paraId="131FC22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40" w:type="pct"/>
                  <w:noWrap w:val="0"/>
                  <w:vAlign w:val="center"/>
                </w:tcPr>
                <w:p w14:paraId="04C6823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590" w:type="pct"/>
                  <w:noWrap w:val="0"/>
                  <w:vAlign w:val="top"/>
                </w:tcPr>
                <w:p w14:paraId="31A65B77">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70</w:t>
                  </w:r>
                </w:p>
              </w:tc>
            </w:tr>
            <w:tr w14:paraId="7A29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657E7796">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备注：</w:t>
                  </w:r>
                  <w:r>
                    <w:rPr>
                      <w:rFonts w:hint="default" w:ascii="Times New Roman" w:hAnsi="Times New Roman" w:cs="Times New Roman"/>
                      <w:color w:val="auto"/>
                      <w:sz w:val="21"/>
                      <w:szCs w:val="21"/>
                      <w:highlight w:val="none"/>
                      <w:lang w:val="en-US" w:eastAsia="zh-CN"/>
                    </w:rPr>
                    <w:t>1.</w:t>
                  </w:r>
                  <w:r>
                    <w:rPr>
                      <w:rFonts w:hint="eastAsia" w:ascii="Times New Roman" w:hAnsi="Times New Roman" w:eastAsia="宋体" w:cs="Times New Roman"/>
                      <w:color w:val="auto"/>
                      <w:spacing w:val="-5"/>
                      <w:kern w:val="0"/>
                      <w:sz w:val="21"/>
                      <w:szCs w:val="21"/>
                      <w:highlight w:val="none"/>
                      <w:lang w:val="en-US" w:eastAsia="zh-CN" w:bidi="he-IL"/>
                    </w:rPr>
                    <w:t>“检出限+L”表示检测结果低于检测方法检出限</w:t>
                  </w:r>
                  <w:r>
                    <w:rPr>
                      <w:rFonts w:hint="default" w:ascii="Times New Roman" w:hAnsi="Times New Roman" w:cs="Times New Roman"/>
                      <w:color w:val="auto"/>
                      <w:sz w:val="21"/>
                      <w:szCs w:val="21"/>
                      <w:highlight w:val="none"/>
                      <w:lang w:val="en-US" w:eastAsia="zh-CN"/>
                    </w:rPr>
                    <w:t>；2.限值标准参照《</w:t>
                  </w:r>
                  <w:r>
                    <w:rPr>
                      <w:rFonts w:hint="eastAsia" w:ascii="Times New Roman" w:hAnsi="Times New Roman" w:cs="Times New Roman"/>
                      <w:color w:val="auto"/>
                      <w:sz w:val="21"/>
                      <w:szCs w:val="21"/>
                      <w:highlight w:val="none"/>
                      <w:lang w:val="en-US" w:eastAsia="zh-CN"/>
                    </w:rPr>
                    <w:t>土壤环境质量 建设用地土壤污染风险管控标准（试行）</w:t>
                  </w:r>
                  <w:r>
                    <w:rPr>
                      <w:rFonts w:hint="default" w:ascii="Times New Roman" w:hAnsi="Times New Roman" w:cs="Times New Roman"/>
                      <w:color w:val="auto"/>
                      <w:sz w:val="21"/>
                      <w:szCs w:val="21"/>
                      <w:highlight w:val="none"/>
                      <w:lang w:val="en-US" w:eastAsia="zh-CN"/>
                    </w:rPr>
                    <w:t>》（GB</w:t>
                  </w:r>
                  <w:r>
                    <w:rPr>
                      <w:rFonts w:hint="eastAsia" w:ascii="Times New Roman" w:hAnsi="Times New Roman" w:cs="Times New Roman"/>
                      <w:color w:val="auto"/>
                      <w:sz w:val="21"/>
                      <w:szCs w:val="21"/>
                      <w:highlight w:val="none"/>
                      <w:lang w:val="en-US" w:eastAsia="zh-CN"/>
                    </w:rPr>
                    <w:t>36600</w:t>
                  </w:r>
                  <w:r>
                    <w:rPr>
                      <w:rFonts w:hint="default" w:ascii="Times New Roman" w:hAnsi="Times New Roman" w:cs="Times New Roman"/>
                      <w:color w:val="auto"/>
                      <w:sz w:val="21"/>
                      <w:szCs w:val="21"/>
                      <w:highlight w:val="none"/>
                      <w:lang w:val="en-US" w:eastAsia="zh-CN"/>
                    </w:rPr>
                    <w:t>-201</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第二类建设用地筛选值</w:t>
                  </w:r>
                  <w:r>
                    <w:rPr>
                      <w:rFonts w:hint="default" w:ascii="Times New Roman" w:hAnsi="Times New Roman" w:cs="Times New Roman"/>
                      <w:color w:val="auto"/>
                      <w:sz w:val="21"/>
                      <w:szCs w:val="21"/>
                      <w:highlight w:val="none"/>
                      <w:lang w:val="en-US" w:eastAsia="zh-CN"/>
                    </w:rPr>
                    <w:t>。</w:t>
                  </w:r>
                </w:p>
              </w:tc>
            </w:tr>
          </w:tbl>
          <w:p w14:paraId="2329A36E">
            <w:pPr>
              <w:pStyle w:val="62"/>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szCs w:val="22"/>
                <w:highlight w:val="none"/>
              </w:rPr>
              <w:t>由表</w:t>
            </w:r>
            <w:r>
              <w:rPr>
                <w:rFonts w:hint="eastAsia" w:ascii="Times New Roman" w:hAnsi="Times New Roman" w:eastAsia="宋体" w:cs="Times New Roman"/>
                <w:color w:val="auto"/>
                <w:sz w:val="24"/>
                <w:szCs w:val="22"/>
                <w:highlight w:val="none"/>
                <w:lang w:val="en-US" w:eastAsia="zh-CN"/>
              </w:rPr>
              <w:t>3-</w:t>
            </w:r>
            <w:r>
              <w:rPr>
                <w:rFonts w:hint="eastAsia" w:ascii="Times New Roman" w:hAnsi="Times New Roman" w:cs="Times New Roman"/>
                <w:color w:val="auto"/>
                <w:sz w:val="24"/>
                <w:szCs w:val="22"/>
                <w:highlight w:val="none"/>
                <w:lang w:val="en-US" w:eastAsia="zh-CN"/>
              </w:rPr>
              <w:t>10</w:t>
            </w:r>
            <w:r>
              <w:rPr>
                <w:rFonts w:hint="default" w:ascii="Times New Roman" w:hAnsi="Times New Roman" w:eastAsia="宋体" w:cs="Times New Roman"/>
                <w:color w:val="auto"/>
                <w:sz w:val="24"/>
                <w:szCs w:val="22"/>
                <w:highlight w:val="none"/>
              </w:rPr>
              <w:t>分析可知，</w:t>
            </w:r>
            <w:r>
              <w:rPr>
                <w:rFonts w:hint="default" w:ascii="Times New Roman" w:hAnsi="Times New Roman" w:eastAsia="宋体" w:cs="Times New Roman"/>
                <w:color w:val="auto"/>
                <w:sz w:val="24"/>
                <w:szCs w:val="22"/>
                <w:highlight w:val="none"/>
                <w:lang w:eastAsia="zh-CN"/>
              </w:rPr>
              <w:t>项目</w:t>
            </w:r>
            <w:r>
              <w:rPr>
                <w:rFonts w:hint="eastAsia" w:ascii="Times New Roman" w:hAnsi="Times New Roman" w:eastAsia="宋体" w:cs="Times New Roman"/>
                <w:color w:val="auto"/>
                <w:sz w:val="24"/>
                <w:szCs w:val="22"/>
                <w:highlight w:val="none"/>
                <w:lang w:eastAsia="zh-CN"/>
              </w:rPr>
              <w:t>占地范围</w:t>
            </w:r>
            <w:r>
              <w:rPr>
                <w:rFonts w:hint="default" w:ascii="Times New Roman" w:hAnsi="Times New Roman" w:eastAsia="宋体" w:cs="Times New Roman"/>
                <w:color w:val="auto"/>
                <w:sz w:val="24"/>
                <w:szCs w:val="22"/>
                <w:highlight w:val="none"/>
                <w:lang w:eastAsia="zh-CN"/>
              </w:rPr>
              <w:t>各监测点位</w:t>
            </w:r>
            <w:r>
              <w:rPr>
                <w:rFonts w:hint="default" w:ascii="Times New Roman" w:hAnsi="Times New Roman" w:eastAsia="宋体" w:cs="Times New Roman"/>
                <w:color w:val="auto"/>
                <w:sz w:val="24"/>
                <w:szCs w:val="22"/>
                <w:highlight w:val="none"/>
              </w:rPr>
              <w:t>监测因子，均低于《土壤环境质量  建设用地土壤污染风险管控标准（试行）》（GB 36600-2018）中第二类用地筛选值</w:t>
            </w:r>
            <w:r>
              <w:rPr>
                <w:rFonts w:hint="default" w:ascii="Times New Roman" w:hAnsi="Times New Roman" w:cs="Times New Roman"/>
                <w:color w:val="auto"/>
                <w:kern w:val="24"/>
                <w:sz w:val="24"/>
                <w:highlight w:val="none"/>
                <w:lang w:val="en-US" w:eastAsia="zh-CN"/>
              </w:rPr>
              <w:t>。</w:t>
            </w:r>
          </w:p>
        </w:tc>
      </w:tr>
      <w:tr w14:paraId="48ED5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456" w:type="dxa"/>
            <w:vAlign w:val="center"/>
          </w:tcPr>
          <w:p w14:paraId="0BF34336">
            <w:pPr>
              <w:adjustRightInd w:val="0"/>
              <w:snapToGrid w:val="0"/>
              <w:jc w:val="center"/>
              <w:rPr>
                <w:color w:val="auto"/>
                <w:kern w:val="0"/>
                <w:sz w:val="24"/>
                <w:highlight w:val="none"/>
              </w:rPr>
            </w:pPr>
            <w:r>
              <w:rPr>
                <w:rFonts w:hAnsi="宋体"/>
                <w:color w:val="auto"/>
                <w:kern w:val="0"/>
                <w:sz w:val="24"/>
                <w:highlight w:val="none"/>
              </w:rPr>
              <w:t>环境</w:t>
            </w:r>
          </w:p>
          <w:p w14:paraId="7E2C35F4">
            <w:pPr>
              <w:adjustRightInd w:val="0"/>
              <w:snapToGrid w:val="0"/>
              <w:jc w:val="center"/>
              <w:rPr>
                <w:color w:val="auto"/>
                <w:kern w:val="0"/>
                <w:sz w:val="24"/>
                <w:highlight w:val="none"/>
              </w:rPr>
            </w:pPr>
            <w:r>
              <w:rPr>
                <w:rFonts w:hAnsi="宋体"/>
                <w:color w:val="auto"/>
                <w:kern w:val="0"/>
                <w:sz w:val="24"/>
                <w:highlight w:val="none"/>
              </w:rPr>
              <w:t>保护</w:t>
            </w:r>
          </w:p>
          <w:p w14:paraId="44774D57">
            <w:pPr>
              <w:adjustRightInd w:val="0"/>
              <w:snapToGrid w:val="0"/>
              <w:jc w:val="center"/>
              <w:rPr>
                <w:color w:val="auto"/>
                <w:kern w:val="0"/>
                <w:sz w:val="24"/>
                <w:highlight w:val="none"/>
              </w:rPr>
            </w:pPr>
            <w:r>
              <w:rPr>
                <w:rFonts w:hAnsi="宋体"/>
                <w:color w:val="auto"/>
                <w:kern w:val="0"/>
                <w:sz w:val="24"/>
                <w:highlight w:val="none"/>
              </w:rPr>
              <w:t>目标</w:t>
            </w:r>
          </w:p>
        </w:tc>
        <w:tc>
          <w:tcPr>
            <w:tcW w:w="8729" w:type="dxa"/>
          </w:tcPr>
          <w:p w14:paraId="60D8BA1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default" w:ascii="Times New Roman"/>
                <w:color w:val="auto"/>
                <w:sz w:val="24"/>
                <w:szCs w:val="24"/>
                <w:highlight w:val="none"/>
                <w:lang w:val="en-US" w:eastAsia="zh-CN"/>
              </w:rPr>
            </w:pPr>
            <w:r>
              <w:rPr>
                <w:rFonts w:hint="eastAsia" w:ascii="Times New Roman"/>
                <w:color w:val="auto"/>
                <w:sz w:val="24"/>
                <w:szCs w:val="24"/>
                <w:highlight w:val="none"/>
                <w:lang w:val="en-US" w:eastAsia="zh-CN"/>
              </w:rPr>
              <w:t>1、大气环境</w:t>
            </w:r>
          </w:p>
          <w:p w14:paraId="6D8400A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Times New Roman" w:eastAsia="宋体"/>
                <w:color w:val="auto"/>
                <w:sz w:val="24"/>
                <w:szCs w:val="24"/>
                <w:highlight w:val="none"/>
                <w:lang w:eastAsia="zh-CN"/>
              </w:rPr>
            </w:pPr>
            <w:r>
              <w:rPr>
                <w:rFonts w:hint="eastAsia" w:ascii="Times New Roman"/>
                <w:color w:val="auto"/>
                <w:sz w:val="24"/>
                <w:szCs w:val="24"/>
                <w:highlight w:val="none"/>
                <w:lang w:eastAsia="zh-CN"/>
              </w:rPr>
              <w:t>根据现场勘查，</w:t>
            </w:r>
            <w:r>
              <w:rPr>
                <w:rFonts w:hint="eastAsia" w:ascii="Times New Roman"/>
                <w:color w:val="auto"/>
                <w:sz w:val="24"/>
                <w:szCs w:val="24"/>
                <w:highlight w:val="none"/>
                <w:lang w:val="en-US" w:eastAsia="zh-CN"/>
              </w:rPr>
              <w:t>本项目</w:t>
            </w:r>
            <w:r>
              <w:rPr>
                <w:rFonts w:hint="eastAsia" w:ascii="Times New Roman"/>
                <w:color w:val="auto"/>
                <w:sz w:val="24"/>
                <w:szCs w:val="24"/>
                <w:highlight w:val="none"/>
              </w:rPr>
              <w:t>厂界外</w:t>
            </w:r>
            <w:r>
              <w:rPr>
                <w:rFonts w:hint="eastAsia"/>
                <w:color w:val="auto"/>
                <w:sz w:val="24"/>
                <w:szCs w:val="24"/>
                <w:highlight w:val="none"/>
                <w:lang w:val="en-US" w:eastAsia="zh-CN"/>
              </w:rPr>
              <w:t>500m范围内无</w:t>
            </w:r>
            <w:r>
              <w:rPr>
                <w:rFonts w:hint="eastAsia" w:ascii="Times New Roman"/>
                <w:color w:val="auto"/>
                <w:sz w:val="24"/>
                <w:szCs w:val="24"/>
                <w:highlight w:val="none"/>
                <w:lang w:eastAsia="zh-CN"/>
              </w:rPr>
              <w:t>大气环境保护目标。</w:t>
            </w:r>
          </w:p>
          <w:p w14:paraId="71FCB68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default" w:ascii="Times New Roman"/>
                <w:color w:val="auto"/>
                <w:sz w:val="24"/>
                <w:szCs w:val="24"/>
                <w:highlight w:val="none"/>
                <w:lang w:val="en-US" w:eastAsia="zh-CN"/>
              </w:rPr>
            </w:pPr>
            <w:r>
              <w:rPr>
                <w:rFonts w:hint="eastAsia" w:ascii="Times New Roman"/>
                <w:color w:val="auto"/>
                <w:sz w:val="24"/>
                <w:szCs w:val="24"/>
                <w:highlight w:val="none"/>
                <w:lang w:val="en-US" w:eastAsia="zh-CN"/>
              </w:rPr>
              <w:t>2、声环境保护目标</w:t>
            </w:r>
          </w:p>
          <w:p w14:paraId="6378279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Times New Roman"/>
                <w:color w:val="auto"/>
                <w:sz w:val="24"/>
                <w:szCs w:val="24"/>
                <w:highlight w:val="none"/>
                <w:lang w:val="en-US" w:eastAsia="zh-CN"/>
              </w:rPr>
            </w:pPr>
            <w:r>
              <w:rPr>
                <w:rFonts w:hint="eastAsia" w:ascii="Times New Roman"/>
                <w:color w:val="auto"/>
                <w:sz w:val="24"/>
                <w:szCs w:val="24"/>
                <w:highlight w:val="none"/>
                <w:lang w:val="en-US" w:eastAsia="zh-CN"/>
              </w:rPr>
              <w:t>根据现场勘查，</w:t>
            </w:r>
            <w:r>
              <w:rPr>
                <w:rFonts w:hint="eastAsia"/>
                <w:color w:val="auto"/>
                <w:sz w:val="24"/>
                <w:szCs w:val="24"/>
                <w:highlight w:val="none"/>
                <w:lang w:val="en-US" w:eastAsia="zh-CN"/>
              </w:rPr>
              <w:t>本项目</w:t>
            </w:r>
            <w:r>
              <w:rPr>
                <w:rFonts w:hint="eastAsia" w:ascii="Times New Roman"/>
                <w:color w:val="auto"/>
                <w:sz w:val="24"/>
                <w:szCs w:val="24"/>
                <w:highlight w:val="none"/>
                <w:lang w:val="en-US" w:eastAsia="zh-CN"/>
              </w:rPr>
              <w:t>厂界外50m范围内</w:t>
            </w:r>
            <w:r>
              <w:rPr>
                <w:rFonts w:hint="eastAsia"/>
                <w:color w:val="auto"/>
                <w:sz w:val="24"/>
                <w:szCs w:val="24"/>
                <w:highlight w:val="none"/>
                <w:lang w:val="en-US" w:eastAsia="zh-CN"/>
              </w:rPr>
              <w:t>范围无</w:t>
            </w:r>
            <w:r>
              <w:rPr>
                <w:rFonts w:hint="eastAsia" w:ascii="Times New Roman"/>
                <w:color w:val="auto"/>
                <w:sz w:val="24"/>
                <w:szCs w:val="24"/>
                <w:highlight w:val="none"/>
                <w:lang w:val="en-US" w:eastAsia="zh-CN"/>
              </w:rPr>
              <w:t>声环境保护目标。</w:t>
            </w:r>
          </w:p>
          <w:p w14:paraId="16F00F3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Times New Roman"/>
                <w:color w:val="auto"/>
                <w:sz w:val="24"/>
                <w:szCs w:val="24"/>
                <w:highlight w:val="none"/>
                <w:lang w:val="en-US" w:eastAsia="zh-CN"/>
              </w:rPr>
            </w:pPr>
            <w:r>
              <w:rPr>
                <w:rFonts w:hint="eastAsia" w:ascii="Times New Roman"/>
                <w:color w:val="auto"/>
                <w:sz w:val="24"/>
                <w:szCs w:val="24"/>
                <w:highlight w:val="none"/>
                <w:lang w:val="en-US" w:eastAsia="zh-CN"/>
              </w:rPr>
              <w:t>3、地下水环境</w:t>
            </w:r>
          </w:p>
          <w:p w14:paraId="3D0368A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Times New Roman"/>
                <w:color w:val="auto"/>
                <w:sz w:val="24"/>
                <w:szCs w:val="24"/>
                <w:highlight w:val="none"/>
                <w:lang w:val="en-US" w:eastAsia="zh-CN"/>
              </w:rPr>
            </w:pPr>
            <w:r>
              <w:rPr>
                <w:rFonts w:hint="eastAsia" w:ascii="Times New Roman"/>
                <w:color w:val="auto"/>
                <w:sz w:val="24"/>
                <w:szCs w:val="24"/>
                <w:highlight w:val="none"/>
                <w:lang w:val="en-US" w:eastAsia="zh-CN"/>
              </w:rPr>
              <w:t>根据现场勘查，</w:t>
            </w:r>
            <w:r>
              <w:rPr>
                <w:rFonts w:hint="eastAsia"/>
                <w:color w:val="auto"/>
                <w:sz w:val="24"/>
                <w:szCs w:val="24"/>
                <w:highlight w:val="none"/>
                <w:lang w:val="en-US" w:eastAsia="zh-CN"/>
              </w:rPr>
              <w:t>本项目</w:t>
            </w:r>
            <w:r>
              <w:rPr>
                <w:rFonts w:hint="eastAsia" w:ascii="Times New Roman"/>
                <w:color w:val="auto"/>
                <w:sz w:val="24"/>
                <w:szCs w:val="24"/>
                <w:highlight w:val="none"/>
                <w:lang w:val="en-US" w:eastAsia="zh-CN"/>
              </w:rPr>
              <w:t>厂界外500米范围内无地下水集中式饮用水水源和热水、矿泉水、温泉等特殊地下水资源。</w:t>
            </w:r>
          </w:p>
          <w:p w14:paraId="3A6D083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Times New Roman"/>
                <w:color w:val="auto"/>
                <w:sz w:val="24"/>
                <w:szCs w:val="24"/>
                <w:highlight w:val="none"/>
                <w:lang w:val="en-US" w:eastAsia="zh-CN"/>
              </w:rPr>
            </w:pPr>
            <w:r>
              <w:rPr>
                <w:rFonts w:hint="eastAsia" w:ascii="Times New Roman"/>
                <w:color w:val="auto"/>
                <w:sz w:val="24"/>
                <w:szCs w:val="24"/>
                <w:highlight w:val="none"/>
                <w:lang w:val="en-US" w:eastAsia="zh-CN"/>
              </w:rPr>
              <w:t>4、生态环境</w:t>
            </w:r>
          </w:p>
          <w:p w14:paraId="52280790">
            <w:pPr>
              <w:adjustRightInd w:val="0"/>
              <w:snapToGrid w:val="0"/>
              <w:spacing w:line="360" w:lineRule="auto"/>
              <w:ind w:firstLine="480" w:firstLineChars="200"/>
              <w:rPr>
                <w:color w:val="auto"/>
                <w:kern w:val="24"/>
                <w:sz w:val="24"/>
                <w:highlight w:val="none"/>
              </w:rPr>
            </w:pPr>
            <w:r>
              <w:rPr>
                <w:rFonts w:hint="eastAsia" w:ascii="Times New Roman"/>
                <w:color w:val="auto"/>
                <w:sz w:val="24"/>
                <w:szCs w:val="24"/>
                <w:highlight w:val="none"/>
                <w:lang w:val="en-US" w:eastAsia="zh-CN"/>
              </w:rPr>
              <w:t>本项目用地属于大山生活垃圾填埋场用地范围内，不新增用地，不涉及《环境影响评价技术导则 生态环境》（HJ19-20</w:t>
            </w:r>
            <w:r>
              <w:rPr>
                <w:rFonts w:hint="eastAsia"/>
                <w:color w:val="auto"/>
                <w:sz w:val="24"/>
                <w:szCs w:val="24"/>
                <w:highlight w:val="none"/>
                <w:lang w:val="en-US" w:eastAsia="zh-CN"/>
              </w:rPr>
              <w:t>22</w:t>
            </w:r>
            <w:r>
              <w:rPr>
                <w:rFonts w:hint="eastAsia" w:ascii="Times New Roman"/>
                <w:color w:val="auto"/>
                <w:sz w:val="24"/>
                <w:szCs w:val="24"/>
                <w:highlight w:val="none"/>
                <w:lang w:val="en-US" w:eastAsia="zh-CN"/>
              </w:rPr>
              <w:t>）中的特殊生态敏感区、重要生态敏感区等生态环境保护目标</w:t>
            </w:r>
            <w:r>
              <w:rPr>
                <w:color w:val="auto"/>
                <w:kern w:val="24"/>
                <w:sz w:val="24"/>
                <w:highlight w:val="none"/>
              </w:rPr>
              <w:t>。</w:t>
            </w:r>
          </w:p>
          <w:p w14:paraId="2D468692">
            <w:pPr>
              <w:adjustRightInd w:val="0"/>
              <w:snapToGrid w:val="0"/>
              <w:spacing w:line="360" w:lineRule="auto"/>
              <w:ind w:firstLine="480" w:firstLineChars="200"/>
              <w:rPr>
                <w:color w:val="auto"/>
                <w:kern w:val="24"/>
                <w:sz w:val="24"/>
                <w:highlight w:val="none"/>
              </w:rPr>
            </w:pPr>
            <w:r>
              <w:rPr>
                <w:color w:val="auto"/>
                <w:kern w:val="24"/>
                <w:sz w:val="24"/>
                <w:highlight w:val="none"/>
              </w:rPr>
              <w:t>主要环境保护目标见表3-</w:t>
            </w:r>
            <w:r>
              <w:rPr>
                <w:rFonts w:hint="eastAsia"/>
                <w:color w:val="auto"/>
                <w:kern w:val="24"/>
                <w:sz w:val="24"/>
                <w:highlight w:val="none"/>
                <w:lang w:val="en-US" w:eastAsia="zh-CN"/>
              </w:rPr>
              <w:t>11</w:t>
            </w:r>
            <w:r>
              <w:rPr>
                <w:color w:val="auto"/>
                <w:kern w:val="24"/>
                <w:sz w:val="24"/>
                <w:highlight w:val="none"/>
              </w:rPr>
              <w:t>。</w:t>
            </w:r>
          </w:p>
          <w:p w14:paraId="2D01EAB1">
            <w:pPr>
              <w:pStyle w:val="68"/>
              <w:rPr>
                <w:color w:val="auto"/>
                <w:sz w:val="24"/>
                <w:szCs w:val="24"/>
                <w:highlight w:val="none"/>
              </w:rPr>
            </w:pPr>
            <w:r>
              <w:rPr>
                <w:color w:val="auto"/>
                <w:sz w:val="24"/>
                <w:szCs w:val="24"/>
                <w:highlight w:val="none"/>
              </w:rPr>
              <w:t>表3-</w:t>
            </w:r>
            <w:r>
              <w:rPr>
                <w:rFonts w:hint="eastAsia"/>
                <w:color w:val="auto"/>
                <w:sz w:val="24"/>
                <w:szCs w:val="24"/>
                <w:highlight w:val="none"/>
                <w:lang w:val="en-US" w:eastAsia="zh-CN"/>
              </w:rPr>
              <w:t>11</w:t>
            </w:r>
            <w:r>
              <w:rPr>
                <w:color w:val="auto"/>
                <w:sz w:val="24"/>
                <w:szCs w:val="24"/>
                <w:highlight w:val="none"/>
              </w:rPr>
              <w:t xml:space="preserve">   </w:t>
            </w:r>
            <w:r>
              <w:rPr>
                <w:rFonts w:hint="eastAsia"/>
                <w:color w:val="auto"/>
                <w:sz w:val="24"/>
                <w:szCs w:val="24"/>
                <w:highlight w:val="none"/>
              </w:rPr>
              <w:t>项目</w:t>
            </w:r>
            <w:r>
              <w:rPr>
                <w:rFonts w:hAnsi="宋体"/>
                <w:color w:val="auto"/>
                <w:sz w:val="24"/>
                <w:szCs w:val="24"/>
                <w:highlight w:val="none"/>
              </w:rPr>
              <w:t>环境保护目标一览表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39"/>
              <w:gridCol w:w="943"/>
              <w:gridCol w:w="1166"/>
              <w:gridCol w:w="1066"/>
              <w:gridCol w:w="637"/>
              <w:gridCol w:w="857"/>
              <w:gridCol w:w="1646"/>
              <w:gridCol w:w="637"/>
              <w:gridCol w:w="812"/>
            </w:tblGrid>
            <w:tr w14:paraId="5975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4" w:hRule="atLeast"/>
                <w:jc w:val="center"/>
              </w:trPr>
              <w:tc>
                <w:tcPr>
                  <w:tcW w:w="766" w:type="dxa"/>
                  <w:vMerge w:val="restart"/>
                  <w:vAlign w:val="center"/>
                </w:tcPr>
                <w:p w14:paraId="54B21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类别</w:t>
                  </w:r>
                </w:p>
              </w:tc>
              <w:tc>
                <w:tcPr>
                  <w:tcW w:w="980" w:type="dxa"/>
                  <w:vMerge w:val="restart"/>
                  <w:vAlign w:val="center"/>
                </w:tcPr>
                <w:p w14:paraId="486694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保护</w:t>
                  </w:r>
                </w:p>
                <w:p w14:paraId="439FFA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目标</w:t>
                  </w:r>
                </w:p>
              </w:tc>
              <w:tc>
                <w:tcPr>
                  <w:tcW w:w="2323" w:type="dxa"/>
                  <w:gridSpan w:val="2"/>
                  <w:vAlign w:val="center"/>
                </w:tcPr>
                <w:p w14:paraId="50BF22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坐标</w:t>
                  </w:r>
                </w:p>
              </w:tc>
              <w:tc>
                <w:tcPr>
                  <w:tcW w:w="658" w:type="dxa"/>
                  <w:vMerge w:val="restart"/>
                  <w:vAlign w:val="center"/>
                </w:tcPr>
                <w:p w14:paraId="6843E0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保护对象</w:t>
                  </w:r>
                </w:p>
              </w:tc>
              <w:tc>
                <w:tcPr>
                  <w:tcW w:w="889" w:type="dxa"/>
                  <w:vMerge w:val="restart"/>
                  <w:vAlign w:val="center"/>
                </w:tcPr>
                <w:p w14:paraId="01A3A2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保护</w:t>
                  </w:r>
                </w:p>
                <w:p w14:paraId="73C5CD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内容</w:t>
                  </w:r>
                </w:p>
              </w:tc>
              <w:tc>
                <w:tcPr>
                  <w:tcW w:w="1719" w:type="dxa"/>
                  <w:vMerge w:val="restart"/>
                  <w:vAlign w:val="center"/>
                </w:tcPr>
                <w:p w14:paraId="794DD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环境功能区</w:t>
                  </w:r>
                </w:p>
              </w:tc>
              <w:tc>
                <w:tcPr>
                  <w:tcW w:w="658" w:type="dxa"/>
                  <w:vMerge w:val="restart"/>
                  <w:vAlign w:val="center"/>
                </w:tcPr>
                <w:p w14:paraId="53E739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相对厂址方位</w:t>
                  </w:r>
                </w:p>
              </w:tc>
              <w:tc>
                <w:tcPr>
                  <w:tcW w:w="842" w:type="dxa"/>
                  <w:vMerge w:val="restart"/>
                  <w:vAlign w:val="center"/>
                </w:tcPr>
                <w:p w14:paraId="092DA8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相对厂界距离/m</w:t>
                  </w:r>
                </w:p>
              </w:tc>
            </w:tr>
            <w:tr w14:paraId="21D9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66" w:type="dxa"/>
                  <w:vMerge w:val="continue"/>
                  <w:vAlign w:val="center"/>
                </w:tcPr>
                <w:p w14:paraId="009EC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980" w:type="dxa"/>
                  <w:vMerge w:val="continue"/>
                  <w:vAlign w:val="center"/>
                </w:tcPr>
                <w:p w14:paraId="11E327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1214" w:type="dxa"/>
                  <w:vAlign w:val="center"/>
                </w:tcPr>
                <w:p w14:paraId="7D8482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经度</w:t>
                  </w:r>
                </w:p>
              </w:tc>
              <w:tc>
                <w:tcPr>
                  <w:tcW w:w="1109" w:type="dxa"/>
                  <w:vAlign w:val="center"/>
                </w:tcPr>
                <w:p w14:paraId="660BF5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纬度</w:t>
                  </w:r>
                </w:p>
              </w:tc>
              <w:tc>
                <w:tcPr>
                  <w:tcW w:w="658" w:type="dxa"/>
                  <w:vMerge w:val="continue"/>
                  <w:vAlign w:val="center"/>
                </w:tcPr>
                <w:p w14:paraId="314F3A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889" w:type="dxa"/>
                  <w:vMerge w:val="continue"/>
                  <w:vAlign w:val="center"/>
                </w:tcPr>
                <w:p w14:paraId="529391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1719" w:type="dxa"/>
                  <w:vMerge w:val="continue"/>
                  <w:vAlign w:val="center"/>
                </w:tcPr>
                <w:p w14:paraId="7C38C4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658" w:type="dxa"/>
                  <w:vMerge w:val="continue"/>
                  <w:vAlign w:val="center"/>
                </w:tcPr>
                <w:p w14:paraId="71313C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842" w:type="dxa"/>
                  <w:vMerge w:val="continue"/>
                  <w:vAlign w:val="center"/>
                </w:tcPr>
                <w:p w14:paraId="6B2F0A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r>
            <w:tr w14:paraId="7983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766" w:type="dxa"/>
                  <w:vMerge w:val="restart"/>
                  <w:vAlign w:val="center"/>
                </w:tcPr>
                <w:p w14:paraId="28B24109">
                  <w:pPr>
                    <w:keepNext w:val="0"/>
                    <w:keepLines w:val="0"/>
                    <w:pageBreakBefore w:val="0"/>
                    <w:widowControl w:val="0"/>
                    <w:kinsoku/>
                    <w:wordWrap/>
                    <w:overflowPunct/>
                    <w:topLinePunct w:val="0"/>
                    <w:autoSpaceDE/>
                    <w:autoSpaceDN/>
                    <w:bidi w:val="0"/>
                    <w:spacing w:line="240" w:lineRule="auto"/>
                    <w:jc w:val="center"/>
                    <w:textAlignment w:val="auto"/>
                    <w:rPr>
                      <w:color w:val="auto"/>
                      <w:kern w:val="24"/>
                      <w:szCs w:val="21"/>
                      <w:highlight w:val="none"/>
                    </w:rPr>
                  </w:pPr>
                  <w:r>
                    <w:rPr>
                      <w:rFonts w:hint="eastAsia"/>
                      <w:color w:val="auto"/>
                      <w:kern w:val="24"/>
                      <w:szCs w:val="21"/>
                      <w:highlight w:val="none"/>
                    </w:rPr>
                    <w:t>大气</w:t>
                  </w:r>
                </w:p>
                <w:p w14:paraId="6A5B6115">
                  <w:pPr>
                    <w:keepNext w:val="0"/>
                    <w:keepLines w:val="0"/>
                    <w:pageBreakBefore w:val="0"/>
                    <w:widowControl w:val="0"/>
                    <w:kinsoku/>
                    <w:wordWrap/>
                    <w:overflowPunct/>
                    <w:topLinePunct w:val="0"/>
                    <w:autoSpaceDE/>
                    <w:autoSpaceDN/>
                    <w:bidi w:val="0"/>
                    <w:spacing w:line="240" w:lineRule="auto"/>
                    <w:jc w:val="center"/>
                    <w:textAlignment w:val="auto"/>
                    <w:rPr>
                      <w:color w:val="auto"/>
                      <w:kern w:val="24"/>
                      <w:szCs w:val="21"/>
                      <w:highlight w:val="none"/>
                    </w:rPr>
                  </w:pPr>
                  <w:r>
                    <w:rPr>
                      <w:rFonts w:hint="eastAsia"/>
                      <w:color w:val="auto"/>
                      <w:kern w:val="24"/>
                      <w:szCs w:val="21"/>
                      <w:highlight w:val="none"/>
                    </w:rPr>
                    <w:t>环境</w:t>
                  </w:r>
                </w:p>
              </w:tc>
              <w:tc>
                <w:tcPr>
                  <w:tcW w:w="980" w:type="dxa"/>
                  <w:vAlign w:val="center"/>
                </w:tcPr>
                <w:p w14:paraId="318A5355">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移民新村</w:t>
                  </w:r>
                </w:p>
              </w:tc>
              <w:tc>
                <w:tcPr>
                  <w:tcW w:w="1214" w:type="dxa"/>
                  <w:vAlign w:val="center"/>
                </w:tcPr>
                <w:p w14:paraId="2CB52EBA">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103.014755</w:t>
                  </w:r>
                </w:p>
              </w:tc>
              <w:tc>
                <w:tcPr>
                  <w:tcW w:w="1109" w:type="dxa"/>
                  <w:vAlign w:val="center"/>
                </w:tcPr>
                <w:p w14:paraId="093D00B4">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24.695768</w:t>
                  </w:r>
                </w:p>
              </w:tc>
              <w:tc>
                <w:tcPr>
                  <w:tcW w:w="658" w:type="dxa"/>
                  <w:vAlign w:val="center"/>
                </w:tcPr>
                <w:p w14:paraId="5C19EC47">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color w:val="auto"/>
                      <w:szCs w:val="21"/>
                      <w:highlight w:val="none"/>
                      <w:lang w:eastAsia="zh-CN"/>
                    </w:rPr>
                  </w:pPr>
                  <w:r>
                    <w:rPr>
                      <w:rFonts w:hint="eastAsia"/>
                      <w:color w:val="auto"/>
                      <w:szCs w:val="21"/>
                      <w:highlight w:val="none"/>
                      <w:lang w:eastAsia="zh-CN"/>
                    </w:rPr>
                    <w:t>居民区</w:t>
                  </w:r>
                </w:p>
              </w:tc>
              <w:tc>
                <w:tcPr>
                  <w:tcW w:w="889" w:type="dxa"/>
                  <w:vAlign w:val="center"/>
                </w:tcPr>
                <w:p w14:paraId="17B271CB">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highlight w:val="none"/>
                    </w:rPr>
                  </w:pPr>
                  <w:r>
                    <w:rPr>
                      <w:rFonts w:hint="eastAsia" w:cs="Times New Roman"/>
                      <w:color w:val="auto"/>
                      <w:sz w:val="21"/>
                      <w:szCs w:val="21"/>
                      <w:highlight w:val="none"/>
                      <w:lang w:val="en-US" w:eastAsia="zh-CN"/>
                    </w:rPr>
                    <w:t>村庄</w:t>
                  </w:r>
                </w:p>
              </w:tc>
              <w:tc>
                <w:tcPr>
                  <w:tcW w:w="1719" w:type="dxa"/>
                  <w:vMerge w:val="restart"/>
                  <w:vAlign w:val="center"/>
                </w:tcPr>
                <w:p w14:paraId="0CDA8D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《环境空气质量标准》(GB3095-2012)二级标准</w:t>
                  </w:r>
                </w:p>
              </w:tc>
              <w:tc>
                <w:tcPr>
                  <w:tcW w:w="658" w:type="dxa"/>
                  <w:vAlign w:val="center"/>
                </w:tcPr>
                <w:p w14:paraId="00832A62">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西</w:t>
                  </w:r>
                </w:p>
              </w:tc>
              <w:tc>
                <w:tcPr>
                  <w:tcW w:w="842" w:type="dxa"/>
                  <w:vAlign w:val="center"/>
                </w:tcPr>
                <w:p w14:paraId="16232910">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782</w:t>
                  </w:r>
                </w:p>
              </w:tc>
            </w:tr>
            <w:tr w14:paraId="33FE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766" w:type="dxa"/>
                  <w:vMerge w:val="continue"/>
                  <w:vAlign w:val="center"/>
                </w:tcPr>
                <w:p w14:paraId="137C39F3">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kern w:val="24"/>
                      <w:szCs w:val="21"/>
                      <w:highlight w:val="none"/>
                    </w:rPr>
                  </w:pPr>
                </w:p>
              </w:tc>
              <w:tc>
                <w:tcPr>
                  <w:tcW w:w="980" w:type="dxa"/>
                  <w:vAlign w:val="center"/>
                </w:tcPr>
                <w:p w14:paraId="177B9543">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大山村</w:t>
                  </w:r>
                </w:p>
              </w:tc>
              <w:tc>
                <w:tcPr>
                  <w:tcW w:w="1214" w:type="dxa"/>
                  <w:vAlign w:val="center"/>
                </w:tcPr>
                <w:p w14:paraId="24B46554">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103.028627</w:t>
                  </w:r>
                </w:p>
              </w:tc>
              <w:tc>
                <w:tcPr>
                  <w:tcW w:w="1109" w:type="dxa"/>
                  <w:vAlign w:val="center"/>
                </w:tcPr>
                <w:p w14:paraId="3C65D25C">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24.706588</w:t>
                  </w:r>
                </w:p>
              </w:tc>
              <w:tc>
                <w:tcPr>
                  <w:tcW w:w="658" w:type="dxa"/>
                  <w:vAlign w:val="center"/>
                </w:tcPr>
                <w:p w14:paraId="3C8070B0">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Cs w:val="21"/>
                      <w:highlight w:val="none"/>
                      <w:lang w:eastAsia="zh-CN"/>
                    </w:rPr>
                  </w:pPr>
                  <w:r>
                    <w:rPr>
                      <w:rFonts w:hint="eastAsia"/>
                      <w:color w:val="auto"/>
                      <w:szCs w:val="21"/>
                      <w:highlight w:val="none"/>
                      <w:lang w:eastAsia="zh-CN"/>
                    </w:rPr>
                    <w:t>居民区</w:t>
                  </w:r>
                </w:p>
              </w:tc>
              <w:tc>
                <w:tcPr>
                  <w:tcW w:w="889" w:type="dxa"/>
                  <w:vAlign w:val="center"/>
                </w:tcPr>
                <w:p w14:paraId="5CECA07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村庄</w:t>
                  </w:r>
                </w:p>
              </w:tc>
              <w:tc>
                <w:tcPr>
                  <w:tcW w:w="1719" w:type="dxa"/>
                  <w:vMerge w:val="continue"/>
                  <w:vAlign w:val="center"/>
                </w:tcPr>
                <w:p w14:paraId="4CF7FB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658" w:type="dxa"/>
                  <w:vAlign w:val="center"/>
                </w:tcPr>
                <w:p w14:paraId="50B7AD5B">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东北</w:t>
                  </w:r>
                </w:p>
              </w:tc>
              <w:tc>
                <w:tcPr>
                  <w:tcW w:w="842" w:type="dxa"/>
                  <w:vAlign w:val="center"/>
                </w:tcPr>
                <w:p w14:paraId="41B2ED94">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746</w:t>
                  </w:r>
                </w:p>
              </w:tc>
            </w:tr>
            <w:tr w14:paraId="1DCF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766" w:type="dxa"/>
                  <w:vMerge w:val="continue"/>
                  <w:vAlign w:val="center"/>
                </w:tcPr>
                <w:p w14:paraId="43903671">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kern w:val="24"/>
                      <w:szCs w:val="21"/>
                      <w:highlight w:val="none"/>
                    </w:rPr>
                  </w:pPr>
                </w:p>
              </w:tc>
              <w:tc>
                <w:tcPr>
                  <w:tcW w:w="980" w:type="dxa"/>
                  <w:vAlign w:val="center"/>
                </w:tcPr>
                <w:p w14:paraId="01F1ACFC">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大平地村</w:t>
                  </w:r>
                </w:p>
              </w:tc>
              <w:tc>
                <w:tcPr>
                  <w:tcW w:w="1214" w:type="dxa"/>
                  <w:vAlign w:val="center"/>
                </w:tcPr>
                <w:p w14:paraId="11B709E0">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103.026236</w:t>
                  </w:r>
                </w:p>
              </w:tc>
              <w:tc>
                <w:tcPr>
                  <w:tcW w:w="1109" w:type="dxa"/>
                  <w:vAlign w:val="center"/>
                </w:tcPr>
                <w:p w14:paraId="5C4B3035">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24.686638</w:t>
                  </w:r>
                </w:p>
              </w:tc>
              <w:tc>
                <w:tcPr>
                  <w:tcW w:w="658" w:type="dxa"/>
                  <w:vAlign w:val="center"/>
                </w:tcPr>
                <w:p w14:paraId="2AF479BC">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居民区</w:t>
                  </w:r>
                </w:p>
              </w:tc>
              <w:tc>
                <w:tcPr>
                  <w:tcW w:w="889" w:type="dxa"/>
                  <w:vAlign w:val="center"/>
                </w:tcPr>
                <w:p w14:paraId="2B47CFC4">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村庄</w:t>
                  </w:r>
                </w:p>
              </w:tc>
              <w:tc>
                <w:tcPr>
                  <w:tcW w:w="1719" w:type="dxa"/>
                  <w:vMerge w:val="continue"/>
                  <w:vAlign w:val="center"/>
                </w:tcPr>
                <w:p w14:paraId="1A7D4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658" w:type="dxa"/>
                  <w:vAlign w:val="center"/>
                </w:tcPr>
                <w:p w14:paraId="1C8AE66E">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南</w:t>
                  </w:r>
                </w:p>
              </w:tc>
              <w:tc>
                <w:tcPr>
                  <w:tcW w:w="842" w:type="dxa"/>
                  <w:vAlign w:val="center"/>
                </w:tcPr>
                <w:p w14:paraId="6D113ACC">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1255</w:t>
                  </w:r>
                </w:p>
              </w:tc>
            </w:tr>
            <w:tr w14:paraId="3285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766" w:type="dxa"/>
                  <w:vAlign w:val="center"/>
                </w:tcPr>
                <w:p w14:paraId="1BBB05CA">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kern w:val="24"/>
                      <w:szCs w:val="21"/>
                      <w:highlight w:val="none"/>
                    </w:rPr>
                  </w:pPr>
                  <w:r>
                    <w:rPr>
                      <w:rFonts w:hint="eastAsia"/>
                      <w:color w:val="auto"/>
                      <w:kern w:val="24"/>
                      <w:szCs w:val="21"/>
                      <w:highlight w:val="none"/>
                    </w:rPr>
                    <w:t>声环境</w:t>
                  </w:r>
                </w:p>
              </w:tc>
              <w:tc>
                <w:tcPr>
                  <w:tcW w:w="4850" w:type="dxa"/>
                  <w:gridSpan w:val="5"/>
                  <w:vAlign w:val="center"/>
                </w:tcPr>
                <w:p w14:paraId="27F0DF8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color w:val="auto"/>
                      <w:szCs w:val="21"/>
                      <w:highlight w:val="none"/>
                    </w:rPr>
                    <w:t>本项目厂界外50米范围内</w:t>
                  </w:r>
                  <w:r>
                    <w:rPr>
                      <w:rFonts w:hint="eastAsia"/>
                      <w:color w:val="auto"/>
                      <w:szCs w:val="21"/>
                      <w:highlight w:val="none"/>
                    </w:rPr>
                    <w:t>无</w:t>
                  </w:r>
                  <w:r>
                    <w:rPr>
                      <w:rFonts w:hint="default"/>
                      <w:color w:val="auto"/>
                      <w:szCs w:val="21"/>
                      <w:highlight w:val="none"/>
                    </w:rPr>
                    <w:t>声环境保护目标</w:t>
                  </w:r>
                </w:p>
              </w:tc>
              <w:tc>
                <w:tcPr>
                  <w:tcW w:w="1719" w:type="dxa"/>
                  <w:vAlign w:val="center"/>
                </w:tcPr>
                <w:p w14:paraId="10ABA5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rFonts w:hint="eastAsia"/>
                      <w:color w:val="auto"/>
                      <w:szCs w:val="21"/>
                      <w:highlight w:val="none"/>
                    </w:rPr>
                    <w:t>《声环境质量标准》</w:t>
                  </w:r>
                  <w:r>
                    <w:rPr>
                      <w:color w:val="auto"/>
                      <w:szCs w:val="21"/>
                      <w:highlight w:val="none"/>
                    </w:rPr>
                    <w:t>(GB</w:t>
                  </w:r>
                  <w:r>
                    <w:rPr>
                      <w:rFonts w:hint="eastAsia"/>
                      <w:color w:val="auto"/>
                      <w:szCs w:val="21"/>
                      <w:highlight w:val="none"/>
                    </w:rPr>
                    <w:t>3096</w:t>
                  </w:r>
                  <w:r>
                    <w:rPr>
                      <w:color w:val="auto"/>
                      <w:szCs w:val="21"/>
                      <w:highlight w:val="none"/>
                    </w:rPr>
                    <w:t>-</w:t>
                  </w:r>
                  <w:r>
                    <w:rPr>
                      <w:rFonts w:hint="eastAsia"/>
                      <w:color w:val="auto"/>
                      <w:szCs w:val="21"/>
                      <w:highlight w:val="none"/>
                    </w:rPr>
                    <w:t>2008</w:t>
                  </w:r>
                  <w:r>
                    <w:rPr>
                      <w:color w:val="auto"/>
                      <w:szCs w:val="21"/>
                      <w:highlight w:val="none"/>
                    </w:rPr>
                    <w:t>)</w:t>
                  </w:r>
                  <w:r>
                    <w:rPr>
                      <w:rFonts w:hint="eastAsia"/>
                      <w:color w:val="auto"/>
                      <w:szCs w:val="21"/>
                      <w:highlight w:val="none"/>
                      <w:lang w:val="en-US" w:eastAsia="zh-CN"/>
                    </w:rPr>
                    <w:t>2</w:t>
                  </w:r>
                  <w:r>
                    <w:rPr>
                      <w:rFonts w:hint="eastAsia"/>
                      <w:color w:val="auto"/>
                      <w:szCs w:val="21"/>
                      <w:highlight w:val="none"/>
                    </w:rPr>
                    <w:t>类标准</w:t>
                  </w:r>
                </w:p>
              </w:tc>
              <w:tc>
                <w:tcPr>
                  <w:tcW w:w="658" w:type="dxa"/>
                  <w:vAlign w:val="center"/>
                </w:tcPr>
                <w:p w14:paraId="00E8CE1B">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Cs w:val="21"/>
                      <w:highlight w:val="none"/>
                      <w:lang w:eastAsia="zh-CN"/>
                    </w:rPr>
                  </w:pPr>
                  <w:r>
                    <w:rPr>
                      <w:rFonts w:hint="eastAsia"/>
                      <w:color w:val="auto"/>
                      <w:szCs w:val="21"/>
                      <w:highlight w:val="none"/>
                      <w:lang w:val="en-US" w:eastAsia="zh-CN"/>
                    </w:rPr>
                    <w:t>-</w:t>
                  </w:r>
                </w:p>
              </w:tc>
              <w:tc>
                <w:tcPr>
                  <w:tcW w:w="842" w:type="dxa"/>
                  <w:vAlign w:val="center"/>
                </w:tcPr>
                <w:p w14:paraId="6CFEAF96">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r>
            <w:tr w14:paraId="757F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8" w:hRule="atLeast"/>
                <w:jc w:val="center"/>
              </w:trPr>
              <w:tc>
                <w:tcPr>
                  <w:tcW w:w="766" w:type="dxa"/>
                  <w:vAlign w:val="center"/>
                </w:tcPr>
                <w:p w14:paraId="05E4E9AC">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color w:val="auto"/>
                      <w:kern w:val="24"/>
                      <w:szCs w:val="21"/>
                      <w:highlight w:val="none"/>
                      <w:lang w:eastAsia="zh-CN"/>
                    </w:rPr>
                  </w:pPr>
                  <w:r>
                    <w:rPr>
                      <w:rFonts w:hint="eastAsia"/>
                      <w:color w:val="auto"/>
                      <w:kern w:val="24"/>
                      <w:szCs w:val="21"/>
                      <w:highlight w:val="none"/>
                      <w:lang w:eastAsia="zh-CN"/>
                    </w:rPr>
                    <w:t>地表水</w:t>
                  </w:r>
                </w:p>
              </w:tc>
              <w:tc>
                <w:tcPr>
                  <w:tcW w:w="980" w:type="dxa"/>
                  <w:vAlign w:val="center"/>
                </w:tcPr>
                <w:p w14:paraId="7CEB0C25">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color w:val="auto"/>
                      <w:szCs w:val="21"/>
                      <w:highlight w:val="none"/>
                      <w:lang w:eastAsia="zh-CN"/>
                    </w:rPr>
                  </w:pPr>
                  <w:r>
                    <w:rPr>
                      <w:rFonts w:hint="eastAsia" w:cs="Times New Roman"/>
                      <w:color w:val="auto"/>
                      <w:sz w:val="21"/>
                      <w:szCs w:val="21"/>
                      <w:highlight w:val="none"/>
                      <w:vertAlign w:val="baseline"/>
                      <w:lang w:val="en-US" w:eastAsia="zh-CN"/>
                    </w:rPr>
                    <w:t>南盘江</w:t>
                  </w:r>
                </w:p>
              </w:tc>
              <w:tc>
                <w:tcPr>
                  <w:tcW w:w="1214" w:type="dxa"/>
                  <w:vAlign w:val="center"/>
                </w:tcPr>
                <w:p w14:paraId="70D5FD5D">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1109" w:type="dxa"/>
                  <w:vAlign w:val="center"/>
                </w:tcPr>
                <w:p w14:paraId="6BD42B33">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1547" w:type="dxa"/>
                  <w:gridSpan w:val="2"/>
                  <w:vAlign w:val="center"/>
                </w:tcPr>
                <w:p w14:paraId="62910785">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color w:val="auto"/>
                      <w:szCs w:val="21"/>
                      <w:highlight w:val="none"/>
                      <w:lang w:eastAsia="zh-CN"/>
                    </w:rPr>
                  </w:pPr>
                  <w:r>
                    <w:rPr>
                      <w:rFonts w:hint="eastAsia"/>
                      <w:color w:val="auto"/>
                      <w:szCs w:val="21"/>
                      <w:highlight w:val="none"/>
                      <w:lang w:val="en-US" w:eastAsia="zh-CN"/>
                    </w:rPr>
                    <w:t>河流</w:t>
                  </w:r>
                </w:p>
              </w:tc>
              <w:tc>
                <w:tcPr>
                  <w:tcW w:w="1719" w:type="dxa"/>
                  <w:vAlign w:val="center"/>
                </w:tcPr>
                <w:p w14:paraId="45B90C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highlight w:val="none"/>
                    </w:rPr>
                  </w:pPr>
                  <w:r>
                    <w:rPr>
                      <w:rFonts w:hint="eastAsia"/>
                      <w:color w:val="auto"/>
                      <w:szCs w:val="21"/>
                      <w:highlight w:val="none"/>
                      <w:lang w:val="en-US" w:eastAsia="zh-CN"/>
                    </w:rPr>
                    <w:t>GB3838-2002《地表水环境质量标准》</w:t>
                  </w:r>
                  <w:r>
                    <w:rPr>
                      <w:rFonts w:hint="default" w:ascii="Times New Roman" w:hAnsi="Times New Roman" w:cs="Times New Roman"/>
                      <w:color w:val="auto"/>
                      <w:szCs w:val="21"/>
                      <w:highlight w:val="none"/>
                      <w:lang w:val="en-US" w:eastAsia="zh-CN"/>
                    </w:rPr>
                    <w:t>Ⅲ</w:t>
                  </w:r>
                  <w:r>
                    <w:rPr>
                      <w:rFonts w:hint="eastAsia"/>
                      <w:color w:val="auto"/>
                      <w:szCs w:val="21"/>
                      <w:highlight w:val="none"/>
                      <w:lang w:val="en-US" w:eastAsia="zh-CN"/>
                    </w:rPr>
                    <w:t>类标准</w:t>
                  </w:r>
                </w:p>
              </w:tc>
              <w:tc>
                <w:tcPr>
                  <w:tcW w:w="658" w:type="dxa"/>
                  <w:vAlign w:val="center"/>
                </w:tcPr>
                <w:p w14:paraId="27D2090E">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东</w:t>
                  </w:r>
                </w:p>
              </w:tc>
              <w:tc>
                <w:tcPr>
                  <w:tcW w:w="842" w:type="dxa"/>
                  <w:vAlign w:val="center"/>
                </w:tcPr>
                <w:p w14:paraId="6EBC43DC">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highlight w:val="none"/>
                      <w:lang w:val="en-US" w:eastAsia="zh-CN"/>
                    </w:rPr>
                  </w:pPr>
                  <w:r>
                    <w:rPr>
                      <w:rFonts w:hint="eastAsia"/>
                      <w:color w:val="auto"/>
                      <w:highlight w:val="none"/>
                      <w:lang w:val="en-US" w:eastAsia="zh-CN"/>
                    </w:rPr>
                    <w:t>2000</w:t>
                  </w:r>
                </w:p>
              </w:tc>
            </w:tr>
            <w:tr w14:paraId="2EBF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34" w:hRule="atLeast"/>
                <w:jc w:val="center"/>
              </w:trPr>
              <w:tc>
                <w:tcPr>
                  <w:tcW w:w="766" w:type="dxa"/>
                  <w:vAlign w:val="center"/>
                </w:tcPr>
                <w:p w14:paraId="3EF8CF22">
                  <w:pPr>
                    <w:keepNext w:val="0"/>
                    <w:keepLines w:val="0"/>
                    <w:pageBreakBefore w:val="0"/>
                    <w:widowControl w:val="0"/>
                    <w:kinsoku/>
                    <w:wordWrap/>
                    <w:overflowPunct/>
                    <w:topLinePunct w:val="0"/>
                    <w:autoSpaceDE/>
                    <w:autoSpaceDN/>
                    <w:bidi w:val="0"/>
                    <w:spacing w:line="240" w:lineRule="auto"/>
                    <w:jc w:val="center"/>
                    <w:textAlignment w:val="auto"/>
                    <w:rPr>
                      <w:color w:val="auto"/>
                      <w:kern w:val="24"/>
                      <w:szCs w:val="21"/>
                      <w:highlight w:val="none"/>
                    </w:rPr>
                  </w:pPr>
                  <w:r>
                    <w:rPr>
                      <w:rFonts w:hint="eastAsia"/>
                      <w:color w:val="auto"/>
                      <w:kern w:val="24"/>
                      <w:szCs w:val="21"/>
                      <w:highlight w:val="none"/>
                    </w:rPr>
                    <w:t>地下水环境</w:t>
                  </w:r>
                </w:p>
              </w:tc>
              <w:tc>
                <w:tcPr>
                  <w:tcW w:w="8069" w:type="dxa"/>
                  <w:gridSpan w:val="8"/>
                  <w:vAlign w:val="center"/>
                </w:tcPr>
                <w:p w14:paraId="75D6D97D">
                  <w:pPr>
                    <w:keepNext w:val="0"/>
                    <w:keepLines w:val="0"/>
                    <w:pageBreakBefore w:val="0"/>
                    <w:widowControl w:val="0"/>
                    <w:kinsoku/>
                    <w:wordWrap/>
                    <w:overflowPunct/>
                    <w:topLinePunct w:val="0"/>
                    <w:autoSpaceDE/>
                    <w:autoSpaceDN/>
                    <w:bidi w:val="0"/>
                    <w:spacing w:line="240" w:lineRule="auto"/>
                    <w:jc w:val="left"/>
                    <w:textAlignment w:val="auto"/>
                    <w:rPr>
                      <w:color w:val="auto"/>
                      <w:szCs w:val="21"/>
                      <w:highlight w:val="none"/>
                    </w:rPr>
                  </w:pPr>
                  <w:r>
                    <w:rPr>
                      <w:rFonts w:hint="eastAsia"/>
                      <w:color w:val="auto"/>
                      <w:szCs w:val="21"/>
                      <w:highlight w:val="none"/>
                    </w:rPr>
                    <w:t>本项目厂界外500米范围内无地下水集中式饮用水水源和热水、矿泉水、温泉等特殊地下水资源。</w:t>
                  </w:r>
                </w:p>
              </w:tc>
            </w:tr>
            <w:tr w14:paraId="38D1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766" w:type="dxa"/>
                  <w:vAlign w:val="center"/>
                </w:tcPr>
                <w:p w14:paraId="6A5F88F4">
                  <w:pPr>
                    <w:keepNext w:val="0"/>
                    <w:keepLines w:val="0"/>
                    <w:pageBreakBefore w:val="0"/>
                    <w:widowControl w:val="0"/>
                    <w:kinsoku/>
                    <w:wordWrap/>
                    <w:overflowPunct/>
                    <w:topLinePunct w:val="0"/>
                    <w:autoSpaceDE/>
                    <w:autoSpaceDN/>
                    <w:bidi w:val="0"/>
                    <w:spacing w:line="240" w:lineRule="auto"/>
                    <w:jc w:val="center"/>
                    <w:textAlignment w:val="auto"/>
                    <w:rPr>
                      <w:color w:val="auto"/>
                      <w:kern w:val="24"/>
                      <w:szCs w:val="21"/>
                      <w:highlight w:val="none"/>
                    </w:rPr>
                  </w:pPr>
                  <w:r>
                    <w:rPr>
                      <w:rFonts w:hint="eastAsia"/>
                      <w:color w:val="auto"/>
                      <w:kern w:val="24"/>
                      <w:szCs w:val="21"/>
                      <w:highlight w:val="none"/>
                    </w:rPr>
                    <w:t>生态</w:t>
                  </w:r>
                </w:p>
                <w:p w14:paraId="67847CBC">
                  <w:pPr>
                    <w:keepNext w:val="0"/>
                    <w:keepLines w:val="0"/>
                    <w:pageBreakBefore w:val="0"/>
                    <w:widowControl w:val="0"/>
                    <w:kinsoku/>
                    <w:wordWrap/>
                    <w:overflowPunct/>
                    <w:topLinePunct w:val="0"/>
                    <w:autoSpaceDE/>
                    <w:autoSpaceDN/>
                    <w:bidi w:val="0"/>
                    <w:spacing w:line="240" w:lineRule="auto"/>
                    <w:jc w:val="center"/>
                    <w:textAlignment w:val="auto"/>
                    <w:rPr>
                      <w:color w:val="auto"/>
                      <w:kern w:val="24"/>
                      <w:szCs w:val="21"/>
                      <w:highlight w:val="none"/>
                    </w:rPr>
                  </w:pPr>
                  <w:r>
                    <w:rPr>
                      <w:rFonts w:hint="eastAsia"/>
                      <w:color w:val="auto"/>
                      <w:kern w:val="24"/>
                      <w:szCs w:val="21"/>
                      <w:highlight w:val="none"/>
                    </w:rPr>
                    <w:t>环境</w:t>
                  </w:r>
                </w:p>
              </w:tc>
              <w:tc>
                <w:tcPr>
                  <w:tcW w:w="8069" w:type="dxa"/>
                  <w:gridSpan w:val="8"/>
                  <w:vAlign w:val="center"/>
                </w:tcPr>
                <w:p w14:paraId="08C9C836">
                  <w:pPr>
                    <w:keepNext w:val="0"/>
                    <w:keepLines w:val="0"/>
                    <w:pageBreakBefore w:val="0"/>
                    <w:widowControl w:val="0"/>
                    <w:kinsoku/>
                    <w:wordWrap/>
                    <w:overflowPunct/>
                    <w:topLinePunct w:val="0"/>
                    <w:autoSpaceDE/>
                    <w:autoSpaceDN/>
                    <w:bidi w:val="0"/>
                    <w:spacing w:line="240" w:lineRule="auto"/>
                    <w:jc w:val="left"/>
                    <w:textAlignment w:val="auto"/>
                    <w:rPr>
                      <w:color w:val="auto"/>
                      <w:szCs w:val="21"/>
                      <w:highlight w:val="none"/>
                    </w:rPr>
                  </w:pPr>
                  <w:r>
                    <w:rPr>
                      <w:rFonts w:hint="eastAsia"/>
                      <w:color w:val="auto"/>
                      <w:szCs w:val="21"/>
                      <w:highlight w:val="none"/>
                      <w:lang w:val="en-US" w:eastAsia="zh-CN"/>
                    </w:rPr>
                    <w:t>本项目用地属于大山生活垃圾填埋场用地范围内，不新增用地</w:t>
                  </w:r>
                  <w:r>
                    <w:rPr>
                      <w:rFonts w:hint="eastAsia"/>
                      <w:color w:val="auto"/>
                      <w:szCs w:val="21"/>
                      <w:highlight w:val="none"/>
                    </w:rPr>
                    <w:t>。</w:t>
                  </w:r>
                </w:p>
              </w:tc>
            </w:tr>
          </w:tbl>
          <w:p w14:paraId="4E6C712F">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ascii="Times New Roman" w:hAnsi="Times New Roman" w:cs="Times New Roman"/>
                <w:color w:val="auto"/>
                <w:sz w:val="24"/>
                <w:highlight w:val="none"/>
                <w:lang w:val="en-US"/>
              </w:rPr>
            </w:pPr>
          </w:p>
        </w:tc>
      </w:tr>
      <w:tr w14:paraId="7119D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456" w:type="dxa"/>
            <w:tcMar>
              <w:left w:w="28" w:type="dxa"/>
              <w:right w:w="28" w:type="dxa"/>
            </w:tcMar>
            <w:vAlign w:val="center"/>
          </w:tcPr>
          <w:p w14:paraId="6239FA3F">
            <w:pPr>
              <w:adjustRightInd w:val="0"/>
              <w:snapToGrid w:val="0"/>
              <w:jc w:val="center"/>
              <w:rPr>
                <w:color w:val="auto"/>
                <w:kern w:val="0"/>
                <w:sz w:val="24"/>
                <w:highlight w:val="none"/>
              </w:rPr>
            </w:pPr>
            <w:r>
              <w:rPr>
                <w:rFonts w:hAnsi="宋体"/>
                <w:color w:val="auto"/>
                <w:kern w:val="0"/>
                <w:sz w:val="24"/>
                <w:highlight w:val="none"/>
              </w:rPr>
              <w:t>污染</w:t>
            </w:r>
          </w:p>
          <w:p w14:paraId="637DD213">
            <w:pPr>
              <w:adjustRightInd w:val="0"/>
              <w:snapToGrid w:val="0"/>
              <w:jc w:val="center"/>
              <w:rPr>
                <w:color w:val="auto"/>
                <w:kern w:val="0"/>
                <w:sz w:val="24"/>
                <w:highlight w:val="none"/>
              </w:rPr>
            </w:pPr>
            <w:r>
              <w:rPr>
                <w:rFonts w:hAnsi="宋体"/>
                <w:color w:val="auto"/>
                <w:kern w:val="0"/>
                <w:sz w:val="24"/>
                <w:highlight w:val="none"/>
              </w:rPr>
              <w:t>物排</w:t>
            </w:r>
          </w:p>
          <w:p w14:paraId="2F4CC732">
            <w:pPr>
              <w:adjustRightInd w:val="0"/>
              <w:snapToGrid w:val="0"/>
              <w:jc w:val="center"/>
              <w:rPr>
                <w:color w:val="auto"/>
                <w:kern w:val="0"/>
                <w:sz w:val="24"/>
                <w:highlight w:val="none"/>
              </w:rPr>
            </w:pPr>
            <w:r>
              <w:rPr>
                <w:rFonts w:hAnsi="宋体"/>
                <w:color w:val="auto"/>
                <w:kern w:val="0"/>
                <w:sz w:val="24"/>
                <w:highlight w:val="none"/>
              </w:rPr>
              <w:t>放控</w:t>
            </w:r>
          </w:p>
          <w:p w14:paraId="16639538">
            <w:pPr>
              <w:adjustRightInd w:val="0"/>
              <w:snapToGrid w:val="0"/>
              <w:jc w:val="center"/>
              <w:rPr>
                <w:color w:val="auto"/>
                <w:kern w:val="0"/>
                <w:sz w:val="24"/>
                <w:highlight w:val="none"/>
              </w:rPr>
            </w:pPr>
            <w:r>
              <w:rPr>
                <w:rFonts w:hAnsi="宋体"/>
                <w:color w:val="auto"/>
                <w:kern w:val="0"/>
                <w:sz w:val="24"/>
                <w:highlight w:val="none"/>
              </w:rPr>
              <w:t>制标</w:t>
            </w:r>
          </w:p>
          <w:p w14:paraId="4511A4D1">
            <w:pPr>
              <w:adjustRightInd w:val="0"/>
              <w:snapToGrid w:val="0"/>
              <w:jc w:val="center"/>
              <w:rPr>
                <w:color w:val="auto"/>
                <w:kern w:val="0"/>
                <w:sz w:val="24"/>
                <w:highlight w:val="none"/>
              </w:rPr>
            </w:pPr>
            <w:r>
              <w:rPr>
                <w:rFonts w:hAnsi="宋体"/>
                <w:color w:val="auto"/>
                <w:kern w:val="0"/>
                <w:sz w:val="24"/>
                <w:highlight w:val="none"/>
              </w:rPr>
              <w:t>准</w:t>
            </w:r>
          </w:p>
        </w:tc>
        <w:tc>
          <w:tcPr>
            <w:tcW w:w="8729" w:type="dxa"/>
          </w:tcPr>
          <w:p w14:paraId="5779C56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ascii="Times New Roman" w:hAnsi="Times New Roman"/>
                <w:b/>
                <w:color w:val="auto"/>
                <w:sz w:val="24"/>
                <w:szCs w:val="24"/>
                <w:highlight w:val="none"/>
                <w:lang w:eastAsia="zh-CN"/>
              </w:rPr>
              <w:t>一、污染物排放控制标准</w:t>
            </w:r>
          </w:p>
          <w:p w14:paraId="1D049DC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b/>
                <w:bCs/>
                <w:color w:val="auto"/>
                <w:sz w:val="24"/>
                <w:highlight w:val="none"/>
              </w:rPr>
              <w:t>1、大气污染物排放标准</w:t>
            </w:r>
          </w:p>
          <w:p w14:paraId="52D63D69">
            <w:pPr>
              <w:adjustRightInd w:val="0"/>
              <w:snapToGrid w:val="0"/>
              <w:spacing w:line="360" w:lineRule="auto"/>
              <w:ind w:firstLine="240" w:firstLineChars="100"/>
              <w:rPr>
                <w:color w:val="auto"/>
                <w:sz w:val="24"/>
                <w:highlight w:val="none"/>
              </w:rPr>
            </w:pPr>
            <w:r>
              <w:rPr>
                <w:rFonts w:hint="eastAsia"/>
                <w:color w:val="auto"/>
                <w:sz w:val="24"/>
                <w:highlight w:val="none"/>
              </w:rPr>
              <w:t>（1）</w:t>
            </w:r>
            <w:r>
              <w:rPr>
                <w:color w:val="auto"/>
                <w:sz w:val="24"/>
                <w:highlight w:val="none"/>
              </w:rPr>
              <w:t>施工期：颗粒物排放执行《大气污染物综合排放标准》（GB 16297-1996）表2新污染源大气污染物无组织排放浓度限值，即周界外浓度最高点1.0mg/m</w:t>
            </w:r>
            <w:r>
              <w:rPr>
                <w:color w:val="auto"/>
                <w:sz w:val="24"/>
                <w:highlight w:val="none"/>
                <w:vertAlign w:val="superscript"/>
              </w:rPr>
              <w:t>3</w:t>
            </w:r>
            <w:r>
              <w:rPr>
                <w:color w:val="auto"/>
                <w:sz w:val="24"/>
                <w:highlight w:val="none"/>
              </w:rPr>
              <w:t>。</w:t>
            </w:r>
          </w:p>
          <w:p w14:paraId="7945C934">
            <w:pPr>
              <w:adjustRightInd w:val="0"/>
              <w:snapToGrid w:val="0"/>
              <w:spacing w:line="360" w:lineRule="auto"/>
              <w:ind w:firstLine="240" w:firstLineChars="100"/>
              <w:rPr>
                <w:color w:val="auto"/>
                <w:kern w:val="24"/>
                <w:sz w:val="24"/>
                <w:highlight w:val="none"/>
              </w:rPr>
            </w:pPr>
            <w:r>
              <w:rPr>
                <w:rFonts w:hint="eastAsia"/>
                <w:color w:val="auto"/>
                <w:sz w:val="24"/>
                <w:highlight w:val="none"/>
              </w:rPr>
              <w:t>（2）</w:t>
            </w:r>
            <w:r>
              <w:rPr>
                <w:color w:val="auto"/>
                <w:kern w:val="24"/>
                <w:sz w:val="24"/>
                <w:highlight w:val="none"/>
              </w:rPr>
              <w:t>运营期</w:t>
            </w:r>
          </w:p>
          <w:p w14:paraId="38AAC69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highlight w:val="none"/>
                <w:lang w:eastAsia="zh-CN"/>
              </w:rPr>
            </w:pPr>
            <w:bookmarkStart w:id="20" w:name="_Hlk95828665"/>
            <w:r>
              <w:rPr>
                <w:rFonts w:hint="eastAsia" w:cs="Times New Roman"/>
                <w:b w:val="0"/>
                <w:bCs w:val="0"/>
                <w:color w:val="auto"/>
                <w:sz w:val="24"/>
                <w:highlight w:val="none"/>
                <w:lang w:val="en-US" w:eastAsia="zh-CN"/>
              </w:rPr>
              <w:t>1）</w:t>
            </w:r>
            <w:r>
              <w:rPr>
                <w:rFonts w:hint="eastAsia" w:cs="Times New Roman"/>
                <w:b w:val="0"/>
                <w:bCs w:val="0"/>
                <w:color w:val="auto"/>
                <w:sz w:val="24"/>
                <w:highlight w:val="none"/>
                <w:lang w:eastAsia="zh-CN"/>
              </w:rPr>
              <w:t>恶臭</w:t>
            </w:r>
          </w:p>
          <w:p w14:paraId="28C19E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项目</w:t>
            </w:r>
            <w:r>
              <w:rPr>
                <w:rFonts w:hint="eastAsia" w:cs="Times New Roman"/>
                <w:color w:val="auto"/>
                <w:sz w:val="24"/>
                <w:highlight w:val="none"/>
                <w:lang w:val="en-US" w:eastAsia="zh-CN"/>
              </w:rPr>
              <w:t>全量化处理站各处理</w:t>
            </w:r>
            <w:r>
              <w:rPr>
                <w:rFonts w:hint="eastAsia" w:cs="Times New Roman"/>
                <w:color w:val="auto"/>
                <w:sz w:val="24"/>
                <w:highlight w:val="none"/>
                <w:lang w:eastAsia="zh-CN"/>
              </w:rPr>
              <w:t>单元产生的恶臭经</w:t>
            </w:r>
            <w:r>
              <w:rPr>
                <w:rFonts w:hint="eastAsia" w:cs="Times New Roman"/>
                <w:color w:val="auto"/>
                <w:sz w:val="24"/>
                <w:highlight w:val="none"/>
                <w:lang w:val="en-US" w:eastAsia="zh-CN"/>
              </w:rPr>
              <w:t>负压</w:t>
            </w:r>
            <w:r>
              <w:rPr>
                <w:rFonts w:hint="eastAsia" w:cs="Times New Roman"/>
                <w:color w:val="auto"/>
                <w:sz w:val="24"/>
                <w:highlight w:val="none"/>
                <w:lang w:eastAsia="zh-CN"/>
              </w:rPr>
              <w:t>管道收集后引至一套</w:t>
            </w:r>
            <w:r>
              <w:rPr>
                <w:rFonts w:hint="eastAsia" w:cs="Times New Roman"/>
                <w:color w:val="auto"/>
                <w:sz w:val="24"/>
                <w:highlight w:val="none"/>
                <w:lang w:val="en-US" w:eastAsia="zh-CN"/>
              </w:rPr>
              <w:t>化学洗涤塔</w:t>
            </w:r>
            <w:r>
              <w:rPr>
                <w:rFonts w:hint="eastAsia" w:cs="Times New Roman"/>
                <w:color w:val="auto"/>
                <w:sz w:val="24"/>
                <w:highlight w:val="none"/>
                <w:lang w:eastAsia="zh-CN"/>
              </w:rPr>
              <w:t>臭设施处理，处理后通过</w:t>
            </w:r>
            <w:r>
              <w:rPr>
                <w:rFonts w:hint="eastAsia" w:cs="Times New Roman"/>
                <w:color w:val="auto"/>
                <w:sz w:val="24"/>
                <w:highlight w:val="none"/>
                <w:lang w:val="en-US" w:eastAsia="zh-CN"/>
              </w:rPr>
              <w:t>15m高排气筒外排，有组织恶臭排放执行《恶臭污染物排放标准》（GB14554-93）中表2中恶臭污染物排放标准限值要求，无组织恶臭排放执行《恶臭污染物排放标准》（GB14554-93）中表1中恶臭污染物排放标准限值要求，详见表3-12</w:t>
            </w:r>
            <w:r>
              <w:rPr>
                <w:rFonts w:hint="eastAsia" w:ascii="Times New Roman" w:hAnsi="Times New Roman" w:cs="Times New Roman"/>
                <w:color w:val="auto"/>
                <w:sz w:val="24"/>
                <w:highlight w:val="none"/>
                <w:lang w:eastAsia="zh-CN"/>
              </w:rPr>
              <w:t>。</w:t>
            </w:r>
          </w:p>
          <w:bookmarkEnd w:id="20"/>
          <w:p w14:paraId="69088A6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ascii="Times New Roman" w:hAnsi="Times New Roman" w:cs="Times New Roman"/>
                <w:b/>
                <w:bCs/>
                <w:color w:val="auto"/>
                <w:sz w:val="24"/>
                <w:szCs w:val="24"/>
                <w:highlight w:val="none"/>
                <w:lang w:val="en-US" w:eastAsia="zh-CN"/>
              </w:rPr>
              <w:t>3-1</w:t>
            </w:r>
            <w:r>
              <w:rPr>
                <w:rFonts w:hint="eastAsia"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恶臭污染物排放标准限值</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1983"/>
              <w:gridCol w:w="1850"/>
              <w:gridCol w:w="2485"/>
            </w:tblGrid>
            <w:tr w14:paraId="3887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83" w:type="pct"/>
                  <w:vMerge w:val="restart"/>
                  <w:tcBorders>
                    <w:tl2br w:val="nil"/>
                    <w:tr2bl w:val="nil"/>
                  </w:tcBorders>
                  <w:noWrap w:val="0"/>
                  <w:vAlign w:val="center"/>
                </w:tcPr>
                <w:p w14:paraId="2B4E5D4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254" w:type="pct"/>
                  <w:gridSpan w:val="2"/>
                  <w:tcBorders>
                    <w:tl2br w:val="nil"/>
                    <w:tr2bl w:val="nil"/>
                  </w:tcBorders>
                  <w:noWrap w:val="0"/>
                  <w:vAlign w:val="center"/>
                </w:tcPr>
                <w:p w14:paraId="558A7A5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有组织排放限值</w:t>
                  </w:r>
                </w:p>
              </w:tc>
              <w:tc>
                <w:tcPr>
                  <w:tcW w:w="1461" w:type="pct"/>
                  <w:vMerge w:val="restart"/>
                  <w:tcBorders>
                    <w:tl2br w:val="nil"/>
                    <w:tr2bl w:val="nil"/>
                  </w:tcBorders>
                  <w:noWrap w:val="0"/>
                  <w:vAlign w:val="center"/>
                </w:tcPr>
                <w:p w14:paraId="59BC1A9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无组织厂界标准值</w:t>
                  </w:r>
                </w:p>
              </w:tc>
            </w:tr>
            <w:tr w14:paraId="0920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83" w:type="pct"/>
                  <w:vMerge w:val="continue"/>
                  <w:tcBorders>
                    <w:tl2br w:val="nil"/>
                    <w:tr2bl w:val="nil"/>
                  </w:tcBorders>
                  <w:noWrap w:val="0"/>
                  <w:vAlign w:val="center"/>
                </w:tcPr>
                <w:p w14:paraId="30A8A4E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rPr>
                  </w:pPr>
                </w:p>
              </w:tc>
              <w:tc>
                <w:tcPr>
                  <w:tcW w:w="1166" w:type="pct"/>
                  <w:tcBorders>
                    <w:tl2br w:val="nil"/>
                    <w:tr2bl w:val="nil"/>
                  </w:tcBorders>
                  <w:shd w:val="clear" w:color="auto" w:fill="auto"/>
                  <w:noWrap w:val="0"/>
                  <w:vAlign w:val="center"/>
                </w:tcPr>
                <w:p w14:paraId="6A4B9C4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排气筒高度</w:t>
                  </w:r>
                </w:p>
              </w:tc>
              <w:tc>
                <w:tcPr>
                  <w:tcW w:w="1088" w:type="pct"/>
                  <w:tcBorders>
                    <w:tl2br w:val="nil"/>
                    <w:tr2bl w:val="nil"/>
                  </w:tcBorders>
                  <w:shd w:val="clear" w:color="auto" w:fill="auto"/>
                  <w:noWrap w:val="0"/>
                  <w:vAlign w:val="center"/>
                </w:tcPr>
                <w:p w14:paraId="429763C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排放量kg/h</w:t>
                  </w:r>
                </w:p>
              </w:tc>
              <w:tc>
                <w:tcPr>
                  <w:tcW w:w="1461" w:type="pct"/>
                  <w:vMerge w:val="continue"/>
                  <w:tcBorders>
                    <w:tl2br w:val="nil"/>
                    <w:tr2bl w:val="nil"/>
                  </w:tcBorders>
                  <w:shd w:val="clear" w:color="auto" w:fill="auto"/>
                  <w:noWrap w:val="0"/>
                  <w:vAlign w:val="center"/>
                </w:tcPr>
                <w:p w14:paraId="416A66A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rPr>
                  </w:pPr>
                </w:p>
              </w:tc>
            </w:tr>
            <w:tr w14:paraId="4BC3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283" w:type="pct"/>
                  <w:tcBorders>
                    <w:tl2br w:val="nil"/>
                    <w:tr2bl w:val="nil"/>
                  </w:tcBorders>
                  <w:noWrap w:val="0"/>
                  <w:vAlign w:val="center"/>
                </w:tcPr>
                <w:p w14:paraId="2B9D81F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氨气</w:t>
                  </w:r>
                </w:p>
              </w:tc>
              <w:tc>
                <w:tcPr>
                  <w:tcW w:w="1166" w:type="pct"/>
                  <w:tcBorders>
                    <w:tl2br w:val="nil"/>
                    <w:tr2bl w:val="nil"/>
                  </w:tcBorders>
                  <w:noWrap w:val="0"/>
                  <w:vAlign w:val="center"/>
                </w:tcPr>
                <w:p w14:paraId="21A327A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15m</w:t>
                  </w:r>
                </w:p>
              </w:tc>
              <w:tc>
                <w:tcPr>
                  <w:tcW w:w="1088" w:type="pct"/>
                  <w:tcBorders>
                    <w:tl2br w:val="nil"/>
                    <w:tr2bl w:val="nil"/>
                  </w:tcBorders>
                  <w:noWrap w:val="0"/>
                  <w:vAlign w:val="center"/>
                </w:tcPr>
                <w:p w14:paraId="530E5AB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w:t>
                  </w:r>
                </w:p>
              </w:tc>
              <w:tc>
                <w:tcPr>
                  <w:tcW w:w="1461" w:type="pct"/>
                  <w:tcBorders>
                    <w:tl2br w:val="nil"/>
                    <w:tr2bl w:val="nil"/>
                  </w:tcBorders>
                  <w:noWrap w:val="0"/>
                  <w:vAlign w:val="center"/>
                </w:tcPr>
                <w:p w14:paraId="1A3FE79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highlight w:val="none"/>
                      <w:vertAlign w:val="superscript"/>
                      <w:lang w:val="en-US" w:eastAsia="zh-CN"/>
                    </w:rPr>
                  </w:pPr>
                  <w:r>
                    <w:rPr>
                      <w:rFonts w:hint="eastAsia" w:cs="Times New Roman"/>
                      <w:color w:val="auto"/>
                      <w:sz w:val="21"/>
                      <w:szCs w:val="21"/>
                      <w:highlight w:val="none"/>
                      <w:lang w:val="en-US" w:eastAsia="zh-CN"/>
                    </w:rPr>
                    <w:t>1.5mg/m</w:t>
                  </w:r>
                  <w:r>
                    <w:rPr>
                      <w:rFonts w:hint="eastAsia" w:cs="Times New Roman"/>
                      <w:color w:val="auto"/>
                      <w:sz w:val="21"/>
                      <w:szCs w:val="21"/>
                      <w:highlight w:val="none"/>
                      <w:vertAlign w:val="superscript"/>
                      <w:lang w:val="en-US" w:eastAsia="zh-CN"/>
                    </w:rPr>
                    <w:t>3</w:t>
                  </w:r>
                </w:p>
              </w:tc>
            </w:tr>
            <w:tr w14:paraId="5B94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283" w:type="pct"/>
                  <w:tcBorders>
                    <w:tl2br w:val="nil"/>
                    <w:tr2bl w:val="nil"/>
                  </w:tcBorders>
                  <w:noWrap w:val="0"/>
                  <w:vAlign w:val="center"/>
                </w:tcPr>
                <w:p w14:paraId="18DEC44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硫化氢</w:t>
                  </w:r>
                </w:p>
              </w:tc>
              <w:tc>
                <w:tcPr>
                  <w:tcW w:w="1166" w:type="pct"/>
                  <w:tcBorders>
                    <w:tl2br w:val="nil"/>
                    <w:tr2bl w:val="nil"/>
                  </w:tcBorders>
                  <w:noWrap w:val="0"/>
                  <w:vAlign w:val="center"/>
                </w:tcPr>
                <w:p w14:paraId="2A4C0DA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15m</w:t>
                  </w:r>
                </w:p>
              </w:tc>
              <w:tc>
                <w:tcPr>
                  <w:tcW w:w="1088" w:type="pct"/>
                  <w:tcBorders>
                    <w:tl2br w:val="nil"/>
                    <w:tr2bl w:val="nil"/>
                  </w:tcBorders>
                  <w:noWrap w:val="0"/>
                  <w:vAlign w:val="center"/>
                </w:tcPr>
                <w:p w14:paraId="116E831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0.33</w:t>
                  </w:r>
                </w:p>
              </w:tc>
              <w:tc>
                <w:tcPr>
                  <w:tcW w:w="1461" w:type="pct"/>
                  <w:tcBorders>
                    <w:tl2br w:val="nil"/>
                    <w:tr2bl w:val="nil"/>
                  </w:tcBorders>
                  <w:noWrap w:val="0"/>
                  <w:vAlign w:val="center"/>
                </w:tcPr>
                <w:p w14:paraId="2158003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0.06mg/m</w:t>
                  </w:r>
                  <w:r>
                    <w:rPr>
                      <w:rFonts w:hint="eastAsia" w:cs="Times New Roman"/>
                      <w:color w:val="auto"/>
                      <w:sz w:val="21"/>
                      <w:szCs w:val="21"/>
                      <w:highlight w:val="none"/>
                      <w:vertAlign w:val="superscript"/>
                      <w:lang w:val="en-US" w:eastAsia="zh-CN"/>
                    </w:rPr>
                    <w:t>3</w:t>
                  </w:r>
                </w:p>
              </w:tc>
            </w:tr>
            <w:tr w14:paraId="07D8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283" w:type="pct"/>
                  <w:tcBorders>
                    <w:tl2br w:val="nil"/>
                    <w:tr2bl w:val="nil"/>
                  </w:tcBorders>
                  <w:noWrap w:val="0"/>
                  <w:vAlign w:val="center"/>
                </w:tcPr>
                <w:p w14:paraId="66B42FB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臭气浓度（无量纲）</w:t>
                  </w:r>
                </w:p>
              </w:tc>
              <w:tc>
                <w:tcPr>
                  <w:tcW w:w="1166" w:type="pct"/>
                  <w:tcBorders>
                    <w:tl2br w:val="nil"/>
                    <w:tr2bl w:val="nil"/>
                  </w:tcBorders>
                  <w:noWrap w:val="0"/>
                  <w:vAlign w:val="center"/>
                </w:tcPr>
                <w:p w14:paraId="6C94F3C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15m</w:t>
                  </w:r>
                </w:p>
              </w:tc>
              <w:tc>
                <w:tcPr>
                  <w:tcW w:w="1088" w:type="pct"/>
                  <w:tcBorders>
                    <w:tl2br w:val="nil"/>
                    <w:tr2bl w:val="nil"/>
                  </w:tcBorders>
                  <w:noWrap w:val="0"/>
                  <w:vAlign w:val="center"/>
                </w:tcPr>
                <w:p w14:paraId="3ABA57C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2000</w:t>
                  </w:r>
                </w:p>
              </w:tc>
              <w:tc>
                <w:tcPr>
                  <w:tcW w:w="1461" w:type="pct"/>
                  <w:tcBorders>
                    <w:tl2br w:val="nil"/>
                    <w:tr2bl w:val="nil"/>
                  </w:tcBorders>
                  <w:noWrap w:val="0"/>
                  <w:vAlign w:val="center"/>
                </w:tcPr>
                <w:p w14:paraId="3F8B65E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bl>
          <w:p w14:paraId="1129534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eastAsia="宋体"/>
                <w:b/>
                <w:bCs/>
                <w:color w:val="auto"/>
                <w:kern w:val="24"/>
                <w:sz w:val="24"/>
                <w:highlight w:val="none"/>
                <w:lang w:val="en-US" w:eastAsia="zh-CN"/>
              </w:rPr>
            </w:pPr>
            <w:r>
              <w:rPr>
                <w:rFonts w:hint="eastAsia"/>
                <w:b/>
                <w:bCs/>
                <w:color w:val="auto"/>
                <w:kern w:val="24"/>
                <w:sz w:val="24"/>
                <w:highlight w:val="none"/>
                <w:lang w:val="en-US" w:eastAsia="zh-CN"/>
              </w:rPr>
              <w:t>2）无组织粉尘</w:t>
            </w:r>
          </w:p>
          <w:p w14:paraId="338461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b/>
                <w:bCs/>
                <w:color w:val="auto"/>
                <w:kern w:val="24"/>
                <w:sz w:val="24"/>
                <w:highlight w:val="none"/>
                <w:lang w:eastAsia="zh-CN"/>
              </w:rPr>
            </w:pPr>
            <w:r>
              <w:rPr>
                <w:rFonts w:hint="default" w:ascii="Times New Roman" w:hAnsi="Times New Roman" w:eastAsia="宋体" w:cs="Times New Roman"/>
                <w:color w:val="auto"/>
                <w:sz w:val="24"/>
                <w:highlight w:val="none"/>
              </w:rPr>
              <w:t>运营期</w:t>
            </w:r>
            <w:r>
              <w:rPr>
                <w:rFonts w:hint="eastAsia" w:ascii="Times New Roman" w:hAnsi="Times New Roman" w:eastAsia="宋体" w:cs="Times New Roman"/>
                <w:color w:val="auto"/>
                <w:sz w:val="24"/>
                <w:highlight w:val="none"/>
                <w:lang w:val="en-US" w:eastAsia="zh-CN"/>
              </w:rPr>
              <w:t>固化剂水泥料仓、粉煤灰料仓、搅拌楼产生的</w:t>
            </w:r>
            <w:r>
              <w:rPr>
                <w:rFonts w:hint="default" w:ascii="Times New Roman" w:hAnsi="Times New Roman" w:eastAsia="宋体" w:cs="Times New Roman"/>
                <w:color w:val="auto"/>
                <w:sz w:val="24"/>
                <w:highlight w:val="none"/>
              </w:rPr>
              <w:t>无组织粉尘</w:t>
            </w:r>
            <w:r>
              <w:rPr>
                <w:color w:val="auto"/>
                <w:sz w:val="24"/>
                <w:highlight w:val="none"/>
              </w:rPr>
              <w:t>排放执行《大气污染物综合排放标准》（GB 16297-1996）表2新污染源大气污染物无组织排放浓度限值，即周界外浓度最高点1.0mg/m</w:t>
            </w:r>
            <w:r>
              <w:rPr>
                <w:color w:val="auto"/>
                <w:sz w:val="24"/>
                <w:highlight w:val="none"/>
                <w:vertAlign w:val="superscript"/>
              </w:rPr>
              <w:t>3</w:t>
            </w:r>
            <w:r>
              <w:rPr>
                <w:rFonts w:hint="eastAsia"/>
                <w:color w:val="auto"/>
                <w:sz w:val="24"/>
                <w:highlight w:val="none"/>
                <w:vertAlign w:val="baseline"/>
                <w:lang w:eastAsia="zh-CN"/>
              </w:rPr>
              <w:t>。</w:t>
            </w:r>
          </w:p>
          <w:p w14:paraId="1E68E15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24"/>
                <w:sz w:val="24"/>
                <w:highlight w:val="none"/>
              </w:rPr>
            </w:pPr>
            <w:r>
              <w:rPr>
                <w:b/>
                <w:bCs/>
                <w:color w:val="auto"/>
                <w:kern w:val="24"/>
                <w:sz w:val="24"/>
                <w:highlight w:val="none"/>
              </w:rPr>
              <w:t>2、水污染物排放标准</w:t>
            </w:r>
          </w:p>
          <w:p w14:paraId="368F99EE">
            <w:pPr>
              <w:adjustRightInd w:val="0"/>
              <w:snapToGrid w:val="0"/>
              <w:spacing w:line="360" w:lineRule="auto"/>
              <w:ind w:firstLine="480" w:firstLineChars="200"/>
              <w:rPr>
                <w:color w:val="auto"/>
                <w:kern w:val="24"/>
                <w:sz w:val="24"/>
                <w:highlight w:val="none"/>
              </w:rPr>
            </w:pPr>
            <w:r>
              <w:rPr>
                <w:color w:val="auto"/>
                <w:kern w:val="24"/>
                <w:sz w:val="24"/>
                <w:highlight w:val="none"/>
              </w:rPr>
              <w:t>（1）施工期：</w:t>
            </w:r>
            <w:r>
              <w:rPr>
                <w:rFonts w:hint="eastAsia"/>
                <w:color w:val="auto"/>
                <w:kern w:val="24"/>
                <w:sz w:val="24"/>
                <w:highlight w:val="none"/>
                <w:lang w:eastAsia="zh-CN"/>
              </w:rPr>
              <w:t>施工期无施工废水产生，施工人员生活污水依托已建公厕处理</w:t>
            </w:r>
            <w:r>
              <w:rPr>
                <w:color w:val="auto"/>
                <w:kern w:val="24"/>
                <w:sz w:val="24"/>
                <w:highlight w:val="none"/>
              </w:rPr>
              <w:t>。</w:t>
            </w:r>
          </w:p>
          <w:p w14:paraId="7F8E1B6C">
            <w:pPr>
              <w:adjustRightInd w:val="0"/>
              <w:snapToGrid w:val="0"/>
              <w:spacing w:line="360" w:lineRule="auto"/>
              <w:ind w:firstLine="480" w:firstLineChars="200"/>
              <w:rPr>
                <w:color w:val="auto"/>
                <w:kern w:val="24"/>
                <w:sz w:val="24"/>
                <w:highlight w:val="none"/>
              </w:rPr>
            </w:pPr>
            <w:r>
              <w:rPr>
                <w:color w:val="auto"/>
                <w:kern w:val="24"/>
                <w:sz w:val="24"/>
                <w:highlight w:val="none"/>
              </w:rPr>
              <w:t>（2）运营期</w:t>
            </w:r>
          </w:p>
          <w:p w14:paraId="3D3F598C">
            <w:pPr>
              <w:adjustRightInd w:val="0"/>
              <w:snapToGrid w:val="0"/>
              <w:spacing w:line="360" w:lineRule="auto"/>
              <w:ind w:firstLine="480" w:firstLineChars="200"/>
              <w:rPr>
                <w:rFonts w:hint="eastAsia" w:ascii="Times New Roman" w:hAnsi="Times New Roman" w:cs="Times New Roman"/>
                <w:color w:val="auto"/>
                <w:kern w:val="24"/>
                <w:sz w:val="24"/>
                <w:highlight w:val="none"/>
                <w:lang w:eastAsia="zh-CN"/>
              </w:rPr>
            </w:pPr>
            <w:r>
              <w:rPr>
                <w:rFonts w:hint="default" w:ascii="Times New Roman" w:hAnsi="Times New Roman" w:cs="Times New Roman"/>
                <w:color w:val="auto"/>
                <w:kern w:val="24"/>
                <w:sz w:val="24"/>
                <w:highlight w:val="none"/>
              </w:rPr>
              <w:t>项目采用雨污分流制排水方式</w:t>
            </w:r>
            <w:r>
              <w:rPr>
                <w:rFonts w:hint="eastAsia" w:ascii="Times New Roman" w:hAnsi="Times New Roman" w:cs="Times New Roman"/>
                <w:color w:val="auto"/>
                <w:kern w:val="24"/>
                <w:sz w:val="24"/>
                <w:highlight w:val="none"/>
                <w:lang w:eastAsia="zh-CN"/>
              </w:rPr>
              <w:t>，雨水经雨水管道收集后排至</w:t>
            </w:r>
            <w:r>
              <w:rPr>
                <w:rFonts w:hint="eastAsia" w:cs="Times New Roman"/>
                <w:color w:val="auto"/>
                <w:kern w:val="24"/>
                <w:sz w:val="24"/>
                <w:highlight w:val="none"/>
                <w:lang w:val="en-US" w:eastAsia="zh-CN"/>
              </w:rPr>
              <w:t>南面厂外雨水沟渠</w:t>
            </w:r>
            <w:r>
              <w:rPr>
                <w:rFonts w:hint="eastAsia" w:ascii="Times New Roman" w:hAnsi="Times New Roman" w:cs="Times New Roman"/>
                <w:color w:val="auto"/>
                <w:kern w:val="24"/>
                <w:sz w:val="24"/>
                <w:highlight w:val="none"/>
                <w:lang w:eastAsia="zh-CN"/>
              </w:rPr>
              <w:t>。</w:t>
            </w:r>
          </w:p>
          <w:p w14:paraId="7D9C6725">
            <w:pPr>
              <w:spacing w:line="360" w:lineRule="auto"/>
              <w:ind w:firstLine="480" w:firstLineChars="200"/>
              <w:rPr>
                <w:rFonts w:hint="eastAsia" w:ascii="Times New Roman" w:hAnsi="Times New Roman" w:eastAsia="宋体"/>
                <w:b/>
                <w:color w:val="auto"/>
                <w:sz w:val="24"/>
                <w:szCs w:val="24"/>
                <w:highlight w:val="none"/>
                <w:lang w:eastAsia="zh-CN"/>
              </w:rPr>
            </w:pPr>
            <w:r>
              <w:rPr>
                <w:rFonts w:hint="eastAsia"/>
                <w:b w:val="0"/>
                <w:bCs w:val="0"/>
                <w:color w:val="auto"/>
                <w:sz w:val="24"/>
                <w:highlight w:val="none"/>
                <w:lang w:val="en-US" w:eastAsia="zh-CN"/>
              </w:rPr>
              <w:t>渗滤液全量化处理站出水处理达到《城镇污水处理厂污染物排放标准》（GB18918-2002）中一级A标排放标准及《城市污水再生利用 城市杂用水水质》（GB/T18920-2020）中城市绿化水质标准要求后，回用于场区绿化灌溉，不外排。具体出水水质</w:t>
            </w:r>
            <w:r>
              <w:rPr>
                <w:rFonts w:hint="eastAsia"/>
                <w:b w:val="0"/>
                <w:bCs w:val="0"/>
                <w:color w:val="auto"/>
                <w:sz w:val="24"/>
                <w:highlight w:val="none"/>
                <w:lang w:eastAsia="zh-CN"/>
              </w:rPr>
              <w:t>详见下表</w:t>
            </w:r>
            <w:r>
              <w:rPr>
                <w:rFonts w:hint="eastAsia" w:cs="Times New Roman"/>
                <w:color w:val="auto"/>
                <w:kern w:val="24"/>
                <w:sz w:val="24"/>
                <w:highlight w:val="none"/>
                <w:lang w:val="en-US" w:eastAsia="zh-CN"/>
              </w:rPr>
              <w:t>3-13</w:t>
            </w:r>
            <w:r>
              <w:rPr>
                <w:rFonts w:hint="default" w:ascii="Times New Roman" w:hAnsi="Times New Roman" w:cs="Times New Roman"/>
                <w:color w:val="auto"/>
                <w:kern w:val="24"/>
                <w:sz w:val="24"/>
                <w:highlight w:val="none"/>
              </w:rPr>
              <w:t>。</w:t>
            </w:r>
          </w:p>
          <w:p w14:paraId="7D1C2386">
            <w:pPr>
              <w:spacing w:line="360" w:lineRule="auto"/>
              <w:jc w:val="center"/>
              <w:rPr>
                <w:rFonts w:hint="default" w:ascii="Times New Roman" w:hAnsi="Times New Roman" w:eastAsia="宋体"/>
                <w:b/>
                <w:color w:val="auto"/>
                <w:sz w:val="24"/>
                <w:szCs w:val="24"/>
                <w:highlight w:val="none"/>
                <w:lang w:val="en-US" w:eastAsia="zh-CN"/>
              </w:rPr>
            </w:pPr>
            <w:r>
              <w:rPr>
                <w:rFonts w:hint="eastAsia" w:ascii="Times New Roman" w:hAnsi="Times New Roman" w:eastAsia="宋体"/>
                <w:b/>
                <w:color w:val="auto"/>
                <w:sz w:val="24"/>
                <w:szCs w:val="24"/>
                <w:highlight w:val="none"/>
                <w:lang w:eastAsia="zh-CN"/>
              </w:rPr>
              <w:t>表</w:t>
            </w:r>
            <w:r>
              <w:rPr>
                <w:rFonts w:hint="eastAsia" w:eastAsia="宋体"/>
                <w:b/>
                <w:color w:val="auto"/>
                <w:sz w:val="24"/>
                <w:szCs w:val="24"/>
                <w:highlight w:val="none"/>
                <w:lang w:val="en-US" w:eastAsia="zh-CN"/>
              </w:rPr>
              <w:t>3-1</w:t>
            </w:r>
            <w:r>
              <w:rPr>
                <w:rFonts w:hint="eastAsia"/>
                <w:b/>
                <w:color w:val="auto"/>
                <w:sz w:val="24"/>
                <w:szCs w:val="24"/>
                <w:highlight w:val="none"/>
                <w:lang w:val="en-US" w:eastAsia="zh-CN"/>
              </w:rPr>
              <w:t>3</w:t>
            </w:r>
            <w:r>
              <w:rPr>
                <w:rFonts w:hint="eastAsia" w:ascii="Times New Roman" w:hAnsi="Times New Roman" w:eastAsia="宋体"/>
                <w:b/>
                <w:color w:val="auto"/>
                <w:sz w:val="24"/>
                <w:szCs w:val="24"/>
                <w:highlight w:val="none"/>
                <w:lang w:val="en-US" w:eastAsia="zh-CN"/>
              </w:rPr>
              <w:t xml:space="preserve">   </w:t>
            </w:r>
            <w:r>
              <w:rPr>
                <w:rFonts w:hint="eastAsia"/>
                <w:b/>
                <w:color w:val="auto"/>
                <w:sz w:val="24"/>
                <w:szCs w:val="24"/>
                <w:highlight w:val="none"/>
                <w:lang w:val="en-US" w:eastAsia="zh-CN"/>
              </w:rPr>
              <w:t xml:space="preserve">项目尾水排放标准 </w:t>
            </w:r>
            <w:r>
              <w:rPr>
                <w:rFonts w:hint="eastAsia" w:ascii="Times New Roman" w:hAnsi="Times New Roman" w:eastAsia="宋体"/>
                <w:b/>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单位：pH无量纲，其余均为mg/L</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789"/>
              <w:gridCol w:w="2315"/>
              <w:gridCol w:w="2037"/>
              <w:gridCol w:w="1435"/>
            </w:tblGrid>
            <w:tr w14:paraId="04EAE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49" w:type="pct"/>
                  <w:tcBorders>
                    <w:top w:val="single" w:color="auto" w:sz="4" w:space="0"/>
                    <w:left w:val="single" w:color="auto" w:sz="0" w:space="0"/>
                  </w:tcBorders>
                  <w:noWrap w:val="0"/>
                  <w:vAlign w:val="center"/>
                </w:tcPr>
                <w:p w14:paraId="63C03984">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序号</w:t>
                  </w:r>
                </w:p>
              </w:tc>
              <w:tc>
                <w:tcPr>
                  <w:tcW w:w="1051" w:type="pct"/>
                  <w:tcBorders>
                    <w:top w:val="single" w:color="auto" w:sz="4" w:space="0"/>
                  </w:tcBorders>
                  <w:noWrap w:val="0"/>
                  <w:vAlign w:val="center"/>
                </w:tcPr>
                <w:p w14:paraId="74C290FE">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宋体" w:hAnsi="宋体" w:eastAsia="宋体" w:cs="宋体"/>
                      <w:b/>
                      <w:bCs/>
                      <w:color w:val="auto"/>
                      <w:kern w:val="0"/>
                      <w:sz w:val="21"/>
                      <w:szCs w:val="21"/>
                      <w:highlight w:val="none"/>
                      <w:vertAlign w:val="baseline"/>
                      <w:lang w:val="en-US" w:eastAsia="zh-CN" w:bidi="ar"/>
                    </w:rPr>
                  </w:pPr>
                  <w:r>
                    <w:rPr>
                      <w:rFonts w:hint="eastAsia" w:ascii="宋体" w:hAnsi="宋体" w:eastAsia="宋体" w:cs="宋体"/>
                      <w:b/>
                      <w:bCs/>
                      <w:color w:val="auto"/>
                      <w:kern w:val="0"/>
                      <w:sz w:val="21"/>
                      <w:szCs w:val="21"/>
                      <w:highlight w:val="none"/>
                      <w:vertAlign w:val="baseline"/>
                      <w:lang w:val="en-US" w:eastAsia="zh-CN" w:bidi="ar"/>
                    </w:rPr>
                    <w:t>基本控制项目</w:t>
                  </w:r>
                </w:p>
              </w:tc>
              <w:tc>
                <w:tcPr>
                  <w:tcW w:w="1360" w:type="pct"/>
                  <w:tcBorders>
                    <w:top w:val="single" w:color="auto" w:sz="4" w:space="0"/>
                    <w:right w:val="single" w:color="auto" w:sz="4" w:space="0"/>
                  </w:tcBorders>
                  <w:noWrap w:val="0"/>
                  <w:vAlign w:val="center"/>
                </w:tcPr>
                <w:p w14:paraId="17E85127">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vertAlign w:val="baseline"/>
                      <w:lang w:val="en-US" w:eastAsia="zh-CN" w:bidi="ar"/>
                    </w:rPr>
                    <w:t>《城镇污水处理厂污染物排放标准》（GB18918-2002）一级A</w:t>
                  </w:r>
                  <w:r>
                    <w:rPr>
                      <w:rFonts w:hint="eastAsia" w:ascii="Times New Roman" w:hAnsi="Times New Roman" w:eastAsia="宋体" w:cs="Times New Roman"/>
                      <w:b/>
                      <w:bCs/>
                      <w:color w:val="auto"/>
                      <w:kern w:val="0"/>
                      <w:sz w:val="21"/>
                      <w:szCs w:val="21"/>
                      <w:highlight w:val="none"/>
                      <w:vertAlign w:val="baseline"/>
                      <w:lang w:val="en-US" w:eastAsia="zh-CN" w:bidi="ar"/>
                    </w:rPr>
                    <w:t>标准</w:t>
                  </w:r>
                </w:p>
              </w:tc>
              <w:tc>
                <w:tcPr>
                  <w:tcW w:w="1197" w:type="pct"/>
                  <w:tcBorders>
                    <w:top w:val="single" w:color="auto" w:sz="4" w:space="0"/>
                    <w:right w:val="single" w:color="auto" w:sz="4" w:space="0"/>
                  </w:tcBorders>
                  <w:noWrap w:val="0"/>
                  <w:vAlign w:val="center"/>
                </w:tcPr>
                <w:p w14:paraId="3A8319BC">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《城市污水再生利用 城市杂用水水质》（GB/T18920-2020）中城市绿化水质标准</w:t>
                  </w:r>
                </w:p>
              </w:tc>
              <w:tc>
                <w:tcPr>
                  <w:tcW w:w="840" w:type="pct"/>
                  <w:tcBorders>
                    <w:top w:val="single" w:color="auto" w:sz="4" w:space="0"/>
                    <w:right w:val="single" w:color="auto" w:sz="4" w:space="0"/>
                  </w:tcBorders>
                  <w:noWrap w:val="0"/>
                  <w:vAlign w:val="center"/>
                </w:tcPr>
                <w:p w14:paraId="24279C64">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本项目最终执行</w:t>
                  </w:r>
                </w:p>
              </w:tc>
            </w:tr>
            <w:tr w14:paraId="02DD6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49" w:type="pct"/>
                  <w:tcBorders>
                    <w:left w:val="single" w:color="auto" w:sz="4" w:space="0"/>
                  </w:tcBorders>
                  <w:noWrap w:val="0"/>
                  <w:vAlign w:val="center"/>
                </w:tcPr>
                <w:p w14:paraId="0932BB84">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1</w:t>
                  </w:r>
                </w:p>
              </w:tc>
              <w:tc>
                <w:tcPr>
                  <w:tcW w:w="1051" w:type="pct"/>
                  <w:noWrap w:val="0"/>
                  <w:vAlign w:val="center"/>
                </w:tcPr>
                <w:p w14:paraId="155C24E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化学需氧量COD</w:t>
                  </w:r>
                </w:p>
              </w:tc>
              <w:tc>
                <w:tcPr>
                  <w:tcW w:w="1360" w:type="pct"/>
                  <w:tcBorders>
                    <w:right w:val="single" w:color="auto" w:sz="4" w:space="0"/>
                  </w:tcBorders>
                  <w:noWrap w:val="0"/>
                  <w:vAlign w:val="center"/>
                </w:tcPr>
                <w:p w14:paraId="183654C4">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50</w:t>
                  </w:r>
                </w:p>
              </w:tc>
              <w:tc>
                <w:tcPr>
                  <w:tcW w:w="1197" w:type="pct"/>
                  <w:tcBorders>
                    <w:right w:val="single" w:color="auto" w:sz="4" w:space="0"/>
                  </w:tcBorders>
                  <w:noWrap w:val="0"/>
                  <w:vAlign w:val="center"/>
                </w:tcPr>
                <w:p w14:paraId="276F96C3">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w:t>
                  </w:r>
                </w:p>
              </w:tc>
              <w:tc>
                <w:tcPr>
                  <w:tcW w:w="840" w:type="pct"/>
                  <w:tcBorders>
                    <w:right w:val="single" w:color="auto" w:sz="4" w:space="0"/>
                  </w:tcBorders>
                  <w:noWrap w:val="0"/>
                  <w:vAlign w:val="center"/>
                </w:tcPr>
                <w:p w14:paraId="33756A7D">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50</w:t>
                  </w:r>
                </w:p>
              </w:tc>
            </w:tr>
            <w:tr w14:paraId="77036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0713EB83">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2</w:t>
                  </w:r>
                </w:p>
              </w:tc>
              <w:tc>
                <w:tcPr>
                  <w:tcW w:w="1051" w:type="pct"/>
                  <w:noWrap w:val="0"/>
                  <w:vAlign w:val="center"/>
                </w:tcPr>
                <w:p w14:paraId="5CCDA7B7">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生化需氧量BOD</w:t>
                  </w:r>
                  <w:r>
                    <w:rPr>
                      <w:rFonts w:hint="default" w:ascii="Times New Roman" w:hAnsi="Times New Roman" w:eastAsia="宋体" w:cs="Times New Roman"/>
                      <w:b w:val="0"/>
                      <w:bCs w:val="0"/>
                      <w:color w:val="auto"/>
                      <w:kern w:val="0"/>
                      <w:sz w:val="21"/>
                      <w:szCs w:val="21"/>
                      <w:highlight w:val="none"/>
                      <w:vertAlign w:val="subscript"/>
                      <w:lang w:val="en-US" w:eastAsia="zh-CN" w:bidi="ar"/>
                    </w:rPr>
                    <w:t>5</w:t>
                  </w:r>
                </w:p>
              </w:tc>
              <w:tc>
                <w:tcPr>
                  <w:tcW w:w="1360" w:type="pct"/>
                  <w:tcBorders>
                    <w:right w:val="single" w:color="auto" w:sz="4" w:space="0"/>
                  </w:tcBorders>
                  <w:noWrap w:val="0"/>
                  <w:vAlign w:val="center"/>
                </w:tcPr>
                <w:p w14:paraId="547ED8DE">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10</w:t>
                  </w:r>
                </w:p>
              </w:tc>
              <w:tc>
                <w:tcPr>
                  <w:tcW w:w="1197" w:type="pct"/>
                  <w:tcBorders>
                    <w:right w:val="single" w:color="auto" w:sz="4" w:space="0"/>
                  </w:tcBorders>
                  <w:noWrap w:val="0"/>
                  <w:vAlign w:val="center"/>
                </w:tcPr>
                <w:p w14:paraId="47432FC8">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10</w:t>
                  </w:r>
                </w:p>
              </w:tc>
              <w:tc>
                <w:tcPr>
                  <w:tcW w:w="840" w:type="pct"/>
                  <w:tcBorders>
                    <w:right w:val="single" w:color="auto" w:sz="4" w:space="0"/>
                  </w:tcBorders>
                  <w:noWrap w:val="0"/>
                  <w:vAlign w:val="center"/>
                </w:tcPr>
                <w:p w14:paraId="4F6C873E">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10</w:t>
                  </w:r>
                </w:p>
              </w:tc>
            </w:tr>
            <w:tr w14:paraId="68BDF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49" w:type="pct"/>
                  <w:tcBorders>
                    <w:left w:val="single" w:color="auto" w:sz="4" w:space="0"/>
                  </w:tcBorders>
                  <w:noWrap w:val="0"/>
                  <w:vAlign w:val="center"/>
                </w:tcPr>
                <w:p w14:paraId="766EF4B0">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3</w:t>
                  </w:r>
                </w:p>
              </w:tc>
              <w:tc>
                <w:tcPr>
                  <w:tcW w:w="1051" w:type="pct"/>
                  <w:noWrap w:val="0"/>
                  <w:vAlign w:val="center"/>
                </w:tcPr>
                <w:p w14:paraId="2EC43C2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悬浮物</w:t>
                  </w:r>
                  <w:r>
                    <w:rPr>
                      <w:rFonts w:hint="eastAsia" w:hAnsi="Times New Roman" w:eastAsia="宋体" w:cs="Times New Roman"/>
                      <w:b w:val="0"/>
                      <w:bCs w:val="0"/>
                      <w:color w:val="auto"/>
                      <w:kern w:val="0"/>
                      <w:sz w:val="21"/>
                      <w:szCs w:val="21"/>
                      <w:highlight w:val="none"/>
                      <w:vertAlign w:val="baseline"/>
                      <w:lang w:val="en-US" w:eastAsia="zh-CN" w:bidi="ar"/>
                    </w:rPr>
                    <w:t>（</w:t>
                  </w:r>
                  <w:r>
                    <w:rPr>
                      <w:rFonts w:hint="default" w:ascii="Times New Roman" w:hAnsi="Times New Roman" w:eastAsia="宋体" w:cs="Times New Roman"/>
                      <w:b w:val="0"/>
                      <w:bCs w:val="0"/>
                      <w:color w:val="auto"/>
                      <w:kern w:val="0"/>
                      <w:sz w:val="21"/>
                      <w:szCs w:val="21"/>
                      <w:highlight w:val="none"/>
                      <w:vertAlign w:val="baseline"/>
                      <w:lang w:val="en-US" w:eastAsia="zh-CN" w:bidi="ar"/>
                    </w:rPr>
                    <w:t>SS</w:t>
                  </w:r>
                  <w:r>
                    <w:rPr>
                      <w:rFonts w:hint="eastAsia" w:hAnsi="Times New Roman" w:eastAsia="宋体" w:cs="Times New Roman"/>
                      <w:b w:val="0"/>
                      <w:bCs w:val="0"/>
                      <w:color w:val="auto"/>
                      <w:kern w:val="0"/>
                      <w:sz w:val="21"/>
                      <w:szCs w:val="21"/>
                      <w:highlight w:val="none"/>
                      <w:vertAlign w:val="baseline"/>
                      <w:lang w:val="en-US" w:eastAsia="zh-CN" w:bidi="ar"/>
                    </w:rPr>
                    <w:t>）</w:t>
                  </w:r>
                </w:p>
              </w:tc>
              <w:tc>
                <w:tcPr>
                  <w:tcW w:w="1360" w:type="pct"/>
                  <w:tcBorders>
                    <w:right w:val="single" w:color="auto" w:sz="4" w:space="0"/>
                  </w:tcBorders>
                  <w:noWrap w:val="0"/>
                  <w:vAlign w:val="center"/>
                </w:tcPr>
                <w:p w14:paraId="67F1DFEE">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10</w:t>
                  </w:r>
                </w:p>
              </w:tc>
              <w:tc>
                <w:tcPr>
                  <w:tcW w:w="1197" w:type="pct"/>
                  <w:tcBorders>
                    <w:right w:val="single" w:color="auto" w:sz="4" w:space="0"/>
                  </w:tcBorders>
                  <w:noWrap w:val="0"/>
                  <w:vAlign w:val="center"/>
                </w:tcPr>
                <w:p w14:paraId="0D01B458">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w:t>
                  </w:r>
                </w:p>
              </w:tc>
              <w:tc>
                <w:tcPr>
                  <w:tcW w:w="840" w:type="pct"/>
                  <w:tcBorders>
                    <w:right w:val="single" w:color="auto" w:sz="4" w:space="0"/>
                  </w:tcBorders>
                  <w:noWrap w:val="0"/>
                  <w:vAlign w:val="center"/>
                </w:tcPr>
                <w:p w14:paraId="785D62CE">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10</w:t>
                  </w:r>
                </w:p>
              </w:tc>
            </w:tr>
            <w:tr w14:paraId="46916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49" w:type="pct"/>
                  <w:tcBorders>
                    <w:left w:val="single" w:color="auto" w:sz="4" w:space="0"/>
                  </w:tcBorders>
                  <w:noWrap w:val="0"/>
                  <w:vAlign w:val="center"/>
                </w:tcPr>
                <w:p w14:paraId="0DE17161">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4</w:t>
                  </w:r>
                </w:p>
              </w:tc>
              <w:tc>
                <w:tcPr>
                  <w:tcW w:w="1051" w:type="pct"/>
                  <w:noWrap w:val="0"/>
                  <w:vAlign w:val="center"/>
                </w:tcPr>
                <w:p w14:paraId="63E0E134">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动植物油</w:t>
                  </w:r>
                </w:p>
              </w:tc>
              <w:tc>
                <w:tcPr>
                  <w:tcW w:w="1360" w:type="pct"/>
                  <w:tcBorders>
                    <w:right w:val="single" w:color="auto" w:sz="4" w:space="0"/>
                  </w:tcBorders>
                  <w:noWrap w:val="0"/>
                  <w:vAlign w:val="center"/>
                </w:tcPr>
                <w:p w14:paraId="75798413">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1</w:t>
                  </w:r>
                </w:p>
              </w:tc>
              <w:tc>
                <w:tcPr>
                  <w:tcW w:w="1197" w:type="pct"/>
                  <w:tcBorders>
                    <w:right w:val="single" w:color="auto" w:sz="4" w:space="0"/>
                  </w:tcBorders>
                  <w:noWrap w:val="0"/>
                  <w:vAlign w:val="center"/>
                </w:tcPr>
                <w:p w14:paraId="076C5610">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w:t>
                  </w:r>
                </w:p>
              </w:tc>
              <w:tc>
                <w:tcPr>
                  <w:tcW w:w="840" w:type="pct"/>
                  <w:tcBorders>
                    <w:right w:val="single" w:color="auto" w:sz="4" w:space="0"/>
                  </w:tcBorders>
                  <w:noWrap w:val="0"/>
                  <w:vAlign w:val="center"/>
                </w:tcPr>
                <w:p w14:paraId="5A6B54B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w:t>
                  </w:r>
                </w:p>
              </w:tc>
            </w:tr>
            <w:tr w14:paraId="33A77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49" w:type="pct"/>
                  <w:tcBorders>
                    <w:left w:val="single" w:color="auto" w:sz="4" w:space="0"/>
                  </w:tcBorders>
                  <w:noWrap w:val="0"/>
                  <w:vAlign w:val="center"/>
                </w:tcPr>
                <w:p w14:paraId="40255EAD">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5</w:t>
                  </w:r>
                </w:p>
              </w:tc>
              <w:tc>
                <w:tcPr>
                  <w:tcW w:w="1051" w:type="pct"/>
                  <w:noWrap w:val="0"/>
                  <w:vAlign w:val="center"/>
                </w:tcPr>
                <w:p w14:paraId="66CAE4FC">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石油类</w:t>
                  </w:r>
                </w:p>
              </w:tc>
              <w:tc>
                <w:tcPr>
                  <w:tcW w:w="1360" w:type="pct"/>
                  <w:tcBorders>
                    <w:right w:val="single" w:color="auto" w:sz="4" w:space="0"/>
                  </w:tcBorders>
                  <w:noWrap w:val="0"/>
                  <w:vAlign w:val="center"/>
                </w:tcPr>
                <w:p w14:paraId="2B7BB8EB">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1</w:t>
                  </w:r>
                </w:p>
              </w:tc>
              <w:tc>
                <w:tcPr>
                  <w:tcW w:w="1197" w:type="pct"/>
                  <w:tcBorders>
                    <w:right w:val="single" w:color="auto" w:sz="4" w:space="0"/>
                  </w:tcBorders>
                  <w:noWrap w:val="0"/>
                  <w:vAlign w:val="center"/>
                </w:tcPr>
                <w:p w14:paraId="6B44AAF4">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w:t>
                  </w:r>
                </w:p>
              </w:tc>
              <w:tc>
                <w:tcPr>
                  <w:tcW w:w="840" w:type="pct"/>
                  <w:tcBorders>
                    <w:right w:val="single" w:color="auto" w:sz="4" w:space="0"/>
                  </w:tcBorders>
                  <w:noWrap w:val="0"/>
                  <w:vAlign w:val="center"/>
                </w:tcPr>
                <w:p w14:paraId="57811009">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w:t>
                  </w:r>
                </w:p>
              </w:tc>
            </w:tr>
            <w:tr w14:paraId="2E545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49" w:type="pct"/>
                  <w:tcBorders>
                    <w:left w:val="single" w:color="auto" w:sz="4" w:space="0"/>
                  </w:tcBorders>
                  <w:noWrap w:val="0"/>
                  <w:vAlign w:val="center"/>
                </w:tcPr>
                <w:p w14:paraId="7FD2275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6</w:t>
                  </w:r>
                </w:p>
              </w:tc>
              <w:tc>
                <w:tcPr>
                  <w:tcW w:w="1051" w:type="pct"/>
                  <w:noWrap w:val="0"/>
                  <w:vAlign w:val="center"/>
                </w:tcPr>
                <w:p w14:paraId="39DC8893">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阴离子表面活性剂</w:t>
                  </w:r>
                </w:p>
              </w:tc>
              <w:tc>
                <w:tcPr>
                  <w:tcW w:w="1360" w:type="pct"/>
                  <w:tcBorders>
                    <w:right w:val="single" w:color="auto" w:sz="4" w:space="0"/>
                  </w:tcBorders>
                  <w:noWrap w:val="0"/>
                  <w:vAlign w:val="center"/>
                </w:tcPr>
                <w:p w14:paraId="00498E69">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0.5</w:t>
                  </w:r>
                </w:p>
              </w:tc>
              <w:tc>
                <w:tcPr>
                  <w:tcW w:w="1197" w:type="pct"/>
                  <w:tcBorders>
                    <w:right w:val="single" w:color="auto" w:sz="4" w:space="0"/>
                  </w:tcBorders>
                  <w:noWrap w:val="0"/>
                  <w:vAlign w:val="center"/>
                </w:tcPr>
                <w:p w14:paraId="3D50D428">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0.5</w:t>
                  </w:r>
                </w:p>
              </w:tc>
              <w:tc>
                <w:tcPr>
                  <w:tcW w:w="840" w:type="pct"/>
                  <w:tcBorders>
                    <w:right w:val="single" w:color="auto" w:sz="4" w:space="0"/>
                  </w:tcBorders>
                  <w:noWrap w:val="0"/>
                  <w:vAlign w:val="center"/>
                </w:tcPr>
                <w:p w14:paraId="52F0F318">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0.5</w:t>
                  </w:r>
                </w:p>
              </w:tc>
            </w:tr>
            <w:tr w14:paraId="4DDFE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49" w:type="pct"/>
                  <w:tcBorders>
                    <w:left w:val="single" w:color="auto" w:sz="4" w:space="0"/>
                  </w:tcBorders>
                  <w:noWrap w:val="0"/>
                  <w:vAlign w:val="center"/>
                </w:tcPr>
                <w:p w14:paraId="0F8F1430">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7</w:t>
                  </w:r>
                </w:p>
              </w:tc>
              <w:tc>
                <w:tcPr>
                  <w:tcW w:w="1051" w:type="pct"/>
                  <w:noWrap w:val="0"/>
                  <w:vAlign w:val="center"/>
                </w:tcPr>
                <w:p w14:paraId="2DD824DA">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总氮（以N计）</w:t>
                  </w:r>
                </w:p>
              </w:tc>
              <w:tc>
                <w:tcPr>
                  <w:tcW w:w="1360" w:type="pct"/>
                  <w:tcBorders>
                    <w:right w:val="single" w:color="auto" w:sz="4" w:space="0"/>
                  </w:tcBorders>
                  <w:noWrap w:val="0"/>
                  <w:vAlign w:val="center"/>
                </w:tcPr>
                <w:p w14:paraId="1E5349A5">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15</w:t>
                  </w:r>
                </w:p>
              </w:tc>
              <w:tc>
                <w:tcPr>
                  <w:tcW w:w="1197" w:type="pct"/>
                  <w:tcBorders>
                    <w:right w:val="single" w:color="auto" w:sz="4" w:space="0"/>
                  </w:tcBorders>
                  <w:noWrap w:val="0"/>
                  <w:vAlign w:val="center"/>
                </w:tcPr>
                <w:p w14:paraId="04CDB825">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w:t>
                  </w:r>
                </w:p>
              </w:tc>
              <w:tc>
                <w:tcPr>
                  <w:tcW w:w="840" w:type="pct"/>
                  <w:tcBorders>
                    <w:right w:val="single" w:color="auto" w:sz="4" w:space="0"/>
                  </w:tcBorders>
                  <w:noWrap w:val="0"/>
                  <w:vAlign w:val="center"/>
                </w:tcPr>
                <w:p w14:paraId="32D894CE">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15</w:t>
                  </w:r>
                </w:p>
              </w:tc>
            </w:tr>
            <w:tr w14:paraId="31A87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49" w:type="pct"/>
                  <w:tcBorders>
                    <w:left w:val="single" w:color="auto" w:sz="4" w:space="0"/>
                  </w:tcBorders>
                  <w:noWrap w:val="0"/>
                  <w:vAlign w:val="center"/>
                </w:tcPr>
                <w:p w14:paraId="4B3BB859">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8</w:t>
                  </w:r>
                </w:p>
              </w:tc>
              <w:tc>
                <w:tcPr>
                  <w:tcW w:w="1051" w:type="pct"/>
                  <w:noWrap w:val="0"/>
                  <w:vAlign w:val="center"/>
                </w:tcPr>
                <w:p w14:paraId="234B559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氨氮（以N计）</w:t>
                  </w:r>
                </w:p>
              </w:tc>
              <w:tc>
                <w:tcPr>
                  <w:tcW w:w="1360" w:type="pct"/>
                  <w:tcBorders>
                    <w:right w:val="single" w:color="auto" w:sz="4" w:space="0"/>
                  </w:tcBorders>
                  <w:noWrap w:val="0"/>
                  <w:vAlign w:val="center"/>
                </w:tcPr>
                <w:p w14:paraId="5B8E97E2">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5（8）</w:t>
                  </w:r>
                </w:p>
              </w:tc>
              <w:tc>
                <w:tcPr>
                  <w:tcW w:w="1197" w:type="pct"/>
                  <w:tcBorders>
                    <w:right w:val="single" w:color="auto" w:sz="4" w:space="0"/>
                  </w:tcBorders>
                  <w:noWrap w:val="0"/>
                  <w:vAlign w:val="center"/>
                </w:tcPr>
                <w:p w14:paraId="22367469">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5</w:t>
                  </w:r>
                </w:p>
              </w:tc>
              <w:tc>
                <w:tcPr>
                  <w:tcW w:w="840" w:type="pct"/>
                  <w:tcBorders>
                    <w:right w:val="single" w:color="auto" w:sz="4" w:space="0"/>
                  </w:tcBorders>
                  <w:noWrap w:val="0"/>
                  <w:vAlign w:val="center"/>
                </w:tcPr>
                <w:p w14:paraId="466783B1">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5</w:t>
                  </w:r>
                </w:p>
              </w:tc>
            </w:tr>
            <w:tr w14:paraId="641A4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49" w:type="pct"/>
                  <w:tcBorders>
                    <w:left w:val="single" w:color="auto" w:sz="4" w:space="0"/>
                  </w:tcBorders>
                  <w:noWrap w:val="0"/>
                  <w:vAlign w:val="center"/>
                </w:tcPr>
                <w:p w14:paraId="1C9E3830">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9</w:t>
                  </w:r>
                </w:p>
              </w:tc>
              <w:tc>
                <w:tcPr>
                  <w:tcW w:w="1051" w:type="pct"/>
                  <w:noWrap w:val="0"/>
                  <w:vAlign w:val="center"/>
                </w:tcPr>
                <w:p w14:paraId="2604D9E7">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总磷（以P计）</w:t>
                  </w:r>
                </w:p>
              </w:tc>
              <w:tc>
                <w:tcPr>
                  <w:tcW w:w="1360" w:type="pct"/>
                  <w:tcBorders>
                    <w:right w:val="single" w:color="auto" w:sz="4" w:space="0"/>
                  </w:tcBorders>
                  <w:noWrap w:val="0"/>
                  <w:vAlign w:val="center"/>
                </w:tcPr>
                <w:p w14:paraId="539112F3">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0.5</w:t>
                  </w:r>
                </w:p>
              </w:tc>
              <w:tc>
                <w:tcPr>
                  <w:tcW w:w="1197" w:type="pct"/>
                  <w:tcBorders>
                    <w:right w:val="single" w:color="auto" w:sz="4" w:space="0"/>
                  </w:tcBorders>
                  <w:noWrap w:val="0"/>
                  <w:vAlign w:val="center"/>
                </w:tcPr>
                <w:p w14:paraId="5939F5C5">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w:t>
                  </w:r>
                </w:p>
              </w:tc>
              <w:tc>
                <w:tcPr>
                  <w:tcW w:w="840" w:type="pct"/>
                  <w:tcBorders>
                    <w:right w:val="single" w:color="auto" w:sz="4" w:space="0"/>
                  </w:tcBorders>
                  <w:noWrap w:val="0"/>
                  <w:vAlign w:val="center"/>
                </w:tcPr>
                <w:p w14:paraId="312E53A1">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0.5</w:t>
                  </w:r>
                </w:p>
              </w:tc>
            </w:tr>
            <w:tr w14:paraId="65AC5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49" w:type="pct"/>
                  <w:tcBorders>
                    <w:left w:val="single" w:color="auto" w:sz="4" w:space="0"/>
                  </w:tcBorders>
                  <w:noWrap w:val="0"/>
                  <w:vAlign w:val="center"/>
                </w:tcPr>
                <w:p w14:paraId="6A3FF446">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10</w:t>
                  </w:r>
                </w:p>
              </w:tc>
              <w:tc>
                <w:tcPr>
                  <w:tcW w:w="1051" w:type="pct"/>
                  <w:noWrap w:val="0"/>
                  <w:vAlign w:val="center"/>
                </w:tcPr>
                <w:p w14:paraId="5A961612">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色度（稀释倍数）</w:t>
                  </w:r>
                </w:p>
              </w:tc>
              <w:tc>
                <w:tcPr>
                  <w:tcW w:w="1360" w:type="pct"/>
                  <w:tcBorders>
                    <w:right w:val="single" w:color="auto" w:sz="4" w:space="0"/>
                  </w:tcBorders>
                  <w:noWrap w:val="0"/>
                  <w:vAlign w:val="center"/>
                </w:tcPr>
                <w:p w14:paraId="44E9E0D4">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30</w:t>
                  </w:r>
                </w:p>
              </w:tc>
              <w:tc>
                <w:tcPr>
                  <w:tcW w:w="1197" w:type="pct"/>
                  <w:tcBorders>
                    <w:right w:val="single" w:color="auto" w:sz="4" w:space="0"/>
                  </w:tcBorders>
                  <w:noWrap w:val="0"/>
                  <w:vAlign w:val="center"/>
                </w:tcPr>
                <w:p w14:paraId="499E8F1B">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30</w:t>
                  </w:r>
                </w:p>
              </w:tc>
              <w:tc>
                <w:tcPr>
                  <w:tcW w:w="840" w:type="pct"/>
                  <w:tcBorders>
                    <w:right w:val="single" w:color="auto" w:sz="4" w:space="0"/>
                  </w:tcBorders>
                  <w:noWrap w:val="0"/>
                  <w:vAlign w:val="center"/>
                </w:tcPr>
                <w:p w14:paraId="2CD9FCD3">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30</w:t>
                  </w:r>
                </w:p>
              </w:tc>
            </w:tr>
            <w:tr w14:paraId="7DD02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4972605E">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11</w:t>
                  </w:r>
                </w:p>
              </w:tc>
              <w:tc>
                <w:tcPr>
                  <w:tcW w:w="1051" w:type="pct"/>
                  <w:noWrap w:val="0"/>
                  <w:vAlign w:val="center"/>
                </w:tcPr>
                <w:p w14:paraId="5126C89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pH</w:t>
                  </w:r>
                </w:p>
              </w:tc>
              <w:tc>
                <w:tcPr>
                  <w:tcW w:w="1360" w:type="pct"/>
                  <w:tcBorders>
                    <w:right w:val="single" w:color="auto" w:sz="4" w:space="0"/>
                  </w:tcBorders>
                  <w:noWrap w:val="0"/>
                  <w:vAlign w:val="center"/>
                </w:tcPr>
                <w:p w14:paraId="67CC0245">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6~9</w:t>
                  </w:r>
                </w:p>
              </w:tc>
              <w:tc>
                <w:tcPr>
                  <w:tcW w:w="1197" w:type="pct"/>
                  <w:tcBorders>
                    <w:right w:val="single" w:color="auto" w:sz="4" w:space="0"/>
                  </w:tcBorders>
                  <w:noWrap w:val="0"/>
                  <w:vAlign w:val="center"/>
                </w:tcPr>
                <w:p w14:paraId="6F505D8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6~9</w:t>
                  </w:r>
                </w:p>
              </w:tc>
              <w:tc>
                <w:tcPr>
                  <w:tcW w:w="840" w:type="pct"/>
                  <w:tcBorders>
                    <w:right w:val="single" w:color="auto" w:sz="4" w:space="0"/>
                  </w:tcBorders>
                  <w:noWrap w:val="0"/>
                  <w:vAlign w:val="center"/>
                </w:tcPr>
                <w:p w14:paraId="2ACE51B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6~9</w:t>
                  </w:r>
                </w:p>
              </w:tc>
            </w:tr>
            <w:tr w14:paraId="7D960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4F0FDC31">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12</w:t>
                  </w:r>
                </w:p>
              </w:tc>
              <w:tc>
                <w:tcPr>
                  <w:tcW w:w="1051" w:type="pct"/>
                  <w:noWrap w:val="0"/>
                  <w:vAlign w:val="center"/>
                </w:tcPr>
                <w:p w14:paraId="478BF23D">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粪大肠菌群（个/L）</w:t>
                  </w:r>
                </w:p>
              </w:tc>
              <w:tc>
                <w:tcPr>
                  <w:tcW w:w="1360" w:type="pct"/>
                  <w:tcBorders>
                    <w:right w:val="single" w:color="auto" w:sz="4" w:space="0"/>
                  </w:tcBorders>
                  <w:noWrap w:val="0"/>
                  <w:vAlign w:val="center"/>
                </w:tcPr>
                <w:p w14:paraId="3DA9FE6C">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1000</w:t>
                  </w:r>
                </w:p>
              </w:tc>
              <w:tc>
                <w:tcPr>
                  <w:tcW w:w="1197" w:type="pct"/>
                  <w:tcBorders>
                    <w:right w:val="single" w:color="auto" w:sz="4" w:space="0"/>
                  </w:tcBorders>
                  <w:noWrap w:val="0"/>
                  <w:vAlign w:val="center"/>
                </w:tcPr>
                <w:p w14:paraId="197F9A53">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w:t>
                  </w:r>
                </w:p>
              </w:tc>
              <w:tc>
                <w:tcPr>
                  <w:tcW w:w="840" w:type="pct"/>
                  <w:tcBorders>
                    <w:right w:val="single" w:color="auto" w:sz="4" w:space="0"/>
                  </w:tcBorders>
                  <w:noWrap w:val="0"/>
                  <w:vAlign w:val="center"/>
                </w:tcPr>
                <w:p w14:paraId="7594F6B3">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1000</w:t>
                  </w:r>
                </w:p>
              </w:tc>
            </w:tr>
            <w:tr w14:paraId="0248D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672CCA42">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13</w:t>
                  </w:r>
                </w:p>
              </w:tc>
              <w:tc>
                <w:tcPr>
                  <w:tcW w:w="1051" w:type="pct"/>
                  <w:shd w:val="clear" w:color="auto" w:fill="auto"/>
                  <w:noWrap w:val="0"/>
                  <w:vAlign w:val="center"/>
                </w:tcPr>
                <w:p w14:paraId="66A08880">
                  <w:pPr>
                    <w:widowControl/>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宋体"/>
                      <w:color w:val="auto"/>
                      <w:kern w:val="0"/>
                      <w:szCs w:val="21"/>
                      <w:highlight w:val="none"/>
                    </w:rPr>
                    <w:t>总汞</w:t>
                  </w:r>
                </w:p>
              </w:tc>
              <w:tc>
                <w:tcPr>
                  <w:tcW w:w="1360" w:type="pct"/>
                  <w:tcBorders>
                    <w:right w:val="single" w:color="auto" w:sz="4" w:space="0"/>
                  </w:tcBorders>
                  <w:shd w:val="clear" w:color="auto" w:fill="auto"/>
                  <w:noWrap w:val="0"/>
                  <w:vAlign w:val="center"/>
                </w:tcPr>
                <w:p w14:paraId="19672949">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kern w:val="0"/>
                      <w:szCs w:val="21"/>
                      <w:highlight w:val="none"/>
                    </w:rPr>
                    <w:t>0.001</w:t>
                  </w:r>
                </w:p>
              </w:tc>
              <w:tc>
                <w:tcPr>
                  <w:tcW w:w="1197" w:type="pct"/>
                  <w:tcBorders>
                    <w:right w:val="single" w:color="auto" w:sz="4" w:space="0"/>
                  </w:tcBorders>
                  <w:shd w:val="clear" w:color="auto" w:fill="auto"/>
                  <w:noWrap w:val="0"/>
                  <w:vAlign w:val="center"/>
                </w:tcPr>
                <w:p w14:paraId="2D71F1F1">
                  <w:pPr>
                    <w:widowControl/>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840" w:type="pct"/>
                  <w:tcBorders>
                    <w:right w:val="single" w:color="auto" w:sz="4" w:space="0"/>
                  </w:tcBorders>
                  <w:shd w:val="clear" w:color="auto" w:fill="auto"/>
                  <w:noWrap w:val="0"/>
                  <w:vAlign w:val="center"/>
                </w:tcPr>
                <w:p w14:paraId="7E9F6C99">
                  <w:pPr>
                    <w:widowControl/>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0.001</w:t>
                  </w:r>
                </w:p>
              </w:tc>
            </w:tr>
            <w:tr w14:paraId="02440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5AA58F22">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14</w:t>
                  </w:r>
                </w:p>
              </w:tc>
              <w:tc>
                <w:tcPr>
                  <w:tcW w:w="1051" w:type="pct"/>
                  <w:shd w:val="clear" w:color="auto" w:fill="auto"/>
                  <w:noWrap w:val="0"/>
                  <w:vAlign w:val="center"/>
                </w:tcPr>
                <w:p w14:paraId="4EE044F8">
                  <w:pPr>
                    <w:widowControl/>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宋体"/>
                      <w:color w:val="auto"/>
                      <w:kern w:val="0"/>
                      <w:szCs w:val="21"/>
                      <w:highlight w:val="none"/>
                    </w:rPr>
                    <w:t>烷基汞</w:t>
                  </w:r>
                </w:p>
              </w:tc>
              <w:tc>
                <w:tcPr>
                  <w:tcW w:w="1360" w:type="pct"/>
                  <w:tcBorders>
                    <w:right w:val="single" w:color="auto" w:sz="4" w:space="0"/>
                  </w:tcBorders>
                  <w:shd w:val="clear" w:color="auto" w:fill="auto"/>
                  <w:noWrap w:val="0"/>
                  <w:vAlign w:val="center"/>
                </w:tcPr>
                <w:p w14:paraId="5D124300">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kern w:val="0"/>
                      <w:szCs w:val="21"/>
                      <w:highlight w:val="none"/>
                    </w:rPr>
                    <w:t>不得检出</w:t>
                  </w:r>
                </w:p>
              </w:tc>
              <w:tc>
                <w:tcPr>
                  <w:tcW w:w="1197" w:type="pct"/>
                  <w:tcBorders>
                    <w:right w:val="single" w:color="auto" w:sz="4" w:space="0"/>
                  </w:tcBorders>
                  <w:shd w:val="clear" w:color="auto" w:fill="auto"/>
                  <w:noWrap w:val="0"/>
                  <w:vAlign w:val="center"/>
                </w:tcPr>
                <w:p w14:paraId="6B45A6D3">
                  <w:pPr>
                    <w:widowControl/>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840" w:type="pct"/>
                  <w:tcBorders>
                    <w:right w:val="single" w:color="auto" w:sz="4" w:space="0"/>
                  </w:tcBorders>
                  <w:shd w:val="clear" w:color="auto" w:fill="auto"/>
                  <w:noWrap w:val="0"/>
                  <w:vAlign w:val="center"/>
                </w:tcPr>
                <w:p w14:paraId="497DF727">
                  <w:pPr>
                    <w:widowControl/>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不得检出</w:t>
                  </w:r>
                </w:p>
              </w:tc>
            </w:tr>
            <w:tr w14:paraId="7B780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28F033A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15</w:t>
                  </w:r>
                </w:p>
              </w:tc>
              <w:tc>
                <w:tcPr>
                  <w:tcW w:w="1051" w:type="pct"/>
                  <w:shd w:val="clear" w:color="auto" w:fill="auto"/>
                  <w:noWrap w:val="0"/>
                  <w:vAlign w:val="center"/>
                </w:tcPr>
                <w:p w14:paraId="745D8EC5">
                  <w:pPr>
                    <w:widowControl/>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宋体"/>
                      <w:color w:val="auto"/>
                      <w:kern w:val="0"/>
                      <w:szCs w:val="21"/>
                      <w:highlight w:val="none"/>
                    </w:rPr>
                    <w:t>总镉</w:t>
                  </w:r>
                </w:p>
              </w:tc>
              <w:tc>
                <w:tcPr>
                  <w:tcW w:w="1360" w:type="pct"/>
                  <w:tcBorders>
                    <w:right w:val="single" w:color="auto" w:sz="4" w:space="0"/>
                  </w:tcBorders>
                  <w:shd w:val="clear" w:color="auto" w:fill="auto"/>
                  <w:noWrap w:val="0"/>
                  <w:vAlign w:val="center"/>
                </w:tcPr>
                <w:p w14:paraId="2DB9E863">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kern w:val="0"/>
                      <w:szCs w:val="21"/>
                      <w:highlight w:val="none"/>
                    </w:rPr>
                    <w:t>0.01</w:t>
                  </w:r>
                </w:p>
              </w:tc>
              <w:tc>
                <w:tcPr>
                  <w:tcW w:w="1197" w:type="pct"/>
                  <w:tcBorders>
                    <w:right w:val="single" w:color="auto" w:sz="4" w:space="0"/>
                  </w:tcBorders>
                  <w:shd w:val="clear" w:color="auto" w:fill="auto"/>
                  <w:noWrap w:val="0"/>
                  <w:vAlign w:val="center"/>
                </w:tcPr>
                <w:p w14:paraId="2CBEE63A">
                  <w:pPr>
                    <w:widowControl/>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840" w:type="pct"/>
                  <w:tcBorders>
                    <w:right w:val="single" w:color="auto" w:sz="4" w:space="0"/>
                  </w:tcBorders>
                  <w:shd w:val="clear" w:color="auto" w:fill="auto"/>
                  <w:noWrap w:val="0"/>
                  <w:vAlign w:val="center"/>
                </w:tcPr>
                <w:p w14:paraId="71DFAC81">
                  <w:pPr>
                    <w:widowControl/>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0.01</w:t>
                  </w:r>
                </w:p>
              </w:tc>
            </w:tr>
            <w:tr w14:paraId="4E804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380E896D">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16</w:t>
                  </w:r>
                </w:p>
              </w:tc>
              <w:tc>
                <w:tcPr>
                  <w:tcW w:w="1051" w:type="pct"/>
                  <w:shd w:val="clear" w:color="auto" w:fill="auto"/>
                  <w:noWrap w:val="0"/>
                  <w:vAlign w:val="center"/>
                </w:tcPr>
                <w:p w14:paraId="69BEDF47">
                  <w:pPr>
                    <w:widowControl/>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宋体"/>
                      <w:color w:val="auto"/>
                      <w:kern w:val="0"/>
                      <w:szCs w:val="21"/>
                      <w:highlight w:val="none"/>
                    </w:rPr>
                    <w:t>总铬</w:t>
                  </w:r>
                </w:p>
              </w:tc>
              <w:tc>
                <w:tcPr>
                  <w:tcW w:w="1360" w:type="pct"/>
                  <w:tcBorders>
                    <w:right w:val="single" w:color="auto" w:sz="4" w:space="0"/>
                  </w:tcBorders>
                  <w:shd w:val="clear" w:color="auto" w:fill="auto"/>
                  <w:noWrap w:val="0"/>
                  <w:vAlign w:val="center"/>
                </w:tcPr>
                <w:p w14:paraId="1703B68E">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kern w:val="0"/>
                      <w:szCs w:val="21"/>
                      <w:highlight w:val="none"/>
                    </w:rPr>
                    <w:t>0.1</w:t>
                  </w:r>
                </w:p>
              </w:tc>
              <w:tc>
                <w:tcPr>
                  <w:tcW w:w="1197" w:type="pct"/>
                  <w:tcBorders>
                    <w:right w:val="single" w:color="auto" w:sz="4" w:space="0"/>
                  </w:tcBorders>
                  <w:shd w:val="clear" w:color="auto" w:fill="auto"/>
                  <w:noWrap w:val="0"/>
                  <w:vAlign w:val="center"/>
                </w:tcPr>
                <w:p w14:paraId="308B4B9B">
                  <w:pPr>
                    <w:widowControl/>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840" w:type="pct"/>
                  <w:tcBorders>
                    <w:right w:val="single" w:color="auto" w:sz="4" w:space="0"/>
                  </w:tcBorders>
                  <w:shd w:val="clear" w:color="auto" w:fill="auto"/>
                  <w:noWrap w:val="0"/>
                  <w:vAlign w:val="center"/>
                </w:tcPr>
                <w:p w14:paraId="7F5E1EB2">
                  <w:pPr>
                    <w:widowControl/>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0.1</w:t>
                  </w:r>
                </w:p>
              </w:tc>
            </w:tr>
            <w:tr w14:paraId="11758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49CB780B">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17</w:t>
                  </w:r>
                </w:p>
              </w:tc>
              <w:tc>
                <w:tcPr>
                  <w:tcW w:w="1051" w:type="pct"/>
                  <w:shd w:val="clear" w:color="auto" w:fill="auto"/>
                  <w:noWrap w:val="0"/>
                  <w:vAlign w:val="center"/>
                </w:tcPr>
                <w:p w14:paraId="113A58A8">
                  <w:pPr>
                    <w:widowControl/>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宋体"/>
                      <w:color w:val="auto"/>
                      <w:kern w:val="0"/>
                      <w:szCs w:val="21"/>
                      <w:highlight w:val="none"/>
                    </w:rPr>
                    <w:t>六价铬</w:t>
                  </w:r>
                </w:p>
              </w:tc>
              <w:tc>
                <w:tcPr>
                  <w:tcW w:w="1360" w:type="pct"/>
                  <w:tcBorders>
                    <w:right w:val="single" w:color="auto" w:sz="4" w:space="0"/>
                  </w:tcBorders>
                  <w:shd w:val="clear" w:color="auto" w:fill="auto"/>
                  <w:noWrap w:val="0"/>
                  <w:vAlign w:val="center"/>
                </w:tcPr>
                <w:p w14:paraId="1E834695">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kern w:val="0"/>
                      <w:szCs w:val="21"/>
                      <w:highlight w:val="none"/>
                    </w:rPr>
                    <w:t>0.05</w:t>
                  </w:r>
                </w:p>
              </w:tc>
              <w:tc>
                <w:tcPr>
                  <w:tcW w:w="1197" w:type="pct"/>
                  <w:tcBorders>
                    <w:right w:val="single" w:color="auto" w:sz="4" w:space="0"/>
                  </w:tcBorders>
                  <w:shd w:val="clear" w:color="auto" w:fill="auto"/>
                  <w:noWrap w:val="0"/>
                  <w:vAlign w:val="center"/>
                </w:tcPr>
                <w:p w14:paraId="53473D7C">
                  <w:pPr>
                    <w:widowControl/>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840" w:type="pct"/>
                  <w:tcBorders>
                    <w:right w:val="single" w:color="auto" w:sz="4" w:space="0"/>
                  </w:tcBorders>
                  <w:shd w:val="clear" w:color="auto" w:fill="auto"/>
                  <w:noWrap w:val="0"/>
                  <w:vAlign w:val="center"/>
                </w:tcPr>
                <w:p w14:paraId="557C13C1">
                  <w:pPr>
                    <w:widowControl/>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0.05</w:t>
                  </w:r>
                </w:p>
              </w:tc>
            </w:tr>
            <w:tr w14:paraId="05F53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492016F7">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18</w:t>
                  </w:r>
                </w:p>
              </w:tc>
              <w:tc>
                <w:tcPr>
                  <w:tcW w:w="1051" w:type="pct"/>
                  <w:shd w:val="clear" w:color="auto" w:fill="auto"/>
                  <w:noWrap w:val="0"/>
                  <w:vAlign w:val="center"/>
                </w:tcPr>
                <w:p w14:paraId="61D85466">
                  <w:pPr>
                    <w:widowControl/>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宋体"/>
                      <w:color w:val="auto"/>
                      <w:kern w:val="0"/>
                      <w:szCs w:val="21"/>
                      <w:highlight w:val="none"/>
                    </w:rPr>
                    <w:t>总砷</w:t>
                  </w:r>
                </w:p>
              </w:tc>
              <w:tc>
                <w:tcPr>
                  <w:tcW w:w="1360" w:type="pct"/>
                  <w:tcBorders>
                    <w:right w:val="single" w:color="auto" w:sz="4" w:space="0"/>
                  </w:tcBorders>
                  <w:shd w:val="clear" w:color="auto" w:fill="auto"/>
                  <w:noWrap w:val="0"/>
                  <w:vAlign w:val="center"/>
                </w:tcPr>
                <w:p w14:paraId="5EA237B3">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kern w:val="0"/>
                      <w:szCs w:val="21"/>
                      <w:highlight w:val="none"/>
                    </w:rPr>
                    <w:t>0.1</w:t>
                  </w:r>
                </w:p>
              </w:tc>
              <w:tc>
                <w:tcPr>
                  <w:tcW w:w="1197" w:type="pct"/>
                  <w:tcBorders>
                    <w:right w:val="single" w:color="auto" w:sz="4" w:space="0"/>
                  </w:tcBorders>
                  <w:shd w:val="clear" w:color="auto" w:fill="auto"/>
                  <w:noWrap w:val="0"/>
                  <w:vAlign w:val="center"/>
                </w:tcPr>
                <w:p w14:paraId="245865FC">
                  <w:pPr>
                    <w:widowControl/>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840" w:type="pct"/>
                  <w:tcBorders>
                    <w:right w:val="single" w:color="auto" w:sz="4" w:space="0"/>
                  </w:tcBorders>
                  <w:shd w:val="clear" w:color="auto" w:fill="auto"/>
                  <w:noWrap w:val="0"/>
                  <w:vAlign w:val="center"/>
                </w:tcPr>
                <w:p w14:paraId="43437526">
                  <w:pPr>
                    <w:widowControl/>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0.1</w:t>
                  </w:r>
                </w:p>
              </w:tc>
            </w:tr>
            <w:tr w14:paraId="16CC2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01F93FF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19</w:t>
                  </w:r>
                </w:p>
              </w:tc>
              <w:tc>
                <w:tcPr>
                  <w:tcW w:w="1051" w:type="pct"/>
                  <w:shd w:val="clear" w:color="auto" w:fill="auto"/>
                  <w:noWrap w:val="0"/>
                  <w:vAlign w:val="center"/>
                </w:tcPr>
                <w:p w14:paraId="1172FE60">
                  <w:pPr>
                    <w:widowControl/>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宋体"/>
                      <w:color w:val="auto"/>
                      <w:kern w:val="0"/>
                      <w:szCs w:val="21"/>
                      <w:highlight w:val="none"/>
                    </w:rPr>
                    <w:t>总铅</w:t>
                  </w:r>
                </w:p>
              </w:tc>
              <w:tc>
                <w:tcPr>
                  <w:tcW w:w="1360" w:type="pct"/>
                  <w:tcBorders>
                    <w:right w:val="single" w:color="auto" w:sz="4" w:space="0"/>
                  </w:tcBorders>
                  <w:shd w:val="clear" w:color="auto" w:fill="auto"/>
                  <w:noWrap w:val="0"/>
                  <w:vAlign w:val="center"/>
                </w:tcPr>
                <w:p w14:paraId="1072527B">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kern w:val="0"/>
                      <w:szCs w:val="21"/>
                      <w:highlight w:val="none"/>
                    </w:rPr>
                    <w:t>0.1</w:t>
                  </w:r>
                </w:p>
              </w:tc>
              <w:tc>
                <w:tcPr>
                  <w:tcW w:w="1197" w:type="pct"/>
                  <w:tcBorders>
                    <w:right w:val="single" w:color="auto" w:sz="4" w:space="0"/>
                  </w:tcBorders>
                  <w:shd w:val="clear" w:color="auto" w:fill="auto"/>
                  <w:noWrap w:val="0"/>
                  <w:vAlign w:val="center"/>
                </w:tcPr>
                <w:p w14:paraId="1768BB1C">
                  <w:pPr>
                    <w:widowControl/>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840" w:type="pct"/>
                  <w:tcBorders>
                    <w:right w:val="single" w:color="auto" w:sz="4" w:space="0"/>
                  </w:tcBorders>
                  <w:shd w:val="clear" w:color="auto" w:fill="auto"/>
                  <w:noWrap w:val="0"/>
                  <w:vAlign w:val="center"/>
                </w:tcPr>
                <w:p w14:paraId="2FBBA86A">
                  <w:pPr>
                    <w:widowControl/>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0.1</w:t>
                  </w:r>
                </w:p>
              </w:tc>
            </w:tr>
            <w:tr w14:paraId="0A570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1FFBD997">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20</w:t>
                  </w:r>
                </w:p>
              </w:tc>
              <w:tc>
                <w:tcPr>
                  <w:tcW w:w="1051" w:type="pct"/>
                  <w:shd w:val="clear" w:color="auto" w:fill="auto"/>
                  <w:noWrap w:val="0"/>
                  <w:vAlign w:val="center"/>
                </w:tcPr>
                <w:p w14:paraId="1AEDFE61">
                  <w:pPr>
                    <w:widowControl/>
                    <w:jc w:val="center"/>
                    <w:rPr>
                      <w:rFonts w:hint="default" w:ascii="Times New Roman" w:hAnsi="宋体" w:eastAsia="宋体"/>
                      <w:color w:val="auto"/>
                      <w:kern w:val="0"/>
                      <w:szCs w:val="21"/>
                      <w:highlight w:val="none"/>
                      <w:lang w:val="en-US" w:eastAsia="zh-CN"/>
                    </w:rPr>
                  </w:pPr>
                  <w:r>
                    <w:rPr>
                      <w:rFonts w:hint="eastAsia" w:ascii="Times New Roman" w:hAnsi="宋体"/>
                      <w:color w:val="auto"/>
                      <w:kern w:val="0"/>
                      <w:szCs w:val="21"/>
                      <w:highlight w:val="none"/>
                      <w:lang w:val="en-US" w:eastAsia="zh-CN"/>
                    </w:rPr>
                    <w:t>嗅</w:t>
                  </w:r>
                </w:p>
              </w:tc>
              <w:tc>
                <w:tcPr>
                  <w:tcW w:w="1360" w:type="pct"/>
                  <w:tcBorders>
                    <w:right w:val="single" w:color="auto" w:sz="4" w:space="0"/>
                  </w:tcBorders>
                  <w:shd w:val="clear" w:color="auto" w:fill="auto"/>
                  <w:noWrap w:val="0"/>
                  <w:vAlign w:val="center"/>
                </w:tcPr>
                <w:p w14:paraId="23A83427">
                  <w:pPr>
                    <w:widowControl/>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1197" w:type="pct"/>
                  <w:tcBorders>
                    <w:right w:val="single" w:color="auto" w:sz="4" w:space="0"/>
                  </w:tcBorders>
                  <w:shd w:val="clear" w:color="auto" w:fill="auto"/>
                  <w:noWrap w:val="0"/>
                  <w:vAlign w:val="center"/>
                </w:tcPr>
                <w:p w14:paraId="4E5F9A2A">
                  <w:pPr>
                    <w:widowControl/>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无不快感</w:t>
                  </w:r>
                </w:p>
              </w:tc>
              <w:tc>
                <w:tcPr>
                  <w:tcW w:w="840" w:type="pct"/>
                  <w:tcBorders>
                    <w:right w:val="single" w:color="auto" w:sz="4" w:space="0"/>
                  </w:tcBorders>
                  <w:shd w:val="clear" w:color="auto" w:fill="auto"/>
                  <w:noWrap w:val="0"/>
                  <w:vAlign w:val="center"/>
                </w:tcPr>
                <w:p w14:paraId="4B9FE8A6">
                  <w:pPr>
                    <w:widowControl/>
                    <w:jc w:val="center"/>
                    <w:rPr>
                      <w:rFonts w:hint="eastAsia" w:ascii="Times New Roman" w:hAnsi="Times New Roman"/>
                      <w:color w:val="auto"/>
                      <w:kern w:val="0"/>
                      <w:szCs w:val="21"/>
                      <w:highlight w:val="none"/>
                    </w:rPr>
                  </w:pPr>
                  <w:r>
                    <w:rPr>
                      <w:rFonts w:hint="eastAsia" w:ascii="Times New Roman" w:hAnsi="Times New Roman"/>
                      <w:color w:val="auto"/>
                      <w:kern w:val="0"/>
                      <w:szCs w:val="21"/>
                      <w:highlight w:val="none"/>
                      <w:lang w:val="en-US" w:eastAsia="zh-CN"/>
                    </w:rPr>
                    <w:t>无不快感</w:t>
                  </w:r>
                </w:p>
              </w:tc>
            </w:tr>
            <w:tr w14:paraId="34D3E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34B8C8A4">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21</w:t>
                  </w:r>
                </w:p>
              </w:tc>
              <w:tc>
                <w:tcPr>
                  <w:tcW w:w="1051" w:type="pct"/>
                  <w:shd w:val="clear" w:color="auto" w:fill="auto"/>
                  <w:noWrap w:val="0"/>
                  <w:vAlign w:val="center"/>
                </w:tcPr>
                <w:p w14:paraId="54034617">
                  <w:pPr>
                    <w:widowControl/>
                    <w:jc w:val="center"/>
                    <w:rPr>
                      <w:rFonts w:hint="default" w:ascii="Times New Roman" w:hAnsi="宋体"/>
                      <w:color w:val="auto"/>
                      <w:kern w:val="0"/>
                      <w:szCs w:val="21"/>
                      <w:highlight w:val="none"/>
                      <w:lang w:val="en-US" w:eastAsia="zh-CN"/>
                    </w:rPr>
                  </w:pPr>
                  <w:r>
                    <w:rPr>
                      <w:rFonts w:hint="eastAsia" w:ascii="Times New Roman" w:hAnsi="宋体"/>
                      <w:color w:val="auto"/>
                      <w:kern w:val="0"/>
                      <w:szCs w:val="21"/>
                      <w:highlight w:val="none"/>
                      <w:lang w:val="en-US" w:eastAsia="zh-CN"/>
                    </w:rPr>
                    <w:t>浊度/NTU</w:t>
                  </w:r>
                </w:p>
              </w:tc>
              <w:tc>
                <w:tcPr>
                  <w:tcW w:w="1360" w:type="pct"/>
                  <w:tcBorders>
                    <w:right w:val="single" w:color="auto" w:sz="4" w:space="0"/>
                  </w:tcBorders>
                  <w:shd w:val="clear" w:color="auto" w:fill="auto"/>
                  <w:noWrap w:val="0"/>
                  <w:vAlign w:val="center"/>
                </w:tcPr>
                <w:p w14:paraId="4877091F">
                  <w:pPr>
                    <w:widowControl/>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1197" w:type="pct"/>
                  <w:tcBorders>
                    <w:right w:val="single" w:color="auto" w:sz="4" w:space="0"/>
                  </w:tcBorders>
                  <w:shd w:val="clear" w:color="auto" w:fill="auto"/>
                  <w:noWrap w:val="0"/>
                  <w:vAlign w:val="center"/>
                </w:tcPr>
                <w:p w14:paraId="3F12ED9D">
                  <w:pPr>
                    <w:widowControl/>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10</w:t>
                  </w:r>
                </w:p>
              </w:tc>
              <w:tc>
                <w:tcPr>
                  <w:tcW w:w="840" w:type="pct"/>
                  <w:tcBorders>
                    <w:right w:val="single" w:color="auto" w:sz="4" w:space="0"/>
                  </w:tcBorders>
                  <w:shd w:val="clear" w:color="auto" w:fill="auto"/>
                  <w:noWrap w:val="0"/>
                  <w:vAlign w:val="center"/>
                </w:tcPr>
                <w:p w14:paraId="62B3CD6F">
                  <w:pPr>
                    <w:widowControl/>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10</w:t>
                  </w:r>
                </w:p>
              </w:tc>
            </w:tr>
            <w:tr w14:paraId="69265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08BA30F7">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22</w:t>
                  </w:r>
                </w:p>
              </w:tc>
              <w:tc>
                <w:tcPr>
                  <w:tcW w:w="1051" w:type="pct"/>
                  <w:shd w:val="clear" w:color="auto" w:fill="auto"/>
                  <w:noWrap w:val="0"/>
                  <w:vAlign w:val="center"/>
                </w:tcPr>
                <w:p w14:paraId="69F88C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溶解性总固体</w:t>
                  </w:r>
                </w:p>
              </w:tc>
              <w:tc>
                <w:tcPr>
                  <w:tcW w:w="1360" w:type="pct"/>
                  <w:tcBorders>
                    <w:right w:val="single" w:color="auto" w:sz="4" w:space="0"/>
                  </w:tcBorders>
                  <w:shd w:val="clear" w:color="auto" w:fill="auto"/>
                  <w:noWrap w:val="0"/>
                  <w:vAlign w:val="center"/>
                </w:tcPr>
                <w:p w14:paraId="116EECF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Calibri" w:cs="Times New Roman"/>
                      <w:b w:val="0"/>
                      <w:color w:val="auto"/>
                      <w:kern w:val="2"/>
                      <w:sz w:val="21"/>
                      <w:szCs w:val="24"/>
                      <w:highlight w:val="none"/>
                      <w:vertAlign w:val="superscript"/>
                      <w:lang w:val="en-US" w:eastAsia="zh-CN" w:bidi="ar-SA"/>
                    </w:rPr>
                  </w:pPr>
                  <w:r>
                    <w:rPr>
                      <w:rFonts w:hint="eastAsia" w:ascii="Times New Roman" w:hAnsi="Times New Roman" w:eastAsia="Calibri" w:cs="Times New Roman"/>
                      <w:b w:val="0"/>
                      <w:color w:val="auto"/>
                      <w:kern w:val="2"/>
                      <w:sz w:val="21"/>
                      <w:szCs w:val="24"/>
                      <w:highlight w:val="none"/>
                      <w:vertAlign w:val="superscript"/>
                      <w:lang w:val="en-US" w:eastAsia="zh-CN" w:bidi="ar-SA"/>
                    </w:rPr>
                    <w:t>-</w:t>
                  </w:r>
                </w:p>
              </w:tc>
              <w:tc>
                <w:tcPr>
                  <w:tcW w:w="1197" w:type="pct"/>
                  <w:tcBorders>
                    <w:right w:val="single" w:color="auto" w:sz="4" w:space="0"/>
                  </w:tcBorders>
                  <w:shd w:val="clear" w:color="auto" w:fill="auto"/>
                  <w:noWrap w:val="0"/>
                  <w:vAlign w:val="center"/>
                </w:tcPr>
                <w:p w14:paraId="414B5953">
                  <w:pPr>
                    <w:widowControl/>
                    <w:jc w:val="center"/>
                    <w:rPr>
                      <w:rFonts w:hint="eastAsia" w:ascii="Times New Roman" w:hAnsi="Times New Roman"/>
                      <w:color w:val="auto"/>
                      <w:kern w:val="0"/>
                      <w:szCs w:val="21"/>
                      <w:highlight w:val="none"/>
                      <w:lang w:val="en-US" w:eastAsia="zh-CN"/>
                    </w:rPr>
                  </w:pPr>
                  <w:r>
                    <w:rPr>
                      <w:rFonts w:hint="eastAsia" w:ascii="Times New Roman" w:hAnsi="Times New Roman" w:eastAsia="宋体" w:cs="Times New Roman"/>
                      <w:b w:val="0"/>
                      <w:color w:val="auto"/>
                      <w:kern w:val="2"/>
                      <w:sz w:val="21"/>
                      <w:szCs w:val="24"/>
                      <w:highlight w:val="none"/>
                      <w:lang w:val="en-US" w:eastAsia="zh-CN" w:bidi="ar-SA"/>
                    </w:rPr>
                    <w:t>1000（2000）</w:t>
                  </w:r>
                  <w:r>
                    <w:rPr>
                      <w:rFonts w:hint="eastAsia" w:ascii="Times New Roman" w:hAnsi="Times New Roman" w:eastAsia="宋体" w:cs="Times New Roman"/>
                      <w:b w:val="0"/>
                      <w:color w:val="auto"/>
                      <w:kern w:val="2"/>
                      <w:sz w:val="21"/>
                      <w:szCs w:val="24"/>
                      <w:highlight w:val="none"/>
                      <w:vertAlign w:val="superscript"/>
                      <w:lang w:val="en-US" w:eastAsia="zh-CN" w:bidi="ar-SA"/>
                    </w:rPr>
                    <w:t>a</w:t>
                  </w:r>
                </w:p>
              </w:tc>
              <w:tc>
                <w:tcPr>
                  <w:tcW w:w="840" w:type="pct"/>
                  <w:tcBorders>
                    <w:right w:val="single" w:color="auto" w:sz="4" w:space="0"/>
                  </w:tcBorders>
                  <w:shd w:val="clear" w:color="auto" w:fill="auto"/>
                  <w:noWrap w:val="0"/>
                  <w:vAlign w:val="center"/>
                </w:tcPr>
                <w:p w14:paraId="49E8A3D8">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1000（2000）</w:t>
                  </w:r>
                  <w:r>
                    <w:rPr>
                      <w:rFonts w:hint="eastAsia" w:ascii="Times New Roman" w:hAnsi="Times New Roman" w:eastAsia="宋体" w:cs="Times New Roman"/>
                      <w:b w:val="0"/>
                      <w:color w:val="auto"/>
                      <w:kern w:val="2"/>
                      <w:sz w:val="21"/>
                      <w:szCs w:val="24"/>
                      <w:highlight w:val="none"/>
                      <w:vertAlign w:val="superscript"/>
                      <w:lang w:val="en-US" w:eastAsia="zh-CN" w:bidi="ar-SA"/>
                    </w:rPr>
                    <w:t>a</w:t>
                  </w:r>
                </w:p>
              </w:tc>
            </w:tr>
            <w:tr w14:paraId="663EC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149580EB">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23</w:t>
                  </w:r>
                </w:p>
              </w:tc>
              <w:tc>
                <w:tcPr>
                  <w:tcW w:w="1051" w:type="pct"/>
                  <w:shd w:val="clear" w:color="auto" w:fill="auto"/>
                  <w:noWrap w:val="0"/>
                  <w:vAlign w:val="center"/>
                </w:tcPr>
                <w:p w14:paraId="5C4270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宋体"/>
                      <w:color w:val="auto"/>
                      <w:kern w:val="0"/>
                      <w:szCs w:val="21"/>
                      <w:highlight w:val="none"/>
                      <w:lang w:val="en-US" w:eastAsia="zh-CN"/>
                    </w:rPr>
                  </w:pPr>
                  <w:r>
                    <w:rPr>
                      <w:rFonts w:hint="eastAsia" w:ascii="Times New Roman" w:hAnsi="Times New Roman" w:eastAsia="宋体" w:cs="Times New Roman"/>
                      <w:b w:val="0"/>
                      <w:color w:val="auto"/>
                      <w:kern w:val="2"/>
                      <w:sz w:val="21"/>
                      <w:szCs w:val="24"/>
                      <w:highlight w:val="none"/>
                      <w:lang w:val="en-US" w:eastAsia="zh-CN" w:bidi="ar-SA"/>
                    </w:rPr>
                    <w:t>溶解氧</w:t>
                  </w:r>
                </w:p>
              </w:tc>
              <w:tc>
                <w:tcPr>
                  <w:tcW w:w="1360" w:type="pct"/>
                  <w:tcBorders>
                    <w:right w:val="single" w:color="auto" w:sz="4" w:space="0"/>
                  </w:tcBorders>
                  <w:shd w:val="clear" w:color="auto" w:fill="auto"/>
                  <w:noWrap w:val="0"/>
                  <w:vAlign w:val="center"/>
                </w:tcPr>
                <w:p w14:paraId="44CB6364">
                  <w:pPr>
                    <w:widowControl/>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1197" w:type="pct"/>
                  <w:tcBorders>
                    <w:right w:val="single" w:color="auto" w:sz="4" w:space="0"/>
                  </w:tcBorders>
                  <w:shd w:val="clear" w:color="auto" w:fill="auto"/>
                  <w:noWrap w:val="0"/>
                  <w:vAlign w:val="center"/>
                </w:tcPr>
                <w:p w14:paraId="08F386E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color w:val="auto"/>
                      <w:kern w:val="0"/>
                      <w:szCs w:val="21"/>
                      <w:highlight w:val="none"/>
                      <w:lang w:val="en-US" w:eastAsia="zh-CN"/>
                    </w:rPr>
                  </w:pPr>
                  <w:r>
                    <w:rPr>
                      <w:rFonts w:hint="eastAsia" w:ascii="Times New Roman" w:hAnsi="Times New Roman" w:eastAsia="宋体" w:cs="Times New Roman"/>
                      <w:b w:val="0"/>
                      <w:color w:val="auto"/>
                      <w:kern w:val="2"/>
                      <w:sz w:val="21"/>
                      <w:szCs w:val="24"/>
                      <w:highlight w:val="none"/>
                      <w:lang w:val="en-US" w:eastAsia="zh-CN" w:bidi="ar-SA"/>
                    </w:rPr>
                    <w:t>≥2.0</w:t>
                  </w:r>
                </w:p>
              </w:tc>
              <w:tc>
                <w:tcPr>
                  <w:tcW w:w="840" w:type="pct"/>
                  <w:tcBorders>
                    <w:right w:val="single" w:color="auto" w:sz="4" w:space="0"/>
                  </w:tcBorders>
                  <w:shd w:val="clear" w:color="auto" w:fill="auto"/>
                  <w:noWrap w:val="0"/>
                  <w:vAlign w:val="center"/>
                </w:tcPr>
                <w:p w14:paraId="3FD399D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≥2.0</w:t>
                  </w:r>
                </w:p>
              </w:tc>
            </w:tr>
            <w:tr w14:paraId="78FB8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58F48FCF">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24</w:t>
                  </w:r>
                </w:p>
              </w:tc>
              <w:tc>
                <w:tcPr>
                  <w:tcW w:w="1051" w:type="pct"/>
                  <w:shd w:val="clear" w:color="auto" w:fill="auto"/>
                  <w:noWrap w:val="0"/>
                  <w:vAlign w:val="center"/>
                </w:tcPr>
                <w:p w14:paraId="1EF8C9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宋体"/>
                      <w:color w:val="auto"/>
                      <w:kern w:val="0"/>
                      <w:szCs w:val="21"/>
                      <w:highlight w:val="none"/>
                      <w:lang w:val="en-US" w:eastAsia="zh-CN"/>
                    </w:rPr>
                  </w:pPr>
                  <w:r>
                    <w:rPr>
                      <w:rFonts w:hint="eastAsia" w:ascii="Times New Roman" w:hAnsi="Times New Roman" w:eastAsia="宋体" w:cs="Times New Roman"/>
                      <w:b w:val="0"/>
                      <w:color w:val="auto"/>
                      <w:kern w:val="2"/>
                      <w:sz w:val="21"/>
                      <w:szCs w:val="24"/>
                      <w:highlight w:val="none"/>
                      <w:lang w:val="en-US" w:eastAsia="zh-CN" w:bidi="ar-SA"/>
                    </w:rPr>
                    <w:t>总</w:t>
                  </w:r>
                  <w:r>
                    <w:rPr>
                      <w:rFonts w:hint="default" w:ascii="Times New Roman" w:hAnsi="Times New Roman" w:eastAsia="宋体" w:cs="Times New Roman"/>
                      <w:b w:val="0"/>
                      <w:color w:val="auto"/>
                      <w:kern w:val="2"/>
                      <w:sz w:val="21"/>
                      <w:szCs w:val="24"/>
                      <w:highlight w:val="none"/>
                      <w:lang w:val="en-US" w:eastAsia="zh-CN" w:bidi="ar-SA"/>
                    </w:rPr>
                    <w:t>氯(mg/L)</w:t>
                  </w:r>
                </w:p>
              </w:tc>
              <w:tc>
                <w:tcPr>
                  <w:tcW w:w="1360" w:type="pct"/>
                  <w:tcBorders>
                    <w:right w:val="single" w:color="auto" w:sz="4" w:space="0"/>
                  </w:tcBorders>
                  <w:shd w:val="clear" w:color="auto" w:fill="auto"/>
                  <w:noWrap w:val="0"/>
                  <w:vAlign w:val="center"/>
                </w:tcPr>
                <w:p w14:paraId="74B7AA40">
                  <w:pPr>
                    <w:widowControl/>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1197" w:type="pct"/>
                  <w:tcBorders>
                    <w:right w:val="single" w:color="auto" w:sz="4" w:space="0"/>
                  </w:tcBorders>
                  <w:shd w:val="clear" w:color="auto" w:fill="auto"/>
                  <w:noWrap w:val="0"/>
                  <w:vAlign w:val="center"/>
                </w:tcPr>
                <w:p w14:paraId="2BE5DD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color w:val="auto"/>
                      <w:kern w:val="0"/>
                      <w:szCs w:val="21"/>
                      <w:highlight w:val="none"/>
                      <w:lang w:val="en-US" w:eastAsia="zh-CN"/>
                    </w:rPr>
                  </w:pPr>
                  <w:r>
                    <w:rPr>
                      <w:rFonts w:hint="eastAsia" w:ascii="Times New Roman" w:hAnsi="Times New Roman" w:eastAsia="宋体" w:cs="Times New Roman"/>
                      <w:b w:val="0"/>
                      <w:color w:val="auto"/>
                      <w:kern w:val="2"/>
                      <w:sz w:val="21"/>
                      <w:szCs w:val="24"/>
                      <w:highlight w:val="none"/>
                      <w:lang w:val="en-US" w:eastAsia="zh-CN" w:bidi="ar-SA"/>
                    </w:rPr>
                    <w:t>1.0（出厂），0.2</w:t>
                  </w:r>
                  <w:r>
                    <w:rPr>
                      <w:rFonts w:hint="eastAsia" w:ascii="Times New Roman" w:hAnsi="Times New Roman" w:eastAsia="宋体" w:cs="Times New Roman"/>
                      <w:b w:val="0"/>
                      <w:color w:val="auto"/>
                      <w:kern w:val="2"/>
                      <w:sz w:val="21"/>
                      <w:szCs w:val="24"/>
                      <w:highlight w:val="none"/>
                      <w:vertAlign w:val="superscript"/>
                      <w:lang w:val="en-US" w:eastAsia="zh-CN" w:bidi="ar-SA"/>
                    </w:rPr>
                    <w:t>b</w:t>
                  </w:r>
                  <w:r>
                    <w:rPr>
                      <w:rFonts w:hint="eastAsia" w:ascii="Times New Roman" w:hAnsi="Times New Roman" w:eastAsia="宋体" w:cs="Times New Roman"/>
                      <w:b w:val="0"/>
                      <w:color w:val="auto"/>
                      <w:kern w:val="2"/>
                      <w:sz w:val="21"/>
                      <w:szCs w:val="24"/>
                      <w:highlight w:val="none"/>
                      <w:lang w:val="en-US" w:eastAsia="zh-CN" w:bidi="ar-SA"/>
                    </w:rPr>
                    <w:t>（管网末端）</w:t>
                  </w:r>
                </w:p>
              </w:tc>
              <w:tc>
                <w:tcPr>
                  <w:tcW w:w="840" w:type="pct"/>
                  <w:tcBorders>
                    <w:right w:val="single" w:color="auto" w:sz="4" w:space="0"/>
                  </w:tcBorders>
                  <w:shd w:val="clear" w:color="auto" w:fill="auto"/>
                  <w:noWrap w:val="0"/>
                  <w:vAlign w:val="center"/>
                </w:tcPr>
                <w:p w14:paraId="44BD26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1.0（出厂），0.2</w:t>
                  </w:r>
                  <w:r>
                    <w:rPr>
                      <w:rFonts w:hint="eastAsia" w:ascii="Times New Roman" w:hAnsi="Times New Roman" w:eastAsia="宋体" w:cs="Times New Roman"/>
                      <w:b w:val="0"/>
                      <w:color w:val="auto"/>
                      <w:kern w:val="2"/>
                      <w:sz w:val="21"/>
                      <w:szCs w:val="24"/>
                      <w:highlight w:val="none"/>
                      <w:vertAlign w:val="superscript"/>
                      <w:lang w:val="en-US" w:eastAsia="zh-CN" w:bidi="ar-SA"/>
                    </w:rPr>
                    <w:t>b</w:t>
                  </w:r>
                  <w:r>
                    <w:rPr>
                      <w:rFonts w:hint="eastAsia" w:ascii="Times New Roman" w:hAnsi="Times New Roman" w:eastAsia="宋体" w:cs="Times New Roman"/>
                      <w:b w:val="0"/>
                      <w:color w:val="auto"/>
                      <w:kern w:val="2"/>
                      <w:sz w:val="21"/>
                      <w:szCs w:val="24"/>
                      <w:highlight w:val="none"/>
                      <w:lang w:val="en-US" w:eastAsia="zh-CN" w:bidi="ar-SA"/>
                    </w:rPr>
                    <w:t>（管网末端）</w:t>
                  </w:r>
                </w:p>
              </w:tc>
            </w:tr>
            <w:tr w14:paraId="5CEF8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49" w:type="pct"/>
                  <w:tcBorders>
                    <w:left w:val="single" w:color="auto" w:sz="4" w:space="0"/>
                  </w:tcBorders>
                  <w:noWrap w:val="0"/>
                  <w:vAlign w:val="center"/>
                </w:tcPr>
                <w:p w14:paraId="0E21E2B8">
                  <w:pPr>
                    <w:pStyle w:val="66"/>
                    <w:keepNext w:val="0"/>
                    <w:keepLines w:val="0"/>
                    <w:pageBreakBefore w:val="0"/>
                    <w:widowControl w:val="0"/>
                    <w:tabs>
                      <w:tab w:val="left" w:pos="4507"/>
                    </w:tabs>
                    <w:kinsoku/>
                    <w:wordWrap/>
                    <w:overflowPunct/>
                    <w:topLinePunct/>
                    <w:autoSpaceDE/>
                    <w:autoSpaceDN/>
                    <w:bidi w:val="0"/>
                    <w:adjustRightInd w:val="0"/>
                    <w:snapToGrid/>
                    <w:spacing w:before="0" w:beforeLines="0" w:after="0" w:afterLines="0" w:line="240" w:lineRule="auto"/>
                    <w:ind w:firstLine="0"/>
                    <w:jc w:val="center"/>
                    <w:textAlignment w:val="auto"/>
                    <w:rPr>
                      <w:rFonts w:hint="default" w:eastAsia="宋体" w:cs="Times New Roman"/>
                      <w:b w:val="0"/>
                      <w:bCs w:val="0"/>
                      <w:color w:val="auto"/>
                      <w:kern w:val="0"/>
                      <w:sz w:val="21"/>
                      <w:szCs w:val="21"/>
                      <w:highlight w:val="none"/>
                      <w:vertAlign w:val="baseline"/>
                      <w:lang w:val="en-US" w:eastAsia="zh-CN" w:bidi="ar"/>
                    </w:rPr>
                  </w:pPr>
                  <w:r>
                    <w:rPr>
                      <w:rFonts w:hint="eastAsia" w:eastAsia="宋体" w:cs="Times New Roman"/>
                      <w:b w:val="0"/>
                      <w:bCs w:val="0"/>
                      <w:color w:val="auto"/>
                      <w:kern w:val="0"/>
                      <w:sz w:val="21"/>
                      <w:szCs w:val="21"/>
                      <w:highlight w:val="none"/>
                      <w:vertAlign w:val="baseline"/>
                      <w:lang w:val="en-US" w:eastAsia="zh-CN" w:bidi="ar"/>
                    </w:rPr>
                    <w:t>25</w:t>
                  </w:r>
                </w:p>
              </w:tc>
              <w:tc>
                <w:tcPr>
                  <w:tcW w:w="1051" w:type="pct"/>
                  <w:shd w:val="clear" w:color="auto" w:fill="auto"/>
                  <w:noWrap w:val="0"/>
                  <w:vAlign w:val="center"/>
                </w:tcPr>
                <w:p w14:paraId="532C44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宋体"/>
                      <w:color w:val="auto"/>
                      <w:kern w:val="0"/>
                      <w:szCs w:val="21"/>
                      <w:highlight w:val="none"/>
                      <w:lang w:val="en-US" w:eastAsia="zh-CN"/>
                    </w:rPr>
                  </w:pPr>
                  <w:r>
                    <w:rPr>
                      <w:rFonts w:hint="eastAsia" w:ascii="Times New Roman" w:hAnsi="Times New Roman" w:eastAsia="宋体" w:cs="Times New Roman"/>
                      <w:b w:val="0"/>
                      <w:color w:val="auto"/>
                      <w:kern w:val="2"/>
                      <w:sz w:val="21"/>
                      <w:szCs w:val="24"/>
                      <w:highlight w:val="none"/>
                      <w:lang w:val="en-US" w:eastAsia="zh-CN" w:bidi="ar-SA"/>
                    </w:rPr>
                    <w:t>大肠埃希氏菌</w:t>
                  </w:r>
                  <w:r>
                    <w:rPr>
                      <w:rFonts w:hint="default" w:ascii="Times New Roman" w:hAnsi="Times New Roman" w:eastAsia="宋体" w:cs="Times New Roman"/>
                      <w:b w:val="0"/>
                      <w:color w:val="auto"/>
                      <w:kern w:val="2"/>
                      <w:sz w:val="21"/>
                      <w:szCs w:val="24"/>
                      <w:highlight w:val="none"/>
                      <w:lang w:val="en-US" w:eastAsia="zh-CN" w:bidi="ar-SA"/>
                    </w:rPr>
                    <w:t>(</w:t>
                  </w:r>
                  <w:r>
                    <w:rPr>
                      <w:rFonts w:hint="eastAsia" w:ascii="Times New Roman" w:hAnsi="Times New Roman" w:eastAsia="宋体" w:cs="Times New Roman"/>
                      <w:b w:val="0"/>
                      <w:color w:val="auto"/>
                      <w:kern w:val="2"/>
                      <w:sz w:val="21"/>
                      <w:szCs w:val="24"/>
                      <w:highlight w:val="none"/>
                      <w:lang w:val="en-US" w:eastAsia="zh-CN" w:bidi="ar-SA"/>
                    </w:rPr>
                    <w:t>MPN</w:t>
                  </w:r>
                  <w:r>
                    <w:rPr>
                      <w:rFonts w:hint="default" w:ascii="Times New Roman" w:hAnsi="Times New Roman" w:eastAsia="宋体" w:cs="Times New Roman"/>
                      <w:b w:val="0"/>
                      <w:color w:val="auto"/>
                      <w:kern w:val="2"/>
                      <w:sz w:val="21"/>
                      <w:szCs w:val="24"/>
                      <w:highlight w:val="none"/>
                      <w:lang w:val="en-US" w:eastAsia="zh-CN" w:bidi="ar-SA"/>
                    </w:rPr>
                    <w:t>/</w:t>
                  </w:r>
                  <w:r>
                    <w:rPr>
                      <w:rFonts w:hint="eastAsia" w:ascii="Times New Roman" w:hAnsi="Times New Roman" w:eastAsia="宋体" w:cs="Times New Roman"/>
                      <w:b w:val="0"/>
                      <w:color w:val="auto"/>
                      <w:kern w:val="2"/>
                      <w:sz w:val="21"/>
                      <w:szCs w:val="24"/>
                      <w:highlight w:val="none"/>
                      <w:lang w:val="en-US" w:eastAsia="zh-CN" w:bidi="ar-SA"/>
                    </w:rPr>
                    <w:t>100m</w:t>
                  </w:r>
                  <w:r>
                    <w:rPr>
                      <w:rFonts w:hint="default" w:ascii="Times New Roman" w:hAnsi="Times New Roman" w:eastAsia="宋体" w:cs="Times New Roman"/>
                      <w:b w:val="0"/>
                      <w:color w:val="auto"/>
                      <w:kern w:val="2"/>
                      <w:sz w:val="21"/>
                      <w:szCs w:val="24"/>
                      <w:highlight w:val="none"/>
                      <w:lang w:val="en-US" w:eastAsia="zh-CN" w:bidi="ar-SA"/>
                    </w:rPr>
                    <w:t>L</w:t>
                  </w:r>
                  <w:r>
                    <w:rPr>
                      <w:rFonts w:hint="eastAsia" w:ascii="Times New Roman" w:hAnsi="Times New Roman" w:eastAsia="宋体" w:cs="Times New Roman"/>
                      <w:b w:val="0"/>
                      <w:color w:val="auto"/>
                      <w:kern w:val="2"/>
                      <w:sz w:val="21"/>
                      <w:szCs w:val="24"/>
                      <w:highlight w:val="none"/>
                      <w:lang w:val="en-US" w:eastAsia="zh-CN" w:bidi="ar-SA"/>
                    </w:rPr>
                    <w:t>或CFU/100mL</w:t>
                  </w:r>
                  <w:r>
                    <w:rPr>
                      <w:rFonts w:hint="default" w:ascii="Times New Roman" w:hAnsi="Times New Roman" w:eastAsia="宋体" w:cs="Times New Roman"/>
                      <w:b w:val="0"/>
                      <w:color w:val="auto"/>
                      <w:kern w:val="2"/>
                      <w:sz w:val="21"/>
                      <w:szCs w:val="24"/>
                      <w:highlight w:val="none"/>
                      <w:lang w:val="en-US" w:eastAsia="zh-CN" w:bidi="ar-SA"/>
                    </w:rPr>
                    <w:t>)</w:t>
                  </w:r>
                </w:p>
              </w:tc>
              <w:tc>
                <w:tcPr>
                  <w:tcW w:w="1360" w:type="pct"/>
                  <w:tcBorders>
                    <w:right w:val="single" w:color="auto" w:sz="4" w:space="0"/>
                  </w:tcBorders>
                  <w:shd w:val="clear" w:color="auto" w:fill="auto"/>
                  <w:noWrap w:val="0"/>
                  <w:vAlign w:val="center"/>
                </w:tcPr>
                <w:p w14:paraId="04200F22">
                  <w:pPr>
                    <w:widowControl/>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c>
                <w:tcPr>
                  <w:tcW w:w="1197" w:type="pct"/>
                  <w:tcBorders>
                    <w:right w:val="single" w:color="auto" w:sz="4" w:space="0"/>
                  </w:tcBorders>
                  <w:shd w:val="clear" w:color="auto" w:fill="auto"/>
                  <w:noWrap w:val="0"/>
                  <w:vAlign w:val="center"/>
                </w:tcPr>
                <w:p w14:paraId="525756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color w:val="auto"/>
                      <w:kern w:val="0"/>
                      <w:szCs w:val="21"/>
                      <w:highlight w:val="none"/>
                      <w:lang w:val="en-US" w:eastAsia="zh-CN"/>
                    </w:rPr>
                  </w:pPr>
                  <w:r>
                    <w:rPr>
                      <w:rFonts w:hint="eastAsia" w:ascii="Times New Roman" w:hAnsi="Times New Roman" w:eastAsia="宋体" w:cs="Times New Roman"/>
                      <w:b w:val="0"/>
                      <w:color w:val="auto"/>
                      <w:kern w:val="2"/>
                      <w:sz w:val="21"/>
                      <w:szCs w:val="24"/>
                      <w:highlight w:val="none"/>
                      <w:lang w:val="en-US" w:eastAsia="zh-CN" w:bidi="ar-SA"/>
                    </w:rPr>
                    <w:t>无</w:t>
                  </w:r>
                  <w:r>
                    <w:rPr>
                      <w:rFonts w:hint="eastAsia" w:ascii="Times New Roman" w:hAnsi="Times New Roman" w:eastAsia="宋体" w:cs="Times New Roman"/>
                      <w:b w:val="0"/>
                      <w:color w:val="auto"/>
                      <w:kern w:val="2"/>
                      <w:sz w:val="21"/>
                      <w:szCs w:val="24"/>
                      <w:highlight w:val="none"/>
                      <w:vertAlign w:val="superscript"/>
                      <w:lang w:val="en-US" w:eastAsia="zh-CN" w:bidi="ar-SA"/>
                    </w:rPr>
                    <w:t>c</w:t>
                  </w:r>
                </w:p>
              </w:tc>
              <w:tc>
                <w:tcPr>
                  <w:tcW w:w="840" w:type="pct"/>
                  <w:tcBorders>
                    <w:right w:val="single" w:color="auto" w:sz="4" w:space="0"/>
                  </w:tcBorders>
                  <w:shd w:val="clear" w:color="auto" w:fill="auto"/>
                  <w:noWrap w:val="0"/>
                  <w:vAlign w:val="center"/>
                </w:tcPr>
                <w:p w14:paraId="026662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无</w:t>
                  </w:r>
                  <w:r>
                    <w:rPr>
                      <w:rFonts w:hint="eastAsia" w:ascii="Times New Roman" w:hAnsi="Times New Roman" w:eastAsia="宋体" w:cs="Times New Roman"/>
                      <w:b w:val="0"/>
                      <w:color w:val="auto"/>
                      <w:kern w:val="2"/>
                      <w:sz w:val="21"/>
                      <w:szCs w:val="24"/>
                      <w:highlight w:val="none"/>
                      <w:vertAlign w:val="superscript"/>
                      <w:lang w:val="en-US" w:eastAsia="zh-CN" w:bidi="ar-SA"/>
                    </w:rPr>
                    <w:t>c</w:t>
                  </w:r>
                </w:p>
              </w:tc>
            </w:tr>
            <w:tr w14:paraId="2A694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000" w:type="pct"/>
                  <w:gridSpan w:val="5"/>
                  <w:tcBorders>
                    <w:left w:val="single" w:color="auto" w:sz="4" w:space="0"/>
                    <w:bottom w:val="single" w:color="auto" w:sz="4" w:space="0"/>
                    <w:right w:val="single" w:color="auto" w:sz="4" w:space="0"/>
                  </w:tcBorders>
                  <w:noWrap w:val="0"/>
                  <w:vAlign w:val="center"/>
                </w:tcPr>
                <w:p w14:paraId="6DEFDF42">
                  <w:pPr>
                    <w:pStyle w:val="62"/>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both"/>
                    <w:textAlignment w:val="baseline"/>
                    <w:rPr>
                      <w:rFonts w:hint="eastAsia"/>
                      <w:color w:val="auto"/>
                      <w:position w:val="2"/>
                      <w:sz w:val="21"/>
                      <w:szCs w:val="21"/>
                      <w:highlight w:val="none"/>
                      <w:vertAlign w:val="baseline"/>
                      <w:lang w:eastAsia="zh-CN"/>
                    </w:rPr>
                  </w:pPr>
                  <w:r>
                    <w:rPr>
                      <w:rFonts w:hint="eastAsia" w:ascii="Times New Roman" w:hAnsi="Times New Roman" w:eastAsia="宋体"/>
                      <w:color w:val="auto"/>
                      <w:position w:val="2"/>
                      <w:sz w:val="21"/>
                      <w:szCs w:val="21"/>
                      <w:highlight w:val="none"/>
                      <w:lang w:val="en-US" w:eastAsia="zh-CN"/>
                    </w:rPr>
                    <w:t>备注：1.</w:t>
                  </w:r>
                  <w:r>
                    <w:rPr>
                      <w:rFonts w:ascii="Times New Roman" w:hAnsi="Times New Roman" w:eastAsia="Times New Roman"/>
                      <w:color w:val="auto"/>
                      <w:position w:val="2"/>
                      <w:sz w:val="21"/>
                      <w:szCs w:val="21"/>
                      <w:highlight w:val="none"/>
                    </w:rPr>
                    <w:t>NH</w:t>
                  </w:r>
                  <w:r>
                    <w:rPr>
                      <w:rFonts w:ascii="Times New Roman" w:hAnsi="Times New Roman" w:eastAsia="Times New Roman"/>
                      <w:color w:val="auto"/>
                      <w:position w:val="2"/>
                      <w:sz w:val="21"/>
                      <w:szCs w:val="21"/>
                      <w:highlight w:val="none"/>
                      <w:vertAlign w:val="subscript"/>
                    </w:rPr>
                    <w:t>3</w:t>
                  </w:r>
                  <w:r>
                    <w:rPr>
                      <w:rFonts w:ascii="Times New Roman" w:hAnsi="Times New Roman" w:eastAsia="Times New Roman"/>
                      <w:color w:val="auto"/>
                      <w:position w:val="2"/>
                      <w:sz w:val="21"/>
                      <w:szCs w:val="21"/>
                      <w:highlight w:val="none"/>
                      <w:vertAlign w:val="baseline"/>
                    </w:rPr>
                    <w:t>-N</w:t>
                  </w:r>
                  <w:r>
                    <w:rPr>
                      <w:color w:val="auto"/>
                      <w:position w:val="2"/>
                      <w:sz w:val="21"/>
                      <w:szCs w:val="21"/>
                      <w:highlight w:val="none"/>
                      <w:vertAlign w:val="baseline"/>
                    </w:rPr>
                    <w:t>括号外数值为水温＞</w:t>
                  </w:r>
                  <w:r>
                    <w:rPr>
                      <w:rFonts w:ascii="Times New Roman" w:hAnsi="Times New Roman" w:eastAsia="Times New Roman"/>
                      <w:color w:val="auto"/>
                      <w:position w:val="2"/>
                      <w:sz w:val="21"/>
                      <w:szCs w:val="21"/>
                      <w:highlight w:val="none"/>
                      <w:vertAlign w:val="baseline"/>
                    </w:rPr>
                    <w:t>12</w:t>
                  </w:r>
                  <w:r>
                    <w:rPr>
                      <w:color w:val="auto"/>
                      <w:position w:val="2"/>
                      <w:sz w:val="21"/>
                      <w:szCs w:val="21"/>
                      <w:highlight w:val="none"/>
                      <w:vertAlign w:val="baseline"/>
                    </w:rPr>
                    <w:t>℃时的控制指标，括号内数值为水温≤</w:t>
                  </w:r>
                  <w:r>
                    <w:rPr>
                      <w:rFonts w:ascii="Times New Roman" w:hAnsi="Times New Roman" w:eastAsia="Times New Roman"/>
                      <w:color w:val="auto"/>
                      <w:position w:val="2"/>
                      <w:sz w:val="21"/>
                      <w:szCs w:val="21"/>
                      <w:highlight w:val="none"/>
                      <w:vertAlign w:val="baseline"/>
                    </w:rPr>
                    <w:t>12</w:t>
                  </w:r>
                  <w:r>
                    <w:rPr>
                      <w:color w:val="auto"/>
                      <w:position w:val="2"/>
                      <w:sz w:val="21"/>
                      <w:szCs w:val="21"/>
                      <w:highlight w:val="none"/>
                      <w:vertAlign w:val="baseline"/>
                    </w:rPr>
                    <w:t>℃时的控制指标</w:t>
                  </w:r>
                  <w:r>
                    <w:rPr>
                      <w:rFonts w:hint="eastAsia"/>
                      <w:color w:val="auto"/>
                      <w:position w:val="2"/>
                      <w:sz w:val="21"/>
                      <w:szCs w:val="21"/>
                      <w:highlight w:val="none"/>
                      <w:vertAlign w:val="baseline"/>
                      <w:lang w:eastAsia="zh-CN"/>
                    </w:rPr>
                    <w:t>；</w:t>
                  </w:r>
                </w:p>
                <w:p w14:paraId="6AD9411D">
                  <w:pPr>
                    <w:pStyle w:val="62"/>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210" w:firstLineChars="100"/>
                    <w:jc w:val="both"/>
                    <w:textAlignment w:val="baseline"/>
                    <w:rPr>
                      <w:rFonts w:hint="eastAsia"/>
                      <w:color w:val="auto"/>
                      <w:position w:val="2"/>
                      <w:sz w:val="21"/>
                      <w:szCs w:val="21"/>
                      <w:highlight w:val="none"/>
                      <w:vertAlign w:val="baseline"/>
                      <w:lang w:eastAsia="zh-CN"/>
                    </w:rPr>
                  </w:pPr>
                  <w:r>
                    <w:rPr>
                      <w:rFonts w:hint="eastAsia" w:ascii="Times New Roman" w:hAnsi="Times New Roman" w:eastAsia="宋体" w:cs="Times New Roman"/>
                      <w:b w:val="0"/>
                      <w:color w:val="auto"/>
                      <w:kern w:val="2"/>
                      <w:sz w:val="21"/>
                      <w:szCs w:val="24"/>
                      <w:highlight w:val="none"/>
                      <w:lang w:val="en-US" w:eastAsia="zh-CN" w:bidi="ar-SA"/>
                    </w:rPr>
                    <w:t>2.“--”表示对此项无要求</w:t>
                  </w:r>
                </w:p>
                <w:p w14:paraId="4790C38C">
                  <w:pPr>
                    <w:keepNext w:val="0"/>
                    <w:keepLines w:val="0"/>
                    <w:suppressLineNumbers w:val="0"/>
                    <w:spacing w:before="0" w:beforeAutospacing="0" w:after="0" w:afterAutospacing="0"/>
                    <w:ind w:right="0" w:firstLine="210" w:firstLineChars="1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vertAlign w:val="baseline"/>
                      <w:lang w:val="en-US" w:eastAsia="zh-CN"/>
                    </w:rPr>
                    <w:t>3.</w:t>
                  </w:r>
                  <w:r>
                    <w:rPr>
                      <w:rFonts w:hint="eastAsia" w:ascii="Times New Roman" w:hAnsi="Times New Roman" w:cs="Times New Roman"/>
                      <w:color w:val="auto"/>
                      <w:highlight w:val="none"/>
                      <w:vertAlign w:val="superscript"/>
                      <w:lang w:val="en-US" w:eastAsia="zh-CN"/>
                    </w:rPr>
                    <w:t>a</w:t>
                  </w:r>
                  <w:r>
                    <w:rPr>
                      <w:rFonts w:hint="eastAsia" w:ascii="Times New Roman" w:hAnsi="Times New Roman" w:cs="Times New Roman"/>
                      <w:color w:val="auto"/>
                      <w:highlight w:val="none"/>
                      <w:lang w:val="en-US" w:eastAsia="zh-CN"/>
                    </w:rPr>
                    <w:t>括号内指标值为沿海及本地水源中溶解性固体含量较高的区域的指标。</w:t>
                  </w:r>
                </w:p>
                <w:p w14:paraId="03ECFC83">
                  <w:pPr>
                    <w:keepNext w:val="0"/>
                    <w:keepLines w:val="0"/>
                    <w:suppressLineNumbers w:val="0"/>
                    <w:spacing w:before="0" w:beforeAutospacing="0" w:after="0" w:afterAutospacing="0"/>
                    <w:ind w:right="0" w:firstLine="210" w:firstLineChars="1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vertAlign w:val="baseline"/>
                      <w:lang w:val="en-US" w:eastAsia="zh-CN"/>
                    </w:rPr>
                    <w:t>4.</w:t>
                  </w:r>
                  <w:r>
                    <w:rPr>
                      <w:rFonts w:hint="eastAsia" w:ascii="Times New Roman" w:hAnsi="Times New Roman" w:cs="Times New Roman"/>
                      <w:color w:val="auto"/>
                      <w:highlight w:val="none"/>
                      <w:vertAlign w:val="superscript"/>
                      <w:lang w:val="en-US" w:eastAsia="zh-CN"/>
                    </w:rPr>
                    <w:t>b</w:t>
                  </w:r>
                  <w:r>
                    <w:rPr>
                      <w:rFonts w:hint="eastAsia" w:ascii="Times New Roman" w:hAnsi="Times New Roman" w:cs="Times New Roman"/>
                      <w:color w:val="auto"/>
                      <w:highlight w:val="none"/>
                      <w:lang w:val="en-US" w:eastAsia="zh-CN"/>
                    </w:rPr>
                    <w:t>用于城市绿化时，不应超过2.5mg/L。</w:t>
                  </w:r>
                </w:p>
                <w:p w14:paraId="04D8EBA3">
                  <w:pPr>
                    <w:keepNext w:val="0"/>
                    <w:keepLines w:val="0"/>
                    <w:suppressLineNumbers w:val="0"/>
                    <w:spacing w:before="0" w:beforeAutospacing="0" w:after="0" w:afterAutospacing="0"/>
                    <w:ind w:right="0" w:firstLine="210" w:firstLineChars="100"/>
                    <w:rPr>
                      <w:rFonts w:hint="eastAsia"/>
                      <w:color w:val="auto"/>
                      <w:position w:val="2"/>
                      <w:sz w:val="21"/>
                      <w:szCs w:val="21"/>
                      <w:highlight w:val="none"/>
                      <w:vertAlign w:val="baseline"/>
                      <w:lang w:val="en-US" w:eastAsia="zh-CN"/>
                    </w:rPr>
                  </w:pPr>
                  <w:r>
                    <w:rPr>
                      <w:rFonts w:hint="eastAsia" w:ascii="Times New Roman" w:hAnsi="Times New Roman" w:cs="Times New Roman"/>
                      <w:color w:val="auto"/>
                      <w:highlight w:val="none"/>
                      <w:vertAlign w:val="baseline"/>
                      <w:lang w:val="en-US" w:eastAsia="zh-CN"/>
                    </w:rPr>
                    <w:t>5.</w:t>
                  </w:r>
                  <w:r>
                    <w:rPr>
                      <w:rFonts w:hint="eastAsia" w:ascii="Times New Roman" w:hAnsi="Times New Roman" w:cs="Times New Roman"/>
                      <w:color w:val="auto"/>
                      <w:highlight w:val="none"/>
                      <w:vertAlign w:val="superscript"/>
                      <w:lang w:val="en-US" w:eastAsia="zh-CN"/>
                    </w:rPr>
                    <w:t>c</w:t>
                  </w:r>
                  <w:r>
                    <w:rPr>
                      <w:rFonts w:hint="eastAsia" w:ascii="Times New Roman" w:hAnsi="Times New Roman" w:cs="Times New Roman"/>
                      <w:color w:val="auto"/>
                      <w:highlight w:val="none"/>
                      <w:lang w:val="en-US" w:eastAsia="zh-CN"/>
                    </w:rPr>
                    <w:t>大肠埃希氏菌不应检出。</w:t>
                  </w:r>
                </w:p>
              </w:tc>
            </w:tr>
          </w:tbl>
          <w:p w14:paraId="5D0BBB47">
            <w:pPr>
              <w:keepNext w:val="0"/>
              <w:keepLines w:val="0"/>
              <w:pageBreakBefore w:val="0"/>
              <w:widowControl w:val="0"/>
              <w:kinsoku/>
              <w:wordWrap/>
              <w:overflowPunct/>
              <w:topLinePunct w:val="0"/>
              <w:autoSpaceDE/>
              <w:autoSpaceDN/>
              <w:bidi w:val="0"/>
              <w:adjustRightInd w:val="0"/>
              <w:snapToGrid w:val="0"/>
              <w:spacing w:line="360" w:lineRule="auto"/>
              <w:textAlignment w:val="auto"/>
              <w:rPr>
                <w:b w:val="0"/>
                <w:bCs/>
                <w:color w:val="auto"/>
                <w:kern w:val="24"/>
                <w:sz w:val="24"/>
                <w:highlight w:val="none"/>
              </w:rPr>
            </w:pPr>
          </w:p>
          <w:p w14:paraId="3451AB2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kern w:val="24"/>
                <w:sz w:val="24"/>
                <w:highlight w:val="none"/>
              </w:rPr>
            </w:pPr>
            <w:r>
              <w:rPr>
                <w:b/>
                <w:color w:val="auto"/>
                <w:kern w:val="24"/>
                <w:sz w:val="24"/>
                <w:highlight w:val="none"/>
              </w:rPr>
              <w:t>3、噪声排放标准</w:t>
            </w:r>
          </w:p>
          <w:p w14:paraId="137FF3F2">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lang w:eastAsia="zh-CN"/>
              </w:rPr>
              <w:t>（</w:t>
            </w:r>
            <w:r>
              <w:rPr>
                <w:rFonts w:hint="eastAsia"/>
                <w:color w:val="auto"/>
                <w:kern w:val="24"/>
                <w:sz w:val="24"/>
                <w:highlight w:val="none"/>
                <w:lang w:val="en-US" w:eastAsia="zh-CN"/>
              </w:rPr>
              <w:t>1</w:t>
            </w:r>
            <w:r>
              <w:rPr>
                <w:rFonts w:hint="eastAsia"/>
                <w:color w:val="auto"/>
                <w:kern w:val="24"/>
                <w:sz w:val="24"/>
                <w:highlight w:val="none"/>
                <w:lang w:eastAsia="zh-CN"/>
              </w:rPr>
              <w:t>）</w:t>
            </w:r>
            <w:r>
              <w:rPr>
                <w:color w:val="auto"/>
                <w:kern w:val="24"/>
                <w:sz w:val="24"/>
                <w:highlight w:val="none"/>
              </w:rPr>
              <w:t>施工期：施工噪声执行《建筑施工场界环境噪声排放标准》（GB12523-2011），具体限值详见表</w:t>
            </w:r>
            <w:r>
              <w:rPr>
                <w:rFonts w:hint="eastAsia"/>
                <w:color w:val="auto"/>
                <w:kern w:val="24"/>
                <w:sz w:val="24"/>
                <w:highlight w:val="none"/>
              </w:rPr>
              <w:t>3</w:t>
            </w:r>
            <w:r>
              <w:rPr>
                <w:color w:val="auto"/>
                <w:kern w:val="24"/>
                <w:sz w:val="24"/>
                <w:highlight w:val="none"/>
              </w:rPr>
              <w:t>-</w:t>
            </w:r>
            <w:r>
              <w:rPr>
                <w:rFonts w:hint="eastAsia"/>
                <w:color w:val="auto"/>
                <w:kern w:val="24"/>
                <w:sz w:val="24"/>
                <w:highlight w:val="none"/>
                <w:lang w:val="en-US" w:eastAsia="zh-CN"/>
              </w:rPr>
              <w:t>14</w:t>
            </w:r>
            <w:r>
              <w:rPr>
                <w:color w:val="auto"/>
                <w:kern w:val="24"/>
                <w:sz w:val="24"/>
                <w:highlight w:val="none"/>
              </w:rPr>
              <w:t>。</w:t>
            </w:r>
          </w:p>
          <w:p w14:paraId="0931612B">
            <w:pPr>
              <w:pStyle w:val="64"/>
              <w:snapToGrid w:val="0"/>
              <w:spacing w:line="360" w:lineRule="auto"/>
              <w:ind w:firstLine="0"/>
              <w:jc w:val="center"/>
              <w:textAlignment w:val="auto"/>
              <w:rPr>
                <w:b/>
                <w:bCs/>
                <w:color w:val="auto"/>
                <w:sz w:val="24"/>
                <w:szCs w:val="24"/>
                <w:highlight w:val="none"/>
              </w:rPr>
            </w:pPr>
            <w:r>
              <w:rPr>
                <w:b/>
                <w:bCs/>
                <w:color w:val="auto"/>
                <w:sz w:val="24"/>
                <w:szCs w:val="24"/>
                <w:highlight w:val="none"/>
              </w:rPr>
              <w:t>表</w:t>
            </w:r>
            <w:r>
              <w:rPr>
                <w:rFonts w:hint="eastAsia"/>
                <w:b/>
                <w:bCs/>
                <w:color w:val="auto"/>
                <w:sz w:val="24"/>
                <w:szCs w:val="24"/>
                <w:highlight w:val="none"/>
              </w:rPr>
              <w:t>3</w:t>
            </w:r>
            <w:r>
              <w:rPr>
                <w:b/>
                <w:bCs/>
                <w:color w:val="auto"/>
                <w:sz w:val="24"/>
                <w:szCs w:val="24"/>
                <w:highlight w:val="none"/>
              </w:rPr>
              <w:t>-</w:t>
            </w:r>
            <w:r>
              <w:rPr>
                <w:rFonts w:hint="eastAsia"/>
                <w:b/>
                <w:bCs/>
                <w:color w:val="auto"/>
                <w:sz w:val="24"/>
                <w:szCs w:val="24"/>
                <w:highlight w:val="none"/>
                <w:lang w:val="en-US" w:eastAsia="zh-CN"/>
              </w:rPr>
              <w:t>14</w:t>
            </w:r>
            <w:r>
              <w:rPr>
                <w:b/>
                <w:bCs/>
                <w:color w:val="auto"/>
                <w:sz w:val="24"/>
                <w:szCs w:val="24"/>
                <w:highlight w:val="none"/>
              </w:rPr>
              <w:t xml:space="preserve">  建筑施工场界噪声排放限值  单位：dB(A)</w:t>
            </w:r>
          </w:p>
          <w:tbl>
            <w:tblPr>
              <w:tblStyle w:val="30"/>
              <w:tblW w:w="855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79"/>
              <w:gridCol w:w="4280"/>
            </w:tblGrid>
            <w:tr w14:paraId="6ADD3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279" w:type="dxa"/>
                  <w:tcBorders>
                    <w:tl2br w:val="nil"/>
                    <w:tr2bl w:val="nil"/>
                  </w:tcBorders>
                  <w:vAlign w:val="center"/>
                </w:tcPr>
                <w:p w14:paraId="646D9CD5">
                  <w:pPr>
                    <w:adjustRightInd w:val="0"/>
                    <w:snapToGrid w:val="0"/>
                    <w:spacing w:line="360" w:lineRule="exact"/>
                    <w:jc w:val="center"/>
                    <w:rPr>
                      <w:color w:val="auto"/>
                      <w:kern w:val="0"/>
                      <w:szCs w:val="21"/>
                      <w:highlight w:val="none"/>
                    </w:rPr>
                  </w:pPr>
                  <w:r>
                    <w:rPr>
                      <w:caps/>
                      <w:color w:val="auto"/>
                      <w:szCs w:val="21"/>
                      <w:highlight w:val="none"/>
                    </w:rPr>
                    <w:t>昼间</w:t>
                  </w:r>
                </w:p>
              </w:tc>
              <w:tc>
                <w:tcPr>
                  <w:tcW w:w="4280" w:type="dxa"/>
                  <w:tcBorders>
                    <w:tl2br w:val="nil"/>
                    <w:tr2bl w:val="nil"/>
                  </w:tcBorders>
                  <w:vAlign w:val="center"/>
                </w:tcPr>
                <w:p w14:paraId="3FEAC42E">
                  <w:pPr>
                    <w:widowControl/>
                    <w:adjustRightInd w:val="0"/>
                    <w:snapToGrid w:val="0"/>
                    <w:spacing w:line="360" w:lineRule="exact"/>
                    <w:jc w:val="center"/>
                    <w:rPr>
                      <w:color w:val="auto"/>
                      <w:kern w:val="0"/>
                      <w:szCs w:val="21"/>
                      <w:highlight w:val="none"/>
                    </w:rPr>
                  </w:pPr>
                  <w:r>
                    <w:rPr>
                      <w:caps/>
                      <w:color w:val="auto"/>
                      <w:szCs w:val="21"/>
                      <w:highlight w:val="none"/>
                    </w:rPr>
                    <w:t>夜间</w:t>
                  </w:r>
                </w:p>
              </w:tc>
            </w:tr>
            <w:tr w14:paraId="1C7705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4279" w:type="dxa"/>
                  <w:tcBorders>
                    <w:tl2br w:val="nil"/>
                    <w:tr2bl w:val="nil"/>
                  </w:tcBorders>
                  <w:vAlign w:val="center"/>
                </w:tcPr>
                <w:p w14:paraId="76BA4E87">
                  <w:pPr>
                    <w:adjustRightInd w:val="0"/>
                    <w:snapToGrid w:val="0"/>
                    <w:spacing w:line="360" w:lineRule="exact"/>
                    <w:jc w:val="center"/>
                    <w:rPr>
                      <w:color w:val="auto"/>
                      <w:kern w:val="0"/>
                      <w:szCs w:val="21"/>
                      <w:highlight w:val="none"/>
                    </w:rPr>
                  </w:pPr>
                  <w:r>
                    <w:rPr>
                      <w:color w:val="auto"/>
                      <w:szCs w:val="21"/>
                      <w:highlight w:val="none"/>
                    </w:rPr>
                    <w:t>70</w:t>
                  </w:r>
                </w:p>
              </w:tc>
              <w:tc>
                <w:tcPr>
                  <w:tcW w:w="4280" w:type="dxa"/>
                  <w:tcBorders>
                    <w:tl2br w:val="nil"/>
                    <w:tr2bl w:val="nil"/>
                  </w:tcBorders>
                  <w:vAlign w:val="center"/>
                </w:tcPr>
                <w:p w14:paraId="1095AB40">
                  <w:pPr>
                    <w:widowControl/>
                    <w:adjustRightInd w:val="0"/>
                    <w:snapToGrid w:val="0"/>
                    <w:spacing w:line="360" w:lineRule="exact"/>
                    <w:jc w:val="center"/>
                    <w:rPr>
                      <w:color w:val="auto"/>
                      <w:kern w:val="0"/>
                      <w:szCs w:val="21"/>
                      <w:highlight w:val="none"/>
                    </w:rPr>
                  </w:pPr>
                  <w:r>
                    <w:rPr>
                      <w:color w:val="auto"/>
                      <w:szCs w:val="21"/>
                      <w:highlight w:val="none"/>
                    </w:rPr>
                    <w:t>55</w:t>
                  </w:r>
                </w:p>
              </w:tc>
            </w:tr>
          </w:tbl>
          <w:p w14:paraId="2E48A499">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lang w:eastAsia="zh-CN"/>
              </w:rPr>
              <w:t>（</w:t>
            </w:r>
            <w:r>
              <w:rPr>
                <w:rFonts w:hint="eastAsia"/>
                <w:color w:val="auto"/>
                <w:kern w:val="24"/>
                <w:sz w:val="24"/>
                <w:highlight w:val="none"/>
                <w:lang w:val="en-US" w:eastAsia="zh-CN"/>
              </w:rPr>
              <w:t>2</w:t>
            </w:r>
            <w:r>
              <w:rPr>
                <w:rFonts w:hint="eastAsia"/>
                <w:color w:val="auto"/>
                <w:kern w:val="24"/>
                <w:sz w:val="24"/>
                <w:highlight w:val="none"/>
                <w:lang w:eastAsia="zh-CN"/>
              </w:rPr>
              <w:t>）</w:t>
            </w:r>
            <w:r>
              <w:rPr>
                <w:color w:val="auto"/>
                <w:kern w:val="24"/>
                <w:sz w:val="24"/>
                <w:highlight w:val="none"/>
              </w:rPr>
              <w:t>运营期</w:t>
            </w:r>
            <w:r>
              <w:rPr>
                <w:color w:val="auto"/>
                <w:kern w:val="24"/>
                <w:sz w:val="24"/>
                <w:szCs w:val="24"/>
                <w:highlight w:val="none"/>
              </w:rPr>
              <w:t>：</w:t>
            </w:r>
            <w:r>
              <w:rPr>
                <w:rFonts w:hint="eastAsia"/>
                <w:color w:val="auto"/>
                <w:kern w:val="24"/>
                <w:sz w:val="24"/>
                <w:szCs w:val="24"/>
                <w:highlight w:val="none"/>
                <w:lang w:eastAsia="zh-CN"/>
              </w:rPr>
              <w:t>项目</w:t>
            </w:r>
            <w:r>
              <w:rPr>
                <w:rFonts w:hint="eastAsia"/>
                <w:color w:val="auto"/>
                <w:kern w:val="24"/>
                <w:sz w:val="24"/>
                <w:szCs w:val="24"/>
                <w:highlight w:val="none"/>
                <w:lang w:val="en-US" w:eastAsia="zh-CN"/>
              </w:rPr>
              <w:t>区域厂界噪声</w:t>
            </w:r>
            <w:r>
              <w:rPr>
                <w:rFonts w:hint="default"/>
                <w:color w:val="auto"/>
                <w:kern w:val="24"/>
                <w:sz w:val="24"/>
                <w:szCs w:val="24"/>
                <w:highlight w:val="none"/>
                <w:lang w:val="en-US" w:eastAsia="zh-CN"/>
              </w:rPr>
              <w:t>执行GB12348-2008《工业企业厂界环境噪声排放标准》中2类标准限值</w:t>
            </w:r>
            <w:r>
              <w:rPr>
                <w:color w:val="auto"/>
                <w:kern w:val="24"/>
                <w:sz w:val="24"/>
                <w:szCs w:val="24"/>
                <w:highlight w:val="none"/>
              </w:rPr>
              <w:t>。具体限值详见</w:t>
            </w:r>
            <w:r>
              <w:rPr>
                <w:color w:val="auto"/>
                <w:kern w:val="24"/>
                <w:sz w:val="24"/>
                <w:highlight w:val="none"/>
              </w:rPr>
              <w:t>表</w:t>
            </w:r>
            <w:r>
              <w:rPr>
                <w:rFonts w:hint="eastAsia"/>
                <w:color w:val="auto"/>
                <w:kern w:val="24"/>
                <w:sz w:val="24"/>
                <w:highlight w:val="none"/>
              </w:rPr>
              <w:t>3</w:t>
            </w:r>
            <w:r>
              <w:rPr>
                <w:color w:val="auto"/>
                <w:kern w:val="24"/>
                <w:sz w:val="24"/>
                <w:highlight w:val="none"/>
              </w:rPr>
              <w:t>-</w:t>
            </w:r>
            <w:r>
              <w:rPr>
                <w:rFonts w:hint="eastAsia"/>
                <w:color w:val="auto"/>
                <w:kern w:val="24"/>
                <w:sz w:val="24"/>
                <w:highlight w:val="none"/>
                <w:lang w:val="en-US" w:eastAsia="zh-CN"/>
              </w:rPr>
              <w:t>15</w:t>
            </w:r>
            <w:r>
              <w:rPr>
                <w:color w:val="auto"/>
                <w:kern w:val="24"/>
                <w:sz w:val="24"/>
                <w:highlight w:val="none"/>
              </w:rPr>
              <w:t>。</w:t>
            </w:r>
          </w:p>
          <w:p w14:paraId="1A05852B">
            <w:pPr>
              <w:pStyle w:val="64"/>
              <w:snapToGrid w:val="0"/>
              <w:spacing w:line="360" w:lineRule="auto"/>
              <w:ind w:firstLine="0"/>
              <w:jc w:val="center"/>
              <w:textAlignment w:val="auto"/>
              <w:rPr>
                <w:b/>
                <w:bCs/>
                <w:color w:val="auto"/>
                <w:sz w:val="24"/>
                <w:szCs w:val="24"/>
                <w:highlight w:val="none"/>
              </w:rPr>
            </w:pPr>
            <w:r>
              <w:rPr>
                <w:b/>
                <w:bCs/>
                <w:color w:val="auto"/>
                <w:sz w:val="24"/>
                <w:szCs w:val="24"/>
                <w:highlight w:val="none"/>
              </w:rPr>
              <w:t>表</w:t>
            </w:r>
            <w:r>
              <w:rPr>
                <w:rFonts w:hint="eastAsia"/>
                <w:b/>
                <w:bCs/>
                <w:color w:val="auto"/>
                <w:sz w:val="24"/>
                <w:szCs w:val="24"/>
                <w:highlight w:val="none"/>
              </w:rPr>
              <w:t>3</w:t>
            </w:r>
            <w:r>
              <w:rPr>
                <w:b/>
                <w:bCs/>
                <w:color w:val="auto"/>
                <w:sz w:val="24"/>
                <w:szCs w:val="24"/>
                <w:highlight w:val="none"/>
              </w:rPr>
              <w:t>-</w:t>
            </w:r>
            <w:r>
              <w:rPr>
                <w:rFonts w:hint="eastAsia"/>
                <w:b/>
                <w:bCs/>
                <w:color w:val="auto"/>
                <w:sz w:val="24"/>
                <w:szCs w:val="24"/>
                <w:highlight w:val="none"/>
                <w:lang w:val="en-US" w:eastAsia="zh-CN"/>
              </w:rPr>
              <w:t>15</w:t>
            </w:r>
            <w:r>
              <w:rPr>
                <w:rFonts w:hint="eastAsia"/>
                <w:b/>
                <w:bCs/>
                <w:color w:val="auto"/>
                <w:sz w:val="24"/>
                <w:szCs w:val="24"/>
                <w:highlight w:val="none"/>
              </w:rPr>
              <w:t xml:space="preserve"> </w:t>
            </w:r>
            <w:r>
              <w:rPr>
                <w:b/>
                <w:bCs/>
                <w:color w:val="auto"/>
                <w:sz w:val="24"/>
                <w:szCs w:val="24"/>
                <w:highlight w:val="none"/>
              </w:rPr>
              <w:t xml:space="preserve"> 工业企业厂界环境噪声排放标准   单位：dB(A)</w:t>
            </w:r>
          </w:p>
          <w:tbl>
            <w:tblPr>
              <w:tblStyle w:val="30"/>
              <w:tblW w:w="855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317"/>
              <w:gridCol w:w="2551"/>
              <w:gridCol w:w="2691"/>
            </w:tblGrid>
            <w:tr w14:paraId="16476E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3317" w:type="dxa"/>
                  <w:tcBorders>
                    <w:tl2br w:val="nil"/>
                    <w:tr2bl w:val="nil"/>
                  </w:tcBorders>
                  <w:vAlign w:val="center"/>
                </w:tcPr>
                <w:p w14:paraId="79DB13EF">
                  <w:pPr>
                    <w:adjustRightInd w:val="0"/>
                    <w:snapToGrid w:val="0"/>
                    <w:jc w:val="center"/>
                    <w:rPr>
                      <w:color w:val="auto"/>
                      <w:szCs w:val="21"/>
                      <w:highlight w:val="none"/>
                    </w:rPr>
                  </w:pPr>
                  <w:r>
                    <w:rPr>
                      <w:color w:val="auto"/>
                      <w:szCs w:val="21"/>
                      <w:highlight w:val="none"/>
                    </w:rPr>
                    <w:t>类别</w:t>
                  </w:r>
                </w:p>
              </w:tc>
              <w:tc>
                <w:tcPr>
                  <w:tcW w:w="2551" w:type="dxa"/>
                  <w:tcBorders>
                    <w:tl2br w:val="nil"/>
                    <w:tr2bl w:val="nil"/>
                  </w:tcBorders>
                  <w:vAlign w:val="center"/>
                </w:tcPr>
                <w:p w14:paraId="5872CAAD">
                  <w:pPr>
                    <w:adjustRightInd w:val="0"/>
                    <w:snapToGrid w:val="0"/>
                    <w:jc w:val="center"/>
                    <w:rPr>
                      <w:color w:val="auto"/>
                      <w:szCs w:val="21"/>
                      <w:highlight w:val="none"/>
                    </w:rPr>
                  </w:pPr>
                  <w:r>
                    <w:rPr>
                      <w:color w:val="auto"/>
                      <w:szCs w:val="21"/>
                      <w:highlight w:val="none"/>
                    </w:rPr>
                    <w:t>昼间</w:t>
                  </w:r>
                </w:p>
              </w:tc>
              <w:tc>
                <w:tcPr>
                  <w:tcW w:w="2691" w:type="dxa"/>
                  <w:tcBorders>
                    <w:tl2br w:val="nil"/>
                    <w:tr2bl w:val="nil"/>
                  </w:tcBorders>
                  <w:vAlign w:val="center"/>
                </w:tcPr>
                <w:p w14:paraId="5D6238C9">
                  <w:pPr>
                    <w:adjustRightInd w:val="0"/>
                    <w:snapToGrid w:val="0"/>
                    <w:jc w:val="center"/>
                    <w:rPr>
                      <w:color w:val="auto"/>
                      <w:szCs w:val="21"/>
                      <w:highlight w:val="none"/>
                    </w:rPr>
                  </w:pPr>
                  <w:r>
                    <w:rPr>
                      <w:color w:val="auto"/>
                      <w:szCs w:val="21"/>
                      <w:highlight w:val="none"/>
                    </w:rPr>
                    <w:t>夜间</w:t>
                  </w:r>
                </w:p>
              </w:tc>
            </w:tr>
            <w:tr w14:paraId="76D336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3317" w:type="dxa"/>
                  <w:tcBorders>
                    <w:tl2br w:val="nil"/>
                    <w:tr2bl w:val="nil"/>
                  </w:tcBorders>
                  <w:vAlign w:val="center"/>
                </w:tcPr>
                <w:p w14:paraId="1FA74177">
                  <w:pPr>
                    <w:adjustRightInd w:val="0"/>
                    <w:snapToGrid w:val="0"/>
                    <w:jc w:val="center"/>
                    <w:rPr>
                      <w:color w:val="auto"/>
                      <w:szCs w:val="21"/>
                      <w:highlight w:val="none"/>
                    </w:rPr>
                  </w:pPr>
                  <w:r>
                    <w:rPr>
                      <w:rFonts w:hint="eastAsia"/>
                      <w:color w:val="auto"/>
                      <w:szCs w:val="21"/>
                      <w:highlight w:val="none"/>
                      <w:lang w:val="en-US" w:eastAsia="zh-CN"/>
                    </w:rPr>
                    <w:t>2</w:t>
                  </w:r>
                  <w:r>
                    <w:rPr>
                      <w:color w:val="auto"/>
                      <w:szCs w:val="21"/>
                      <w:highlight w:val="none"/>
                    </w:rPr>
                    <w:t>类</w:t>
                  </w:r>
                </w:p>
              </w:tc>
              <w:tc>
                <w:tcPr>
                  <w:tcW w:w="2551" w:type="dxa"/>
                  <w:tcBorders>
                    <w:tl2br w:val="nil"/>
                    <w:tr2bl w:val="nil"/>
                  </w:tcBorders>
                  <w:vAlign w:val="center"/>
                </w:tcPr>
                <w:p w14:paraId="6EF680B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60</w:t>
                  </w:r>
                </w:p>
              </w:tc>
              <w:tc>
                <w:tcPr>
                  <w:tcW w:w="2691" w:type="dxa"/>
                  <w:tcBorders>
                    <w:tl2br w:val="nil"/>
                    <w:tr2bl w:val="nil"/>
                  </w:tcBorders>
                  <w:vAlign w:val="center"/>
                </w:tcPr>
                <w:p w14:paraId="749A9F25">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w:t>
                  </w:r>
                </w:p>
              </w:tc>
            </w:tr>
          </w:tbl>
          <w:p w14:paraId="55C9A32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24"/>
                <w:sz w:val="24"/>
                <w:highlight w:val="none"/>
              </w:rPr>
            </w:pPr>
            <w:r>
              <w:rPr>
                <w:b/>
                <w:bCs/>
                <w:color w:val="auto"/>
                <w:kern w:val="24"/>
                <w:sz w:val="24"/>
                <w:highlight w:val="none"/>
              </w:rPr>
              <w:t>4、固体废物</w:t>
            </w:r>
          </w:p>
          <w:p w14:paraId="0B7B541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24"/>
                <w:sz w:val="24"/>
                <w:highlight w:val="none"/>
              </w:rPr>
            </w:pPr>
            <w:r>
              <w:rPr>
                <w:rFonts w:hint="eastAsia"/>
                <w:color w:val="auto"/>
                <w:kern w:val="24"/>
                <w:sz w:val="24"/>
                <w:highlight w:val="none"/>
                <w:lang w:eastAsia="zh-CN"/>
              </w:rPr>
              <w:t>（</w:t>
            </w:r>
            <w:r>
              <w:rPr>
                <w:rFonts w:hint="eastAsia"/>
                <w:color w:val="auto"/>
                <w:kern w:val="24"/>
                <w:sz w:val="24"/>
                <w:highlight w:val="none"/>
              </w:rPr>
              <w:t>1）</w:t>
            </w:r>
            <w:r>
              <w:rPr>
                <w:rFonts w:hint="default"/>
                <w:color w:val="auto"/>
                <w:kern w:val="24"/>
                <w:sz w:val="24"/>
                <w:highlight w:val="none"/>
              </w:rPr>
              <w:t>一般固废暂存及处置：</w:t>
            </w:r>
            <w:r>
              <w:rPr>
                <w:rFonts w:hint="eastAsia"/>
                <w:color w:val="auto"/>
                <w:kern w:val="24"/>
                <w:sz w:val="24"/>
                <w:highlight w:val="none"/>
              </w:rPr>
              <w:t>《一般工业固体废物贮存和填埋污染控制标准》（GB 18599-2020）。</w:t>
            </w:r>
          </w:p>
          <w:p w14:paraId="5C9DE950">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kern w:val="24"/>
                <w:sz w:val="24"/>
                <w:highlight w:val="none"/>
              </w:rPr>
              <w:t>（2）</w:t>
            </w:r>
            <w:r>
              <w:rPr>
                <w:rFonts w:hint="default"/>
                <w:color w:val="auto"/>
                <w:kern w:val="24"/>
                <w:sz w:val="24"/>
                <w:highlight w:val="none"/>
              </w:rPr>
              <w:t>危险废物收集、暂存、转移及处置：危险废物按《国家危险废物名录（202</w:t>
            </w:r>
            <w:r>
              <w:rPr>
                <w:rFonts w:hint="eastAsia"/>
                <w:color w:val="auto"/>
                <w:kern w:val="24"/>
                <w:sz w:val="24"/>
                <w:highlight w:val="none"/>
                <w:lang w:val="en-US" w:eastAsia="zh-CN"/>
              </w:rPr>
              <w:t>5</w:t>
            </w:r>
            <w:r>
              <w:rPr>
                <w:rFonts w:hint="default"/>
                <w:color w:val="auto"/>
                <w:kern w:val="24"/>
                <w:sz w:val="24"/>
                <w:highlight w:val="none"/>
              </w:rPr>
              <w:t>版）》（自2025年1月1日起施行）进行分类；危险废物暂存及处置执行《危险废物贮存污染控制标准》</w:t>
            </w:r>
            <w:r>
              <w:rPr>
                <w:rFonts w:hint="eastAsia"/>
                <w:color w:val="auto"/>
                <w:kern w:val="24"/>
                <w:sz w:val="24"/>
                <w:highlight w:val="none"/>
                <w:lang w:eastAsia="zh-CN"/>
              </w:rPr>
              <w:t>（</w:t>
            </w:r>
            <w:r>
              <w:rPr>
                <w:rFonts w:hint="default"/>
                <w:color w:val="auto"/>
                <w:kern w:val="24"/>
                <w:sz w:val="24"/>
                <w:highlight w:val="none"/>
              </w:rPr>
              <w:t>GB18597-2</w:t>
            </w:r>
            <w:r>
              <w:rPr>
                <w:rFonts w:hint="eastAsia"/>
                <w:color w:val="auto"/>
                <w:kern w:val="24"/>
                <w:sz w:val="24"/>
                <w:highlight w:val="none"/>
                <w:lang w:val="en-US" w:eastAsia="zh-CN"/>
              </w:rPr>
              <w:t>023</w:t>
            </w:r>
            <w:r>
              <w:rPr>
                <w:rFonts w:hint="eastAsia"/>
                <w:color w:val="auto"/>
                <w:kern w:val="24"/>
                <w:sz w:val="24"/>
                <w:highlight w:val="none"/>
                <w:lang w:eastAsia="zh-CN"/>
              </w:rPr>
              <w:t>）</w:t>
            </w:r>
            <w:r>
              <w:rPr>
                <w:rFonts w:hint="default"/>
                <w:color w:val="auto"/>
                <w:kern w:val="24"/>
                <w:sz w:val="24"/>
                <w:highlight w:val="none"/>
              </w:rPr>
              <w:t>标准要求；危险废物的转移依照</w:t>
            </w:r>
            <w:r>
              <w:rPr>
                <w:rFonts w:hint="eastAsia"/>
                <w:color w:val="auto"/>
                <w:kern w:val="24"/>
                <w:sz w:val="24"/>
                <w:highlight w:val="none"/>
              </w:rPr>
              <w:t>《危险废物转移管理办法》（生态环境部、公安部、交通运输部令第23号）（2022年1月1日起施行）</w:t>
            </w:r>
            <w:r>
              <w:rPr>
                <w:rFonts w:hint="eastAsia"/>
                <w:color w:val="auto"/>
                <w:kern w:val="24"/>
                <w:sz w:val="24"/>
                <w:highlight w:val="none"/>
                <w:lang w:eastAsia="zh-CN"/>
              </w:rPr>
              <w:t>。</w:t>
            </w:r>
          </w:p>
        </w:tc>
      </w:tr>
      <w:tr w14:paraId="12697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6" w:type="dxa"/>
            <w:vAlign w:val="center"/>
          </w:tcPr>
          <w:p w14:paraId="1BB5A23C">
            <w:pPr>
              <w:adjustRightInd w:val="0"/>
              <w:snapToGrid w:val="0"/>
              <w:jc w:val="center"/>
              <w:rPr>
                <w:color w:val="auto"/>
                <w:kern w:val="0"/>
                <w:sz w:val="24"/>
                <w:highlight w:val="none"/>
              </w:rPr>
            </w:pPr>
            <w:r>
              <w:rPr>
                <w:rFonts w:hAnsi="宋体"/>
                <w:color w:val="auto"/>
                <w:kern w:val="0"/>
                <w:sz w:val="24"/>
                <w:highlight w:val="none"/>
              </w:rPr>
              <w:t>总量</w:t>
            </w:r>
          </w:p>
          <w:p w14:paraId="6C91E979">
            <w:pPr>
              <w:adjustRightInd w:val="0"/>
              <w:snapToGrid w:val="0"/>
              <w:jc w:val="center"/>
              <w:rPr>
                <w:color w:val="auto"/>
                <w:kern w:val="0"/>
                <w:sz w:val="24"/>
                <w:highlight w:val="none"/>
              </w:rPr>
            </w:pPr>
            <w:r>
              <w:rPr>
                <w:rFonts w:hAnsi="宋体"/>
                <w:color w:val="auto"/>
                <w:kern w:val="0"/>
                <w:sz w:val="24"/>
                <w:highlight w:val="none"/>
              </w:rPr>
              <w:t>控制</w:t>
            </w:r>
          </w:p>
          <w:p w14:paraId="37E83BA3">
            <w:pPr>
              <w:adjustRightInd w:val="0"/>
              <w:snapToGrid w:val="0"/>
              <w:jc w:val="center"/>
              <w:rPr>
                <w:color w:val="auto"/>
                <w:kern w:val="0"/>
                <w:sz w:val="24"/>
                <w:highlight w:val="none"/>
              </w:rPr>
            </w:pPr>
            <w:r>
              <w:rPr>
                <w:rFonts w:hAnsi="宋体"/>
                <w:color w:val="auto"/>
                <w:kern w:val="0"/>
                <w:sz w:val="24"/>
                <w:highlight w:val="none"/>
              </w:rPr>
              <w:t>指标</w:t>
            </w:r>
          </w:p>
        </w:tc>
        <w:tc>
          <w:tcPr>
            <w:tcW w:w="8729" w:type="dxa"/>
          </w:tcPr>
          <w:p w14:paraId="0FD966A8">
            <w:pPr>
              <w:adjustRightInd w:val="0"/>
              <w:snapToGrid w:val="0"/>
              <w:spacing w:line="360" w:lineRule="auto"/>
              <w:ind w:firstLine="480" w:firstLineChars="200"/>
              <w:rPr>
                <w:color w:val="auto"/>
                <w:kern w:val="24"/>
                <w:sz w:val="24"/>
                <w:highlight w:val="none"/>
              </w:rPr>
            </w:pPr>
            <w:r>
              <w:rPr>
                <w:color w:val="auto"/>
                <w:kern w:val="24"/>
                <w:sz w:val="24"/>
                <w:highlight w:val="none"/>
              </w:rPr>
              <w:t>据国家环境保护工作</w:t>
            </w:r>
            <w:r>
              <w:rPr>
                <w:rFonts w:asciiTheme="minorEastAsia" w:hAnsiTheme="minorEastAsia" w:eastAsiaTheme="minorEastAsia"/>
                <w:color w:val="auto"/>
                <w:kern w:val="24"/>
                <w:sz w:val="24"/>
                <w:highlight w:val="none"/>
              </w:rPr>
              <w:t>“十</w:t>
            </w:r>
            <w:r>
              <w:rPr>
                <w:rFonts w:hint="eastAsia" w:asciiTheme="minorEastAsia" w:hAnsiTheme="minorEastAsia" w:eastAsiaTheme="minorEastAsia"/>
                <w:color w:val="auto"/>
                <w:kern w:val="24"/>
                <w:sz w:val="24"/>
                <w:highlight w:val="none"/>
                <w:lang w:eastAsia="zh-CN"/>
              </w:rPr>
              <w:t>四</w:t>
            </w:r>
            <w:r>
              <w:rPr>
                <w:rFonts w:asciiTheme="minorEastAsia" w:hAnsiTheme="minorEastAsia" w:eastAsiaTheme="minorEastAsia"/>
                <w:color w:val="auto"/>
                <w:kern w:val="24"/>
                <w:sz w:val="24"/>
                <w:highlight w:val="none"/>
              </w:rPr>
              <w:t>五”</w:t>
            </w:r>
            <w:r>
              <w:rPr>
                <w:color w:val="auto"/>
                <w:kern w:val="24"/>
                <w:sz w:val="24"/>
                <w:highlight w:val="none"/>
              </w:rPr>
              <w:t>规划的相关规定，项目涉及的总量指标为</w:t>
            </w:r>
            <w:r>
              <w:rPr>
                <w:rFonts w:hint="eastAsia"/>
                <w:color w:val="auto"/>
                <w:kern w:val="24"/>
                <w:sz w:val="24"/>
                <w:highlight w:val="none"/>
                <w:lang w:val="en-US" w:eastAsia="zh-CN"/>
              </w:rPr>
              <w:t>PM</w:t>
            </w:r>
            <w:r>
              <w:rPr>
                <w:rFonts w:hint="eastAsia"/>
                <w:color w:val="auto"/>
                <w:kern w:val="24"/>
                <w:sz w:val="24"/>
                <w:highlight w:val="none"/>
                <w:vertAlign w:val="subscript"/>
                <w:lang w:val="en-US" w:eastAsia="zh-CN"/>
              </w:rPr>
              <w:t>2.5</w:t>
            </w:r>
            <w:r>
              <w:rPr>
                <w:rFonts w:hint="eastAsia"/>
                <w:color w:val="auto"/>
                <w:kern w:val="24"/>
                <w:sz w:val="24"/>
                <w:highlight w:val="none"/>
                <w:lang w:val="en-US" w:eastAsia="zh-CN"/>
              </w:rPr>
              <w:t>、挥发性有机物、</w:t>
            </w:r>
            <w:r>
              <w:rPr>
                <w:color w:val="auto"/>
                <w:kern w:val="24"/>
                <w:sz w:val="24"/>
                <w:highlight w:val="none"/>
              </w:rPr>
              <w:t>NO</w:t>
            </w:r>
            <w:r>
              <w:rPr>
                <w:color w:val="auto"/>
                <w:kern w:val="24"/>
                <w:sz w:val="24"/>
                <w:highlight w:val="none"/>
                <w:vertAlign w:val="subscript"/>
              </w:rPr>
              <w:t>x</w:t>
            </w:r>
            <w:r>
              <w:rPr>
                <w:color w:val="auto"/>
                <w:kern w:val="24"/>
                <w:sz w:val="24"/>
                <w:highlight w:val="none"/>
              </w:rPr>
              <w:t>、COD、NH</w:t>
            </w:r>
            <w:r>
              <w:rPr>
                <w:color w:val="auto"/>
                <w:kern w:val="24"/>
                <w:sz w:val="24"/>
                <w:highlight w:val="none"/>
                <w:vertAlign w:val="subscript"/>
              </w:rPr>
              <w:t>3</w:t>
            </w:r>
            <w:r>
              <w:rPr>
                <w:color w:val="auto"/>
                <w:kern w:val="24"/>
                <w:sz w:val="24"/>
                <w:highlight w:val="none"/>
              </w:rPr>
              <w:t>-N。</w:t>
            </w:r>
          </w:p>
          <w:p w14:paraId="5EB5E917">
            <w:pPr>
              <w:tabs>
                <w:tab w:val="left" w:pos="1803"/>
              </w:tabs>
              <w:spacing w:line="360" w:lineRule="auto"/>
              <w:ind w:firstLine="480" w:firstLineChars="200"/>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1</w:t>
            </w:r>
            <w:r>
              <w:rPr>
                <w:rFonts w:ascii="Times New Roman" w:hAnsi="Times New Roman"/>
                <w:color w:val="auto"/>
                <w:sz w:val="24"/>
                <w:highlight w:val="none"/>
              </w:rPr>
              <w:t>、</w:t>
            </w:r>
            <w:r>
              <w:rPr>
                <w:rFonts w:hint="eastAsia" w:ascii="Times New Roman" w:hAnsi="Times New Roman" w:eastAsia="宋体"/>
                <w:color w:val="auto"/>
                <w:sz w:val="24"/>
                <w:highlight w:val="none"/>
                <w:lang w:eastAsia="zh-CN"/>
              </w:rPr>
              <w:t>废水</w:t>
            </w:r>
            <w:r>
              <w:rPr>
                <w:rFonts w:hint="eastAsia" w:ascii="Times New Roman" w:hAnsi="Times New Roman" w:eastAsia="宋体"/>
                <w:color w:val="auto"/>
                <w:sz w:val="24"/>
                <w:highlight w:val="none"/>
                <w:lang w:val="en-US" w:eastAsia="zh-CN"/>
              </w:rPr>
              <w:t xml:space="preserve"> </w:t>
            </w:r>
          </w:p>
          <w:p w14:paraId="71F9A26E">
            <w:pPr>
              <w:tabs>
                <w:tab w:val="left" w:pos="1803"/>
              </w:tabs>
              <w:spacing w:line="360" w:lineRule="auto"/>
              <w:ind w:firstLine="480" w:firstLineChars="200"/>
              <w:rPr>
                <w:rFonts w:ascii="Times New Roman" w:hAnsi="Times New Roman"/>
                <w:color w:val="auto"/>
                <w:sz w:val="24"/>
                <w:highlight w:val="none"/>
              </w:rPr>
            </w:pPr>
            <w:r>
              <w:rPr>
                <w:rFonts w:ascii="Times New Roman" w:hAnsi="Times New Roman"/>
                <w:b w:val="0"/>
                <w:bCs/>
                <w:color w:val="auto"/>
                <w:sz w:val="24"/>
                <w:highlight w:val="none"/>
              </w:rPr>
              <w:t>本项目</w:t>
            </w:r>
            <w:r>
              <w:rPr>
                <w:rFonts w:hint="eastAsia"/>
                <w:b w:val="0"/>
                <w:bCs w:val="0"/>
                <w:color w:val="auto"/>
                <w:sz w:val="24"/>
                <w:highlight w:val="none"/>
                <w:lang w:eastAsia="zh-CN"/>
              </w:rPr>
              <w:t>尾水</w:t>
            </w:r>
            <w:r>
              <w:rPr>
                <w:rFonts w:hint="eastAsia"/>
                <w:b w:val="0"/>
                <w:bCs w:val="0"/>
                <w:color w:val="auto"/>
                <w:sz w:val="24"/>
                <w:highlight w:val="none"/>
                <w:lang w:val="en-US" w:eastAsia="zh-CN"/>
              </w:rPr>
              <w:t>回用于场区绿化灌溉，尾水不外排，不申请总量指标</w:t>
            </w:r>
            <w:r>
              <w:rPr>
                <w:rFonts w:ascii="Times New Roman" w:hAnsi="Times New Roman"/>
                <w:color w:val="auto"/>
                <w:sz w:val="24"/>
                <w:highlight w:val="none"/>
              </w:rPr>
              <w:t>。</w:t>
            </w:r>
          </w:p>
          <w:p w14:paraId="6E90A133">
            <w:pPr>
              <w:tabs>
                <w:tab w:val="left" w:pos="1803"/>
              </w:tabs>
              <w:spacing w:line="360" w:lineRule="auto"/>
              <w:ind w:firstLine="480" w:firstLineChars="200"/>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lang w:val="en-US" w:eastAsia="zh-CN"/>
              </w:rPr>
              <w:t>2</w:t>
            </w:r>
            <w:r>
              <w:rPr>
                <w:rFonts w:hint="eastAsia" w:ascii="Times New Roman" w:hAnsi="Times New Roman" w:eastAsia="宋体"/>
                <w:color w:val="auto"/>
                <w:sz w:val="24"/>
                <w:highlight w:val="none"/>
                <w:lang w:eastAsia="zh-CN"/>
              </w:rPr>
              <w:t>、废气</w:t>
            </w:r>
          </w:p>
          <w:p w14:paraId="4EEA1AE4">
            <w:pPr>
              <w:tabs>
                <w:tab w:val="left" w:pos="1803"/>
              </w:tabs>
              <w:spacing w:line="360" w:lineRule="auto"/>
              <w:ind w:firstLine="480" w:firstLineChars="200"/>
              <w:rPr>
                <w:rFonts w:hint="eastAsia" w:ascii="Times New Roman" w:hAnsi="Times New Roman" w:eastAsia="宋体"/>
                <w:color w:val="auto"/>
                <w:sz w:val="24"/>
                <w:highlight w:val="none"/>
                <w:lang w:eastAsia="zh-CN"/>
              </w:rPr>
            </w:pPr>
            <w:r>
              <w:rPr>
                <w:rFonts w:hint="default" w:ascii="Times New Roman" w:hAnsi="Times New Roman" w:eastAsia="宋体" w:cs="Times New Roman"/>
                <w:color w:val="auto"/>
                <w:kern w:val="24"/>
                <w:sz w:val="24"/>
                <w:highlight w:val="none"/>
                <w:lang w:val="en-US" w:eastAsia="zh-CN"/>
              </w:rPr>
              <w:t>本项目废气主要</w:t>
            </w:r>
            <w:r>
              <w:rPr>
                <w:rFonts w:hint="eastAsia" w:ascii="Times New Roman" w:hAnsi="Times New Roman" w:eastAsia="宋体" w:cs="Times New Roman"/>
                <w:color w:val="auto"/>
                <w:kern w:val="24"/>
                <w:sz w:val="24"/>
                <w:highlight w:val="none"/>
                <w:lang w:val="en-US" w:eastAsia="zh-CN"/>
              </w:rPr>
              <w:t>为污水处理</w:t>
            </w:r>
            <w:r>
              <w:rPr>
                <w:rFonts w:hint="default" w:ascii="Times New Roman" w:hAnsi="Times New Roman" w:eastAsia="宋体" w:cs="Times New Roman"/>
                <w:color w:val="auto"/>
                <w:kern w:val="24"/>
                <w:sz w:val="24"/>
                <w:highlight w:val="none"/>
                <w:lang w:val="en-US" w:eastAsia="zh-CN"/>
              </w:rPr>
              <w:t>过程中</w:t>
            </w:r>
            <w:r>
              <w:rPr>
                <w:rFonts w:hint="eastAsia" w:ascii="Times New Roman" w:hAnsi="Times New Roman" w:eastAsia="宋体" w:cs="Times New Roman"/>
                <w:color w:val="auto"/>
                <w:kern w:val="24"/>
                <w:sz w:val="24"/>
                <w:highlight w:val="none"/>
                <w:lang w:val="en-US" w:eastAsia="zh-CN"/>
              </w:rPr>
              <w:t>产生的NH</w:t>
            </w:r>
            <w:r>
              <w:rPr>
                <w:rFonts w:hint="eastAsia" w:ascii="Times New Roman" w:hAnsi="Times New Roman" w:eastAsia="宋体" w:cs="Times New Roman"/>
                <w:color w:val="auto"/>
                <w:kern w:val="24"/>
                <w:sz w:val="24"/>
                <w:highlight w:val="none"/>
                <w:vertAlign w:val="subscript"/>
                <w:lang w:val="en-US" w:eastAsia="zh-CN"/>
              </w:rPr>
              <w:t>3</w:t>
            </w:r>
            <w:r>
              <w:rPr>
                <w:rFonts w:hint="eastAsia" w:ascii="Times New Roman" w:hAnsi="Times New Roman" w:eastAsia="宋体" w:cs="Times New Roman"/>
                <w:color w:val="auto"/>
                <w:kern w:val="24"/>
                <w:sz w:val="24"/>
                <w:highlight w:val="none"/>
                <w:lang w:val="en-US" w:eastAsia="zh-CN"/>
              </w:rPr>
              <w:t>、H</w:t>
            </w:r>
            <w:r>
              <w:rPr>
                <w:rFonts w:hint="eastAsia" w:ascii="Times New Roman" w:hAnsi="Times New Roman" w:eastAsia="宋体" w:cs="Times New Roman"/>
                <w:color w:val="auto"/>
                <w:kern w:val="24"/>
                <w:sz w:val="24"/>
                <w:highlight w:val="none"/>
                <w:vertAlign w:val="subscript"/>
                <w:lang w:val="en-US" w:eastAsia="zh-CN"/>
              </w:rPr>
              <w:t>2</w:t>
            </w:r>
            <w:r>
              <w:rPr>
                <w:rFonts w:hint="eastAsia" w:ascii="Times New Roman" w:hAnsi="Times New Roman" w:eastAsia="宋体" w:cs="Times New Roman"/>
                <w:color w:val="auto"/>
                <w:kern w:val="24"/>
                <w:sz w:val="24"/>
                <w:highlight w:val="none"/>
                <w:lang w:val="en-US" w:eastAsia="zh-CN"/>
              </w:rPr>
              <w:t>S</w:t>
            </w:r>
            <w:r>
              <w:rPr>
                <w:rFonts w:hint="default" w:ascii="Times New Roman" w:hAnsi="Times New Roman" w:eastAsia="宋体" w:cs="Times New Roman"/>
                <w:color w:val="auto"/>
                <w:kern w:val="24"/>
                <w:sz w:val="24"/>
                <w:highlight w:val="none"/>
                <w:lang w:val="en-US" w:eastAsia="zh-CN"/>
              </w:rPr>
              <w:t>，</w:t>
            </w:r>
            <w:r>
              <w:rPr>
                <w:rFonts w:hint="eastAsia" w:cs="Times New Roman"/>
                <w:color w:val="auto"/>
                <w:kern w:val="24"/>
                <w:sz w:val="24"/>
                <w:highlight w:val="none"/>
                <w:lang w:val="en-US" w:eastAsia="zh-CN"/>
              </w:rPr>
              <w:t>不设总量控制指标</w:t>
            </w:r>
            <w:r>
              <w:rPr>
                <w:rFonts w:hint="eastAsia" w:ascii="宋体" w:hAnsi="宋体" w:cs="宋体"/>
                <w:color w:val="auto"/>
                <w:sz w:val="24"/>
                <w:szCs w:val="24"/>
                <w:highlight w:val="none"/>
              </w:rPr>
              <w:t>。</w:t>
            </w:r>
          </w:p>
          <w:p w14:paraId="3ACE0091">
            <w:pPr>
              <w:tabs>
                <w:tab w:val="left" w:pos="1803"/>
              </w:tabs>
              <w:spacing w:line="360" w:lineRule="auto"/>
              <w:ind w:firstLine="480" w:firstLineChars="200"/>
              <w:rPr>
                <w:rFonts w:ascii="Times New Roman" w:hAnsi="Times New Roman"/>
                <w:color w:val="auto"/>
                <w:sz w:val="24"/>
                <w:highlight w:val="none"/>
              </w:rPr>
            </w:pPr>
            <w:r>
              <w:rPr>
                <w:rFonts w:hint="eastAsia" w:ascii="Times New Roman" w:hAnsi="Times New Roman" w:eastAsia="宋体"/>
                <w:color w:val="auto"/>
                <w:sz w:val="24"/>
                <w:highlight w:val="none"/>
                <w:lang w:val="en-US" w:eastAsia="zh-CN"/>
              </w:rPr>
              <w:t>3</w:t>
            </w:r>
            <w:r>
              <w:rPr>
                <w:rFonts w:ascii="Times New Roman" w:hAnsi="Times New Roman"/>
                <w:color w:val="auto"/>
                <w:sz w:val="24"/>
                <w:highlight w:val="none"/>
              </w:rPr>
              <w:t>、固废</w:t>
            </w:r>
          </w:p>
          <w:p w14:paraId="63F5FBED">
            <w:pPr>
              <w:tabs>
                <w:tab w:val="left" w:pos="1803"/>
              </w:tabs>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固体废物处理率 100%。</w:t>
            </w:r>
          </w:p>
          <w:p w14:paraId="292C5E38">
            <w:pPr>
              <w:adjustRightInd w:val="0"/>
              <w:snapToGrid w:val="0"/>
              <w:spacing w:line="360" w:lineRule="auto"/>
              <w:ind w:firstLine="480" w:firstLineChars="200"/>
              <w:rPr>
                <w:rFonts w:hint="eastAsia"/>
                <w:color w:val="auto"/>
                <w:kern w:val="24"/>
                <w:sz w:val="24"/>
                <w:highlight w:val="none"/>
              </w:rPr>
            </w:pPr>
          </w:p>
          <w:p w14:paraId="5A1795C4">
            <w:pPr>
              <w:adjustRightInd w:val="0"/>
              <w:snapToGrid w:val="0"/>
              <w:spacing w:line="360" w:lineRule="auto"/>
              <w:ind w:firstLine="480" w:firstLineChars="200"/>
              <w:rPr>
                <w:rFonts w:hint="eastAsia"/>
                <w:color w:val="auto"/>
                <w:kern w:val="24"/>
                <w:sz w:val="24"/>
                <w:highlight w:val="none"/>
                <w:lang w:val="en-US" w:eastAsia="zh-CN"/>
              </w:rPr>
            </w:pPr>
          </w:p>
          <w:p w14:paraId="2D08CF05">
            <w:pPr>
              <w:adjustRightInd w:val="0"/>
              <w:snapToGrid w:val="0"/>
              <w:spacing w:line="360" w:lineRule="auto"/>
              <w:ind w:firstLine="480" w:firstLineChars="200"/>
              <w:rPr>
                <w:rFonts w:hint="eastAsia"/>
                <w:color w:val="auto"/>
                <w:kern w:val="24"/>
                <w:sz w:val="24"/>
                <w:highlight w:val="none"/>
                <w:lang w:val="en-US" w:eastAsia="zh-CN"/>
              </w:rPr>
            </w:pPr>
          </w:p>
          <w:p w14:paraId="73A8D2E3">
            <w:pPr>
              <w:adjustRightInd w:val="0"/>
              <w:snapToGrid w:val="0"/>
              <w:spacing w:line="360" w:lineRule="auto"/>
              <w:rPr>
                <w:rFonts w:hint="eastAsia" w:ascii="Times New Roman" w:hAnsi="Times New Roman" w:eastAsia="宋体" w:cs="Times New Roman"/>
                <w:color w:val="auto"/>
                <w:sz w:val="24"/>
                <w:highlight w:val="none"/>
                <w:lang w:val="en-US" w:eastAsia="zh-CN"/>
              </w:rPr>
            </w:pPr>
          </w:p>
          <w:p w14:paraId="6D32C407">
            <w:pPr>
              <w:pStyle w:val="17"/>
              <w:rPr>
                <w:rFonts w:hint="eastAsia" w:ascii="Times New Roman" w:hAnsi="Times New Roman" w:eastAsia="宋体" w:cs="Times New Roman"/>
                <w:color w:val="auto"/>
                <w:sz w:val="24"/>
                <w:highlight w:val="none"/>
                <w:lang w:val="en-US" w:eastAsia="zh-CN"/>
              </w:rPr>
            </w:pPr>
          </w:p>
          <w:p w14:paraId="0EA26FD5">
            <w:pPr>
              <w:pStyle w:val="29"/>
              <w:rPr>
                <w:rFonts w:hint="eastAsia" w:ascii="Times New Roman" w:hAnsi="Times New Roman" w:eastAsia="宋体" w:cs="Times New Roman"/>
                <w:color w:val="auto"/>
                <w:sz w:val="24"/>
                <w:highlight w:val="none"/>
                <w:lang w:val="en-US" w:eastAsia="zh-CN"/>
              </w:rPr>
            </w:pPr>
          </w:p>
          <w:p w14:paraId="560F091C">
            <w:pPr>
              <w:rPr>
                <w:rFonts w:hint="eastAsia" w:ascii="Times New Roman" w:hAnsi="Times New Roman" w:eastAsia="宋体" w:cs="Times New Roman"/>
                <w:color w:val="auto"/>
                <w:sz w:val="24"/>
                <w:highlight w:val="none"/>
                <w:lang w:val="en-US" w:eastAsia="zh-CN"/>
              </w:rPr>
            </w:pPr>
          </w:p>
          <w:p w14:paraId="13B6BDB5">
            <w:pPr>
              <w:pStyle w:val="17"/>
              <w:rPr>
                <w:rFonts w:hint="eastAsia" w:ascii="Times New Roman" w:hAnsi="Times New Roman" w:eastAsia="宋体" w:cs="Times New Roman"/>
                <w:color w:val="auto"/>
                <w:sz w:val="24"/>
                <w:highlight w:val="none"/>
                <w:lang w:val="en-US" w:eastAsia="zh-CN"/>
              </w:rPr>
            </w:pPr>
          </w:p>
          <w:p w14:paraId="4460C7EA">
            <w:pPr>
              <w:pStyle w:val="29"/>
              <w:rPr>
                <w:rFonts w:hint="eastAsia" w:ascii="Times New Roman" w:hAnsi="Times New Roman" w:eastAsia="宋体" w:cs="Times New Roman"/>
                <w:color w:val="auto"/>
                <w:sz w:val="24"/>
                <w:highlight w:val="none"/>
                <w:lang w:val="en-US" w:eastAsia="zh-CN"/>
              </w:rPr>
            </w:pPr>
          </w:p>
          <w:p w14:paraId="2755C10E">
            <w:pPr>
              <w:rPr>
                <w:rFonts w:hint="eastAsia" w:ascii="Times New Roman" w:hAnsi="Times New Roman" w:eastAsia="宋体" w:cs="Times New Roman"/>
                <w:color w:val="auto"/>
                <w:sz w:val="24"/>
                <w:highlight w:val="none"/>
                <w:lang w:val="en-US" w:eastAsia="zh-CN"/>
              </w:rPr>
            </w:pPr>
          </w:p>
          <w:p w14:paraId="6C59619D">
            <w:pPr>
              <w:pStyle w:val="17"/>
              <w:rPr>
                <w:rFonts w:hint="eastAsia" w:ascii="Times New Roman" w:hAnsi="Times New Roman" w:eastAsia="宋体" w:cs="Times New Roman"/>
                <w:color w:val="auto"/>
                <w:sz w:val="24"/>
                <w:highlight w:val="none"/>
                <w:lang w:val="en-US" w:eastAsia="zh-CN"/>
              </w:rPr>
            </w:pPr>
          </w:p>
          <w:p w14:paraId="7B0D7E9C">
            <w:pPr>
              <w:pStyle w:val="29"/>
              <w:rPr>
                <w:rFonts w:hint="eastAsia" w:cs="Times New Roman"/>
                <w:color w:val="auto"/>
                <w:sz w:val="24"/>
                <w:highlight w:val="none"/>
                <w:lang w:val="en-US" w:eastAsia="zh-CN"/>
              </w:rPr>
            </w:pPr>
          </w:p>
          <w:p w14:paraId="34B2242D">
            <w:pPr>
              <w:pStyle w:val="29"/>
              <w:ind w:left="0" w:leftChars="0" w:firstLine="0" w:firstLineChars="0"/>
              <w:rPr>
                <w:rFonts w:hint="eastAsia" w:ascii="Times New Roman" w:hAnsi="Times New Roman" w:eastAsia="宋体" w:cs="Times New Roman"/>
                <w:color w:val="auto"/>
                <w:sz w:val="24"/>
                <w:highlight w:val="none"/>
                <w:lang w:val="en-US" w:eastAsia="zh-CN"/>
              </w:rPr>
            </w:pPr>
          </w:p>
          <w:p w14:paraId="3833BBB4">
            <w:pPr>
              <w:rPr>
                <w:rFonts w:hint="eastAsia" w:cs="Times New Roman"/>
                <w:color w:val="auto"/>
                <w:sz w:val="24"/>
                <w:highlight w:val="none"/>
                <w:lang w:val="en-US" w:eastAsia="zh-CN"/>
              </w:rPr>
            </w:pPr>
          </w:p>
          <w:p w14:paraId="20F4C4B0">
            <w:pPr>
              <w:rPr>
                <w:rFonts w:hint="eastAsia" w:cs="Times New Roman"/>
                <w:color w:val="auto"/>
                <w:sz w:val="24"/>
                <w:highlight w:val="none"/>
                <w:lang w:val="en-US" w:eastAsia="zh-CN"/>
              </w:rPr>
            </w:pPr>
          </w:p>
          <w:p w14:paraId="01D92576">
            <w:pPr>
              <w:rPr>
                <w:rFonts w:hint="eastAsia" w:cs="Times New Roman"/>
                <w:color w:val="auto"/>
                <w:sz w:val="24"/>
                <w:highlight w:val="none"/>
                <w:lang w:val="en-US" w:eastAsia="zh-CN"/>
              </w:rPr>
            </w:pPr>
          </w:p>
          <w:p w14:paraId="51B3F4C0">
            <w:pPr>
              <w:rPr>
                <w:rFonts w:hint="eastAsia" w:cs="Times New Roman"/>
                <w:color w:val="auto"/>
                <w:sz w:val="24"/>
                <w:highlight w:val="none"/>
                <w:lang w:val="en-US" w:eastAsia="zh-CN"/>
              </w:rPr>
            </w:pPr>
          </w:p>
          <w:p w14:paraId="7B3D7A38">
            <w:pPr>
              <w:rPr>
                <w:rFonts w:hint="eastAsia" w:cs="Times New Roman"/>
                <w:color w:val="auto"/>
                <w:sz w:val="24"/>
                <w:highlight w:val="none"/>
                <w:lang w:val="en-US" w:eastAsia="zh-CN"/>
              </w:rPr>
            </w:pPr>
          </w:p>
          <w:p w14:paraId="0B08E8EC">
            <w:pPr>
              <w:rPr>
                <w:rFonts w:hint="eastAsia" w:cs="Times New Roman"/>
                <w:color w:val="auto"/>
                <w:sz w:val="24"/>
                <w:highlight w:val="none"/>
                <w:lang w:val="en-US" w:eastAsia="zh-CN"/>
              </w:rPr>
            </w:pPr>
          </w:p>
          <w:p w14:paraId="1E4E09D9">
            <w:pPr>
              <w:rPr>
                <w:rFonts w:hint="eastAsia" w:cs="Times New Roman"/>
                <w:color w:val="auto"/>
                <w:sz w:val="24"/>
                <w:highlight w:val="none"/>
                <w:lang w:val="en-US" w:eastAsia="zh-CN"/>
              </w:rPr>
            </w:pPr>
          </w:p>
          <w:p w14:paraId="13069088">
            <w:pPr>
              <w:rPr>
                <w:rFonts w:hint="eastAsia" w:cs="Times New Roman"/>
                <w:color w:val="auto"/>
                <w:sz w:val="24"/>
                <w:highlight w:val="none"/>
                <w:lang w:val="en-US" w:eastAsia="zh-CN"/>
              </w:rPr>
            </w:pPr>
          </w:p>
          <w:p w14:paraId="2B01B9CB">
            <w:pPr>
              <w:rPr>
                <w:rFonts w:hint="eastAsia" w:cs="Times New Roman"/>
                <w:color w:val="auto"/>
                <w:sz w:val="24"/>
                <w:highlight w:val="none"/>
                <w:lang w:val="en-US" w:eastAsia="zh-CN"/>
              </w:rPr>
            </w:pPr>
          </w:p>
          <w:p w14:paraId="0C481CB0">
            <w:pPr>
              <w:rPr>
                <w:rFonts w:hint="eastAsia" w:cs="Times New Roman"/>
                <w:color w:val="auto"/>
                <w:sz w:val="24"/>
                <w:highlight w:val="none"/>
                <w:lang w:val="en-US" w:eastAsia="zh-CN"/>
              </w:rPr>
            </w:pPr>
          </w:p>
          <w:p w14:paraId="19B548B4">
            <w:pPr>
              <w:rPr>
                <w:rFonts w:hint="eastAsia"/>
                <w:color w:val="auto"/>
                <w:highlight w:val="none"/>
                <w:lang w:val="en-US" w:eastAsia="zh-CN"/>
              </w:rPr>
            </w:pPr>
          </w:p>
        </w:tc>
      </w:tr>
    </w:tbl>
    <w:p w14:paraId="0869D920">
      <w:pPr>
        <w:pStyle w:val="27"/>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6"/>
          <w:szCs w:val="36"/>
          <w:highlight w:val="none"/>
        </w:rPr>
        <w:br w:type="page"/>
      </w:r>
      <w:bookmarkStart w:id="21" w:name="_Toc27921"/>
      <w:r>
        <w:rPr>
          <w:rFonts w:ascii="Times New Roman" w:hAnsi="黑体" w:eastAsia="黑体"/>
          <w:snapToGrid w:val="0"/>
          <w:color w:val="auto"/>
          <w:sz w:val="30"/>
          <w:szCs w:val="30"/>
          <w:highlight w:val="none"/>
        </w:rPr>
        <w:t>四、主要环境影响和保护措施</w:t>
      </w:r>
      <w:bookmarkEnd w:id="21"/>
    </w:p>
    <w:tbl>
      <w:tblPr>
        <w:tblStyle w:val="30"/>
        <w:tblW w:w="95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5"/>
        <w:gridCol w:w="9075"/>
      </w:tblGrid>
      <w:tr w14:paraId="2BBB7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505" w:type="dxa"/>
            <w:tcMar>
              <w:left w:w="28" w:type="dxa"/>
              <w:right w:w="28" w:type="dxa"/>
            </w:tcMar>
            <w:vAlign w:val="center"/>
          </w:tcPr>
          <w:p w14:paraId="6CD42122">
            <w:pPr>
              <w:pStyle w:val="27"/>
              <w:adjustRightInd w:val="0"/>
              <w:snapToGrid w:val="0"/>
              <w:spacing w:before="0" w:beforeAutospacing="0" w:after="0" w:afterAutospacing="0"/>
              <w:jc w:val="center"/>
              <w:rPr>
                <w:rFonts w:ascii="Times New Roman" w:hAnsi="Times New Roman"/>
                <w:bCs/>
                <w:color w:val="auto"/>
                <w:kern w:val="2"/>
                <w:szCs w:val="24"/>
                <w:highlight w:val="none"/>
              </w:rPr>
            </w:pPr>
            <w:r>
              <w:rPr>
                <w:rFonts w:ascii="Times New Roman"/>
                <w:color w:val="auto"/>
                <w:kern w:val="2"/>
                <w:szCs w:val="24"/>
                <w:highlight w:val="none"/>
              </w:rPr>
              <w:t>施工期环境保护措施</w:t>
            </w:r>
          </w:p>
        </w:tc>
        <w:tc>
          <w:tcPr>
            <w:tcW w:w="9075" w:type="dxa"/>
          </w:tcPr>
          <w:p w14:paraId="2D53CCB8">
            <w:pPr>
              <w:pStyle w:val="8"/>
              <w:snapToGrid w:val="0"/>
              <w:spacing w:line="360" w:lineRule="auto"/>
              <w:ind w:firstLine="482"/>
              <w:rPr>
                <w:b/>
                <w:color w:val="auto"/>
                <w:sz w:val="24"/>
                <w:highlight w:val="none"/>
              </w:rPr>
            </w:pPr>
            <w:r>
              <w:rPr>
                <w:rFonts w:hint="eastAsia"/>
                <w:b/>
                <w:color w:val="auto"/>
                <w:sz w:val="24"/>
                <w:highlight w:val="none"/>
              </w:rPr>
              <w:t>一、</w:t>
            </w:r>
            <w:r>
              <w:rPr>
                <w:b/>
                <w:color w:val="auto"/>
                <w:sz w:val="24"/>
                <w:highlight w:val="none"/>
                <w:lang w:val="zh-CN"/>
              </w:rPr>
              <w:t>施工期大气污染防治措施</w:t>
            </w:r>
          </w:p>
          <w:p w14:paraId="6FE76D52">
            <w:pPr>
              <w:autoSpaceDE w:val="0"/>
              <w:autoSpaceDN w:val="0"/>
              <w:spacing w:line="360" w:lineRule="auto"/>
              <w:ind w:firstLine="480" w:firstLineChars="200"/>
              <w:rPr>
                <w:bCs/>
                <w:color w:val="auto"/>
                <w:sz w:val="24"/>
                <w:highlight w:val="none"/>
              </w:rPr>
            </w:pPr>
            <w:r>
              <w:rPr>
                <w:rFonts w:hint="eastAsia"/>
                <w:bCs/>
                <w:color w:val="auto"/>
                <w:sz w:val="24"/>
                <w:highlight w:val="none"/>
              </w:rPr>
              <w:t>1）</w:t>
            </w:r>
            <w:r>
              <w:rPr>
                <w:color w:val="auto"/>
                <w:sz w:val="24"/>
                <w:highlight w:val="none"/>
              </w:rPr>
              <w:t>在施工场地周围设</w:t>
            </w:r>
            <w:r>
              <w:rPr>
                <w:rFonts w:hint="eastAsia"/>
                <w:color w:val="auto"/>
                <w:sz w:val="24"/>
                <w:highlight w:val="none"/>
              </w:rPr>
              <w:t>不低于2.5m的挡墙、围墙，施工围网、防风抑尘网，严禁敞开作业</w:t>
            </w:r>
            <w:r>
              <w:rPr>
                <w:bCs/>
                <w:color w:val="auto"/>
                <w:sz w:val="24"/>
                <w:highlight w:val="none"/>
              </w:rPr>
              <w:t>；</w:t>
            </w:r>
          </w:p>
          <w:p w14:paraId="046D3744">
            <w:pPr>
              <w:autoSpaceDE w:val="0"/>
              <w:autoSpaceDN w:val="0"/>
              <w:spacing w:line="360" w:lineRule="auto"/>
              <w:ind w:firstLine="480" w:firstLineChars="200"/>
              <w:rPr>
                <w:bCs/>
                <w:color w:val="auto"/>
                <w:sz w:val="24"/>
                <w:highlight w:val="none"/>
              </w:rPr>
            </w:pPr>
            <w:r>
              <w:rPr>
                <w:rFonts w:hint="eastAsia"/>
                <w:bCs/>
                <w:color w:val="auto"/>
                <w:sz w:val="24"/>
                <w:highlight w:val="none"/>
              </w:rPr>
              <w:t>2）</w:t>
            </w:r>
            <w:r>
              <w:rPr>
                <w:bCs/>
                <w:color w:val="auto"/>
                <w:sz w:val="24"/>
                <w:highlight w:val="none"/>
              </w:rPr>
              <w:t>施工期间在施工场地安排人员定期对施工场地洒水以减少扬尘量；</w:t>
            </w:r>
          </w:p>
          <w:p w14:paraId="0B2578B0">
            <w:pPr>
              <w:autoSpaceDE w:val="0"/>
              <w:autoSpaceDN w:val="0"/>
              <w:spacing w:line="360" w:lineRule="auto"/>
              <w:ind w:firstLine="480" w:firstLineChars="200"/>
              <w:rPr>
                <w:bCs/>
                <w:color w:val="auto"/>
                <w:sz w:val="24"/>
                <w:highlight w:val="none"/>
              </w:rPr>
            </w:pPr>
            <w:r>
              <w:rPr>
                <w:rFonts w:hint="eastAsia"/>
                <w:bCs/>
                <w:color w:val="auto"/>
                <w:sz w:val="24"/>
                <w:highlight w:val="none"/>
              </w:rPr>
              <w:t>3）</w:t>
            </w:r>
            <w:r>
              <w:rPr>
                <w:bCs/>
                <w:color w:val="auto"/>
                <w:sz w:val="24"/>
                <w:highlight w:val="none"/>
              </w:rPr>
              <w:t>对料场采取塑料薄膜覆盖，使用时部分掀开，减少暴露面积，降低风动扬尘；</w:t>
            </w:r>
          </w:p>
          <w:p w14:paraId="61E21761">
            <w:pPr>
              <w:autoSpaceDE w:val="0"/>
              <w:autoSpaceDN w:val="0"/>
              <w:spacing w:line="360" w:lineRule="auto"/>
              <w:ind w:firstLine="480" w:firstLineChars="200"/>
              <w:rPr>
                <w:bCs/>
                <w:color w:val="auto"/>
                <w:sz w:val="24"/>
                <w:highlight w:val="none"/>
              </w:rPr>
            </w:pPr>
            <w:r>
              <w:rPr>
                <w:rFonts w:hint="eastAsia"/>
                <w:bCs/>
                <w:color w:val="auto"/>
                <w:sz w:val="24"/>
                <w:highlight w:val="none"/>
              </w:rPr>
              <w:t>4）</w:t>
            </w:r>
            <w:r>
              <w:rPr>
                <w:bCs/>
                <w:color w:val="auto"/>
                <w:sz w:val="24"/>
                <w:highlight w:val="none"/>
              </w:rPr>
              <w:t>施工现场进出运输车辆必须冲洗后出场</w:t>
            </w:r>
            <w:r>
              <w:rPr>
                <w:rFonts w:hint="eastAsia"/>
                <w:bCs/>
                <w:color w:val="auto"/>
                <w:sz w:val="24"/>
                <w:highlight w:val="none"/>
                <w:lang w:eastAsia="zh-CN"/>
              </w:rPr>
              <w:t>，</w:t>
            </w:r>
            <w:r>
              <w:rPr>
                <w:bCs/>
                <w:color w:val="auto"/>
                <w:sz w:val="24"/>
                <w:highlight w:val="none"/>
              </w:rPr>
              <w:t>规范车辆装载方式，杜绝沿路洒漏现象，减少对外环境的影响；</w:t>
            </w:r>
          </w:p>
          <w:p w14:paraId="4EA2D235">
            <w:pPr>
              <w:autoSpaceDE w:val="0"/>
              <w:autoSpaceDN w:val="0"/>
              <w:spacing w:line="360" w:lineRule="auto"/>
              <w:ind w:firstLine="480" w:firstLineChars="200"/>
              <w:rPr>
                <w:bCs/>
                <w:color w:val="auto"/>
                <w:sz w:val="24"/>
                <w:highlight w:val="none"/>
              </w:rPr>
            </w:pPr>
            <w:r>
              <w:rPr>
                <w:rFonts w:hint="eastAsia"/>
                <w:bCs/>
                <w:color w:val="auto"/>
                <w:sz w:val="24"/>
                <w:highlight w:val="none"/>
              </w:rPr>
              <w:t>5）</w:t>
            </w:r>
            <w:r>
              <w:rPr>
                <w:bCs/>
                <w:color w:val="auto"/>
                <w:sz w:val="24"/>
                <w:highlight w:val="none"/>
              </w:rPr>
              <w:t>进出项目区的车辆造成的道路扬尘较多，主要采取减速慢行、定期对施工场地洒水降尘等措施减小道路扬尘的影响；</w:t>
            </w:r>
          </w:p>
          <w:p w14:paraId="08366E10">
            <w:pPr>
              <w:autoSpaceDE w:val="0"/>
              <w:autoSpaceDN w:val="0"/>
              <w:spacing w:line="360" w:lineRule="auto"/>
              <w:ind w:firstLine="480" w:firstLineChars="200"/>
              <w:rPr>
                <w:bCs/>
                <w:color w:val="auto"/>
                <w:sz w:val="24"/>
                <w:highlight w:val="none"/>
              </w:rPr>
            </w:pPr>
            <w:r>
              <w:rPr>
                <w:rFonts w:hint="eastAsia"/>
                <w:bCs/>
                <w:color w:val="auto"/>
                <w:sz w:val="24"/>
                <w:highlight w:val="none"/>
              </w:rPr>
              <w:t>6）</w:t>
            </w:r>
            <w:r>
              <w:rPr>
                <w:color w:val="auto"/>
                <w:sz w:val="24"/>
                <w:highlight w:val="none"/>
              </w:rPr>
              <w:t>施工过程中应采用环保型，节能型机械设备进行施工，且经常对机械设备进行检修</w:t>
            </w:r>
            <w:r>
              <w:rPr>
                <w:rFonts w:hint="eastAsia"/>
                <w:color w:val="auto"/>
                <w:sz w:val="24"/>
                <w:highlight w:val="none"/>
              </w:rPr>
              <w:t>；</w:t>
            </w:r>
          </w:p>
          <w:p w14:paraId="18222A46">
            <w:pPr>
              <w:autoSpaceDE w:val="0"/>
              <w:autoSpaceDN w:val="0"/>
              <w:spacing w:line="360" w:lineRule="auto"/>
              <w:ind w:firstLine="480" w:firstLineChars="200"/>
              <w:rPr>
                <w:bCs/>
                <w:color w:val="auto"/>
                <w:sz w:val="24"/>
                <w:highlight w:val="none"/>
              </w:rPr>
            </w:pPr>
            <w:r>
              <w:rPr>
                <w:rFonts w:hint="eastAsia"/>
                <w:bCs/>
                <w:color w:val="auto"/>
                <w:sz w:val="24"/>
                <w:highlight w:val="none"/>
              </w:rPr>
              <w:t>7）</w:t>
            </w:r>
            <w:r>
              <w:rPr>
                <w:bCs/>
                <w:color w:val="auto"/>
                <w:sz w:val="24"/>
                <w:highlight w:val="none"/>
              </w:rPr>
              <w:t>合理安排施工运输时间；</w:t>
            </w:r>
          </w:p>
          <w:p w14:paraId="7A115824">
            <w:pPr>
              <w:autoSpaceDE w:val="0"/>
              <w:autoSpaceDN w:val="0"/>
              <w:spacing w:line="360" w:lineRule="auto"/>
              <w:ind w:firstLine="480" w:firstLineChars="200"/>
              <w:rPr>
                <w:bCs/>
                <w:color w:val="auto"/>
                <w:sz w:val="24"/>
                <w:highlight w:val="none"/>
              </w:rPr>
            </w:pPr>
            <w:r>
              <w:rPr>
                <w:rFonts w:hint="eastAsia"/>
                <w:bCs/>
                <w:color w:val="auto"/>
                <w:sz w:val="24"/>
                <w:highlight w:val="none"/>
              </w:rPr>
              <w:t>8）</w:t>
            </w:r>
            <w:r>
              <w:rPr>
                <w:bCs/>
                <w:color w:val="auto"/>
                <w:sz w:val="24"/>
                <w:highlight w:val="none"/>
              </w:rPr>
              <w:t>使用商品混凝土。</w:t>
            </w:r>
          </w:p>
          <w:p w14:paraId="4BA9ECA3">
            <w:pPr>
              <w:spacing w:line="360" w:lineRule="auto"/>
              <w:ind w:firstLine="480" w:firstLineChars="200"/>
              <w:rPr>
                <w:rFonts w:hint="eastAsia"/>
                <w:b w:val="0"/>
                <w:bCs w:val="0"/>
                <w:color w:val="auto"/>
                <w:sz w:val="24"/>
                <w:szCs w:val="24"/>
                <w:highlight w:val="none"/>
                <w:lang w:val="zh-CN" w:eastAsia="zh-CN"/>
              </w:rPr>
            </w:pPr>
            <w:r>
              <w:rPr>
                <w:rFonts w:hint="eastAsia"/>
                <w:b w:val="0"/>
                <w:bCs w:val="0"/>
                <w:color w:val="auto"/>
                <w:sz w:val="24"/>
                <w:szCs w:val="24"/>
                <w:highlight w:val="none"/>
                <w:lang w:val="en-US" w:eastAsia="zh-CN"/>
              </w:rPr>
              <w:t>9）</w:t>
            </w:r>
            <w:r>
              <w:rPr>
                <w:rFonts w:hint="eastAsia"/>
                <w:b w:val="0"/>
                <w:bCs w:val="0"/>
                <w:color w:val="auto"/>
                <w:sz w:val="24"/>
                <w:szCs w:val="24"/>
                <w:highlight w:val="none"/>
                <w:lang w:val="zh-CN"/>
              </w:rPr>
              <w:t>为了减缓运输粉尘、噪声对沿途居民的影响，</w:t>
            </w:r>
            <w:r>
              <w:rPr>
                <w:rFonts w:hint="eastAsia"/>
                <w:b w:val="0"/>
                <w:bCs w:val="0"/>
                <w:color w:val="auto"/>
                <w:sz w:val="24"/>
                <w:szCs w:val="24"/>
                <w:highlight w:val="none"/>
                <w:lang w:val="zh-CN" w:eastAsia="zh-CN"/>
              </w:rPr>
              <w:t>本次环评主要提出以下措施：</w:t>
            </w:r>
          </w:p>
          <w:p w14:paraId="561453DA">
            <w:pPr>
              <w:spacing w:line="360" w:lineRule="auto"/>
              <w:ind w:firstLine="480" w:firstLineChars="200"/>
              <w:rPr>
                <w:rFonts w:hint="default" w:ascii="Times New Roman" w:hAnsi="Times New Roman" w:cs="Times New Roman"/>
                <w:b w:val="0"/>
                <w:bCs w:val="0"/>
                <w:color w:val="auto"/>
                <w:sz w:val="24"/>
                <w:szCs w:val="24"/>
                <w:highlight w:val="none"/>
                <w:lang w:val="zh-CN" w:eastAsia="zh-CN"/>
              </w:rPr>
            </w:pPr>
            <w:r>
              <w:rPr>
                <w:rFonts w:hint="default" w:ascii="Times New Roman" w:hAnsi="Times New Roman" w:cs="Times New Roman"/>
                <w:b w:val="0"/>
                <w:bCs w:val="0"/>
                <w:color w:val="auto"/>
                <w:sz w:val="24"/>
                <w:szCs w:val="24"/>
                <w:highlight w:val="none"/>
                <w:lang w:val="zh-CN" w:eastAsia="zh-CN"/>
              </w:rPr>
              <w:t>①运输车辆沿线经过村庄、集镇</w:t>
            </w:r>
            <w:r>
              <w:rPr>
                <w:rFonts w:hint="default" w:ascii="Times New Roman" w:hAnsi="Times New Roman" w:cs="Times New Roman"/>
                <w:b w:val="0"/>
                <w:bCs w:val="0"/>
                <w:color w:val="auto"/>
                <w:sz w:val="24"/>
                <w:szCs w:val="24"/>
                <w:highlight w:val="none"/>
                <w:lang w:val="zh-CN"/>
              </w:rPr>
              <w:t>时禁止鸣笛</w:t>
            </w:r>
            <w:r>
              <w:rPr>
                <w:rFonts w:hint="default" w:ascii="Times New Roman" w:hAnsi="Times New Roman" w:cs="Times New Roman"/>
                <w:b w:val="0"/>
                <w:bCs w:val="0"/>
                <w:color w:val="auto"/>
                <w:sz w:val="24"/>
                <w:szCs w:val="24"/>
                <w:highlight w:val="none"/>
                <w:lang w:val="zh-CN" w:eastAsia="zh-CN"/>
              </w:rPr>
              <w:t>，</w:t>
            </w:r>
            <w:r>
              <w:rPr>
                <w:rFonts w:hint="default" w:ascii="Times New Roman" w:hAnsi="Times New Roman" w:cs="Times New Roman"/>
                <w:b w:val="0"/>
                <w:bCs w:val="0"/>
                <w:color w:val="auto"/>
                <w:sz w:val="24"/>
                <w:szCs w:val="24"/>
                <w:highlight w:val="none"/>
                <w:lang w:val="zh-CN"/>
              </w:rPr>
              <w:t>减速行驶等措施</w:t>
            </w:r>
            <w:r>
              <w:rPr>
                <w:rFonts w:hint="default" w:ascii="Times New Roman" w:hAnsi="Times New Roman" w:cs="Times New Roman"/>
                <w:b w:val="0"/>
                <w:bCs w:val="0"/>
                <w:color w:val="auto"/>
                <w:sz w:val="24"/>
                <w:szCs w:val="24"/>
                <w:highlight w:val="none"/>
                <w:lang w:val="zh-CN" w:eastAsia="zh-CN"/>
              </w:rPr>
              <w:t>。</w:t>
            </w:r>
          </w:p>
          <w:p w14:paraId="48BD5EF1">
            <w:pPr>
              <w:spacing w:line="360" w:lineRule="auto"/>
              <w:ind w:firstLine="480" w:firstLineChars="200"/>
              <w:rPr>
                <w:rFonts w:hint="default" w:ascii="Times New Roman" w:hAnsi="Times New Roman" w:cs="Times New Roman"/>
                <w:b w:val="0"/>
                <w:bCs w:val="0"/>
                <w:color w:val="auto"/>
                <w:sz w:val="24"/>
                <w:szCs w:val="24"/>
                <w:highlight w:val="none"/>
                <w:lang w:val="zh-CN"/>
              </w:rPr>
            </w:pPr>
            <w:r>
              <w:rPr>
                <w:rFonts w:hint="default" w:ascii="Times New Roman" w:hAnsi="Times New Roman" w:cs="Times New Roman"/>
                <w:b w:val="0"/>
                <w:bCs w:val="0"/>
                <w:color w:val="auto"/>
                <w:sz w:val="24"/>
                <w:szCs w:val="24"/>
                <w:highlight w:val="none"/>
                <w:lang w:val="zh-CN" w:eastAsia="zh-CN"/>
              </w:rPr>
              <w:t>②合理规划运输路线，</w:t>
            </w:r>
            <w:r>
              <w:rPr>
                <w:rFonts w:hint="default" w:ascii="Times New Roman" w:hAnsi="Times New Roman" w:cs="Times New Roman"/>
                <w:b w:val="0"/>
                <w:bCs w:val="0"/>
                <w:color w:val="auto"/>
                <w:sz w:val="24"/>
                <w:szCs w:val="24"/>
                <w:highlight w:val="none"/>
                <w:lang w:val="zh-CN"/>
              </w:rPr>
              <w:t>装载车辆运输时间避开交通高峰期</w:t>
            </w:r>
            <w:r>
              <w:rPr>
                <w:rFonts w:hint="default" w:ascii="Times New Roman" w:hAnsi="Times New Roman" w:cs="Times New Roman"/>
                <w:b w:val="0"/>
                <w:bCs w:val="0"/>
                <w:color w:val="auto"/>
                <w:sz w:val="24"/>
                <w:szCs w:val="24"/>
                <w:highlight w:val="none"/>
                <w:lang w:val="zh-CN" w:eastAsia="zh-CN"/>
              </w:rPr>
              <w:t>。</w:t>
            </w:r>
          </w:p>
          <w:p w14:paraId="21542252">
            <w:pPr>
              <w:spacing w:line="360" w:lineRule="auto"/>
              <w:ind w:firstLine="480" w:firstLineChars="200"/>
              <w:rPr>
                <w:rFonts w:hint="default" w:ascii="Times New Roman" w:hAnsi="Times New Roman" w:cs="Times New Roman"/>
                <w:b w:val="0"/>
                <w:bCs w:val="0"/>
                <w:color w:val="auto"/>
                <w:sz w:val="24"/>
                <w:szCs w:val="24"/>
                <w:highlight w:val="none"/>
                <w:lang w:val="zh-CN" w:eastAsia="zh-CN"/>
              </w:rPr>
            </w:pPr>
            <w:r>
              <w:rPr>
                <w:rFonts w:hint="default" w:ascii="Times New Roman" w:hAnsi="Times New Roman" w:cs="Times New Roman"/>
                <w:b w:val="0"/>
                <w:bCs w:val="0"/>
                <w:color w:val="auto"/>
                <w:sz w:val="24"/>
                <w:szCs w:val="24"/>
                <w:highlight w:val="none"/>
                <w:lang w:val="zh-CN"/>
              </w:rPr>
              <w:t>③定时对运输路面进行洒水降尘，减小扬尘污染。</w:t>
            </w:r>
          </w:p>
          <w:p w14:paraId="7770F89B">
            <w:pPr>
              <w:spacing w:line="360" w:lineRule="auto"/>
              <w:ind w:firstLine="480" w:firstLineChars="200"/>
              <w:rPr>
                <w:rFonts w:hint="default" w:ascii="Times New Roman" w:hAnsi="Times New Roman"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eastAsia="zh-CN"/>
              </w:rPr>
              <w:t>④</w:t>
            </w:r>
            <w:r>
              <w:rPr>
                <w:rFonts w:hint="default" w:ascii="Times New Roman" w:hAnsi="Times New Roman" w:cs="Times New Roman"/>
                <w:b w:val="0"/>
                <w:bCs w:val="0"/>
                <w:color w:val="auto"/>
                <w:sz w:val="24"/>
                <w:szCs w:val="24"/>
                <w:highlight w:val="none"/>
                <w:lang w:val="zh-CN" w:eastAsia="zh-CN"/>
              </w:rPr>
              <w:t>加强监督管理，运输车辆不得超量运载，运输车辆出现场前，应将车辆槽帮和车轮冲洗干净，以避免施工运底泥车辆对城市道路的污染。</w:t>
            </w:r>
          </w:p>
          <w:p w14:paraId="52AF9633">
            <w:pPr>
              <w:spacing w:line="360" w:lineRule="auto"/>
              <w:ind w:firstLine="480" w:firstLineChars="200"/>
              <w:rPr>
                <w:rFonts w:hint="default" w:ascii="Times New Roman" w:hAnsi="Times New Roman"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eastAsia="zh-CN"/>
              </w:rPr>
              <w:t>⑤</w:t>
            </w:r>
            <w:r>
              <w:rPr>
                <w:rFonts w:hint="default" w:ascii="Times New Roman" w:hAnsi="Times New Roman" w:cs="Times New Roman"/>
                <w:b w:val="0"/>
                <w:bCs w:val="0"/>
                <w:color w:val="auto"/>
                <w:sz w:val="24"/>
                <w:szCs w:val="24"/>
                <w:highlight w:val="none"/>
                <w:lang w:val="zh-CN"/>
              </w:rPr>
              <w:t>及时清扫运输路面，保持路面清洁。</w:t>
            </w:r>
          </w:p>
          <w:p w14:paraId="37325A80">
            <w:pPr>
              <w:spacing w:line="360" w:lineRule="auto"/>
              <w:ind w:firstLine="480" w:firstLineChars="200"/>
              <w:rPr>
                <w:rFonts w:hint="default" w:ascii="Times New Roman" w:hAnsi="Times New Roman"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rPr>
              <w:t>⑥</w:t>
            </w:r>
            <w:r>
              <w:rPr>
                <w:rFonts w:hint="default" w:ascii="Times New Roman" w:hAnsi="Times New Roman" w:cs="Times New Roman"/>
                <w:b w:val="0"/>
                <w:bCs w:val="0"/>
                <w:color w:val="auto"/>
                <w:sz w:val="24"/>
                <w:szCs w:val="24"/>
                <w:highlight w:val="none"/>
                <w:lang w:val="zh-CN"/>
              </w:rPr>
              <w:t>规范车辆装载方式，运输过程采取密闭措施，不得沿途飞扬、撒漏和带泥上路。</w:t>
            </w:r>
          </w:p>
          <w:p w14:paraId="4B059005">
            <w:pPr>
              <w:spacing w:line="360" w:lineRule="auto"/>
              <w:ind w:firstLine="480" w:firstLineChars="200"/>
              <w:rPr>
                <w:rFonts w:hint="default" w:ascii="Times New Roman" w:hAnsi="Times New Roman"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rPr>
              <w:t>⑦</w:t>
            </w:r>
            <w:r>
              <w:rPr>
                <w:rFonts w:hint="default" w:ascii="Times New Roman" w:hAnsi="Times New Roman" w:cs="Times New Roman"/>
                <w:b w:val="0"/>
                <w:bCs w:val="0"/>
                <w:color w:val="auto"/>
                <w:sz w:val="24"/>
                <w:szCs w:val="24"/>
                <w:highlight w:val="none"/>
                <w:lang w:val="zh-CN"/>
              </w:rPr>
              <w:t>运输车辆</w:t>
            </w:r>
            <w:r>
              <w:rPr>
                <w:rFonts w:hint="default" w:ascii="Times New Roman" w:hAnsi="Times New Roman" w:cs="Times New Roman"/>
                <w:b w:val="0"/>
                <w:bCs w:val="0"/>
                <w:color w:val="auto"/>
                <w:sz w:val="24"/>
                <w:szCs w:val="24"/>
                <w:highlight w:val="none"/>
                <w:lang w:val="zh-CN" w:eastAsia="zh-CN"/>
              </w:rPr>
              <w:t>限速</w:t>
            </w:r>
            <w:r>
              <w:rPr>
                <w:rFonts w:hint="default" w:ascii="Times New Roman" w:hAnsi="Times New Roman" w:cs="Times New Roman"/>
                <w:b w:val="0"/>
                <w:bCs w:val="0"/>
                <w:color w:val="auto"/>
                <w:sz w:val="24"/>
                <w:szCs w:val="24"/>
                <w:highlight w:val="none"/>
                <w:lang w:val="zh-CN"/>
              </w:rPr>
              <w:t>行驶，并按照指定路线运输，杜绝沿路洒漏现象，减少对外环境的影响</w:t>
            </w:r>
            <w:r>
              <w:rPr>
                <w:rFonts w:hint="default" w:ascii="Times New Roman" w:hAnsi="Times New Roman" w:cs="Times New Roman"/>
                <w:b w:val="0"/>
                <w:bCs w:val="0"/>
                <w:color w:val="auto"/>
                <w:sz w:val="24"/>
                <w:szCs w:val="24"/>
                <w:highlight w:val="none"/>
                <w:lang w:val="zh-CN" w:eastAsia="zh-CN"/>
              </w:rPr>
              <w:t>。</w:t>
            </w:r>
          </w:p>
          <w:p w14:paraId="0E730512">
            <w:pPr>
              <w:pStyle w:val="8"/>
              <w:snapToGrid w:val="0"/>
              <w:spacing w:line="360" w:lineRule="auto"/>
              <w:ind w:firstLine="482"/>
              <w:rPr>
                <w:b/>
                <w:color w:val="auto"/>
                <w:sz w:val="24"/>
                <w:highlight w:val="none"/>
                <w:lang w:val="zh-CN"/>
              </w:rPr>
            </w:pPr>
            <w:r>
              <w:rPr>
                <w:rFonts w:hint="eastAsia"/>
                <w:b/>
                <w:color w:val="auto"/>
                <w:sz w:val="24"/>
                <w:highlight w:val="none"/>
                <w:lang w:val="zh-CN"/>
              </w:rPr>
              <w:t>二、</w:t>
            </w:r>
            <w:r>
              <w:rPr>
                <w:b/>
                <w:color w:val="auto"/>
                <w:sz w:val="24"/>
                <w:highlight w:val="none"/>
                <w:lang w:val="zh-CN"/>
              </w:rPr>
              <w:t>施工期水环境影响防治措施</w:t>
            </w:r>
          </w:p>
          <w:p w14:paraId="5E0DDC42">
            <w:pPr>
              <w:spacing w:line="360" w:lineRule="auto"/>
              <w:ind w:firstLine="480" w:firstLineChars="200"/>
              <w:rPr>
                <w:bCs/>
                <w:color w:val="auto"/>
                <w:sz w:val="24"/>
                <w:highlight w:val="none"/>
              </w:rPr>
            </w:pPr>
            <w:r>
              <w:rPr>
                <w:rFonts w:hint="eastAsia"/>
                <w:bCs/>
                <w:color w:val="auto"/>
                <w:sz w:val="24"/>
                <w:highlight w:val="none"/>
              </w:rPr>
              <w:t>1）</w:t>
            </w:r>
            <w:r>
              <w:rPr>
                <w:bCs/>
                <w:color w:val="auto"/>
                <w:sz w:val="24"/>
                <w:highlight w:val="none"/>
              </w:rPr>
              <w:t>施工废水</w:t>
            </w:r>
            <w:r>
              <w:rPr>
                <w:rFonts w:hint="eastAsia"/>
                <w:bCs/>
                <w:color w:val="auto"/>
                <w:sz w:val="24"/>
                <w:highlight w:val="none"/>
              </w:rPr>
              <w:t>经废水</w:t>
            </w:r>
            <w:r>
              <w:rPr>
                <w:bCs/>
                <w:color w:val="auto"/>
                <w:sz w:val="24"/>
                <w:highlight w:val="none"/>
              </w:rPr>
              <w:t>沉淀池</w:t>
            </w:r>
            <w:r>
              <w:rPr>
                <w:rFonts w:hint="eastAsia"/>
                <w:bCs/>
                <w:color w:val="auto"/>
                <w:sz w:val="24"/>
                <w:highlight w:val="none"/>
              </w:rPr>
              <w:t>处理后</w:t>
            </w:r>
            <w:r>
              <w:rPr>
                <w:bCs/>
                <w:color w:val="auto"/>
                <w:sz w:val="24"/>
                <w:highlight w:val="none"/>
              </w:rPr>
              <w:t>回用于项目施工场地内降尘用水</w:t>
            </w:r>
            <w:r>
              <w:rPr>
                <w:rFonts w:hint="eastAsia"/>
                <w:bCs/>
                <w:color w:val="auto"/>
                <w:sz w:val="24"/>
                <w:highlight w:val="none"/>
              </w:rPr>
              <w:t>，</w:t>
            </w:r>
            <w:r>
              <w:rPr>
                <w:bCs/>
                <w:color w:val="auto"/>
                <w:sz w:val="24"/>
                <w:highlight w:val="none"/>
              </w:rPr>
              <w:t>不外排。</w:t>
            </w:r>
          </w:p>
          <w:p w14:paraId="0875BB2B">
            <w:pPr>
              <w:spacing w:line="360" w:lineRule="auto"/>
              <w:ind w:firstLine="480" w:firstLineChars="200"/>
              <w:rPr>
                <w:bCs/>
                <w:color w:val="auto"/>
                <w:sz w:val="24"/>
                <w:highlight w:val="none"/>
              </w:rPr>
            </w:pPr>
            <w:r>
              <w:rPr>
                <w:rFonts w:hint="eastAsia"/>
                <w:bCs/>
                <w:color w:val="auto"/>
                <w:sz w:val="24"/>
                <w:highlight w:val="none"/>
              </w:rPr>
              <w:t>2）</w:t>
            </w:r>
            <w:r>
              <w:rPr>
                <w:rFonts w:hint="eastAsia"/>
                <w:color w:val="auto"/>
                <w:kern w:val="24"/>
                <w:sz w:val="24"/>
                <w:highlight w:val="none"/>
              </w:rPr>
              <w:t>施工期</w:t>
            </w:r>
            <w:r>
              <w:rPr>
                <w:rFonts w:hint="eastAsia"/>
                <w:color w:val="auto"/>
                <w:kern w:val="24"/>
                <w:sz w:val="24"/>
                <w:highlight w:val="none"/>
                <w:lang w:eastAsia="zh-CN"/>
              </w:rPr>
              <w:t>项目</w:t>
            </w:r>
            <w:r>
              <w:rPr>
                <w:rFonts w:hint="eastAsia"/>
                <w:color w:val="auto"/>
                <w:kern w:val="24"/>
                <w:sz w:val="24"/>
                <w:highlight w:val="none"/>
              </w:rPr>
              <w:t>依托</w:t>
            </w:r>
            <w:r>
              <w:rPr>
                <w:rFonts w:hint="eastAsia"/>
                <w:color w:val="auto"/>
                <w:kern w:val="24"/>
                <w:sz w:val="24"/>
                <w:highlight w:val="none"/>
                <w:lang w:eastAsia="zh-CN"/>
              </w:rPr>
              <w:t>厂区内现有</w:t>
            </w:r>
            <w:r>
              <w:rPr>
                <w:rFonts w:hint="eastAsia"/>
                <w:color w:val="auto"/>
                <w:kern w:val="24"/>
                <w:sz w:val="24"/>
                <w:highlight w:val="none"/>
              </w:rPr>
              <w:t>公厕，施工</w:t>
            </w:r>
            <w:r>
              <w:rPr>
                <w:rFonts w:hint="eastAsia"/>
                <w:color w:val="auto"/>
                <w:kern w:val="24"/>
                <w:sz w:val="24"/>
                <w:highlight w:val="none"/>
                <w:lang w:eastAsia="zh-CN"/>
              </w:rPr>
              <w:t>人员</w:t>
            </w:r>
            <w:r>
              <w:rPr>
                <w:rFonts w:hint="eastAsia"/>
                <w:color w:val="auto"/>
                <w:kern w:val="24"/>
                <w:sz w:val="24"/>
                <w:highlight w:val="none"/>
              </w:rPr>
              <w:t>废水</w:t>
            </w:r>
            <w:r>
              <w:rPr>
                <w:rFonts w:hint="eastAsia"/>
                <w:color w:val="auto"/>
                <w:kern w:val="24"/>
                <w:sz w:val="24"/>
                <w:highlight w:val="none"/>
                <w:lang w:eastAsia="zh-CN"/>
              </w:rPr>
              <w:t>主要</w:t>
            </w:r>
            <w:r>
              <w:rPr>
                <w:rFonts w:hint="eastAsia"/>
                <w:color w:val="auto"/>
                <w:kern w:val="24"/>
                <w:sz w:val="24"/>
                <w:highlight w:val="none"/>
              </w:rPr>
              <w:t>为清洁废水，收集后用于施工场地洒水降尘，不外排。</w:t>
            </w:r>
          </w:p>
          <w:p w14:paraId="26E83779">
            <w:pPr>
              <w:tabs>
                <w:tab w:val="left" w:pos="10106"/>
              </w:tabs>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）建筑材料应分类集中堆放，且雨天顶部覆盖篷布。</w:t>
            </w:r>
          </w:p>
          <w:p w14:paraId="6521F904">
            <w:pPr>
              <w:tabs>
                <w:tab w:val="left" w:pos="10106"/>
              </w:tabs>
              <w:spacing w:line="360" w:lineRule="auto"/>
              <w:ind w:firstLine="480" w:firstLineChars="200"/>
              <w:rPr>
                <w:color w:val="auto"/>
                <w:sz w:val="24"/>
                <w:highlight w:val="none"/>
              </w:rPr>
            </w:pPr>
            <w:r>
              <w:rPr>
                <w:rFonts w:hint="eastAsia"/>
                <w:color w:val="auto"/>
                <w:sz w:val="24"/>
                <w:highlight w:val="none"/>
              </w:rPr>
              <w:t>4</w:t>
            </w:r>
            <w:r>
              <w:rPr>
                <w:color w:val="auto"/>
                <w:sz w:val="24"/>
                <w:highlight w:val="none"/>
              </w:rPr>
              <w:t>）水泥、沙石等建筑材料应适量堆放，尽量减少存放时间。</w:t>
            </w:r>
          </w:p>
          <w:p w14:paraId="0912959C">
            <w:pPr>
              <w:tabs>
                <w:tab w:val="left" w:pos="10106"/>
              </w:tabs>
              <w:spacing w:line="360" w:lineRule="auto"/>
              <w:ind w:firstLine="480" w:firstLineChars="200"/>
              <w:rPr>
                <w:color w:val="auto"/>
                <w:sz w:val="24"/>
                <w:highlight w:val="none"/>
              </w:rPr>
            </w:pPr>
            <w:r>
              <w:rPr>
                <w:rFonts w:hint="eastAsia"/>
                <w:color w:val="auto"/>
                <w:sz w:val="24"/>
                <w:highlight w:val="none"/>
              </w:rPr>
              <w:t>5</w:t>
            </w:r>
            <w:r>
              <w:rPr>
                <w:color w:val="auto"/>
                <w:sz w:val="24"/>
                <w:highlight w:val="none"/>
              </w:rPr>
              <w:t>）合理安排施工计划，将基建期避开雨季进行。</w:t>
            </w:r>
          </w:p>
          <w:p w14:paraId="3E1DAF39">
            <w:pPr>
              <w:tabs>
                <w:tab w:val="left" w:pos="10106"/>
              </w:tabs>
              <w:spacing w:line="360" w:lineRule="auto"/>
              <w:ind w:firstLine="480" w:firstLineChars="200"/>
              <w:rPr>
                <w:color w:val="auto"/>
                <w:sz w:val="24"/>
                <w:highlight w:val="none"/>
              </w:rPr>
            </w:pPr>
            <w:r>
              <w:rPr>
                <w:rFonts w:hint="eastAsia"/>
                <w:color w:val="auto"/>
                <w:sz w:val="24"/>
                <w:highlight w:val="none"/>
              </w:rPr>
              <w:t>6</w:t>
            </w:r>
            <w:r>
              <w:rPr>
                <w:color w:val="auto"/>
                <w:sz w:val="24"/>
                <w:highlight w:val="none"/>
              </w:rPr>
              <w:t>）在固定的停放场，对施工机械进行定期的修检维护，尽量减少施工机械在施工过程中发生燃油的跑、冒、漏、滴现象。</w:t>
            </w:r>
          </w:p>
          <w:p w14:paraId="5D22C284">
            <w:pPr>
              <w:tabs>
                <w:tab w:val="left" w:pos="10106"/>
              </w:tabs>
              <w:spacing w:line="360" w:lineRule="auto"/>
              <w:ind w:firstLine="480" w:firstLineChars="200"/>
              <w:rPr>
                <w:color w:val="auto"/>
                <w:sz w:val="24"/>
                <w:highlight w:val="none"/>
              </w:rPr>
            </w:pPr>
            <w:r>
              <w:rPr>
                <w:rFonts w:hint="eastAsia"/>
                <w:color w:val="auto"/>
                <w:sz w:val="24"/>
                <w:highlight w:val="none"/>
              </w:rPr>
              <w:t>7</w:t>
            </w:r>
            <w:r>
              <w:rPr>
                <w:color w:val="auto"/>
                <w:sz w:val="24"/>
                <w:highlight w:val="none"/>
              </w:rPr>
              <w:t>）及时处理混凝土罐车洒落在地面上的混凝土，以减少废水中泥沙含量。</w:t>
            </w:r>
          </w:p>
          <w:p w14:paraId="77736B45">
            <w:pPr>
              <w:pStyle w:val="8"/>
              <w:snapToGrid w:val="0"/>
              <w:spacing w:line="360" w:lineRule="auto"/>
              <w:ind w:firstLine="482"/>
              <w:rPr>
                <w:color w:val="auto"/>
                <w:sz w:val="24"/>
                <w:highlight w:val="none"/>
              </w:rPr>
            </w:pPr>
            <w:r>
              <w:rPr>
                <w:rFonts w:hint="eastAsia"/>
                <w:color w:val="auto"/>
                <w:sz w:val="24"/>
                <w:highlight w:val="none"/>
              </w:rPr>
              <w:t>8</w:t>
            </w:r>
            <w:r>
              <w:rPr>
                <w:color w:val="auto"/>
                <w:sz w:val="24"/>
                <w:highlight w:val="none"/>
              </w:rPr>
              <w:t>）在施工场区内修建临时沉淀池，收集施工产生的养护废</w:t>
            </w:r>
            <w:r>
              <w:rPr>
                <w:rFonts w:hint="eastAsia"/>
                <w:color w:val="auto"/>
                <w:sz w:val="24"/>
                <w:highlight w:val="none"/>
              </w:rPr>
              <w:t>水</w:t>
            </w:r>
            <w:r>
              <w:rPr>
                <w:color w:val="auto"/>
                <w:sz w:val="24"/>
                <w:highlight w:val="none"/>
              </w:rPr>
              <w:t>，经沉淀后回用于施工过程。</w:t>
            </w:r>
          </w:p>
          <w:p w14:paraId="56155F05">
            <w:pPr>
              <w:pStyle w:val="8"/>
              <w:snapToGrid w:val="0"/>
              <w:spacing w:line="360" w:lineRule="auto"/>
              <w:ind w:firstLine="482"/>
              <w:rPr>
                <w:b/>
                <w:color w:val="auto"/>
                <w:sz w:val="24"/>
                <w:highlight w:val="none"/>
                <w:lang w:val="zh-CN"/>
              </w:rPr>
            </w:pPr>
            <w:r>
              <w:rPr>
                <w:rFonts w:hint="eastAsia"/>
                <w:b/>
                <w:color w:val="auto"/>
                <w:sz w:val="24"/>
                <w:highlight w:val="none"/>
                <w:lang w:val="zh-CN"/>
              </w:rPr>
              <w:t>三、</w:t>
            </w:r>
            <w:r>
              <w:rPr>
                <w:b/>
                <w:color w:val="auto"/>
                <w:sz w:val="24"/>
                <w:highlight w:val="none"/>
                <w:lang w:val="zh-CN"/>
              </w:rPr>
              <w:t>施工期噪声防治措施</w:t>
            </w:r>
          </w:p>
          <w:p w14:paraId="6EBE0C0D">
            <w:pPr>
              <w:autoSpaceDE w:val="0"/>
              <w:autoSpaceDN w:val="0"/>
              <w:spacing w:line="360" w:lineRule="auto"/>
              <w:ind w:firstLine="480" w:firstLineChars="200"/>
              <w:rPr>
                <w:bCs/>
                <w:color w:val="auto"/>
                <w:sz w:val="24"/>
                <w:highlight w:val="none"/>
              </w:rPr>
            </w:pPr>
            <w:r>
              <w:rPr>
                <w:rFonts w:hint="eastAsia"/>
                <w:bCs/>
                <w:color w:val="auto"/>
                <w:sz w:val="24"/>
                <w:highlight w:val="none"/>
              </w:rPr>
              <w:t>1）</w:t>
            </w:r>
            <w:r>
              <w:rPr>
                <w:bCs/>
                <w:color w:val="auto"/>
                <w:sz w:val="24"/>
                <w:highlight w:val="none"/>
              </w:rPr>
              <w:t>在施工场地周围设围挡，优先选用低噪声设备；</w:t>
            </w:r>
          </w:p>
          <w:p w14:paraId="45ECC163">
            <w:pPr>
              <w:autoSpaceDE w:val="0"/>
              <w:autoSpaceDN w:val="0"/>
              <w:spacing w:line="360" w:lineRule="auto"/>
              <w:ind w:firstLine="480" w:firstLineChars="200"/>
              <w:rPr>
                <w:bCs/>
                <w:color w:val="auto"/>
                <w:sz w:val="24"/>
                <w:highlight w:val="none"/>
              </w:rPr>
            </w:pPr>
            <w:r>
              <w:rPr>
                <w:rFonts w:hint="eastAsia"/>
                <w:bCs/>
                <w:color w:val="auto"/>
                <w:sz w:val="24"/>
                <w:highlight w:val="none"/>
              </w:rPr>
              <w:t>2）</w:t>
            </w:r>
            <w:r>
              <w:rPr>
                <w:bCs/>
                <w:color w:val="auto"/>
                <w:sz w:val="24"/>
                <w:highlight w:val="none"/>
              </w:rPr>
              <w:t>加强机械设备的日常维护，对设备定期进行检查和维修，以此降低磨擦，减小噪声强度；</w:t>
            </w:r>
          </w:p>
          <w:p w14:paraId="079F242F">
            <w:pPr>
              <w:autoSpaceDE w:val="0"/>
              <w:autoSpaceDN w:val="0"/>
              <w:spacing w:line="360" w:lineRule="auto"/>
              <w:ind w:firstLine="480" w:firstLineChars="200"/>
              <w:rPr>
                <w:bCs/>
                <w:color w:val="auto"/>
                <w:sz w:val="24"/>
                <w:highlight w:val="none"/>
              </w:rPr>
            </w:pPr>
            <w:r>
              <w:rPr>
                <w:rFonts w:hint="eastAsia"/>
                <w:bCs/>
                <w:color w:val="auto"/>
                <w:sz w:val="24"/>
                <w:highlight w:val="none"/>
              </w:rPr>
              <w:t>3）</w:t>
            </w:r>
            <w:r>
              <w:rPr>
                <w:bCs/>
                <w:color w:val="auto"/>
                <w:sz w:val="24"/>
                <w:highlight w:val="none"/>
              </w:rPr>
              <w:t>加强对施工人员的管理，做到文明施工；</w:t>
            </w:r>
          </w:p>
          <w:p w14:paraId="5BB2E153">
            <w:pPr>
              <w:autoSpaceDE w:val="0"/>
              <w:autoSpaceDN w:val="0"/>
              <w:spacing w:line="360" w:lineRule="auto"/>
              <w:ind w:firstLine="480" w:firstLineChars="200"/>
              <w:rPr>
                <w:bCs/>
                <w:color w:val="auto"/>
                <w:sz w:val="24"/>
                <w:highlight w:val="none"/>
              </w:rPr>
            </w:pPr>
            <w:r>
              <w:rPr>
                <w:rFonts w:hint="eastAsia"/>
                <w:bCs/>
                <w:color w:val="auto"/>
                <w:sz w:val="24"/>
                <w:highlight w:val="none"/>
              </w:rPr>
              <w:t>4）</w:t>
            </w:r>
            <w:r>
              <w:rPr>
                <w:bCs/>
                <w:color w:val="auto"/>
                <w:sz w:val="24"/>
                <w:highlight w:val="none"/>
              </w:rPr>
              <w:t>固定机械设备设置隔声操作棚；</w:t>
            </w:r>
          </w:p>
          <w:p w14:paraId="4C6A80F6">
            <w:pPr>
              <w:autoSpaceDE w:val="0"/>
              <w:autoSpaceDN w:val="0"/>
              <w:spacing w:line="360" w:lineRule="auto"/>
              <w:ind w:firstLine="480" w:firstLineChars="200"/>
              <w:rPr>
                <w:bCs/>
                <w:color w:val="auto"/>
                <w:sz w:val="24"/>
                <w:highlight w:val="none"/>
              </w:rPr>
            </w:pPr>
            <w:r>
              <w:rPr>
                <w:rFonts w:hint="eastAsia"/>
                <w:bCs/>
                <w:color w:val="auto"/>
                <w:sz w:val="24"/>
                <w:highlight w:val="none"/>
              </w:rPr>
              <w:t>5）</w:t>
            </w:r>
            <w:r>
              <w:rPr>
                <w:bCs/>
                <w:color w:val="auto"/>
                <w:sz w:val="24"/>
                <w:highlight w:val="none"/>
              </w:rPr>
              <w:t>在厂区内禁止鸣笛，减速行驶等措施。</w:t>
            </w:r>
          </w:p>
          <w:p w14:paraId="3C16447D">
            <w:pPr>
              <w:pStyle w:val="8"/>
              <w:snapToGrid w:val="0"/>
              <w:spacing w:line="360" w:lineRule="auto"/>
              <w:ind w:firstLine="482"/>
              <w:rPr>
                <w:b/>
                <w:color w:val="auto"/>
                <w:sz w:val="24"/>
                <w:highlight w:val="none"/>
                <w:lang w:val="zh-CN"/>
              </w:rPr>
            </w:pPr>
            <w:r>
              <w:rPr>
                <w:rFonts w:hint="eastAsia"/>
                <w:b/>
                <w:color w:val="auto"/>
                <w:sz w:val="24"/>
                <w:highlight w:val="none"/>
                <w:lang w:val="zh-CN"/>
              </w:rPr>
              <w:t>四、</w:t>
            </w:r>
            <w:r>
              <w:rPr>
                <w:b/>
                <w:color w:val="auto"/>
                <w:sz w:val="24"/>
                <w:highlight w:val="none"/>
                <w:lang w:val="zh-CN"/>
              </w:rPr>
              <w:t>施工期固废污染防治措施</w:t>
            </w:r>
          </w:p>
          <w:p w14:paraId="0C98549E">
            <w:pPr>
              <w:autoSpaceDE w:val="0"/>
              <w:autoSpaceDN w:val="0"/>
              <w:spacing w:line="360" w:lineRule="auto"/>
              <w:ind w:firstLine="480" w:firstLineChars="200"/>
              <w:rPr>
                <w:bCs/>
                <w:color w:val="auto"/>
                <w:sz w:val="24"/>
                <w:highlight w:val="none"/>
              </w:rPr>
            </w:pPr>
            <w:r>
              <w:rPr>
                <w:rFonts w:hint="eastAsia"/>
                <w:bCs/>
                <w:color w:val="auto"/>
                <w:sz w:val="24"/>
                <w:highlight w:val="none"/>
              </w:rPr>
              <w:t>1）</w:t>
            </w:r>
            <w:r>
              <w:rPr>
                <w:color w:val="auto"/>
                <w:sz w:val="24"/>
                <w:highlight w:val="none"/>
              </w:rPr>
              <w:t>产生的弃土渣均外运</w:t>
            </w:r>
            <w:r>
              <w:rPr>
                <w:rFonts w:hint="eastAsia"/>
                <w:color w:val="auto"/>
                <w:sz w:val="24"/>
                <w:highlight w:val="none"/>
                <w:lang w:val="en-US" w:eastAsia="zh-CN"/>
              </w:rPr>
              <w:t>至一二期填埋区低洼处回填</w:t>
            </w:r>
            <w:r>
              <w:rPr>
                <w:rFonts w:hint="eastAsia"/>
                <w:color w:val="auto"/>
                <w:sz w:val="24"/>
                <w:highlight w:val="none"/>
              </w:rPr>
              <w:t>处置</w:t>
            </w:r>
            <w:r>
              <w:rPr>
                <w:color w:val="auto"/>
                <w:sz w:val="24"/>
                <w:highlight w:val="none"/>
              </w:rPr>
              <w:t>。</w:t>
            </w:r>
          </w:p>
          <w:p w14:paraId="5598F7ED">
            <w:pPr>
              <w:autoSpaceDE w:val="0"/>
              <w:autoSpaceDN w:val="0"/>
              <w:spacing w:line="360" w:lineRule="auto"/>
              <w:ind w:firstLine="480" w:firstLineChars="200"/>
              <w:rPr>
                <w:bCs/>
                <w:color w:val="auto"/>
                <w:sz w:val="24"/>
                <w:highlight w:val="none"/>
              </w:rPr>
            </w:pPr>
            <w:r>
              <w:rPr>
                <w:rFonts w:hint="eastAsia"/>
                <w:bCs/>
                <w:color w:val="auto"/>
                <w:sz w:val="24"/>
                <w:highlight w:val="none"/>
              </w:rPr>
              <w:t>2）</w:t>
            </w:r>
            <w:r>
              <w:rPr>
                <w:bCs/>
                <w:color w:val="auto"/>
                <w:sz w:val="24"/>
                <w:highlight w:val="none"/>
              </w:rPr>
              <w:t>产生的建筑垃圾采取分类清理收集后部分回用，如钢材和塑料，可回收利用的尽量进行回收利用，对废砖、残余混凝土等</w:t>
            </w:r>
            <w:r>
              <w:rPr>
                <w:color w:val="auto"/>
                <w:sz w:val="24"/>
                <w:highlight w:val="none"/>
              </w:rPr>
              <w:t>不可回收的建筑垃圾</w:t>
            </w:r>
            <w:r>
              <w:rPr>
                <w:bCs/>
                <w:color w:val="auto"/>
                <w:sz w:val="24"/>
                <w:highlight w:val="none"/>
              </w:rPr>
              <w:t>集中收集后按照相关管理部门要求进行处置。</w:t>
            </w:r>
          </w:p>
          <w:p w14:paraId="6D5F9B31">
            <w:pPr>
              <w:autoSpaceDE w:val="0"/>
              <w:autoSpaceDN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w:t>
            </w:r>
            <w:r>
              <w:rPr>
                <w:bCs/>
                <w:color w:val="auto"/>
                <w:sz w:val="24"/>
                <w:highlight w:val="none"/>
              </w:rPr>
              <w:t>生活垃圾统一收集</w:t>
            </w:r>
            <w:r>
              <w:rPr>
                <w:rFonts w:hint="eastAsia"/>
                <w:bCs/>
                <w:color w:val="auto"/>
                <w:sz w:val="24"/>
                <w:highlight w:val="none"/>
                <w:lang w:eastAsia="zh-CN"/>
              </w:rPr>
              <w:t>委托环卫部门清运处理</w:t>
            </w:r>
            <w:r>
              <w:rPr>
                <w:rFonts w:hint="eastAsia"/>
                <w:color w:val="auto"/>
                <w:sz w:val="24"/>
                <w:highlight w:val="none"/>
              </w:rPr>
              <w:t>。</w:t>
            </w:r>
          </w:p>
          <w:p w14:paraId="51EFCE62">
            <w:pPr>
              <w:autoSpaceDE w:val="0"/>
              <w:autoSpaceDN w:val="0"/>
              <w:spacing w:line="360" w:lineRule="auto"/>
              <w:ind w:firstLine="482" w:firstLineChars="200"/>
              <w:rPr>
                <w:b/>
                <w:bCs/>
                <w:color w:val="auto"/>
                <w:sz w:val="24"/>
                <w:highlight w:val="none"/>
              </w:rPr>
            </w:pPr>
            <w:r>
              <w:rPr>
                <w:rFonts w:hint="eastAsia"/>
                <w:b/>
                <w:bCs/>
                <w:color w:val="auto"/>
                <w:sz w:val="24"/>
                <w:highlight w:val="none"/>
              </w:rPr>
              <w:t>五、生态环境保护措施</w:t>
            </w:r>
          </w:p>
          <w:p w14:paraId="56AE5D0A">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rPr>
              <w:t>1）</w:t>
            </w:r>
            <w:r>
              <w:rPr>
                <w:color w:val="auto"/>
                <w:kern w:val="24"/>
                <w:sz w:val="24"/>
                <w:highlight w:val="none"/>
              </w:rPr>
              <w:t>施工时按要求新增临时排水沟、临时沉砂池、车辆清洗系统、临时遮盖措施等</w:t>
            </w:r>
            <w:r>
              <w:rPr>
                <w:rFonts w:hint="eastAsia"/>
                <w:color w:val="auto"/>
                <w:kern w:val="24"/>
                <w:sz w:val="24"/>
                <w:highlight w:val="none"/>
              </w:rPr>
              <w:t>设施，有效控制</w:t>
            </w:r>
            <w:r>
              <w:rPr>
                <w:color w:val="auto"/>
                <w:sz w:val="24"/>
                <w:highlight w:val="none"/>
              </w:rPr>
              <w:t>水土流失量</w:t>
            </w:r>
            <w:r>
              <w:rPr>
                <w:rFonts w:hint="eastAsia"/>
                <w:color w:val="auto"/>
                <w:sz w:val="24"/>
                <w:highlight w:val="none"/>
              </w:rPr>
              <w:t>。</w:t>
            </w:r>
          </w:p>
          <w:p w14:paraId="3E74611C">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rPr>
              <w:t>2）</w:t>
            </w:r>
            <w:r>
              <w:rPr>
                <w:color w:val="auto"/>
                <w:kern w:val="24"/>
                <w:sz w:val="24"/>
                <w:highlight w:val="none"/>
              </w:rPr>
              <w:t>为避免雨季施工造成径流对周围水体产生不利影响，施工场地周边应设置排水沟，</w:t>
            </w:r>
            <w:r>
              <w:rPr>
                <w:rFonts w:hint="eastAsia"/>
                <w:color w:val="auto"/>
                <w:kern w:val="24"/>
                <w:sz w:val="24"/>
                <w:highlight w:val="none"/>
              </w:rPr>
              <w:t>产生的</w:t>
            </w:r>
            <w:r>
              <w:rPr>
                <w:color w:val="auto"/>
                <w:kern w:val="24"/>
                <w:sz w:val="24"/>
                <w:highlight w:val="none"/>
              </w:rPr>
              <w:t>施工废水</w:t>
            </w:r>
            <w:r>
              <w:rPr>
                <w:rFonts w:hint="eastAsia"/>
                <w:color w:val="auto"/>
                <w:kern w:val="24"/>
                <w:sz w:val="24"/>
                <w:highlight w:val="none"/>
              </w:rPr>
              <w:t>排入</w:t>
            </w:r>
            <w:r>
              <w:rPr>
                <w:color w:val="auto"/>
                <w:kern w:val="24"/>
                <w:sz w:val="24"/>
                <w:highlight w:val="none"/>
              </w:rPr>
              <w:t>临时沉淀池，经沉淀后回用于施工场地洒水抑尘，暴雨地表径流通过排水沟流入临时沉淀池，经沉淀处理后回用于场地内洒水抑尘等，</w:t>
            </w:r>
            <w:r>
              <w:rPr>
                <w:rFonts w:hint="eastAsia"/>
                <w:color w:val="auto"/>
                <w:kern w:val="24"/>
                <w:sz w:val="24"/>
                <w:highlight w:val="none"/>
              </w:rPr>
              <w:t>回用不完</w:t>
            </w:r>
            <w:r>
              <w:rPr>
                <w:color w:val="auto"/>
                <w:kern w:val="24"/>
                <w:sz w:val="24"/>
                <w:highlight w:val="none"/>
              </w:rPr>
              <w:t>部分排入</w:t>
            </w:r>
            <w:r>
              <w:rPr>
                <w:rFonts w:hint="eastAsia"/>
                <w:color w:val="auto"/>
                <w:kern w:val="24"/>
                <w:sz w:val="24"/>
                <w:highlight w:val="none"/>
                <w:lang w:val="en-US" w:eastAsia="zh-CN"/>
              </w:rPr>
              <w:t>周边雨水沟渠</w:t>
            </w:r>
            <w:r>
              <w:rPr>
                <w:color w:val="auto"/>
                <w:kern w:val="24"/>
                <w:sz w:val="24"/>
                <w:highlight w:val="none"/>
              </w:rPr>
              <w:t>，避免流入</w:t>
            </w:r>
            <w:r>
              <w:rPr>
                <w:rFonts w:hint="eastAsia"/>
                <w:color w:val="auto"/>
                <w:kern w:val="24"/>
                <w:sz w:val="24"/>
                <w:highlight w:val="none"/>
              </w:rPr>
              <w:t>周边地表水体。</w:t>
            </w:r>
          </w:p>
          <w:p w14:paraId="5822965B">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rPr>
              <w:t>3）</w:t>
            </w:r>
            <w:r>
              <w:rPr>
                <w:color w:val="auto"/>
                <w:kern w:val="24"/>
                <w:sz w:val="24"/>
                <w:highlight w:val="none"/>
              </w:rPr>
              <w:t>合理安排工期，避免在雨天进行土方作业</w:t>
            </w:r>
            <w:r>
              <w:rPr>
                <w:rFonts w:hint="eastAsia"/>
                <w:color w:val="auto"/>
                <w:kern w:val="24"/>
                <w:sz w:val="24"/>
                <w:highlight w:val="none"/>
              </w:rPr>
              <w:t>。</w:t>
            </w:r>
          </w:p>
          <w:p w14:paraId="18E0C930">
            <w:pPr>
              <w:pStyle w:val="62"/>
              <w:spacing w:line="360" w:lineRule="auto"/>
              <w:ind w:firstLine="480" w:firstLineChars="200"/>
              <w:rPr>
                <w:color w:val="auto"/>
                <w:kern w:val="24"/>
                <w:sz w:val="24"/>
                <w:highlight w:val="none"/>
              </w:rPr>
            </w:pPr>
            <w:r>
              <w:rPr>
                <w:rFonts w:hint="default" w:ascii="Times New Roman" w:hAnsi="Times New Roman" w:cs="Times New Roman"/>
                <w:color w:val="auto"/>
                <w:kern w:val="24"/>
                <w:sz w:val="24"/>
                <w:highlight w:val="none"/>
              </w:rPr>
              <w:t>4）</w:t>
            </w:r>
            <w:r>
              <w:rPr>
                <w:color w:val="auto"/>
                <w:kern w:val="24"/>
                <w:sz w:val="24"/>
                <w:highlight w:val="none"/>
              </w:rPr>
              <w:t>对粉状物料堆放场所和临时堆渣场进行遮蔽，减少雨水冲刷。</w:t>
            </w:r>
          </w:p>
          <w:p w14:paraId="5860F459">
            <w:pPr>
              <w:spacing w:line="360" w:lineRule="auto"/>
              <w:ind w:firstLine="480" w:firstLineChars="200"/>
              <w:jc w:val="left"/>
              <w:rPr>
                <w:rFonts w:hint="eastAsia"/>
                <w:b w:val="0"/>
                <w:bCs w:val="0"/>
                <w:color w:val="auto"/>
                <w:kern w:val="24"/>
                <w:sz w:val="24"/>
                <w:highlight w:val="none"/>
                <w:lang w:eastAsia="zh-CN"/>
              </w:rPr>
            </w:pPr>
            <w:r>
              <w:rPr>
                <w:rFonts w:hint="eastAsia"/>
                <w:b w:val="0"/>
                <w:bCs w:val="0"/>
                <w:color w:val="auto"/>
                <w:kern w:val="24"/>
                <w:sz w:val="24"/>
                <w:highlight w:val="none"/>
                <w:lang w:val="en-US" w:eastAsia="zh-CN"/>
              </w:rPr>
              <w:t>5</w:t>
            </w:r>
            <w:r>
              <w:rPr>
                <w:rFonts w:hint="eastAsia"/>
                <w:b w:val="0"/>
                <w:bCs w:val="0"/>
                <w:color w:val="auto"/>
                <w:kern w:val="24"/>
                <w:sz w:val="24"/>
                <w:highlight w:val="none"/>
                <w:lang w:eastAsia="zh-CN"/>
              </w:rPr>
              <w:t>）对于临时占地</w:t>
            </w:r>
            <w:r>
              <w:rPr>
                <w:rFonts w:hint="eastAsia"/>
                <w:b w:val="0"/>
                <w:bCs w:val="0"/>
                <w:color w:val="auto"/>
                <w:kern w:val="24"/>
                <w:sz w:val="24"/>
                <w:highlight w:val="none"/>
                <w:lang w:val="en-US" w:eastAsia="zh-CN"/>
              </w:rPr>
              <w:t>区域，</w:t>
            </w:r>
            <w:r>
              <w:rPr>
                <w:rFonts w:hint="eastAsia"/>
                <w:b w:val="0"/>
                <w:bCs w:val="0"/>
                <w:color w:val="auto"/>
                <w:kern w:val="24"/>
                <w:sz w:val="24"/>
                <w:highlight w:val="none"/>
                <w:lang w:eastAsia="zh-CN"/>
              </w:rPr>
              <w:t>竣工后要进行植被</w:t>
            </w:r>
            <w:r>
              <w:rPr>
                <w:rFonts w:hint="eastAsia"/>
                <w:b w:val="0"/>
                <w:bCs w:val="0"/>
                <w:color w:val="auto"/>
                <w:kern w:val="24"/>
                <w:sz w:val="24"/>
                <w:highlight w:val="none"/>
                <w:lang w:val="en-US" w:eastAsia="zh-CN"/>
              </w:rPr>
              <w:t>恢复</w:t>
            </w:r>
            <w:r>
              <w:rPr>
                <w:rFonts w:hint="eastAsia"/>
                <w:b w:val="0"/>
                <w:bCs w:val="0"/>
                <w:color w:val="auto"/>
                <w:kern w:val="24"/>
                <w:sz w:val="24"/>
                <w:highlight w:val="none"/>
                <w:lang w:eastAsia="zh-CN"/>
              </w:rPr>
              <w:t>工作。</w:t>
            </w:r>
          </w:p>
          <w:p w14:paraId="422DE1DD">
            <w:pPr>
              <w:spacing w:line="360" w:lineRule="auto"/>
              <w:ind w:firstLine="480" w:firstLineChars="200"/>
              <w:jc w:val="left"/>
              <w:rPr>
                <w:rFonts w:hint="eastAsia"/>
                <w:b w:val="0"/>
                <w:bCs w:val="0"/>
                <w:color w:val="auto"/>
                <w:kern w:val="24"/>
                <w:sz w:val="24"/>
                <w:highlight w:val="none"/>
                <w:lang w:eastAsia="zh-CN"/>
              </w:rPr>
            </w:pPr>
            <w:r>
              <w:rPr>
                <w:rFonts w:hint="eastAsia"/>
                <w:b w:val="0"/>
                <w:bCs w:val="0"/>
                <w:color w:val="auto"/>
                <w:kern w:val="24"/>
                <w:sz w:val="24"/>
                <w:highlight w:val="none"/>
                <w:lang w:val="en-US" w:eastAsia="zh-CN"/>
              </w:rPr>
              <w:t>6</w:t>
            </w:r>
            <w:r>
              <w:rPr>
                <w:rFonts w:hint="eastAsia"/>
                <w:b w:val="0"/>
                <w:bCs w:val="0"/>
                <w:color w:val="auto"/>
                <w:kern w:val="24"/>
                <w:sz w:val="24"/>
                <w:highlight w:val="none"/>
                <w:lang w:eastAsia="zh-CN"/>
              </w:rPr>
              <w:t>）妥善处理施工期产生的各类污染物，施工结束后，要进行清场，采取恢复措施。</w:t>
            </w:r>
          </w:p>
          <w:p w14:paraId="67FA902B">
            <w:pPr>
              <w:spacing w:line="360" w:lineRule="auto"/>
              <w:ind w:firstLine="482" w:firstLineChars="200"/>
              <w:jc w:val="left"/>
              <w:rPr>
                <w:rFonts w:hint="eastAsia" w:ascii="Times New Roman" w:hAnsi="Times New Roman" w:eastAsia="宋体"/>
                <w:b/>
                <w:bCs w:val="0"/>
                <w:color w:val="auto"/>
                <w:sz w:val="24"/>
                <w:szCs w:val="24"/>
                <w:highlight w:val="none"/>
                <w:lang w:val="en-US" w:eastAsia="zh-CN"/>
              </w:rPr>
            </w:pPr>
            <w:r>
              <w:rPr>
                <w:rFonts w:hint="eastAsia"/>
                <w:b/>
                <w:bCs/>
                <w:color w:val="auto"/>
                <w:kern w:val="24"/>
                <w:sz w:val="24"/>
                <w:highlight w:val="none"/>
                <w:lang w:eastAsia="zh-CN"/>
              </w:rPr>
              <w:t>六、</w:t>
            </w:r>
            <w:r>
              <w:rPr>
                <w:rFonts w:hint="eastAsia" w:ascii="Times New Roman" w:hAnsi="Times New Roman" w:eastAsia="宋体"/>
                <w:b/>
                <w:bCs w:val="0"/>
                <w:color w:val="auto"/>
                <w:sz w:val="24"/>
                <w:szCs w:val="24"/>
                <w:highlight w:val="none"/>
                <w:lang w:val="en-US" w:eastAsia="zh-CN"/>
              </w:rPr>
              <w:t>施工期</w:t>
            </w:r>
            <w:r>
              <w:rPr>
                <w:rFonts w:hint="eastAsia"/>
                <w:b/>
                <w:bCs w:val="0"/>
                <w:color w:val="auto"/>
                <w:sz w:val="24"/>
                <w:szCs w:val="24"/>
                <w:highlight w:val="none"/>
                <w:lang w:val="en-US" w:eastAsia="zh-CN"/>
              </w:rPr>
              <w:t>填埋场渗滤液</w:t>
            </w:r>
            <w:r>
              <w:rPr>
                <w:rFonts w:hint="eastAsia" w:ascii="Times New Roman" w:hAnsi="Times New Roman" w:eastAsia="宋体"/>
                <w:b/>
                <w:bCs w:val="0"/>
                <w:color w:val="auto"/>
                <w:sz w:val="24"/>
                <w:szCs w:val="24"/>
                <w:highlight w:val="none"/>
                <w:lang w:val="en-US" w:eastAsia="zh-CN"/>
              </w:rPr>
              <w:t>处理保证方案</w:t>
            </w:r>
          </w:p>
          <w:p w14:paraId="75278263">
            <w:pPr>
              <w:spacing w:line="360" w:lineRule="auto"/>
              <w:ind w:firstLine="480" w:firstLineChars="200"/>
              <w:jc w:val="left"/>
              <w:rPr>
                <w:rFonts w:hint="eastAsia" w:ascii="Times New Roman" w:hAnsi="Times New Roman" w:eastAsia="宋体" w:cs="Times New Roman"/>
                <w:b w:val="0"/>
                <w:bCs/>
                <w:color w:val="auto"/>
                <w:sz w:val="24"/>
                <w:szCs w:val="24"/>
                <w:highlight w:val="none"/>
                <w:lang w:eastAsia="zh-CN"/>
              </w:rPr>
            </w:pPr>
            <w:r>
              <w:rPr>
                <w:rFonts w:hint="eastAsia" w:ascii="Times New Roman" w:hAnsi="Times New Roman" w:eastAsia="宋体" w:cs="Times New Roman"/>
                <w:b w:val="0"/>
                <w:bCs/>
                <w:color w:val="auto"/>
                <w:sz w:val="24"/>
                <w:szCs w:val="24"/>
                <w:highlight w:val="none"/>
                <w:lang w:eastAsia="zh-CN"/>
              </w:rPr>
              <w:t>根据建设单位提供信息，本次</w:t>
            </w:r>
            <w:r>
              <w:rPr>
                <w:rFonts w:hint="eastAsia" w:cs="Times New Roman"/>
                <w:b w:val="0"/>
                <w:bCs/>
                <w:color w:val="auto"/>
                <w:sz w:val="24"/>
                <w:szCs w:val="24"/>
                <w:highlight w:val="none"/>
                <w:lang w:val="en-US" w:eastAsia="zh-CN"/>
              </w:rPr>
              <w:t>项目</w:t>
            </w:r>
            <w:r>
              <w:rPr>
                <w:rFonts w:hint="eastAsia" w:ascii="Times New Roman" w:hAnsi="Times New Roman" w:cs="Times New Roman"/>
                <w:color w:val="auto"/>
                <w:sz w:val="24"/>
                <w:highlight w:val="none"/>
                <w:lang w:val="en-US" w:eastAsia="zh-CN"/>
              </w:rPr>
              <w:t>建设期间继续租用现有处理设备，处理能力100t/d，处理设备暂存于调节池北侧，待本项目竣工投入使用后，现处理设备退还给设备厂家</w:t>
            </w:r>
            <w:r>
              <w:rPr>
                <w:rFonts w:hint="eastAsia" w:ascii="Times New Roman" w:hAnsi="Times New Roman" w:eastAsia="宋体" w:cs="Times New Roman"/>
                <w:b w:val="0"/>
                <w:bCs/>
                <w:color w:val="auto"/>
                <w:sz w:val="24"/>
                <w:szCs w:val="24"/>
                <w:highlight w:val="none"/>
                <w:lang w:val="en-US" w:eastAsia="zh-CN"/>
              </w:rPr>
              <w:t>。因此，</w:t>
            </w:r>
            <w:r>
              <w:rPr>
                <w:rFonts w:hint="default" w:ascii="Times New Roman" w:hAnsi="Times New Roman" w:eastAsia="宋体" w:cs="Times New Roman"/>
                <w:b w:val="0"/>
                <w:bCs/>
                <w:color w:val="auto"/>
                <w:sz w:val="24"/>
                <w:szCs w:val="24"/>
                <w:highlight w:val="none"/>
                <w:lang w:eastAsia="zh-CN"/>
              </w:rPr>
              <w:t>在本工程施工期间，可确保</w:t>
            </w:r>
            <w:r>
              <w:rPr>
                <w:rFonts w:hint="eastAsia" w:cs="Times New Roman"/>
                <w:b w:val="0"/>
                <w:bCs/>
                <w:color w:val="auto"/>
                <w:sz w:val="24"/>
                <w:szCs w:val="24"/>
                <w:highlight w:val="none"/>
                <w:lang w:val="en-US" w:eastAsia="zh-CN"/>
              </w:rPr>
              <w:t>渗滤液</w:t>
            </w:r>
            <w:r>
              <w:rPr>
                <w:rFonts w:hint="default" w:ascii="Times New Roman" w:hAnsi="Times New Roman" w:eastAsia="宋体" w:cs="Times New Roman"/>
                <w:b w:val="0"/>
                <w:bCs/>
                <w:color w:val="auto"/>
                <w:sz w:val="24"/>
                <w:szCs w:val="24"/>
                <w:highlight w:val="none"/>
                <w:lang w:eastAsia="zh-CN"/>
              </w:rPr>
              <w:t>来水得到处理</w:t>
            </w:r>
            <w:r>
              <w:rPr>
                <w:rFonts w:hint="eastAsia" w:ascii="Times New Roman" w:hAnsi="Times New Roman" w:eastAsia="宋体" w:cs="Times New Roman"/>
                <w:b w:val="0"/>
                <w:bCs/>
                <w:color w:val="auto"/>
                <w:sz w:val="24"/>
                <w:szCs w:val="24"/>
                <w:highlight w:val="none"/>
                <w:lang w:eastAsia="zh-CN"/>
              </w:rPr>
              <w:t>。</w:t>
            </w:r>
          </w:p>
          <w:p w14:paraId="37841E8F">
            <w:pPr>
              <w:spacing w:line="360" w:lineRule="auto"/>
              <w:ind w:firstLine="480" w:firstLineChars="200"/>
              <w:jc w:val="left"/>
              <w:rPr>
                <w:rFonts w:hint="eastAsia" w:ascii="Times New Roman" w:hAnsi="Times New Roman" w:eastAsia="宋体" w:cs="Times New Roman"/>
                <w:b w:val="0"/>
                <w:bCs/>
                <w:color w:val="auto"/>
                <w:sz w:val="24"/>
                <w:szCs w:val="24"/>
                <w:highlight w:val="none"/>
                <w:lang w:eastAsia="zh-CN"/>
              </w:rPr>
            </w:pPr>
          </w:p>
          <w:p w14:paraId="45BD0763">
            <w:pPr>
              <w:spacing w:line="360" w:lineRule="auto"/>
              <w:ind w:firstLine="480" w:firstLineChars="200"/>
              <w:jc w:val="left"/>
              <w:rPr>
                <w:rFonts w:hint="eastAsia" w:ascii="Times New Roman" w:hAnsi="Times New Roman" w:eastAsia="宋体" w:cs="Times New Roman"/>
                <w:b w:val="0"/>
                <w:bCs/>
                <w:color w:val="auto"/>
                <w:sz w:val="24"/>
                <w:szCs w:val="24"/>
                <w:highlight w:val="none"/>
                <w:lang w:eastAsia="zh-CN"/>
              </w:rPr>
            </w:pPr>
          </w:p>
          <w:p w14:paraId="32006A56">
            <w:pPr>
              <w:spacing w:line="360" w:lineRule="auto"/>
              <w:ind w:firstLine="480" w:firstLineChars="200"/>
              <w:jc w:val="left"/>
              <w:rPr>
                <w:rFonts w:hint="eastAsia" w:ascii="Times New Roman" w:hAnsi="Times New Roman" w:eastAsia="宋体" w:cs="Times New Roman"/>
                <w:b w:val="0"/>
                <w:bCs/>
                <w:color w:val="auto"/>
                <w:sz w:val="24"/>
                <w:szCs w:val="24"/>
                <w:highlight w:val="none"/>
                <w:lang w:eastAsia="zh-CN"/>
              </w:rPr>
            </w:pPr>
          </w:p>
          <w:p w14:paraId="7D8F7B5F">
            <w:pPr>
              <w:spacing w:line="360" w:lineRule="auto"/>
              <w:ind w:firstLine="480" w:firstLineChars="200"/>
              <w:jc w:val="left"/>
              <w:rPr>
                <w:rFonts w:hint="eastAsia" w:ascii="Times New Roman" w:hAnsi="Times New Roman" w:eastAsia="宋体" w:cs="Times New Roman"/>
                <w:b w:val="0"/>
                <w:bCs/>
                <w:color w:val="auto"/>
                <w:sz w:val="24"/>
                <w:szCs w:val="24"/>
                <w:highlight w:val="none"/>
                <w:lang w:eastAsia="zh-CN"/>
              </w:rPr>
            </w:pPr>
          </w:p>
          <w:p w14:paraId="4F55F50E">
            <w:pPr>
              <w:spacing w:line="360" w:lineRule="auto"/>
              <w:ind w:firstLine="480" w:firstLineChars="200"/>
              <w:jc w:val="left"/>
              <w:rPr>
                <w:rFonts w:hint="eastAsia" w:cs="Times New Roman"/>
                <w:b w:val="0"/>
                <w:bCs/>
                <w:color w:val="auto"/>
                <w:sz w:val="24"/>
                <w:szCs w:val="24"/>
                <w:highlight w:val="none"/>
                <w:lang w:eastAsia="zh-CN"/>
              </w:rPr>
            </w:pPr>
          </w:p>
          <w:p w14:paraId="58F195EB">
            <w:pPr>
              <w:spacing w:line="360" w:lineRule="auto"/>
              <w:ind w:firstLine="480" w:firstLineChars="200"/>
              <w:jc w:val="left"/>
              <w:rPr>
                <w:rFonts w:hint="eastAsia" w:cs="Times New Roman"/>
                <w:b w:val="0"/>
                <w:bCs/>
                <w:color w:val="auto"/>
                <w:sz w:val="24"/>
                <w:szCs w:val="24"/>
                <w:highlight w:val="none"/>
                <w:lang w:eastAsia="zh-CN"/>
              </w:rPr>
            </w:pPr>
          </w:p>
          <w:p w14:paraId="37C97053">
            <w:pPr>
              <w:spacing w:line="360" w:lineRule="auto"/>
              <w:ind w:firstLine="480" w:firstLineChars="200"/>
              <w:jc w:val="left"/>
              <w:rPr>
                <w:rFonts w:hint="eastAsia" w:cs="Times New Roman"/>
                <w:b w:val="0"/>
                <w:bCs/>
                <w:color w:val="auto"/>
                <w:sz w:val="24"/>
                <w:szCs w:val="24"/>
                <w:highlight w:val="none"/>
                <w:lang w:eastAsia="zh-CN"/>
              </w:rPr>
            </w:pPr>
          </w:p>
          <w:p w14:paraId="2105C105">
            <w:pPr>
              <w:spacing w:line="360" w:lineRule="auto"/>
              <w:ind w:firstLine="480" w:firstLineChars="200"/>
              <w:jc w:val="left"/>
              <w:rPr>
                <w:rFonts w:hint="eastAsia" w:cs="Times New Roman"/>
                <w:b w:val="0"/>
                <w:bCs/>
                <w:color w:val="auto"/>
                <w:sz w:val="24"/>
                <w:szCs w:val="24"/>
                <w:highlight w:val="none"/>
                <w:lang w:eastAsia="zh-CN"/>
              </w:rPr>
            </w:pPr>
          </w:p>
          <w:p w14:paraId="2C039971">
            <w:pPr>
              <w:spacing w:line="360" w:lineRule="auto"/>
              <w:ind w:firstLine="480" w:firstLineChars="200"/>
              <w:jc w:val="left"/>
              <w:rPr>
                <w:rFonts w:hint="eastAsia" w:cs="Times New Roman"/>
                <w:b w:val="0"/>
                <w:bCs/>
                <w:color w:val="auto"/>
                <w:sz w:val="24"/>
                <w:szCs w:val="24"/>
                <w:highlight w:val="none"/>
                <w:lang w:eastAsia="zh-CN"/>
              </w:rPr>
            </w:pPr>
          </w:p>
          <w:p w14:paraId="23B874DE">
            <w:pPr>
              <w:spacing w:line="360" w:lineRule="auto"/>
              <w:ind w:firstLine="480" w:firstLineChars="200"/>
              <w:jc w:val="left"/>
              <w:rPr>
                <w:rFonts w:hint="eastAsia" w:cs="Times New Roman"/>
                <w:b w:val="0"/>
                <w:bCs/>
                <w:color w:val="auto"/>
                <w:sz w:val="24"/>
                <w:szCs w:val="24"/>
                <w:highlight w:val="none"/>
                <w:lang w:eastAsia="zh-CN"/>
              </w:rPr>
            </w:pPr>
          </w:p>
          <w:p w14:paraId="690682C5">
            <w:pPr>
              <w:spacing w:line="360" w:lineRule="auto"/>
              <w:ind w:firstLine="480" w:firstLineChars="200"/>
              <w:jc w:val="left"/>
              <w:rPr>
                <w:rFonts w:hint="eastAsia" w:cs="Times New Roman"/>
                <w:b w:val="0"/>
                <w:bCs/>
                <w:color w:val="auto"/>
                <w:sz w:val="24"/>
                <w:szCs w:val="24"/>
                <w:highlight w:val="none"/>
                <w:lang w:eastAsia="zh-CN"/>
              </w:rPr>
            </w:pPr>
          </w:p>
          <w:p w14:paraId="559772CB">
            <w:pPr>
              <w:spacing w:line="360" w:lineRule="auto"/>
              <w:ind w:firstLine="480" w:firstLineChars="200"/>
              <w:jc w:val="left"/>
              <w:rPr>
                <w:rFonts w:hint="eastAsia" w:cs="Times New Roman"/>
                <w:b w:val="0"/>
                <w:bCs/>
                <w:color w:val="auto"/>
                <w:sz w:val="24"/>
                <w:szCs w:val="24"/>
                <w:highlight w:val="none"/>
                <w:lang w:eastAsia="zh-CN"/>
              </w:rPr>
            </w:pPr>
          </w:p>
          <w:p w14:paraId="43A53CDD">
            <w:pPr>
              <w:spacing w:line="360" w:lineRule="auto"/>
              <w:ind w:firstLine="480" w:firstLineChars="200"/>
              <w:jc w:val="left"/>
              <w:rPr>
                <w:rFonts w:hint="eastAsia" w:cs="Times New Roman"/>
                <w:b w:val="0"/>
                <w:bCs/>
                <w:color w:val="auto"/>
                <w:sz w:val="24"/>
                <w:szCs w:val="24"/>
                <w:highlight w:val="none"/>
                <w:lang w:eastAsia="zh-CN"/>
              </w:rPr>
            </w:pPr>
          </w:p>
          <w:p w14:paraId="1DE34B4E">
            <w:pPr>
              <w:spacing w:line="360" w:lineRule="auto"/>
              <w:ind w:firstLine="480" w:firstLineChars="200"/>
              <w:jc w:val="left"/>
              <w:rPr>
                <w:rFonts w:hint="eastAsia" w:cs="Times New Roman"/>
                <w:b w:val="0"/>
                <w:bCs/>
                <w:color w:val="auto"/>
                <w:sz w:val="24"/>
                <w:szCs w:val="24"/>
                <w:highlight w:val="none"/>
                <w:lang w:eastAsia="zh-CN"/>
              </w:rPr>
            </w:pPr>
          </w:p>
          <w:p w14:paraId="2AA69894">
            <w:pPr>
              <w:spacing w:line="360" w:lineRule="auto"/>
              <w:ind w:firstLine="480" w:firstLineChars="200"/>
              <w:jc w:val="left"/>
              <w:rPr>
                <w:rFonts w:hint="eastAsia" w:cs="Times New Roman"/>
                <w:b w:val="0"/>
                <w:bCs/>
                <w:color w:val="auto"/>
                <w:sz w:val="24"/>
                <w:szCs w:val="24"/>
                <w:highlight w:val="none"/>
                <w:lang w:eastAsia="zh-CN"/>
              </w:rPr>
            </w:pPr>
          </w:p>
          <w:p w14:paraId="18D0BAC0">
            <w:pPr>
              <w:spacing w:line="360" w:lineRule="auto"/>
              <w:ind w:firstLine="480" w:firstLineChars="200"/>
              <w:jc w:val="left"/>
              <w:rPr>
                <w:rFonts w:hint="eastAsia" w:cs="Times New Roman"/>
                <w:b w:val="0"/>
                <w:bCs/>
                <w:color w:val="auto"/>
                <w:sz w:val="24"/>
                <w:szCs w:val="24"/>
                <w:highlight w:val="none"/>
                <w:lang w:eastAsia="zh-CN"/>
              </w:rPr>
            </w:pPr>
          </w:p>
          <w:p w14:paraId="3771FF0E">
            <w:pPr>
              <w:pStyle w:val="62"/>
              <w:spacing w:line="360" w:lineRule="auto"/>
              <w:rPr>
                <w:rFonts w:hint="eastAsia" w:ascii="Times New Roman" w:hAnsi="Times New Roman" w:eastAsia="宋体" w:cs="Times New Roman"/>
                <w:bCs/>
                <w:color w:val="auto"/>
                <w:spacing w:val="-10"/>
                <w:sz w:val="24"/>
                <w:highlight w:val="none"/>
                <w:lang w:val="en-US" w:eastAsia="zh-CN"/>
              </w:rPr>
            </w:pPr>
          </w:p>
        </w:tc>
      </w:tr>
      <w:tr w14:paraId="20190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3" w:hRule="atLeast"/>
          <w:jc w:val="center"/>
        </w:trPr>
        <w:tc>
          <w:tcPr>
            <w:tcW w:w="505" w:type="dxa"/>
            <w:tcMar>
              <w:left w:w="28" w:type="dxa"/>
              <w:right w:w="28" w:type="dxa"/>
            </w:tcMar>
            <w:vAlign w:val="center"/>
          </w:tcPr>
          <w:p w14:paraId="170A01A6">
            <w:pPr>
              <w:adjustRightInd w:val="0"/>
              <w:snapToGrid w:val="0"/>
              <w:jc w:val="center"/>
              <w:rPr>
                <w:bCs/>
                <w:color w:val="auto"/>
                <w:sz w:val="24"/>
                <w:highlight w:val="none"/>
              </w:rPr>
            </w:pPr>
            <w:r>
              <w:rPr>
                <w:rFonts w:hAnsi="宋体"/>
                <w:bCs/>
                <w:color w:val="auto"/>
                <w:sz w:val="24"/>
                <w:highlight w:val="none"/>
              </w:rPr>
              <w:t>运营期环境影响和保护措施</w:t>
            </w:r>
          </w:p>
        </w:tc>
        <w:tc>
          <w:tcPr>
            <w:tcW w:w="9075" w:type="dxa"/>
          </w:tcPr>
          <w:p w14:paraId="33CF5F9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bCs/>
                <w:color w:val="auto"/>
                <w:sz w:val="24"/>
                <w:highlight w:val="none"/>
              </w:rPr>
            </w:pPr>
            <w:r>
              <w:rPr>
                <w:rFonts w:hint="eastAsia"/>
                <w:b/>
                <w:bCs/>
                <w:color w:val="auto"/>
                <w:sz w:val="24"/>
                <w:highlight w:val="none"/>
                <w:lang w:eastAsia="zh-CN"/>
              </w:rPr>
              <w:t>一</w:t>
            </w:r>
            <w:r>
              <w:rPr>
                <w:rFonts w:hint="eastAsia"/>
                <w:b/>
                <w:bCs/>
                <w:color w:val="auto"/>
                <w:sz w:val="24"/>
                <w:highlight w:val="none"/>
              </w:rPr>
              <w:t>、运营期废气环境影响和保护措施</w:t>
            </w:r>
          </w:p>
          <w:p w14:paraId="0F714EF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bCs/>
                <w:color w:val="auto"/>
                <w:sz w:val="24"/>
                <w:highlight w:val="none"/>
              </w:rPr>
            </w:pPr>
            <w:r>
              <w:rPr>
                <w:rFonts w:hint="eastAsia"/>
                <w:b/>
                <w:bCs/>
                <w:color w:val="auto"/>
                <w:sz w:val="24"/>
                <w:highlight w:val="none"/>
              </w:rPr>
              <w:t>1</w:t>
            </w:r>
            <w:r>
              <w:rPr>
                <w:rFonts w:hint="eastAsia"/>
                <w:b/>
                <w:bCs/>
                <w:color w:val="auto"/>
                <w:sz w:val="24"/>
                <w:highlight w:val="none"/>
                <w:lang w:eastAsia="zh-CN"/>
              </w:rPr>
              <w:t>、</w:t>
            </w:r>
            <w:r>
              <w:rPr>
                <w:rFonts w:hint="eastAsia"/>
                <w:b/>
                <w:bCs/>
                <w:color w:val="auto"/>
                <w:sz w:val="24"/>
                <w:highlight w:val="none"/>
              </w:rPr>
              <w:t>污染源源强核算及达标排放情况</w:t>
            </w:r>
          </w:p>
          <w:p w14:paraId="745EC5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4"/>
                <w:sz w:val="24"/>
                <w:szCs w:val="22"/>
                <w:highlight w:val="none"/>
                <w:lang w:val="en-US" w:eastAsia="en-US" w:bidi="ar-SA"/>
              </w:rPr>
            </w:pPr>
            <w:r>
              <w:rPr>
                <w:rFonts w:hint="eastAsia" w:cs="Times New Roman"/>
                <w:color w:val="auto"/>
                <w:kern w:val="24"/>
                <w:sz w:val="24"/>
                <w:szCs w:val="22"/>
                <w:highlight w:val="none"/>
                <w:lang w:val="en-US" w:eastAsia="zh-CN" w:bidi="ar-SA"/>
              </w:rPr>
              <w:t>项目</w:t>
            </w:r>
            <w:r>
              <w:rPr>
                <w:rFonts w:hint="default" w:ascii="Times New Roman" w:hAnsi="Times New Roman" w:eastAsia="宋体" w:cs="Times New Roman"/>
                <w:color w:val="auto"/>
                <w:kern w:val="24"/>
                <w:sz w:val="24"/>
                <w:szCs w:val="22"/>
                <w:highlight w:val="none"/>
                <w:lang w:val="en-US" w:eastAsia="en-US" w:bidi="ar-SA"/>
              </w:rPr>
              <w:t>营运期废气主要为</w:t>
            </w:r>
            <w:r>
              <w:rPr>
                <w:rFonts w:hint="eastAsia" w:cs="Times New Roman"/>
                <w:color w:val="auto"/>
                <w:kern w:val="24"/>
                <w:sz w:val="24"/>
                <w:szCs w:val="22"/>
                <w:highlight w:val="none"/>
                <w:lang w:val="en-US" w:eastAsia="zh-CN" w:bidi="ar-SA"/>
              </w:rPr>
              <w:t>全量化处理站运行中产生的恶臭</w:t>
            </w:r>
            <w:r>
              <w:rPr>
                <w:rFonts w:hint="eastAsia"/>
                <w:color w:val="auto"/>
                <w:kern w:val="24"/>
                <w:sz w:val="24"/>
                <w:highlight w:val="none"/>
                <w:lang w:eastAsia="zh-CN"/>
              </w:rPr>
              <w:t>、</w:t>
            </w:r>
            <w:r>
              <w:rPr>
                <w:rFonts w:hint="eastAsia"/>
                <w:color w:val="auto"/>
                <w:kern w:val="24"/>
                <w:sz w:val="24"/>
                <w:highlight w:val="none"/>
                <w:lang w:val="en-US" w:eastAsia="zh-CN"/>
              </w:rPr>
              <w:t>固化剂料仓粉尘、蒸发母液搅拌楼粉尘</w:t>
            </w:r>
            <w:r>
              <w:rPr>
                <w:rFonts w:hint="default" w:ascii="Times New Roman" w:hAnsi="Times New Roman" w:eastAsia="宋体" w:cs="Times New Roman"/>
                <w:color w:val="auto"/>
                <w:kern w:val="24"/>
                <w:sz w:val="24"/>
                <w:szCs w:val="22"/>
                <w:highlight w:val="none"/>
                <w:lang w:val="en-US" w:eastAsia="en-US" w:bidi="ar-SA"/>
              </w:rPr>
              <w:t>。</w:t>
            </w:r>
          </w:p>
          <w:p w14:paraId="2F9B435C">
            <w:pPr>
              <w:adjustRightInd w:val="0"/>
              <w:snapToGrid w:val="0"/>
              <w:spacing w:line="360" w:lineRule="auto"/>
              <w:ind w:firstLine="480" w:firstLineChars="200"/>
              <w:rPr>
                <w:rFonts w:hint="default" w:ascii="Times New Roman" w:hAnsi="Times New Roman" w:eastAsia="宋体" w:cs="Times New Roman"/>
                <w:color w:val="auto"/>
                <w:kern w:val="24"/>
                <w:sz w:val="24"/>
                <w:szCs w:val="22"/>
                <w:highlight w:val="none"/>
                <w:lang w:val="en-US" w:eastAsia="en-US" w:bidi="ar-SA"/>
              </w:rPr>
            </w:pPr>
            <w:r>
              <w:rPr>
                <w:rFonts w:hint="eastAsia" w:ascii="Times New Roman" w:hAnsi="Times New Roman" w:eastAsia="宋体" w:cs="Times New Roman"/>
                <w:color w:val="auto"/>
                <w:kern w:val="24"/>
                <w:sz w:val="24"/>
                <w:szCs w:val="22"/>
                <w:highlight w:val="none"/>
                <w:lang w:val="en-US" w:eastAsia="en-US" w:bidi="ar-SA"/>
              </w:rPr>
              <w:t>项目大气污染物产生量排放量汇总详见表4-1。</w:t>
            </w:r>
          </w:p>
          <w:p w14:paraId="2EB1EC0E">
            <w:pPr>
              <w:adjustRightInd w:val="0"/>
              <w:snapToGrid w:val="0"/>
              <w:spacing w:line="360" w:lineRule="auto"/>
              <w:ind w:firstLine="482" w:firstLineChars="200"/>
              <w:jc w:val="center"/>
              <w:rPr>
                <w:b/>
                <w:bCs/>
                <w:color w:val="auto"/>
                <w:kern w:val="24"/>
                <w:sz w:val="24"/>
                <w:szCs w:val="24"/>
                <w:highlight w:val="none"/>
              </w:rPr>
            </w:pPr>
            <w:r>
              <w:rPr>
                <w:rFonts w:hint="eastAsia"/>
                <w:b/>
                <w:bCs/>
                <w:color w:val="auto"/>
                <w:kern w:val="24"/>
                <w:sz w:val="24"/>
                <w:szCs w:val="24"/>
                <w:highlight w:val="none"/>
              </w:rPr>
              <w:t>表4-1  项目大气污染物产生量排放量一览表</w:t>
            </w:r>
          </w:p>
          <w:tbl>
            <w:tblPr>
              <w:tblStyle w:val="3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83"/>
              <w:gridCol w:w="582"/>
              <w:gridCol w:w="772"/>
              <w:gridCol w:w="910"/>
              <w:gridCol w:w="1033"/>
              <w:gridCol w:w="946"/>
              <w:gridCol w:w="546"/>
              <w:gridCol w:w="789"/>
              <w:gridCol w:w="762"/>
              <w:gridCol w:w="940"/>
              <w:gridCol w:w="777"/>
            </w:tblGrid>
            <w:tr w14:paraId="4C30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42" w:type="pct"/>
                  <w:vAlign w:val="center"/>
                </w:tcPr>
                <w:p w14:paraId="7DBF9C2F">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r>
                    <w:rPr>
                      <w:color w:val="auto"/>
                      <w:kern w:val="24"/>
                      <w:szCs w:val="21"/>
                      <w:highlight w:val="none"/>
                    </w:rPr>
                    <w:t>污染源</w:t>
                  </w:r>
                </w:p>
              </w:tc>
              <w:tc>
                <w:tcPr>
                  <w:tcW w:w="329" w:type="pct"/>
                  <w:vAlign w:val="center"/>
                </w:tcPr>
                <w:p w14:paraId="52DD1A5A">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r>
                    <w:rPr>
                      <w:color w:val="auto"/>
                      <w:kern w:val="24"/>
                      <w:szCs w:val="21"/>
                      <w:highlight w:val="none"/>
                    </w:rPr>
                    <w:t>污染物名称</w:t>
                  </w:r>
                </w:p>
              </w:tc>
              <w:tc>
                <w:tcPr>
                  <w:tcW w:w="436" w:type="pct"/>
                  <w:vAlign w:val="center"/>
                </w:tcPr>
                <w:p w14:paraId="57159985">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r>
                    <w:rPr>
                      <w:color w:val="auto"/>
                      <w:kern w:val="24"/>
                      <w:szCs w:val="21"/>
                      <w:highlight w:val="none"/>
                    </w:rPr>
                    <w:t>污染物产生量t/a</w:t>
                  </w:r>
                </w:p>
              </w:tc>
              <w:tc>
                <w:tcPr>
                  <w:tcW w:w="514" w:type="pct"/>
                  <w:vAlign w:val="center"/>
                </w:tcPr>
                <w:p w14:paraId="1AC91762">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r>
                    <w:rPr>
                      <w:color w:val="auto"/>
                      <w:kern w:val="24"/>
                      <w:szCs w:val="21"/>
                      <w:highlight w:val="none"/>
                    </w:rPr>
                    <w:t>污染物产生速率kg/h</w:t>
                  </w:r>
                </w:p>
              </w:tc>
              <w:tc>
                <w:tcPr>
                  <w:tcW w:w="584" w:type="pct"/>
                  <w:vAlign w:val="center"/>
                </w:tcPr>
                <w:p w14:paraId="47C02F1E">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vertAlign w:val="superscript"/>
                    </w:rPr>
                  </w:pPr>
                  <w:r>
                    <w:rPr>
                      <w:color w:val="auto"/>
                      <w:kern w:val="24"/>
                      <w:szCs w:val="21"/>
                      <w:highlight w:val="none"/>
                    </w:rPr>
                    <w:t>污染物产生</w:t>
                  </w:r>
                  <w:r>
                    <w:rPr>
                      <w:rFonts w:hint="eastAsia"/>
                      <w:color w:val="auto"/>
                      <w:kern w:val="24"/>
                      <w:szCs w:val="21"/>
                      <w:highlight w:val="none"/>
                    </w:rPr>
                    <w:t>浓度mg/m</w:t>
                  </w:r>
                  <w:r>
                    <w:rPr>
                      <w:rFonts w:hint="eastAsia"/>
                      <w:color w:val="auto"/>
                      <w:kern w:val="24"/>
                      <w:szCs w:val="21"/>
                      <w:highlight w:val="none"/>
                      <w:vertAlign w:val="superscript"/>
                    </w:rPr>
                    <w:t>3</w:t>
                  </w:r>
                </w:p>
              </w:tc>
              <w:tc>
                <w:tcPr>
                  <w:tcW w:w="535" w:type="pct"/>
                  <w:vAlign w:val="center"/>
                </w:tcPr>
                <w:p w14:paraId="5F25B944">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r>
                    <w:rPr>
                      <w:rFonts w:hint="eastAsia"/>
                      <w:color w:val="auto"/>
                      <w:kern w:val="24"/>
                      <w:szCs w:val="21"/>
                      <w:highlight w:val="none"/>
                    </w:rPr>
                    <w:t>治理措施</w:t>
                  </w:r>
                </w:p>
              </w:tc>
              <w:tc>
                <w:tcPr>
                  <w:tcW w:w="308" w:type="pct"/>
                  <w:vAlign w:val="center"/>
                </w:tcPr>
                <w:p w14:paraId="2DD29294">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r>
                    <w:rPr>
                      <w:rFonts w:hint="eastAsia"/>
                      <w:color w:val="auto"/>
                      <w:kern w:val="24"/>
                      <w:szCs w:val="21"/>
                      <w:highlight w:val="none"/>
                    </w:rPr>
                    <w:t>治理效率%</w:t>
                  </w:r>
                </w:p>
              </w:tc>
              <w:tc>
                <w:tcPr>
                  <w:tcW w:w="446" w:type="pct"/>
                  <w:vAlign w:val="center"/>
                </w:tcPr>
                <w:p w14:paraId="07FA0A08">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r>
                    <w:rPr>
                      <w:color w:val="auto"/>
                      <w:kern w:val="24"/>
                      <w:szCs w:val="21"/>
                      <w:highlight w:val="none"/>
                    </w:rPr>
                    <w:t>污染物排放量t/a</w:t>
                  </w:r>
                </w:p>
              </w:tc>
              <w:tc>
                <w:tcPr>
                  <w:tcW w:w="430" w:type="pct"/>
                  <w:vAlign w:val="center"/>
                </w:tcPr>
                <w:p w14:paraId="0A330092">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r>
                    <w:rPr>
                      <w:color w:val="auto"/>
                      <w:kern w:val="24"/>
                      <w:szCs w:val="21"/>
                      <w:highlight w:val="none"/>
                    </w:rPr>
                    <w:t>污染物排放速率kg/h</w:t>
                  </w:r>
                </w:p>
              </w:tc>
              <w:tc>
                <w:tcPr>
                  <w:tcW w:w="531" w:type="pct"/>
                  <w:vAlign w:val="center"/>
                </w:tcPr>
                <w:p w14:paraId="39245621">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r>
                    <w:rPr>
                      <w:color w:val="auto"/>
                      <w:kern w:val="24"/>
                      <w:szCs w:val="21"/>
                      <w:highlight w:val="none"/>
                    </w:rPr>
                    <w:t>污染物</w:t>
                  </w:r>
                  <w:r>
                    <w:rPr>
                      <w:rFonts w:hint="eastAsia"/>
                      <w:color w:val="auto"/>
                      <w:kern w:val="24"/>
                      <w:szCs w:val="21"/>
                      <w:highlight w:val="none"/>
                    </w:rPr>
                    <w:t>排放浓度mg/m</w:t>
                  </w:r>
                  <w:r>
                    <w:rPr>
                      <w:rFonts w:hint="eastAsia"/>
                      <w:color w:val="auto"/>
                      <w:kern w:val="24"/>
                      <w:szCs w:val="21"/>
                      <w:highlight w:val="none"/>
                      <w:vertAlign w:val="superscript"/>
                    </w:rPr>
                    <w:t>3</w:t>
                  </w:r>
                </w:p>
              </w:tc>
              <w:tc>
                <w:tcPr>
                  <w:tcW w:w="439" w:type="pct"/>
                  <w:vAlign w:val="center"/>
                </w:tcPr>
                <w:p w14:paraId="0F11494A">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r>
                    <w:rPr>
                      <w:color w:val="auto"/>
                      <w:kern w:val="24"/>
                      <w:szCs w:val="21"/>
                      <w:highlight w:val="none"/>
                    </w:rPr>
                    <w:t>排放特征</w:t>
                  </w:r>
                </w:p>
              </w:tc>
            </w:tr>
            <w:tr w14:paraId="7539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04" w:hRule="atLeast"/>
                <w:jc w:val="center"/>
              </w:trPr>
              <w:tc>
                <w:tcPr>
                  <w:tcW w:w="442" w:type="pct"/>
                  <w:vMerge w:val="restart"/>
                  <w:vAlign w:val="center"/>
                </w:tcPr>
                <w:p w14:paraId="136285F3">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eastAsia="zh-CN"/>
                    </w:rPr>
                    <w:t>各</w:t>
                  </w:r>
                  <w:r>
                    <w:rPr>
                      <w:rFonts w:hint="eastAsia"/>
                      <w:color w:val="auto"/>
                      <w:kern w:val="24"/>
                      <w:szCs w:val="21"/>
                      <w:highlight w:val="none"/>
                      <w:lang w:val="en-US" w:eastAsia="zh-CN"/>
                    </w:rPr>
                    <w:t>全量化</w:t>
                  </w:r>
                  <w:r>
                    <w:rPr>
                      <w:rFonts w:hint="eastAsia"/>
                      <w:color w:val="auto"/>
                      <w:kern w:val="24"/>
                      <w:szCs w:val="21"/>
                      <w:highlight w:val="none"/>
                      <w:lang w:eastAsia="zh-CN"/>
                    </w:rPr>
                    <w:t>处理单元、</w:t>
                  </w:r>
                  <w:r>
                    <w:rPr>
                      <w:rFonts w:hint="eastAsia"/>
                      <w:color w:val="auto"/>
                      <w:kern w:val="24"/>
                      <w:szCs w:val="21"/>
                      <w:highlight w:val="none"/>
                      <w:lang w:val="en-US" w:eastAsia="zh-CN"/>
                    </w:rPr>
                    <w:t>搅拌楼</w:t>
                  </w:r>
                </w:p>
              </w:tc>
              <w:tc>
                <w:tcPr>
                  <w:tcW w:w="329" w:type="pct"/>
                  <w:vAlign w:val="center"/>
                </w:tcPr>
                <w:p w14:paraId="724E81B5">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NH</w:t>
                  </w:r>
                  <w:r>
                    <w:rPr>
                      <w:rFonts w:hint="eastAsia"/>
                      <w:color w:val="auto"/>
                      <w:szCs w:val="21"/>
                      <w:highlight w:val="none"/>
                      <w:vertAlign w:val="subscript"/>
                      <w:lang w:val="en-US" w:eastAsia="zh-CN"/>
                    </w:rPr>
                    <w:t>3</w:t>
                  </w:r>
                </w:p>
              </w:tc>
              <w:tc>
                <w:tcPr>
                  <w:tcW w:w="436" w:type="pct"/>
                  <w:vAlign w:val="center"/>
                </w:tcPr>
                <w:p w14:paraId="47381D72">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0.678</w:t>
                  </w:r>
                </w:p>
              </w:tc>
              <w:tc>
                <w:tcPr>
                  <w:tcW w:w="514" w:type="pct"/>
                  <w:vAlign w:val="center"/>
                </w:tcPr>
                <w:p w14:paraId="663F9F55">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0.077</w:t>
                  </w:r>
                </w:p>
              </w:tc>
              <w:tc>
                <w:tcPr>
                  <w:tcW w:w="584" w:type="pct"/>
                  <w:vAlign w:val="center"/>
                </w:tcPr>
                <w:p w14:paraId="275A11D2">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7.7</w:t>
                  </w:r>
                </w:p>
              </w:tc>
              <w:tc>
                <w:tcPr>
                  <w:tcW w:w="535" w:type="pct"/>
                  <w:vMerge w:val="restart"/>
                  <w:vAlign w:val="center"/>
                </w:tcPr>
                <w:p w14:paraId="38FEB5FE">
                  <w:pPr>
                    <w:pStyle w:val="29"/>
                    <w:keepNext w:val="0"/>
                    <w:keepLines w:val="0"/>
                    <w:pageBreakBefore w:val="0"/>
                    <w:widowControl w:val="0"/>
                    <w:kinsoku/>
                    <w:wordWrap/>
                    <w:overflowPunct/>
                    <w:topLinePunct w:val="0"/>
                    <w:autoSpaceDE/>
                    <w:autoSpaceDN/>
                    <w:bidi w:val="0"/>
                    <w:spacing w:after="0"/>
                    <w:ind w:left="0" w:leftChars="0" w:firstLine="0" w:firstLineChars="0"/>
                    <w:textAlignment w:val="auto"/>
                    <w:rPr>
                      <w:rFonts w:hint="default" w:eastAsia="宋体"/>
                      <w:color w:val="auto"/>
                      <w:highlight w:val="none"/>
                      <w:lang w:val="en-US" w:eastAsia="zh-CN"/>
                    </w:rPr>
                  </w:pPr>
                  <w:r>
                    <w:rPr>
                      <w:rFonts w:hint="eastAsia"/>
                      <w:color w:val="auto"/>
                      <w:sz w:val="21"/>
                      <w:highlight w:val="none"/>
                      <w:lang w:eastAsia="zh-CN"/>
                    </w:rPr>
                    <w:t>池体加盖</w:t>
                  </w:r>
                  <w:r>
                    <w:rPr>
                      <w:rFonts w:hint="eastAsia"/>
                      <w:color w:val="auto"/>
                      <w:sz w:val="21"/>
                      <w:highlight w:val="none"/>
                      <w:lang w:val="en-US" w:eastAsia="zh-CN"/>
                    </w:rPr>
                    <w:t>+</w:t>
                  </w:r>
                  <w:r>
                    <w:rPr>
                      <w:rFonts w:hint="eastAsia"/>
                      <w:color w:val="auto"/>
                      <w:sz w:val="21"/>
                      <w:highlight w:val="none"/>
                      <w:lang w:eastAsia="zh-CN"/>
                    </w:rPr>
                    <w:t>封闭厂房内</w:t>
                  </w:r>
                  <w:r>
                    <w:rPr>
                      <w:rFonts w:hint="eastAsia"/>
                      <w:color w:val="auto"/>
                      <w:sz w:val="21"/>
                      <w:highlight w:val="none"/>
                      <w:lang w:val="en-US" w:eastAsia="zh-CN"/>
                    </w:rPr>
                    <w:t>+负压</w:t>
                  </w:r>
                  <w:r>
                    <w:rPr>
                      <w:rFonts w:hint="eastAsia"/>
                      <w:color w:val="auto"/>
                      <w:sz w:val="21"/>
                      <w:highlight w:val="none"/>
                      <w:lang w:eastAsia="zh-CN"/>
                    </w:rPr>
                    <w:t>管道收集</w:t>
                  </w:r>
                  <w:r>
                    <w:rPr>
                      <w:rFonts w:hint="eastAsia"/>
                      <w:color w:val="auto"/>
                      <w:highlight w:val="none"/>
                      <w:lang w:val="en-US" w:eastAsia="zh-CN"/>
                    </w:rPr>
                    <w:t>+化学洗涤塔（风机风量5000m</w:t>
                  </w:r>
                  <w:r>
                    <w:rPr>
                      <w:rFonts w:hint="eastAsia"/>
                      <w:color w:val="auto"/>
                      <w:highlight w:val="none"/>
                      <w:vertAlign w:val="superscript"/>
                      <w:lang w:val="en-US" w:eastAsia="zh-CN"/>
                    </w:rPr>
                    <w:t>3</w:t>
                  </w:r>
                  <w:r>
                    <w:rPr>
                      <w:rFonts w:hint="eastAsia"/>
                      <w:color w:val="auto"/>
                      <w:highlight w:val="none"/>
                      <w:lang w:val="en-US" w:eastAsia="zh-CN"/>
                    </w:rPr>
                    <w:t>）+15m排气筒</w:t>
                  </w:r>
                </w:p>
              </w:tc>
              <w:tc>
                <w:tcPr>
                  <w:tcW w:w="308" w:type="pct"/>
                  <w:vMerge w:val="restart"/>
                  <w:vAlign w:val="center"/>
                </w:tcPr>
                <w:p w14:paraId="2E488B64">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收集效率95、治理效率90</w:t>
                  </w:r>
                </w:p>
              </w:tc>
              <w:tc>
                <w:tcPr>
                  <w:tcW w:w="446" w:type="pct"/>
                  <w:vAlign w:val="center"/>
                </w:tcPr>
                <w:p w14:paraId="3A84175C">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0.064</w:t>
                  </w:r>
                </w:p>
              </w:tc>
              <w:tc>
                <w:tcPr>
                  <w:tcW w:w="430" w:type="pct"/>
                  <w:vAlign w:val="center"/>
                </w:tcPr>
                <w:p w14:paraId="3AB892B0">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0.007</w:t>
                  </w:r>
                </w:p>
              </w:tc>
              <w:tc>
                <w:tcPr>
                  <w:tcW w:w="531" w:type="pct"/>
                  <w:vAlign w:val="center"/>
                </w:tcPr>
                <w:p w14:paraId="6D868D0C">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0.7</w:t>
                  </w:r>
                </w:p>
              </w:tc>
              <w:tc>
                <w:tcPr>
                  <w:tcW w:w="439" w:type="pct"/>
                  <w:vMerge w:val="restart"/>
                  <w:vAlign w:val="center"/>
                </w:tcPr>
                <w:p w14:paraId="31F73B1A">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color w:val="auto"/>
                      <w:kern w:val="24"/>
                      <w:szCs w:val="21"/>
                      <w:highlight w:val="none"/>
                    </w:rPr>
                  </w:pPr>
                  <w:r>
                    <w:rPr>
                      <w:rFonts w:hint="eastAsia"/>
                      <w:color w:val="auto"/>
                      <w:kern w:val="24"/>
                      <w:szCs w:val="21"/>
                      <w:highlight w:val="none"/>
                    </w:rPr>
                    <w:t>有组织排放</w:t>
                  </w:r>
                </w:p>
              </w:tc>
            </w:tr>
            <w:tr w14:paraId="010F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6" w:hRule="atLeast"/>
                <w:jc w:val="center"/>
              </w:trPr>
              <w:tc>
                <w:tcPr>
                  <w:tcW w:w="442" w:type="pct"/>
                  <w:vMerge w:val="continue"/>
                  <w:vAlign w:val="center"/>
                </w:tcPr>
                <w:p w14:paraId="3E481A21">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kern w:val="24"/>
                      <w:szCs w:val="21"/>
                      <w:highlight w:val="none"/>
                    </w:rPr>
                  </w:pPr>
                </w:p>
              </w:tc>
              <w:tc>
                <w:tcPr>
                  <w:tcW w:w="329" w:type="pct"/>
                  <w:vAlign w:val="center"/>
                </w:tcPr>
                <w:p w14:paraId="117043CF">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H</w:t>
                  </w:r>
                  <w:r>
                    <w:rPr>
                      <w:rFonts w:hint="eastAsia"/>
                      <w:color w:val="auto"/>
                      <w:szCs w:val="21"/>
                      <w:highlight w:val="none"/>
                      <w:vertAlign w:val="subscript"/>
                      <w:lang w:val="en-US" w:eastAsia="zh-CN"/>
                    </w:rPr>
                    <w:t>2</w:t>
                  </w:r>
                  <w:r>
                    <w:rPr>
                      <w:rFonts w:hint="eastAsia"/>
                      <w:color w:val="auto"/>
                      <w:szCs w:val="21"/>
                      <w:highlight w:val="none"/>
                      <w:lang w:val="en-US" w:eastAsia="zh-CN"/>
                    </w:rPr>
                    <w:t>S</w:t>
                  </w:r>
                </w:p>
              </w:tc>
              <w:tc>
                <w:tcPr>
                  <w:tcW w:w="436" w:type="pct"/>
                  <w:vAlign w:val="center"/>
                </w:tcPr>
                <w:p w14:paraId="502004B3">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0.026</w:t>
                  </w:r>
                </w:p>
              </w:tc>
              <w:tc>
                <w:tcPr>
                  <w:tcW w:w="514" w:type="pct"/>
                  <w:vAlign w:val="center"/>
                </w:tcPr>
                <w:p w14:paraId="08776EA2">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0.003</w:t>
                  </w:r>
                </w:p>
              </w:tc>
              <w:tc>
                <w:tcPr>
                  <w:tcW w:w="584" w:type="pct"/>
                  <w:vAlign w:val="center"/>
                </w:tcPr>
                <w:p w14:paraId="042C0DF5">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0.3</w:t>
                  </w:r>
                </w:p>
              </w:tc>
              <w:tc>
                <w:tcPr>
                  <w:tcW w:w="535" w:type="pct"/>
                  <w:vMerge w:val="continue"/>
                  <w:vAlign w:val="center"/>
                </w:tcPr>
                <w:p w14:paraId="0B41B7E6">
                  <w:pPr>
                    <w:pStyle w:val="29"/>
                    <w:keepNext w:val="0"/>
                    <w:keepLines w:val="0"/>
                    <w:pageBreakBefore w:val="0"/>
                    <w:widowControl w:val="0"/>
                    <w:kinsoku/>
                    <w:wordWrap/>
                    <w:overflowPunct/>
                    <w:topLinePunct w:val="0"/>
                    <w:autoSpaceDE/>
                    <w:autoSpaceDN/>
                    <w:bidi w:val="0"/>
                    <w:spacing w:after="0"/>
                    <w:ind w:left="0" w:leftChars="0" w:firstLine="0" w:firstLineChars="0"/>
                    <w:textAlignment w:val="auto"/>
                    <w:rPr>
                      <w:rFonts w:hint="eastAsia"/>
                      <w:color w:val="auto"/>
                      <w:highlight w:val="none"/>
                      <w:lang w:eastAsia="zh-CN"/>
                    </w:rPr>
                  </w:pPr>
                </w:p>
              </w:tc>
              <w:tc>
                <w:tcPr>
                  <w:tcW w:w="308" w:type="pct"/>
                  <w:vMerge w:val="continue"/>
                  <w:vAlign w:val="center"/>
                </w:tcPr>
                <w:p w14:paraId="7D0FF0B0">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kern w:val="24"/>
                      <w:szCs w:val="21"/>
                      <w:highlight w:val="none"/>
                      <w:lang w:val="en-US" w:eastAsia="zh-CN"/>
                    </w:rPr>
                  </w:pPr>
                </w:p>
              </w:tc>
              <w:tc>
                <w:tcPr>
                  <w:tcW w:w="446" w:type="pct"/>
                  <w:vAlign w:val="center"/>
                </w:tcPr>
                <w:p w14:paraId="51C00F08">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0.002</w:t>
                  </w:r>
                </w:p>
              </w:tc>
              <w:tc>
                <w:tcPr>
                  <w:tcW w:w="430" w:type="pct"/>
                  <w:vAlign w:val="center"/>
                </w:tcPr>
                <w:p w14:paraId="672D0C3A">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0.0002</w:t>
                  </w:r>
                </w:p>
              </w:tc>
              <w:tc>
                <w:tcPr>
                  <w:tcW w:w="531" w:type="pct"/>
                  <w:vAlign w:val="center"/>
                </w:tcPr>
                <w:p w14:paraId="4C14321E">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0.02</w:t>
                  </w:r>
                </w:p>
              </w:tc>
              <w:tc>
                <w:tcPr>
                  <w:tcW w:w="439" w:type="pct"/>
                  <w:vMerge w:val="continue"/>
                  <w:vAlign w:val="center"/>
                </w:tcPr>
                <w:p w14:paraId="310E44B6">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color w:val="auto"/>
                      <w:kern w:val="24"/>
                      <w:szCs w:val="21"/>
                      <w:highlight w:val="none"/>
                    </w:rPr>
                  </w:pPr>
                </w:p>
              </w:tc>
            </w:tr>
            <w:tr w14:paraId="0B28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28" w:hRule="atLeast"/>
                <w:jc w:val="center"/>
              </w:trPr>
              <w:tc>
                <w:tcPr>
                  <w:tcW w:w="442" w:type="pct"/>
                  <w:vMerge w:val="restart"/>
                  <w:vAlign w:val="center"/>
                </w:tcPr>
                <w:p w14:paraId="11021E22">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color w:val="auto"/>
                      <w:kern w:val="24"/>
                      <w:szCs w:val="21"/>
                      <w:highlight w:val="none"/>
                      <w:lang w:eastAsia="zh-CN"/>
                    </w:rPr>
                  </w:pPr>
                  <w:r>
                    <w:rPr>
                      <w:rFonts w:hint="eastAsia"/>
                      <w:color w:val="auto"/>
                      <w:kern w:val="24"/>
                      <w:szCs w:val="21"/>
                      <w:highlight w:val="none"/>
                      <w:lang w:eastAsia="zh-CN"/>
                    </w:rPr>
                    <w:t>各污水处理单元、</w:t>
                  </w:r>
                  <w:r>
                    <w:rPr>
                      <w:rFonts w:hint="eastAsia"/>
                      <w:color w:val="auto"/>
                      <w:kern w:val="24"/>
                      <w:szCs w:val="21"/>
                      <w:highlight w:val="none"/>
                      <w:lang w:val="en-US" w:eastAsia="zh-CN"/>
                    </w:rPr>
                    <w:t>搅拌楼</w:t>
                  </w:r>
                </w:p>
              </w:tc>
              <w:tc>
                <w:tcPr>
                  <w:tcW w:w="329" w:type="pct"/>
                  <w:vAlign w:val="center"/>
                </w:tcPr>
                <w:p w14:paraId="7BD1632B">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color w:val="auto"/>
                      <w:kern w:val="24"/>
                      <w:szCs w:val="21"/>
                      <w:highlight w:val="none"/>
                      <w:lang w:eastAsia="zh-CN"/>
                    </w:rPr>
                  </w:pPr>
                  <w:r>
                    <w:rPr>
                      <w:rFonts w:hint="eastAsia"/>
                      <w:color w:val="auto"/>
                      <w:szCs w:val="21"/>
                      <w:highlight w:val="none"/>
                      <w:lang w:val="en-US" w:eastAsia="zh-CN"/>
                    </w:rPr>
                    <w:t>NH</w:t>
                  </w:r>
                  <w:r>
                    <w:rPr>
                      <w:rFonts w:hint="eastAsia"/>
                      <w:color w:val="auto"/>
                      <w:szCs w:val="21"/>
                      <w:highlight w:val="none"/>
                      <w:vertAlign w:val="subscript"/>
                      <w:lang w:val="en-US" w:eastAsia="zh-CN"/>
                    </w:rPr>
                    <w:t>3</w:t>
                  </w:r>
                </w:p>
              </w:tc>
              <w:tc>
                <w:tcPr>
                  <w:tcW w:w="436" w:type="pct"/>
                  <w:vAlign w:val="center"/>
                </w:tcPr>
                <w:p w14:paraId="3F1BB4E5">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0.034</w:t>
                  </w:r>
                </w:p>
              </w:tc>
              <w:tc>
                <w:tcPr>
                  <w:tcW w:w="514" w:type="pct"/>
                  <w:vAlign w:val="center"/>
                </w:tcPr>
                <w:p w14:paraId="38046AD4">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0.093</w:t>
                  </w:r>
                </w:p>
              </w:tc>
              <w:tc>
                <w:tcPr>
                  <w:tcW w:w="584" w:type="pct"/>
                  <w:vAlign w:val="center"/>
                </w:tcPr>
                <w:p w14:paraId="2582D515">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w:t>
                  </w:r>
                </w:p>
              </w:tc>
              <w:tc>
                <w:tcPr>
                  <w:tcW w:w="535" w:type="pct"/>
                  <w:vMerge w:val="restart"/>
                  <w:vAlign w:val="center"/>
                </w:tcPr>
                <w:p w14:paraId="1AB9E7A2">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大气稀释扩散</w:t>
                  </w:r>
                </w:p>
              </w:tc>
              <w:tc>
                <w:tcPr>
                  <w:tcW w:w="308" w:type="pct"/>
                  <w:vMerge w:val="restart"/>
                  <w:vAlign w:val="center"/>
                </w:tcPr>
                <w:p w14:paraId="2F0AAE54">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w:t>
                  </w:r>
                </w:p>
              </w:tc>
              <w:tc>
                <w:tcPr>
                  <w:tcW w:w="446" w:type="pct"/>
                  <w:vAlign w:val="center"/>
                </w:tcPr>
                <w:p w14:paraId="682126CA">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0.034</w:t>
                  </w:r>
                </w:p>
              </w:tc>
              <w:tc>
                <w:tcPr>
                  <w:tcW w:w="430" w:type="pct"/>
                  <w:vAlign w:val="center"/>
                </w:tcPr>
                <w:p w14:paraId="7E8B86E7">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0.093</w:t>
                  </w:r>
                </w:p>
              </w:tc>
              <w:tc>
                <w:tcPr>
                  <w:tcW w:w="531" w:type="pct"/>
                  <w:vAlign w:val="center"/>
                </w:tcPr>
                <w:p w14:paraId="51FAFF3B">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w:t>
                  </w:r>
                </w:p>
              </w:tc>
              <w:tc>
                <w:tcPr>
                  <w:tcW w:w="439" w:type="pct"/>
                  <w:vMerge w:val="restart"/>
                  <w:vAlign w:val="center"/>
                </w:tcPr>
                <w:p w14:paraId="63E3D439">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color w:val="auto"/>
                      <w:kern w:val="24"/>
                      <w:szCs w:val="21"/>
                      <w:highlight w:val="none"/>
                    </w:rPr>
                  </w:pPr>
                  <w:r>
                    <w:rPr>
                      <w:rFonts w:hint="eastAsia"/>
                      <w:color w:val="auto"/>
                      <w:kern w:val="24"/>
                      <w:szCs w:val="21"/>
                      <w:highlight w:val="none"/>
                      <w:lang w:eastAsia="zh-CN"/>
                    </w:rPr>
                    <w:t>无</w:t>
                  </w:r>
                  <w:r>
                    <w:rPr>
                      <w:rFonts w:hint="eastAsia"/>
                      <w:color w:val="auto"/>
                      <w:kern w:val="24"/>
                      <w:szCs w:val="21"/>
                      <w:highlight w:val="none"/>
                    </w:rPr>
                    <w:t>组织排放</w:t>
                  </w:r>
                </w:p>
              </w:tc>
            </w:tr>
            <w:tr w14:paraId="4E81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42" w:type="pct"/>
                  <w:vMerge w:val="continue"/>
                  <w:vAlign w:val="center"/>
                </w:tcPr>
                <w:p w14:paraId="6DA11A77">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kern w:val="24"/>
                      <w:szCs w:val="21"/>
                      <w:highlight w:val="none"/>
                      <w:lang w:eastAsia="zh-CN"/>
                    </w:rPr>
                  </w:pPr>
                </w:p>
              </w:tc>
              <w:tc>
                <w:tcPr>
                  <w:tcW w:w="329" w:type="pct"/>
                  <w:vAlign w:val="center"/>
                </w:tcPr>
                <w:p w14:paraId="4BEAFC6E">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Cs w:val="21"/>
                      <w:highlight w:val="none"/>
                      <w:lang w:eastAsia="zh-CN"/>
                    </w:rPr>
                  </w:pPr>
                  <w:r>
                    <w:rPr>
                      <w:rFonts w:hint="eastAsia"/>
                      <w:color w:val="auto"/>
                      <w:szCs w:val="21"/>
                      <w:highlight w:val="none"/>
                      <w:lang w:val="en-US" w:eastAsia="zh-CN"/>
                    </w:rPr>
                    <w:t>H</w:t>
                  </w:r>
                  <w:r>
                    <w:rPr>
                      <w:rFonts w:hint="eastAsia"/>
                      <w:color w:val="auto"/>
                      <w:szCs w:val="21"/>
                      <w:highlight w:val="none"/>
                      <w:vertAlign w:val="subscript"/>
                      <w:lang w:val="en-US" w:eastAsia="zh-CN"/>
                    </w:rPr>
                    <w:t>2</w:t>
                  </w:r>
                  <w:r>
                    <w:rPr>
                      <w:rFonts w:hint="eastAsia"/>
                      <w:color w:val="auto"/>
                      <w:szCs w:val="21"/>
                      <w:highlight w:val="none"/>
                      <w:lang w:val="en-US" w:eastAsia="zh-CN"/>
                    </w:rPr>
                    <w:t>S</w:t>
                  </w:r>
                </w:p>
              </w:tc>
              <w:tc>
                <w:tcPr>
                  <w:tcW w:w="436" w:type="pct"/>
                  <w:vAlign w:val="center"/>
                </w:tcPr>
                <w:p w14:paraId="05EC6D90">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0.0013</w:t>
                  </w:r>
                </w:p>
              </w:tc>
              <w:tc>
                <w:tcPr>
                  <w:tcW w:w="514" w:type="pct"/>
                  <w:vAlign w:val="center"/>
                </w:tcPr>
                <w:p w14:paraId="5974A07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0.0036</w:t>
                  </w:r>
                </w:p>
              </w:tc>
              <w:tc>
                <w:tcPr>
                  <w:tcW w:w="584" w:type="pct"/>
                  <w:vAlign w:val="center"/>
                </w:tcPr>
                <w:p w14:paraId="676F5148">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w:t>
                  </w:r>
                </w:p>
              </w:tc>
              <w:tc>
                <w:tcPr>
                  <w:tcW w:w="535" w:type="pct"/>
                  <w:vMerge w:val="continue"/>
                  <w:vAlign w:val="center"/>
                </w:tcPr>
                <w:p w14:paraId="7660C76B">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color w:val="auto"/>
                      <w:kern w:val="24"/>
                      <w:szCs w:val="21"/>
                      <w:highlight w:val="none"/>
                      <w:lang w:val="en-US" w:eastAsia="zh-CN"/>
                    </w:rPr>
                  </w:pPr>
                </w:p>
              </w:tc>
              <w:tc>
                <w:tcPr>
                  <w:tcW w:w="308" w:type="pct"/>
                  <w:vMerge w:val="continue"/>
                  <w:vAlign w:val="center"/>
                </w:tcPr>
                <w:p w14:paraId="0DC610DD">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kern w:val="24"/>
                      <w:szCs w:val="21"/>
                      <w:highlight w:val="none"/>
                      <w:lang w:val="en-US" w:eastAsia="zh-CN"/>
                    </w:rPr>
                  </w:pPr>
                </w:p>
              </w:tc>
              <w:tc>
                <w:tcPr>
                  <w:tcW w:w="446" w:type="pct"/>
                  <w:vAlign w:val="center"/>
                </w:tcPr>
                <w:p w14:paraId="49337434">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kern w:val="24"/>
                      <w:szCs w:val="21"/>
                      <w:highlight w:val="none"/>
                      <w:lang w:val="en-US" w:eastAsia="zh-CN"/>
                    </w:rPr>
                  </w:pPr>
                  <w:r>
                    <w:rPr>
                      <w:rFonts w:hint="eastAsia"/>
                      <w:color w:val="auto"/>
                      <w:kern w:val="24"/>
                      <w:szCs w:val="21"/>
                      <w:highlight w:val="none"/>
                      <w:lang w:val="en-US" w:eastAsia="zh-CN"/>
                    </w:rPr>
                    <w:t>0.0013</w:t>
                  </w:r>
                </w:p>
              </w:tc>
              <w:tc>
                <w:tcPr>
                  <w:tcW w:w="430" w:type="pct"/>
                  <w:vAlign w:val="center"/>
                </w:tcPr>
                <w:p w14:paraId="7BFA8CE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color w:val="auto"/>
                      <w:kern w:val="24"/>
                      <w:szCs w:val="21"/>
                      <w:highlight w:val="none"/>
                      <w:lang w:val="en-US" w:eastAsia="zh-CN"/>
                    </w:rPr>
                  </w:pPr>
                  <w:r>
                    <w:rPr>
                      <w:rFonts w:hint="eastAsia"/>
                      <w:color w:val="auto"/>
                      <w:kern w:val="24"/>
                      <w:szCs w:val="21"/>
                      <w:highlight w:val="none"/>
                      <w:lang w:val="en-US" w:eastAsia="zh-CN"/>
                    </w:rPr>
                    <w:t>0.0036</w:t>
                  </w:r>
                </w:p>
              </w:tc>
              <w:tc>
                <w:tcPr>
                  <w:tcW w:w="531" w:type="pct"/>
                  <w:vAlign w:val="center"/>
                </w:tcPr>
                <w:p w14:paraId="08C77414">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kern w:val="24"/>
                      <w:szCs w:val="21"/>
                      <w:highlight w:val="none"/>
                      <w:lang w:val="en-US" w:eastAsia="zh-CN"/>
                    </w:rPr>
                  </w:pPr>
                  <w:r>
                    <w:rPr>
                      <w:rFonts w:hint="eastAsia"/>
                      <w:color w:val="auto"/>
                      <w:kern w:val="24"/>
                      <w:szCs w:val="21"/>
                      <w:highlight w:val="none"/>
                      <w:lang w:val="en-US" w:eastAsia="zh-CN"/>
                    </w:rPr>
                    <w:t>/</w:t>
                  </w:r>
                </w:p>
              </w:tc>
              <w:tc>
                <w:tcPr>
                  <w:tcW w:w="439" w:type="pct"/>
                  <w:vMerge w:val="continue"/>
                  <w:vAlign w:val="center"/>
                </w:tcPr>
                <w:p w14:paraId="498AABF8">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color w:val="auto"/>
                      <w:kern w:val="24"/>
                      <w:szCs w:val="21"/>
                      <w:highlight w:val="none"/>
                      <w:lang w:eastAsia="zh-CN"/>
                    </w:rPr>
                  </w:pPr>
                </w:p>
              </w:tc>
            </w:tr>
            <w:tr w14:paraId="0BE0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42" w:type="pct"/>
                  <w:vAlign w:val="center"/>
                </w:tcPr>
                <w:p w14:paraId="71AD2AC5">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固化剂料仓</w:t>
                  </w:r>
                </w:p>
              </w:tc>
              <w:tc>
                <w:tcPr>
                  <w:tcW w:w="329" w:type="pct"/>
                  <w:vAlign w:val="center"/>
                </w:tcPr>
                <w:p w14:paraId="62DCCA08">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Cs w:val="21"/>
                      <w:highlight w:val="none"/>
                      <w:lang w:val="en-US" w:eastAsia="zh-CN"/>
                    </w:rPr>
                  </w:pPr>
                  <w:r>
                    <w:rPr>
                      <w:rFonts w:hint="eastAsia"/>
                      <w:color w:val="auto"/>
                      <w:szCs w:val="21"/>
                      <w:highlight w:val="none"/>
                      <w:lang w:val="en-US" w:eastAsia="zh-CN"/>
                    </w:rPr>
                    <w:t>颗粒物</w:t>
                  </w:r>
                </w:p>
              </w:tc>
              <w:tc>
                <w:tcPr>
                  <w:tcW w:w="436" w:type="pct"/>
                  <w:vAlign w:val="center"/>
                </w:tcPr>
                <w:p w14:paraId="3B95282B">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5.72</w:t>
                  </w:r>
                </w:p>
              </w:tc>
              <w:tc>
                <w:tcPr>
                  <w:tcW w:w="514" w:type="pct"/>
                  <w:vAlign w:val="center"/>
                </w:tcPr>
                <w:p w14:paraId="77E9C981">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83.5</w:t>
                  </w:r>
                </w:p>
              </w:tc>
              <w:tc>
                <w:tcPr>
                  <w:tcW w:w="584" w:type="pct"/>
                  <w:vAlign w:val="center"/>
                </w:tcPr>
                <w:p w14:paraId="38733B17">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w:t>
                  </w:r>
                </w:p>
              </w:tc>
              <w:tc>
                <w:tcPr>
                  <w:tcW w:w="535" w:type="pct"/>
                  <w:vAlign w:val="center"/>
                </w:tcPr>
                <w:p w14:paraId="13E9CE22">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color w:val="auto"/>
                      <w:kern w:val="24"/>
                      <w:szCs w:val="21"/>
                      <w:highlight w:val="none"/>
                      <w:lang w:val="en-US" w:eastAsia="zh-CN"/>
                    </w:rPr>
                  </w:pPr>
                  <w:r>
                    <w:rPr>
                      <w:rFonts w:hint="eastAsia"/>
                      <w:color w:val="auto"/>
                      <w:szCs w:val="21"/>
                      <w:highlight w:val="none"/>
                      <w:lang w:val="en-US" w:eastAsia="zh-CN"/>
                    </w:rPr>
                    <w:t>水泥、粉煤灰料仓仓顶配套设置袋式除尘器</w:t>
                  </w:r>
                </w:p>
              </w:tc>
              <w:tc>
                <w:tcPr>
                  <w:tcW w:w="308" w:type="pct"/>
                  <w:vAlign w:val="center"/>
                </w:tcPr>
                <w:p w14:paraId="0C7C711C">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99</w:t>
                  </w:r>
                </w:p>
              </w:tc>
              <w:tc>
                <w:tcPr>
                  <w:tcW w:w="446" w:type="pct"/>
                  <w:vAlign w:val="center"/>
                </w:tcPr>
                <w:p w14:paraId="476BE7E8">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0.058</w:t>
                  </w:r>
                </w:p>
              </w:tc>
              <w:tc>
                <w:tcPr>
                  <w:tcW w:w="430" w:type="pct"/>
                  <w:vAlign w:val="center"/>
                </w:tcPr>
                <w:p w14:paraId="6F575D0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0.846</w:t>
                  </w:r>
                </w:p>
              </w:tc>
              <w:tc>
                <w:tcPr>
                  <w:tcW w:w="531" w:type="pct"/>
                  <w:vAlign w:val="center"/>
                </w:tcPr>
                <w:p w14:paraId="4EDF4C23">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w:t>
                  </w:r>
                </w:p>
              </w:tc>
              <w:tc>
                <w:tcPr>
                  <w:tcW w:w="439" w:type="pct"/>
                  <w:vAlign w:val="center"/>
                </w:tcPr>
                <w:p w14:paraId="164395C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color w:val="auto"/>
                      <w:kern w:val="24"/>
                      <w:szCs w:val="21"/>
                      <w:highlight w:val="none"/>
                      <w:lang w:eastAsia="zh-CN"/>
                    </w:rPr>
                  </w:pPr>
                  <w:r>
                    <w:rPr>
                      <w:rFonts w:hint="eastAsia"/>
                      <w:color w:val="auto"/>
                      <w:kern w:val="24"/>
                      <w:szCs w:val="21"/>
                      <w:highlight w:val="none"/>
                      <w:lang w:eastAsia="zh-CN"/>
                    </w:rPr>
                    <w:t>无</w:t>
                  </w:r>
                  <w:r>
                    <w:rPr>
                      <w:rFonts w:hint="eastAsia"/>
                      <w:color w:val="auto"/>
                      <w:kern w:val="24"/>
                      <w:szCs w:val="21"/>
                      <w:highlight w:val="none"/>
                    </w:rPr>
                    <w:t>组织排放</w:t>
                  </w:r>
                </w:p>
              </w:tc>
            </w:tr>
          </w:tbl>
          <w:p w14:paraId="6E82CF66">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rPr>
              <w:t>根据</w:t>
            </w:r>
            <w:r>
              <w:rPr>
                <w:rFonts w:hint="eastAsia"/>
                <w:color w:val="auto"/>
                <w:kern w:val="24"/>
                <w:sz w:val="24"/>
                <w:highlight w:val="none"/>
                <w:lang w:val="en-US" w:eastAsia="zh-CN"/>
              </w:rPr>
              <w:t>《排污许可证申请与核发技术规范 总则》（HJ942-2018）、《排污许可证申请与核发技术规范 环境卫生管理业》</w:t>
            </w:r>
            <w:r>
              <w:rPr>
                <w:rFonts w:hint="default" w:ascii="Times New Roman" w:hAnsi="Times New Roman" w:cs="Times New Roman"/>
                <w:color w:val="auto"/>
                <w:sz w:val="24"/>
                <w:highlight w:val="none"/>
              </w:rPr>
              <w:t>（HJ</w:t>
            </w:r>
            <w:r>
              <w:rPr>
                <w:rFonts w:hint="eastAsia" w:cs="Times New Roman"/>
                <w:color w:val="auto"/>
                <w:sz w:val="24"/>
                <w:highlight w:val="none"/>
                <w:lang w:val="en-US" w:eastAsia="zh-CN"/>
              </w:rPr>
              <w:t>1106</w:t>
            </w:r>
            <w:r>
              <w:rPr>
                <w:rFonts w:hint="default" w:ascii="Times New Roman" w:hAnsi="Times New Roman" w:cs="Times New Roman"/>
                <w:color w:val="auto"/>
                <w:sz w:val="24"/>
                <w:highlight w:val="none"/>
                <w:lang w:val="en-US" w:eastAsia="zh-CN"/>
              </w:rPr>
              <w:t>-20</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w:t>
            </w:r>
            <w:r>
              <w:rPr>
                <w:rFonts w:hint="eastAsia"/>
                <w:color w:val="auto"/>
                <w:kern w:val="24"/>
                <w:sz w:val="24"/>
                <w:highlight w:val="none"/>
                <w:lang w:val="en-US" w:eastAsia="zh-CN"/>
              </w:rPr>
              <w:t>中表2要求</w:t>
            </w:r>
            <w:r>
              <w:rPr>
                <w:rFonts w:hint="eastAsia"/>
                <w:color w:val="auto"/>
                <w:kern w:val="24"/>
                <w:sz w:val="24"/>
                <w:highlight w:val="none"/>
              </w:rPr>
              <w:t>，</w:t>
            </w:r>
            <w:r>
              <w:rPr>
                <w:rFonts w:hint="eastAsia"/>
                <w:color w:val="auto"/>
                <w:kern w:val="24"/>
                <w:sz w:val="24"/>
                <w:highlight w:val="none"/>
                <w:lang w:eastAsia="zh-CN"/>
              </w:rPr>
              <w:t>除臭装置排气筒</w:t>
            </w:r>
            <w:r>
              <w:rPr>
                <w:color w:val="auto"/>
                <w:kern w:val="24"/>
                <w:sz w:val="24"/>
                <w:highlight w:val="none"/>
              </w:rPr>
              <w:t>排放</w:t>
            </w:r>
            <w:r>
              <w:rPr>
                <w:rFonts w:hint="eastAsia"/>
                <w:color w:val="auto"/>
                <w:kern w:val="24"/>
                <w:sz w:val="24"/>
                <w:highlight w:val="none"/>
              </w:rPr>
              <w:t>口</w:t>
            </w:r>
            <w:r>
              <w:rPr>
                <w:rFonts w:hint="eastAsia"/>
                <w:color w:val="auto"/>
                <w:kern w:val="24"/>
                <w:sz w:val="24"/>
                <w:highlight w:val="none"/>
                <w:lang w:eastAsia="zh-CN"/>
              </w:rPr>
              <w:t>类型</w:t>
            </w:r>
            <w:r>
              <w:rPr>
                <w:rFonts w:hint="eastAsia"/>
                <w:color w:val="auto"/>
                <w:kern w:val="24"/>
                <w:sz w:val="24"/>
                <w:highlight w:val="none"/>
              </w:rPr>
              <w:t>为一般排放口。</w:t>
            </w:r>
          </w:p>
          <w:p w14:paraId="1BB6C9D5">
            <w:pPr>
              <w:adjustRightInd w:val="0"/>
              <w:snapToGrid w:val="0"/>
              <w:spacing w:line="360" w:lineRule="auto"/>
              <w:ind w:firstLine="480" w:firstLineChars="200"/>
              <w:rPr>
                <w:color w:val="auto"/>
                <w:kern w:val="24"/>
                <w:sz w:val="24"/>
                <w:highlight w:val="none"/>
              </w:rPr>
            </w:pPr>
            <w:r>
              <w:rPr>
                <w:color w:val="auto"/>
                <w:kern w:val="24"/>
                <w:sz w:val="24"/>
                <w:highlight w:val="none"/>
              </w:rPr>
              <w:t>主要废气污染源</w:t>
            </w:r>
            <w:r>
              <w:rPr>
                <w:rFonts w:hint="eastAsia"/>
                <w:color w:val="auto"/>
                <w:kern w:val="24"/>
                <w:sz w:val="24"/>
                <w:highlight w:val="none"/>
              </w:rPr>
              <w:t>废气排放口基本情况</w:t>
            </w:r>
            <w:r>
              <w:rPr>
                <w:color w:val="auto"/>
                <w:kern w:val="24"/>
                <w:sz w:val="24"/>
                <w:highlight w:val="none"/>
              </w:rPr>
              <w:t>见下表：</w:t>
            </w:r>
          </w:p>
          <w:p w14:paraId="67F6CA63">
            <w:pPr>
              <w:adjustRightInd w:val="0"/>
              <w:snapToGrid w:val="0"/>
              <w:spacing w:line="360" w:lineRule="auto"/>
              <w:ind w:firstLine="482" w:firstLineChars="200"/>
              <w:jc w:val="center"/>
              <w:rPr>
                <w:rFonts w:hint="eastAsia"/>
                <w:b/>
                <w:bCs/>
                <w:color w:val="auto"/>
                <w:kern w:val="24"/>
                <w:sz w:val="24"/>
                <w:szCs w:val="24"/>
                <w:highlight w:val="none"/>
              </w:rPr>
            </w:pPr>
            <w:r>
              <w:rPr>
                <w:rFonts w:hint="eastAsia"/>
                <w:b/>
                <w:bCs/>
                <w:color w:val="auto"/>
                <w:kern w:val="24"/>
                <w:sz w:val="24"/>
                <w:szCs w:val="24"/>
                <w:highlight w:val="none"/>
              </w:rPr>
              <w:t>表4-2  主要废气污染源排放口基本情况表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1159"/>
              <w:gridCol w:w="1121"/>
              <w:gridCol w:w="1122"/>
              <w:gridCol w:w="1298"/>
              <w:gridCol w:w="1267"/>
              <w:gridCol w:w="990"/>
              <w:gridCol w:w="989"/>
              <w:gridCol w:w="903"/>
            </w:tblGrid>
            <w:tr w14:paraId="7FE862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102" w:type="dxa"/>
                  <w:vMerge w:val="restart"/>
                  <w:tcBorders>
                    <w:tl2br w:val="nil"/>
                    <w:tr2bl w:val="nil"/>
                  </w:tcBorders>
                  <w:vAlign w:val="center"/>
                </w:tcPr>
                <w:p w14:paraId="07F5BC64">
                  <w:pPr>
                    <w:snapToGrid w:val="0"/>
                    <w:jc w:val="center"/>
                    <w:rPr>
                      <w:color w:val="auto"/>
                      <w:szCs w:val="21"/>
                      <w:highlight w:val="none"/>
                    </w:rPr>
                  </w:pPr>
                  <w:r>
                    <w:rPr>
                      <w:color w:val="auto"/>
                      <w:szCs w:val="21"/>
                      <w:highlight w:val="none"/>
                    </w:rPr>
                    <w:t>排放口编号</w:t>
                  </w:r>
                </w:p>
              </w:tc>
              <w:tc>
                <w:tcPr>
                  <w:tcW w:w="1066" w:type="dxa"/>
                  <w:vMerge w:val="restart"/>
                  <w:tcBorders>
                    <w:tl2br w:val="nil"/>
                    <w:tr2bl w:val="nil"/>
                  </w:tcBorders>
                  <w:vAlign w:val="center"/>
                </w:tcPr>
                <w:p w14:paraId="0A5B47FA">
                  <w:pPr>
                    <w:snapToGrid w:val="0"/>
                    <w:jc w:val="center"/>
                    <w:rPr>
                      <w:color w:val="auto"/>
                      <w:szCs w:val="21"/>
                      <w:highlight w:val="none"/>
                    </w:rPr>
                  </w:pPr>
                  <w:r>
                    <w:rPr>
                      <w:color w:val="auto"/>
                      <w:szCs w:val="21"/>
                      <w:highlight w:val="none"/>
                    </w:rPr>
                    <w:t>排放口名称</w:t>
                  </w:r>
                </w:p>
              </w:tc>
              <w:tc>
                <w:tcPr>
                  <w:tcW w:w="1067" w:type="dxa"/>
                  <w:vMerge w:val="restart"/>
                  <w:tcBorders>
                    <w:tl2br w:val="nil"/>
                    <w:tr2bl w:val="nil"/>
                  </w:tcBorders>
                  <w:vAlign w:val="center"/>
                </w:tcPr>
                <w:p w14:paraId="05976D34">
                  <w:pPr>
                    <w:snapToGrid w:val="0"/>
                    <w:jc w:val="center"/>
                    <w:rPr>
                      <w:color w:val="auto"/>
                      <w:szCs w:val="21"/>
                      <w:highlight w:val="none"/>
                    </w:rPr>
                  </w:pPr>
                  <w:r>
                    <w:rPr>
                      <w:color w:val="auto"/>
                      <w:szCs w:val="21"/>
                      <w:highlight w:val="none"/>
                    </w:rPr>
                    <w:t>排放口</w:t>
                  </w:r>
                  <w:r>
                    <w:rPr>
                      <w:rFonts w:hint="eastAsia"/>
                      <w:color w:val="auto"/>
                      <w:szCs w:val="21"/>
                      <w:highlight w:val="none"/>
                    </w:rPr>
                    <w:t>类型</w:t>
                  </w:r>
                </w:p>
              </w:tc>
              <w:tc>
                <w:tcPr>
                  <w:tcW w:w="2439" w:type="dxa"/>
                  <w:gridSpan w:val="2"/>
                  <w:tcBorders>
                    <w:tl2br w:val="nil"/>
                    <w:tr2bl w:val="nil"/>
                  </w:tcBorders>
                  <w:vAlign w:val="center"/>
                </w:tcPr>
                <w:p w14:paraId="10BFC18F">
                  <w:pPr>
                    <w:snapToGrid w:val="0"/>
                    <w:jc w:val="center"/>
                    <w:rPr>
                      <w:color w:val="auto"/>
                      <w:szCs w:val="21"/>
                      <w:highlight w:val="none"/>
                    </w:rPr>
                  </w:pPr>
                  <w:r>
                    <w:rPr>
                      <w:rFonts w:hint="eastAsia"/>
                      <w:color w:val="auto"/>
                      <w:szCs w:val="21"/>
                      <w:highlight w:val="none"/>
                    </w:rPr>
                    <w:t>地理</w:t>
                  </w:r>
                  <w:r>
                    <w:rPr>
                      <w:color w:val="auto"/>
                      <w:szCs w:val="21"/>
                      <w:highlight w:val="none"/>
                    </w:rPr>
                    <w:t>坐标</w:t>
                  </w:r>
                </w:p>
              </w:tc>
              <w:tc>
                <w:tcPr>
                  <w:tcW w:w="941" w:type="dxa"/>
                  <w:vMerge w:val="restart"/>
                  <w:tcBorders>
                    <w:tl2br w:val="nil"/>
                    <w:tr2bl w:val="nil"/>
                  </w:tcBorders>
                  <w:vAlign w:val="center"/>
                </w:tcPr>
                <w:p w14:paraId="1C8085E9">
                  <w:pPr>
                    <w:snapToGrid w:val="0"/>
                    <w:jc w:val="center"/>
                    <w:rPr>
                      <w:color w:val="auto"/>
                      <w:szCs w:val="21"/>
                      <w:highlight w:val="none"/>
                    </w:rPr>
                  </w:pPr>
                  <w:r>
                    <w:rPr>
                      <w:rFonts w:hint="eastAsia"/>
                      <w:color w:val="auto"/>
                      <w:szCs w:val="21"/>
                      <w:highlight w:val="none"/>
                    </w:rPr>
                    <w:t>高度/m</w:t>
                  </w:r>
                </w:p>
              </w:tc>
              <w:tc>
                <w:tcPr>
                  <w:tcW w:w="940" w:type="dxa"/>
                  <w:vMerge w:val="restart"/>
                  <w:tcBorders>
                    <w:tl2br w:val="nil"/>
                    <w:tr2bl w:val="nil"/>
                  </w:tcBorders>
                  <w:vAlign w:val="center"/>
                </w:tcPr>
                <w:p w14:paraId="32D58573">
                  <w:pPr>
                    <w:snapToGrid w:val="0"/>
                    <w:jc w:val="center"/>
                    <w:rPr>
                      <w:color w:val="auto"/>
                      <w:szCs w:val="21"/>
                      <w:highlight w:val="none"/>
                    </w:rPr>
                  </w:pPr>
                  <w:r>
                    <w:rPr>
                      <w:rFonts w:hint="eastAsia"/>
                      <w:color w:val="auto"/>
                      <w:szCs w:val="21"/>
                      <w:highlight w:val="none"/>
                    </w:rPr>
                    <w:t>内径/m</w:t>
                  </w:r>
                </w:p>
              </w:tc>
              <w:tc>
                <w:tcPr>
                  <w:tcW w:w="859" w:type="dxa"/>
                  <w:vMerge w:val="restart"/>
                  <w:tcBorders>
                    <w:tl2br w:val="nil"/>
                    <w:tr2bl w:val="nil"/>
                  </w:tcBorders>
                  <w:vAlign w:val="center"/>
                </w:tcPr>
                <w:p w14:paraId="44D5B295">
                  <w:pPr>
                    <w:snapToGrid w:val="0"/>
                    <w:jc w:val="center"/>
                    <w:rPr>
                      <w:color w:val="auto"/>
                      <w:szCs w:val="21"/>
                      <w:highlight w:val="none"/>
                    </w:rPr>
                  </w:pPr>
                  <w:r>
                    <w:rPr>
                      <w:rFonts w:hint="eastAsia"/>
                      <w:color w:val="auto"/>
                      <w:szCs w:val="21"/>
                      <w:highlight w:val="none"/>
                    </w:rPr>
                    <w:t>温度/℃</w:t>
                  </w:r>
                </w:p>
              </w:tc>
            </w:tr>
            <w:tr w14:paraId="2D30C5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02" w:type="dxa"/>
                  <w:vMerge w:val="continue"/>
                  <w:tcBorders>
                    <w:tl2br w:val="nil"/>
                    <w:tr2bl w:val="nil"/>
                  </w:tcBorders>
                  <w:vAlign w:val="center"/>
                </w:tcPr>
                <w:p w14:paraId="67B0AB7C">
                  <w:pPr>
                    <w:snapToGrid w:val="0"/>
                    <w:jc w:val="center"/>
                    <w:rPr>
                      <w:color w:val="auto"/>
                      <w:szCs w:val="21"/>
                      <w:highlight w:val="none"/>
                    </w:rPr>
                  </w:pPr>
                </w:p>
              </w:tc>
              <w:tc>
                <w:tcPr>
                  <w:tcW w:w="1066" w:type="dxa"/>
                  <w:vMerge w:val="continue"/>
                  <w:tcBorders>
                    <w:tl2br w:val="nil"/>
                    <w:tr2bl w:val="nil"/>
                  </w:tcBorders>
                  <w:vAlign w:val="center"/>
                </w:tcPr>
                <w:p w14:paraId="3D138CDB">
                  <w:pPr>
                    <w:snapToGrid w:val="0"/>
                    <w:jc w:val="center"/>
                    <w:rPr>
                      <w:color w:val="auto"/>
                      <w:szCs w:val="21"/>
                      <w:highlight w:val="none"/>
                    </w:rPr>
                  </w:pPr>
                </w:p>
              </w:tc>
              <w:tc>
                <w:tcPr>
                  <w:tcW w:w="1067" w:type="dxa"/>
                  <w:vMerge w:val="continue"/>
                  <w:tcBorders>
                    <w:tl2br w:val="nil"/>
                    <w:tr2bl w:val="nil"/>
                  </w:tcBorders>
                  <w:vAlign w:val="center"/>
                </w:tcPr>
                <w:p w14:paraId="4AFDF4BD">
                  <w:pPr>
                    <w:snapToGrid w:val="0"/>
                    <w:jc w:val="center"/>
                    <w:rPr>
                      <w:color w:val="auto"/>
                      <w:szCs w:val="21"/>
                      <w:highlight w:val="none"/>
                    </w:rPr>
                  </w:pPr>
                </w:p>
              </w:tc>
              <w:tc>
                <w:tcPr>
                  <w:tcW w:w="1234" w:type="dxa"/>
                  <w:tcBorders>
                    <w:tl2br w:val="nil"/>
                    <w:tr2bl w:val="nil"/>
                  </w:tcBorders>
                  <w:vAlign w:val="center"/>
                </w:tcPr>
                <w:p w14:paraId="10BBBA2F">
                  <w:pPr>
                    <w:snapToGrid w:val="0"/>
                    <w:jc w:val="center"/>
                    <w:rPr>
                      <w:color w:val="auto"/>
                      <w:szCs w:val="21"/>
                      <w:highlight w:val="none"/>
                    </w:rPr>
                  </w:pPr>
                  <w:r>
                    <w:rPr>
                      <w:color w:val="auto"/>
                      <w:szCs w:val="21"/>
                      <w:highlight w:val="none"/>
                    </w:rPr>
                    <w:t>经度</w:t>
                  </w:r>
                </w:p>
              </w:tc>
              <w:tc>
                <w:tcPr>
                  <w:tcW w:w="1205" w:type="dxa"/>
                  <w:tcBorders>
                    <w:tl2br w:val="nil"/>
                    <w:tr2bl w:val="nil"/>
                  </w:tcBorders>
                  <w:vAlign w:val="center"/>
                </w:tcPr>
                <w:p w14:paraId="555558A5">
                  <w:pPr>
                    <w:snapToGrid w:val="0"/>
                    <w:jc w:val="center"/>
                    <w:rPr>
                      <w:color w:val="auto"/>
                      <w:szCs w:val="21"/>
                      <w:highlight w:val="none"/>
                    </w:rPr>
                  </w:pPr>
                  <w:r>
                    <w:rPr>
                      <w:color w:val="auto"/>
                      <w:szCs w:val="21"/>
                      <w:highlight w:val="none"/>
                    </w:rPr>
                    <w:t>纬度</w:t>
                  </w:r>
                </w:p>
              </w:tc>
              <w:tc>
                <w:tcPr>
                  <w:tcW w:w="941" w:type="dxa"/>
                  <w:vMerge w:val="continue"/>
                  <w:tcBorders>
                    <w:tl2br w:val="nil"/>
                    <w:tr2bl w:val="nil"/>
                  </w:tcBorders>
                  <w:vAlign w:val="center"/>
                </w:tcPr>
                <w:p w14:paraId="3937644D">
                  <w:pPr>
                    <w:snapToGrid w:val="0"/>
                    <w:jc w:val="center"/>
                    <w:rPr>
                      <w:color w:val="auto"/>
                      <w:szCs w:val="21"/>
                      <w:highlight w:val="none"/>
                    </w:rPr>
                  </w:pPr>
                </w:p>
              </w:tc>
              <w:tc>
                <w:tcPr>
                  <w:tcW w:w="940" w:type="dxa"/>
                  <w:vMerge w:val="continue"/>
                  <w:tcBorders>
                    <w:tl2br w:val="nil"/>
                    <w:tr2bl w:val="nil"/>
                  </w:tcBorders>
                  <w:vAlign w:val="center"/>
                </w:tcPr>
                <w:p w14:paraId="511E7841">
                  <w:pPr>
                    <w:snapToGrid w:val="0"/>
                    <w:jc w:val="center"/>
                    <w:rPr>
                      <w:color w:val="auto"/>
                      <w:szCs w:val="21"/>
                      <w:highlight w:val="none"/>
                    </w:rPr>
                  </w:pPr>
                </w:p>
              </w:tc>
              <w:tc>
                <w:tcPr>
                  <w:tcW w:w="859" w:type="dxa"/>
                  <w:vMerge w:val="continue"/>
                  <w:tcBorders>
                    <w:tl2br w:val="nil"/>
                    <w:tr2bl w:val="nil"/>
                  </w:tcBorders>
                  <w:vAlign w:val="center"/>
                </w:tcPr>
                <w:p w14:paraId="033E2442">
                  <w:pPr>
                    <w:snapToGrid w:val="0"/>
                    <w:jc w:val="center"/>
                    <w:rPr>
                      <w:color w:val="auto"/>
                      <w:szCs w:val="21"/>
                      <w:highlight w:val="none"/>
                    </w:rPr>
                  </w:pPr>
                </w:p>
              </w:tc>
            </w:tr>
            <w:tr w14:paraId="518A2D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34" w:hRule="atLeast"/>
              </w:trPr>
              <w:tc>
                <w:tcPr>
                  <w:tcW w:w="1102" w:type="dxa"/>
                  <w:tcBorders>
                    <w:tl2br w:val="nil"/>
                    <w:tr2bl w:val="nil"/>
                  </w:tcBorders>
                  <w:vAlign w:val="center"/>
                </w:tcPr>
                <w:p w14:paraId="0D8603FF">
                  <w:pPr>
                    <w:snapToGrid w:val="0"/>
                    <w:jc w:val="center"/>
                    <w:rPr>
                      <w:color w:val="auto"/>
                      <w:szCs w:val="21"/>
                      <w:highlight w:val="none"/>
                    </w:rPr>
                  </w:pPr>
                  <w:r>
                    <w:rPr>
                      <w:rFonts w:hint="eastAsia"/>
                      <w:color w:val="auto"/>
                      <w:szCs w:val="21"/>
                      <w:highlight w:val="none"/>
                    </w:rPr>
                    <w:t>DA001</w:t>
                  </w:r>
                </w:p>
              </w:tc>
              <w:tc>
                <w:tcPr>
                  <w:tcW w:w="1066" w:type="dxa"/>
                  <w:tcBorders>
                    <w:tl2br w:val="nil"/>
                    <w:tr2bl w:val="nil"/>
                  </w:tcBorders>
                  <w:vAlign w:val="center"/>
                </w:tcPr>
                <w:p w14:paraId="535B6465">
                  <w:pPr>
                    <w:snapToGrid w:val="0"/>
                    <w:jc w:val="center"/>
                    <w:rPr>
                      <w:color w:val="auto"/>
                      <w:szCs w:val="21"/>
                      <w:highlight w:val="none"/>
                    </w:rPr>
                  </w:pPr>
                  <w:r>
                    <w:rPr>
                      <w:rFonts w:hint="eastAsia"/>
                      <w:color w:val="auto"/>
                      <w:szCs w:val="21"/>
                      <w:highlight w:val="none"/>
                      <w:lang w:val="en-US" w:eastAsia="zh-CN"/>
                    </w:rPr>
                    <w:t>化学洗涤</w:t>
                  </w:r>
                  <w:r>
                    <w:rPr>
                      <w:rFonts w:hint="eastAsia"/>
                      <w:color w:val="auto"/>
                      <w:szCs w:val="21"/>
                      <w:highlight w:val="none"/>
                      <w:lang w:eastAsia="zh-CN"/>
                    </w:rPr>
                    <w:t>塔</w:t>
                  </w:r>
                </w:p>
              </w:tc>
              <w:tc>
                <w:tcPr>
                  <w:tcW w:w="1067" w:type="dxa"/>
                  <w:tcBorders>
                    <w:tl2br w:val="nil"/>
                    <w:tr2bl w:val="nil"/>
                  </w:tcBorders>
                  <w:vAlign w:val="center"/>
                </w:tcPr>
                <w:p w14:paraId="2DADE0C0">
                  <w:pPr>
                    <w:snapToGrid w:val="0"/>
                    <w:jc w:val="center"/>
                    <w:rPr>
                      <w:color w:val="auto"/>
                      <w:szCs w:val="21"/>
                      <w:highlight w:val="none"/>
                    </w:rPr>
                  </w:pPr>
                  <w:r>
                    <w:rPr>
                      <w:rFonts w:hint="eastAsia"/>
                      <w:color w:val="auto"/>
                      <w:szCs w:val="21"/>
                      <w:highlight w:val="none"/>
                    </w:rPr>
                    <w:t>一般排放口</w:t>
                  </w:r>
                </w:p>
              </w:tc>
              <w:tc>
                <w:tcPr>
                  <w:tcW w:w="1234" w:type="dxa"/>
                  <w:tcBorders>
                    <w:tl2br w:val="nil"/>
                    <w:tr2bl w:val="nil"/>
                  </w:tcBorders>
                  <w:vAlign w:val="center"/>
                </w:tcPr>
                <w:p w14:paraId="1055AD3F">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103.022955</w:t>
                  </w:r>
                </w:p>
              </w:tc>
              <w:tc>
                <w:tcPr>
                  <w:tcW w:w="1205" w:type="dxa"/>
                  <w:tcBorders>
                    <w:tl2br w:val="nil"/>
                    <w:tr2bl w:val="nil"/>
                  </w:tcBorders>
                  <w:vAlign w:val="center"/>
                </w:tcPr>
                <w:p w14:paraId="0C1052FF">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24.701825</w:t>
                  </w:r>
                </w:p>
              </w:tc>
              <w:tc>
                <w:tcPr>
                  <w:tcW w:w="941" w:type="dxa"/>
                  <w:tcBorders>
                    <w:tl2br w:val="nil"/>
                    <w:tr2bl w:val="nil"/>
                  </w:tcBorders>
                  <w:vAlign w:val="center"/>
                </w:tcPr>
                <w:p w14:paraId="2F2C40BE">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940" w:type="dxa"/>
                  <w:tcBorders>
                    <w:tl2br w:val="nil"/>
                    <w:tr2bl w:val="nil"/>
                  </w:tcBorders>
                  <w:vAlign w:val="center"/>
                </w:tcPr>
                <w:p w14:paraId="18018290">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c>
                <w:tcPr>
                  <w:tcW w:w="859" w:type="dxa"/>
                  <w:tcBorders>
                    <w:tl2br w:val="nil"/>
                    <w:tr2bl w:val="nil"/>
                  </w:tcBorders>
                  <w:vAlign w:val="center"/>
                </w:tcPr>
                <w:p w14:paraId="660E0579">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w:t>
                  </w:r>
                </w:p>
              </w:tc>
            </w:tr>
          </w:tbl>
          <w:p w14:paraId="1DC5EF64">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olor w:val="auto"/>
                <w:kern w:val="24"/>
                <w:sz w:val="24"/>
                <w:highlight w:val="none"/>
              </w:rPr>
            </w:pPr>
            <w:r>
              <w:rPr>
                <w:rFonts w:hint="eastAsia"/>
                <w:color w:val="auto"/>
                <w:kern w:val="24"/>
                <w:sz w:val="24"/>
                <w:highlight w:val="none"/>
              </w:rPr>
              <w:t>本项目运营后，全厂污染物有组织和无组织排放量核算见下表。</w:t>
            </w:r>
          </w:p>
          <w:p w14:paraId="3BD7BC8B">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4"/>
                <w:sz w:val="24"/>
                <w:szCs w:val="24"/>
                <w:highlight w:val="none"/>
              </w:rPr>
            </w:pPr>
            <w:r>
              <w:rPr>
                <w:rFonts w:hint="eastAsia"/>
                <w:b/>
                <w:bCs/>
                <w:color w:val="auto"/>
                <w:kern w:val="24"/>
                <w:sz w:val="24"/>
                <w:szCs w:val="24"/>
                <w:highlight w:val="none"/>
              </w:rPr>
              <w:t>表 4-3  大气污染物有组织排放量核算表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85"/>
              <w:gridCol w:w="1428"/>
              <w:gridCol w:w="1352"/>
              <w:gridCol w:w="1799"/>
              <w:gridCol w:w="1804"/>
              <w:gridCol w:w="1882"/>
            </w:tblGrid>
            <w:tr w14:paraId="7B76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604" w:type="dxa"/>
                  <w:vAlign w:val="center"/>
                </w:tcPr>
                <w:p w14:paraId="1942D02E">
                  <w:pPr>
                    <w:pStyle w:val="17"/>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color w:val="auto"/>
                      <w:szCs w:val="21"/>
                      <w:highlight w:val="none"/>
                    </w:rPr>
                  </w:pPr>
                  <w:r>
                    <w:rPr>
                      <w:color w:val="auto"/>
                      <w:szCs w:val="21"/>
                      <w:highlight w:val="none"/>
                    </w:rPr>
                    <w:t>序号</w:t>
                  </w:r>
                </w:p>
              </w:tc>
              <w:tc>
                <w:tcPr>
                  <w:tcW w:w="1475" w:type="dxa"/>
                  <w:vAlign w:val="center"/>
                </w:tcPr>
                <w:p w14:paraId="51C416A9">
                  <w:pPr>
                    <w:pStyle w:val="17"/>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color w:val="auto"/>
                      <w:szCs w:val="21"/>
                      <w:highlight w:val="none"/>
                    </w:rPr>
                  </w:pPr>
                  <w:r>
                    <w:rPr>
                      <w:color w:val="auto"/>
                      <w:szCs w:val="21"/>
                      <w:highlight w:val="none"/>
                    </w:rPr>
                    <w:t>排放口编号</w:t>
                  </w:r>
                </w:p>
              </w:tc>
              <w:tc>
                <w:tcPr>
                  <w:tcW w:w="1396" w:type="dxa"/>
                  <w:vAlign w:val="center"/>
                </w:tcPr>
                <w:p w14:paraId="5A813A6C">
                  <w:pPr>
                    <w:pStyle w:val="17"/>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color w:val="auto"/>
                      <w:szCs w:val="21"/>
                      <w:highlight w:val="none"/>
                    </w:rPr>
                  </w:pPr>
                  <w:r>
                    <w:rPr>
                      <w:color w:val="auto"/>
                      <w:szCs w:val="21"/>
                      <w:highlight w:val="none"/>
                    </w:rPr>
                    <w:t>污染物</w:t>
                  </w:r>
                </w:p>
              </w:tc>
              <w:tc>
                <w:tcPr>
                  <w:tcW w:w="1858" w:type="dxa"/>
                  <w:vAlign w:val="center"/>
                </w:tcPr>
                <w:p w14:paraId="00BA585C">
                  <w:pPr>
                    <w:keepNext w:val="0"/>
                    <w:keepLines w:val="0"/>
                    <w:pageBreakBefore w:val="0"/>
                    <w:widowControl w:val="0"/>
                    <w:kinsoku/>
                    <w:wordWrap/>
                    <w:overflowPunct/>
                    <w:topLinePunct w:val="0"/>
                    <w:autoSpaceDE/>
                    <w:autoSpaceDN/>
                    <w:bidi w:val="0"/>
                    <w:ind w:left="0" w:leftChars="0"/>
                    <w:jc w:val="center"/>
                    <w:textAlignment w:val="auto"/>
                    <w:rPr>
                      <w:color w:val="auto"/>
                      <w:szCs w:val="21"/>
                      <w:highlight w:val="none"/>
                    </w:rPr>
                  </w:pPr>
                  <w:r>
                    <w:rPr>
                      <w:color w:val="auto"/>
                      <w:szCs w:val="21"/>
                      <w:highlight w:val="none"/>
                    </w:rPr>
                    <w:t>核算排放浓度/</w:t>
                  </w:r>
                </w:p>
                <w:p w14:paraId="61DB0FEE">
                  <w:pPr>
                    <w:pStyle w:val="17"/>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color w:val="auto"/>
                      <w:szCs w:val="21"/>
                      <w:highlight w:val="none"/>
                    </w:rPr>
                  </w:pPr>
                  <w:r>
                    <w:rPr>
                      <w:color w:val="auto"/>
                      <w:szCs w:val="21"/>
                      <w:highlight w:val="none"/>
                    </w:rPr>
                    <w:t>(</w:t>
                  </w:r>
                  <w:r>
                    <w:rPr>
                      <w:rFonts w:hint="eastAsia"/>
                      <w:color w:val="auto"/>
                      <w:szCs w:val="21"/>
                      <w:highlight w:val="none"/>
                    </w:rPr>
                    <w:t>m</w:t>
                  </w:r>
                  <w:r>
                    <w:rPr>
                      <w:color w:val="auto"/>
                      <w:szCs w:val="21"/>
                      <w:highlight w:val="none"/>
                    </w:rPr>
                    <w:t>g/m</w:t>
                  </w:r>
                  <w:r>
                    <w:rPr>
                      <w:color w:val="auto"/>
                      <w:szCs w:val="21"/>
                      <w:highlight w:val="none"/>
                      <w:vertAlign w:val="superscript"/>
                    </w:rPr>
                    <w:t>3</w:t>
                  </w:r>
                  <w:r>
                    <w:rPr>
                      <w:color w:val="auto"/>
                      <w:szCs w:val="21"/>
                      <w:highlight w:val="none"/>
                    </w:rPr>
                    <w:t>)</w:t>
                  </w:r>
                </w:p>
              </w:tc>
              <w:tc>
                <w:tcPr>
                  <w:tcW w:w="1864" w:type="dxa"/>
                  <w:vAlign w:val="center"/>
                </w:tcPr>
                <w:p w14:paraId="79E0894C">
                  <w:pPr>
                    <w:keepNext w:val="0"/>
                    <w:keepLines w:val="0"/>
                    <w:pageBreakBefore w:val="0"/>
                    <w:widowControl w:val="0"/>
                    <w:kinsoku/>
                    <w:wordWrap/>
                    <w:overflowPunct/>
                    <w:topLinePunct w:val="0"/>
                    <w:autoSpaceDE/>
                    <w:autoSpaceDN/>
                    <w:bidi w:val="0"/>
                    <w:ind w:left="0" w:leftChars="0"/>
                    <w:jc w:val="center"/>
                    <w:textAlignment w:val="auto"/>
                    <w:rPr>
                      <w:color w:val="auto"/>
                      <w:szCs w:val="21"/>
                      <w:highlight w:val="none"/>
                    </w:rPr>
                  </w:pPr>
                  <w:r>
                    <w:rPr>
                      <w:color w:val="auto"/>
                      <w:szCs w:val="21"/>
                      <w:highlight w:val="none"/>
                    </w:rPr>
                    <w:t>核算排放速率/</w:t>
                  </w:r>
                </w:p>
                <w:p w14:paraId="127EA7CF">
                  <w:pPr>
                    <w:pStyle w:val="17"/>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color w:val="auto"/>
                      <w:szCs w:val="21"/>
                      <w:highlight w:val="none"/>
                    </w:rPr>
                  </w:pPr>
                  <w:r>
                    <w:rPr>
                      <w:color w:val="auto"/>
                      <w:szCs w:val="21"/>
                      <w:highlight w:val="none"/>
                    </w:rPr>
                    <w:t>(kg/h)</w:t>
                  </w:r>
                </w:p>
              </w:tc>
              <w:tc>
                <w:tcPr>
                  <w:tcW w:w="1944" w:type="dxa"/>
                  <w:vAlign w:val="center"/>
                </w:tcPr>
                <w:p w14:paraId="5A95D5B7">
                  <w:pPr>
                    <w:keepNext w:val="0"/>
                    <w:keepLines w:val="0"/>
                    <w:pageBreakBefore w:val="0"/>
                    <w:widowControl w:val="0"/>
                    <w:kinsoku/>
                    <w:wordWrap/>
                    <w:overflowPunct/>
                    <w:topLinePunct w:val="0"/>
                    <w:autoSpaceDE/>
                    <w:autoSpaceDN/>
                    <w:bidi w:val="0"/>
                    <w:ind w:left="0" w:leftChars="0"/>
                    <w:jc w:val="center"/>
                    <w:textAlignment w:val="auto"/>
                    <w:rPr>
                      <w:color w:val="auto"/>
                      <w:szCs w:val="21"/>
                      <w:highlight w:val="none"/>
                    </w:rPr>
                  </w:pPr>
                  <w:r>
                    <w:rPr>
                      <w:color w:val="auto"/>
                      <w:szCs w:val="21"/>
                      <w:highlight w:val="none"/>
                    </w:rPr>
                    <w:t>核算年排放量/</w:t>
                  </w:r>
                </w:p>
                <w:p w14:paraId="7E289A5C">
                  <w:pPr>
                    <w:pStyle w:val="17"/>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color w:val="auto"/>
                      <w:szCs w:val="21"/>
                      <w:highlight w:val="none"/>
                    </w:rPr>
                  </w:pPr>
                  <w:r>
                    <w:rPr>
                      <w:color w:val="auto"/>
                      <w:szCs w:val="21"/>
                      <w:highlight w:val="none"/>
                    </w:rPr>
                    <w:t>(t/a)</w:t>
                  </w:r>
                </w:p>
              </w:tc>
            </w:tr>
            <w:tr w14:paraId="5652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8" w:hRule="atLeast"/>
              </w:trPr>
              <w:tc>
                <w:tcPr>
                  <w:tcW w:w="604" w:type="dxa"/>
                  <w:vMerge w:val="restart"/>
                  <w:vAlign w:val="center"/>
                </w:tcPr>
                <w:p w14:paraId="101F6504">
                  <w:pPr>
                    <w:pStyle w:val="17"/>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color w:val="auto"/>
                      <w:szCs w:val="21"/>
                      <w:highlight w:val="none"/>
                    </w:rPr>
                  </w:pPr>
                  <w:r>
                    <w:rPr>
                      <w:color w:val="auto"/>
                      <w:szCs w:val="21"/>
                      <w:highlight w:val="none"/>
                    </w:rPr>
                    <w:t>1</w:t>
                  </w:r>
                </w:p>
              </w:tc>
              <w:tc>
                <w:tcPr>
                  <w:tcW w:w="1475" w:type="dxa"/>
                  <w:vMerge w:val="restart"/>
                  <w:vAlign w:val="center"/>
                </w:tcPr>
                <w:p w14:paraId="095EA61C">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color w:val="auto"/>
                      <w:szCs w:val="21"/>
                      <w:highlight w:val="none"/>
                      <w:lang w:eastAsia="zh-CN"/>
                    </w:rPr>
                  </w:pPr>
                  <w:r>
                    <w:rPr>
                      <w:rFonts w:hint="eastAsia"/>
                      <w:color w:val="auto"/>
                      <w:kern w:val="24"/>
                      <w:szCs w:val="21"/>
                      <w:highlight w:val="none"/>
                      <w:lang w:val="en-US" w:eastAsia="zh-CN"/>
                    </w:rPr>
                    <w:t>化学洗涤</w:t>
                  </w:r>
                  <w:r>
                    <w:rPr>
                      <w:rFonts w:hint="eastAsia"/>
                      <w:color w:val="auto"/>
                      <w:kern w:val="24"/>
                      <w:szCs w:val="21"/>
                      <w:highlight w:val="none"/>
                      <w:lang w:eastAsia="zh-CN"/>
                    </w:rPr>
                    <w:t>塔（</w:t>
                  </w:r>
                  <w:r>
                    <w:rPr>
                      <w:rFonts w:hint="eastAsia"/>
                      <w:color w:val="auto"/>
                      <w:kern w:val="24"/>
                      <w:szCs w:val="21"/>
                      <w:highlight w:val="none"/>
                      <w:lang w:val="en-US" w:eastAsia="zh-CN"/>
                    </w:rPr>
                    <w:t>DA001</w:t>
                  </w:r>
                  <w:r>
                    <w:rPr>
                      <w:rFonts w:hint="eastAsia"/>
                      <w:color w:val="auto"/>
                      <w:kern w:val="24"/>
                      <w:szCs w:val="21"/>
                      <w:highlight w:val="none"/>
                      <w:lang w:eastAsia="zh-CN"/>
                    </w:rPr>
                    <w:t>）</w:t>
                  </w:r>
                </w:p>
              </w:tc>
              <w:tc>
                <w:tcPr>
                  <w:tcW w:w="1396" w:type="dxa"/>
                  <w:vAlign w:val="center"/>
                </w:tcPr>
                <w:p w14:paraId="1B3D5098">
                  <w:pPr>
                    <w:pStyle w:val="17"/>
                    <w:adjustRightInd w:val="0"/>
                    <w:snapToGrid w:val="0"/>
                    <w:ind w:left="105" w:leftChars="50" w:firstLine="0" w:firstLineChars="0"/>
                    <w:jc w:val="center"/>
                    <w:rPr>
                      <w:color w:val="auto"/>
                      <w:szCs w:val="21"/>
                      <w:highlight w:val="none"/>
                    </w:rPr>
                  </w:pPr>
                  <w:r>
                    <w:rPr>
                      <w:rFonts w:hint="eastAsia"/>
                      <w:color w:val="auto"/>
                      <w:szCs w:val="21"/>
                      <w:highlight w:val="none"/>
                      <w:lang w:val="en-US" w:eastAsia="zh-CN"/>
                    </w:rPr>
                    <w:t>NH</w:t>
                  </w:r>
                  <w:r>
                    <w:rPr>
                      <w:rFonts w:hint="eastAsia"/>
                      <w:color w:val="auto"/>
                      <w:szCs w:val="21"/>
                      <w:highlight w:val="none"/>
                      <w:vertAlign w:val="subscript"/>
                      <w:lang w:val="en-US" w:eastAsia="zh-CN"/>
                    </w:rPr>
                    <w:t>3</w:t>
                  </w:r>
                </w:p>
              </w:tc>
              <w:tc>
                <w:tcPr>
                  <w:tcW w:w="1858" w:type="dxa"/>
                  <w:vAlign w:val="center"/>
                </w:tcPr>
                <w:p w14:paraId="3A014C71">
                  <w:pPr>
                    <w:pStyle w:val="17"/>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0.7</w:t>
                  </w:r>
                </w:p>
              </w:tc>
              <w:tc>
                <w:tcPr>
                  <w:tcW w:w="1864" w:type="dxa"/>
                  <w:vAlign w:val="center"/>
                </w:tcPr>
                <w:p w14:paraId="4194A882">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0.007</w:t>
                  </w:r>
                </w:p>
              </w:tc>
              <w:tc>
                <w:tcPr>
                  <w:tcW w:w="1944" w:type="dxa"/>
                  <w:vAlign w:val="center"/>
                </w:tcPr>
                <w:p w14:paraId="4C1C28C5">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0.064</w:t>
                  </w:r>
                </w:p>
              </w:tc>
            </w:tr>
            <w:tr w14:paraId="32B0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3" w:hRule="atLeast"/>
              </w:trPr>
              <w:tc>
                <w:tcPr>
                  <w:tcW w:w="604" w:type="dxa"/>
                  <w:vMerge w:val="continue"/>
                  <w:vAlign w:val="center"/>
                </w:tcPr>
                <w:p w14:paraId="3B446AEF">
                  <w:pPr>
                    <w:pStyle w:val="17"/>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color w:val="auto"/>
                      <w:szCs w:val="21"/>
                      <w:highlight w:val="none"/>
                    </w:rPr>
                  </w:pPr>
                </w:p>
              </w:tc>
              <w:tc>
                <w:tcPr>
                  <w:tcW w:w="1475" w:type="dxa"/>
                  <w:vMerge w:val="continue"/>
                  <w:vAlign w:val="center"/>
                </w:tcPr>
                <w:p w14:paraId="6F4279BB">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kern w:val="24"/>
                      <w:szCs w:val="21"/>
                      <w:highlight w:val="none"/>
                      <w:lang w:eastAsia="zh-CN"/>
                    </w:rPr>
                  </w:pPr>
                </w:p>
              </w:tc>
              <w:tc>
                <w:tcPr>
                  <w:tcW w:w="1396" w:type="dxa"/>
                  <w:vAlign w:val="center"/>
                </w:tcPr>
                <w:p w14:paraId="3F23FD1E">
                  <w:pPr>
                    <w:pStyle w:val="17"/>
                    <w:adjustRightInd w:val="0"/>
                    <w:snapToGrid w:val="0"/>
                    <w:ind w:left="105" w:leftChars="50" w:firstLine="0" w:firstLineChars="0"/>
                    <w:jc w:val="center"/>
                    <w:rPr>
                      <w:rFonts w:hint="eastAsia"/>
                      <w:color w:val="auto"/>
                      <w:szCs w:val="21"/>
                      <w:highlight w:val="none"/>
                    </w:rPr>
                  </w:pPr>
                  <w:r>
                    <w:rPr>
                      <w:rFonts w:hint="eastAsia"/>
                      <w:color w:val="auto"/>
                      <w:szCs w:val="21"/>
                      <w:highlight w:val="none"/>
                      <w:lang w:val="en-US" w:eastAsia="zh-CN"/>
                    </w:rPr>
                    <w:t>H</w:t>
                  </w:r>
                  <w:r>
                    <w:rPr>
                      <w:rFonts w:hint="eastAsia"/>
                      <w:color w:val="auto"/>
                      <w:szCs w:val="21"/>
                      <w:highlight w:val="none"/>
                      <w:vertAlign w:val="subscript"/>
                      <w:lang w:val="en-US" w:eastAsia="zh-CN"/>
                    </w:rPr>
                    <w:t>2</w:t>
                  </w:r>
                  <w:r>
                    <w:rPr>
                      <w:rFonts w:hint="eastAsia"/>
                      <w:color w:val="auto"/>
                      <w:szCs w:val="21"/>
                      <w:highlight w:val="none"/>
                      <w:lang w:val="en-US" w:eastAsia="zh-CN"/>
                    </w:rPr>
                    <w:t>S</w:t>
                  </w:r>
                </w:p>
              </w:tc>
              <w:tc>
                <w:tcPr>
                  <w:tcW w:w="1858" w:type="dxa"/>
                  <w:vAlign w:val="center"/>
                </w:tcPr>
                <w:p w14:paraId="3AC39CA9">
                  <w:pPr>
                    <w:pStyle w:val="17"/>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0.02</w:t>
                  </w:r>
                </w:p>
              </w:tc>
              <w:tc>
                <w:tcPr>
                  <w:tcW w:w="1864" w:type="dxa"/>
                  <w:vAlign w:val="center"/>
                </w:tcPr>
                <w:p w14:paraId="7F96B183">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0.0002</w:t>
                  </w:r>
                </w:p>
              </w:tc>
              <w:tc>
                <w:tcPr>
                  <w:tcW w:w="1944" w:type="dxa"/>
                  <w:vAlign w:val="center"/>
                </w:tcPr>
                <w:p w14:paraId="0F51B39E">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0.002</w:t>
                  </w:r>
                </w:p>
              </w:tc>
            </w:tr>
          </w:tbl>
          <w:p w14:paraId="7059E436">
            <w:pPr>
              <w:adjustRightInd w:val="0"/>
              <w:snapToGrid w:val="0"/>
              <w:spacing w:line="360" w:lineRule="auto"/>
              <w:ind w:firstLine="482" w:firstLineChars="200"/>
              <w:jc w:val="center"/>
              <w:rPr>
                <w:b/>
                <w:bCs/>
                <w:color w:val="auto"/>
                <w:kern w:val="24"/>
                <w:sz w:val="24"/>
                <w:szCs w:val="24"/>
                <w:highlight w:val="none"/>
              </w:rPr>
            </w:pPr>
            <w:r>
              <w:rPr>
                <w:rFonts w:hint="eastAsia"/>
                <w:b/>
                <w:bCs/>
                <w:color w:val="auto"/>
                <w:kern w:val="24"/>
                <w:sz w:val="24"/>
                <w:szCs w:val="24"/>
                <w:highlight w:val="none"/>
              </w:rPr>
              <w:t>表 4-4  大气污染物无组织排放量核算表</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2"/>
              <w:gridCol w:w="1941"/>
              <w:gridCol w:w="1231"/>
              <w:gridCol w:w="2924"/>
              <w:gridCol w:w="1974"/>
            </w:tblGrid>
            <w:tr w14:paraId="141D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trPr>
              <w:tc>
                <w:tcPr>
                  <w:tcW w:w="436" w:type="pct"/>
                  <w:vAlign w:val="center"/>
                </w:tcPr>
                <w:p w14:paraId="21B08DD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序号</w:t>
                  </w:r>
                </w:p>
              </w:tc>
              <w:tc>
                <w:tcPr>
                  <w:tcW w:w="1097" w:type="pct"/>
                  <w:vAlign w:val="center"/>
                </w:tcPr>
                <w:p w14:paraId="1BB12D78">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color w:val="auto"/>
                      <w:szCs w:val="21"/>
                      <w:highlight w:val="none"/>
                    </w:rPr>
                    <w:t>产污环节</w:t>
                  </w:r>
                </w:p>
              </w:tc>
              <w:tc>
                <w:tcPr>
                  <w:tcW w:w="696" w:type="pct"/>
                  <w:vAlign w:val="center"/>
                </w:tcPr>
                <w:p w14:paraId="540B5445">
                  <w:pPr>
                    <w:keepNext w:val="0"/>
                    <w:keepLines w:val="0"/>
                    <w:pageBreakBefore w:val="0"/>
                    <w:widowControl w:val="0"/>
                    <w:kinsoku/>
                    <w:wordWrap/>
                    <w:overflowPunct/>
                    <w:topLinePunct w:val="0"/>
                    <w:autoSpaceDE/>
                    <w:autoSpaceDN/>
                    <w:bidi w:val="0"/>
                    <w:adjustRightInd/>
                    <w:snapToGrid/>
                    <w:ind w:left="0" w:leftChars="0"/>
                    <w:jc w:val="center"/>
                    <w:textAlignment w:val="auto"/>
                    <w:rPr>
                      <w:color w:val="auto"/>
                      <w:szCs w:val="21"/>
                      <w:highlight w:val="none"/>
                    </w:rPr>
                  </w:pPr>
                  <w:r>
                    <w:rPr>
                      <w:color w:val="auto"/>
                      <w:szCs w:val="21"/>
                      <w:highlight w:val="none"/>
                    </w:rPr>
                    <w:t>污染物</w:t>
                  </w:r>
                </w:p>
              </w:tc>
              <w:tc>
                <w:tcPr>
                  <w:tcW w:w="1653" w:type="pct"/>
                  <w:vAlign w:val="center"/>
                </w:tcPr>
                <w:p w14:paraId="6304E6C3">
                  <w:pPr>
                    <w:keepNext w:val="0"/>
                    <w:keepLines w:val="0"/>
                    <w:pageBreakBefore w:val="0"/>
                    <w:widowControl w:val="0"/>
                    <w:kinsoku/>
                    <w:wordWrap/>
                    <w:overflowPunct/>
                    <w:topLinePunct w:val="0"/>
                    <w:autoSpaceDE/>
                    <w:autoSpaceDN/>
                    <w:bidi w:val="0"/>
                    <w:adjustRightInd/>
                    <w:snapToGrid/>
                    <w:ind w:left="0" w:leftChars="0"/>
                    <w:jc w:val="center"/>
                    <w:textAlignment w:val="auto"/>
                    <w:rPr>
                      <w:color w:val="auto"/>
                      <w:szCs w:val="21"/>
                      <w:highlight w:val="none"/>
                    </w:rPr>
                  </w:pPr>
                  <w:r>
                    <w:rPr>
                      <w:color w:val="auto"/>
                      <w:szCs w:val="21"/>
                      <w:highlight w:val="none"/>
                    </w:rPr>
                    <w:t>主要污染防治措施</w:t>
                  </w:r>
                </w:p>
              </w:tc>
              <w:tc>
                <w:tcPr>
                  <w:tcW w:w="1116" w:type="pct"/>
                  <w:vAlign w:val="center"/>
                </w:tcPr>
                <w:p w14:paraId="268E24EB">
                  <w:pPr>
                    <w:keepNext w:val="0"/>
                    <w:keepLines w:val="0"/>
                    <w:pageBreakBefore w:val="0"/>
                    <w:widowControl w:val="0"/>
                    <w:kinsoku/>
                    <w:wordWrap/>
                    <w:overflowPunct/>
                    <w:topLinePunct w:val="0"/>
                    <w:autoSpaceDE/>
                    <w:autoSpaceDN/>
                    <w:bidi w:val="0"/>
                    <w:adjustRightInd/>
                    <w:snapToGrid/>
                    <w:ind w:left="0" w:leftChars="0"/>
                    <w:jc w:val="center"/>
                    <w:textAlignment w:val="auto"/>
                    <w:rPr>
                      <w:color w:val="auto"/>
                      <w:szCs w:val="21"/>
                      <w:highlight w:val="none"/>
                    </w:rPr>
                  </w:pPr>
                  <w:r>
                    <w:rPr>
                      <w:color w:val="auto"/>
                      <w:szCs w:val="21"/>
                      <w:highlight w:val="none"/>
                    </w:rPr>
                    <w:t>年排放量/(t/a)</w:t>
                  </w:r>
                </w:p>
              </w:tc>
            </w:tr>
            <w:tr w14:paraId="28AA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0" w:hRule="atLeast"/>
              </w:trPr>
              <w:tc>
                <w:tcPr>
                  <w:tcW w:w="436" w:type="pct"/>
                  <w:vMerge w:val="restart"/>
                  <w:vAlign w:val="center"/>
                </w:tcPr>
                <w:p w14:paraId="0B5118F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1</w:t>
                  </w:r>
                </w:p>
              </w:tc>
              <w:tc>
                <w:tcPr>
                  <w:tcW w:w="1097" w:type="pct"/>
                  <w:vMerge w:val="restart"/>
                  <w:vAlign w:val="center"/>
                </w:tcPr>
                <w:p w14:paraId="61B3C5C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kern w:val="24"/>
                      <w:szCs w:val="21"/>
                      <w:highlight w:val="none"/>
                      <w:lang w:eastAsia="zh-CN"/>
                    </w:rPr>
                  </w:pPr>
                  <w:r>
                    <w:rPr>
                      <w:rFonts w:hint="eastAsia"/>
                      <w:color w:val="auto"/>
                      <w:kern w:val="24"/>
                      <w:szCs w:val="21"/>
                      <w:highlight w:val="none"/>
                      <w:lang w:eastAsia="zh-CN"/>
                    </w:rPr>
                    <w:t>各污水处理单元</w:t>
                  </w:r>
                </w:p>
              </w:tc>
              <w:tc>
                <w:tcPr>
                  <w:tcW w:w="696" w:type="pct"/>
                  <w:vAlign w:val="center"/>
                </w:tcPr>
                <w:p w14:paraId="0F6F790A">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NH</w:t>
                  </w:r>
                  <w:r>
                    <w:rPr>
                      <w:rFonts w:hint="eastAsia"/>
                      <w:color w:val="auto"/>
                      <w:szCs w:val="21"/>
                      <w:highlight w:val="none"/>
                      <w:vertAlign w:val="subscript"/>
                      <w:lang w:val="en-US" w:eastAsia="zh-CN"/>
                    </w:rPr>
                    <w:t>3</w:t>
                  </w:r>
                </w:p>
              </w:tc>
              <w:tc>
                <w:tcPr>
                  <w:tcW w:w="1653" w:type="pct"/>
                  <w:vMerge w:val="restart"/>
                  <w:vAlign w:val="center"/>
                </w:tcPr>
                <w:p w14:paraId="12E9E30D">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r>
                    <w:rPr>
                      <w:rFonts w:hint="eastAsia"/>
                      <w:color w:val="auto"/>
                      <w:kern w:val="24"/>
                      <w:szCs w:val="21"/>
                      <w:highlight w:val="none"/>
                      <w:lang w:eastAsia="zh-CN"/>
                    </w:rPr>
                    <w:t>大气稀释扩散</w:t>
                  </w:r>
                </w:p>
              </w:tc>
              <w:tc>
                <w:tcPr>
                  <w:tcW w:w="1116" w:type="pct"/>
                  <w:vAlign w:val="center"/>
                </w:tcPr>
                <w:p w14:paraId="49AD0334">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0.034</w:t>
                  </w:r>
                </w:p>
              </w:tc>
            </w:tr>
            <w:tr w14:paraId="5040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0" w:hRule="atLeast"/>
              </w:trPr>
              <w:tc>
                <w:tcPr>
                  <w:tcW w:w="436" w:type="pct"/>
                  <w:vMerge w:val="continue"/>
                  <w:vAlign w:val="center"/>
                </w:tcPr>
                <w:p w14:paraId="425C17DC">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Cs w:val="21"/>
                      <w:highlight w:val="none"/>
                      <w:lang w:val="en-US" w:eastAsia="zh-CN"/>
                    </w:rPr>
                  </w:pPr>
                </w:p>
              </w:tc>
              <w:tc>
                <w:tcPr>
                  <w:tcW w:w="1097" w:type="pct"/>
                  <w:vMerge w:val="continue"/>
                  <w:vAlign w:val="center"/>
                </w:tcPr>
                <w:p w14:paraId="6982137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kern w:val="24"/>
                      <w:szCs w:val="21"/>
                      <w:highlight w:val="none"/>
                      <w:lang w:eastAsia="zh-CN"/>
                    </w:rPr>
                  </w:pPr>
                </w:p>
              </w:tc>
              <w:tc>
                <w:tcPr>
                  <w:tcW w:w="696" w:type="pct"/>
                  <w:vAlign w:val="center"/>
                </w:tcPr>
                <w:p w14:paraId="7839FBCB">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H</w:t>
                  </w:r>
                  <w:r>
                    <w:rPr>
                      <w:rFonts w:hint="eastAsia"/>
                      <w:color w:val="auto"/>
                      <w:szCs w:val="21"/>
                      <w:highlight w:val="none"/>
                      <w:vertAlign w:val="subscript"/>
                      <w:lang w:val="en-US" w:eastAsia="zh-CN"/>
                    </w:rPr>
                    <w:t>2</w:t>
                  </w:r>
                  <w:r>
                    <w:rPr>
                      <w:rFonts w:hint="eastAsia"/>
                      <w:color w:val="auto"/>
                      <w:szCs w:val="21"/>
                      <w:highlight w:val="none"/>
                      <w:lang w:val="en-US" w:eastAsia="zh-CN"/>
                    </w:rPr>
                    <w:t>S</w:t>
                  </w:r>
                </w:p>
              </w:tc>
              <w:tc>
                <w:tcPr>
                  <w:tcW w:w="1653" w:type="pct"/>
                  <w:vMerge w:val="continue"/>
                  <w:vAlign w:val="center"/>
                </w:tcPr>
                <w:p w14:paraId="7E1E1F3A">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Cs w:val="21"/>
                      <w:highlight w:val="none"/>
                    </w:rPr>
                  </w:pPr>
                </w:p>
              </w:tc>
              <w:tc>
                <w:tcPr>
                  <w:tcW w:w="1116" w:type="pct"/>
                  <w:vAlign w:val="center"/>
                </w:tcPr>
                <w:p w14:paraId="43BC0B1B">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0.0013</w:t>
                  </w:r>
                </w:p>
              </w:tc>
            </w:tr>
            <w:tr w14:paraId="1265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0" w:hRule="atLeast"/>
              </w:trPr>
              <w:tc>
                <w:tcPr>
                  <w:tcW w:w="436" w:type="pct"/>
                  <w:vAlign w:val="center"/>
                </w:tcPr>
                <w:p w14:paraId="65642C99">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szCs w:val="21"/>
                      <w:highlight w:val="none"/>
                      <w:lang w:val="en-US" w:eastAsia="zh-CN"/>
                    </w:rPr>
                  </w:pPr>
                  <w:r>
                    <w:rPr>
                      <w:rFonts w:hint="eastAsia"/>
                      <w:color w:val="auto"/>
                      <w:szCs w:val="21"/>
                      <w:highlight w:val="none"/>
                      <w:lang w:val="en-US" w:eastAsia="zh-CN"/>
                    </w:rPr>
                    <w:t>2</w:t>
                  </w:r>
                </w:p>
              </w:tc>
              <w:tc>
                <w:tcPr>
                  <w:tcW w:w="1097" w:type="pct"/>
                  <w:vAlign w:val="center"/>
                </w:tcPr>
                <w:p w14:paraId="639BCF16">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固化剂料仓</w:t>
                  </w:r>
                </w:p>
              </w:tc>
              <w:tc>
                <w:tcPr>
                  <w:tcW w:w="696" w:type="pct"/>
                  <w:vAlign w:val="center"/>
                </w:tcPr>
                <w:p w14:paraId="4BF98450">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color w:val="auto"/>
                      <w:szCs w:val="21"/>
                      <w:highlight w:val="none"/>
                      <w:lang w:val="en-US" w:eastAsia="zh-CN"/>
                    </w:rPr>
                  </w:pPr>
                  <w:r>
                    <w:rPr>
                      <w:rFonts w:hint="eastAsia"/>
                      <w:color w:val="auto"/>
                      <w:szCs w:val="21"/>
                      <w:highlight w:val="none"/>
                      <w:lang w:val="en-US" w:eastAsia="zh-CN"/>
                    </w:rPr>
                    <w:t>颗粒物</w:t>
                  </w:r>
                </w:p>
              </w:tc>
              <w:tc>
                <w:tcPr>
                  <w:tcW w:w="1653" w:type="pct"/>
                  <w:vAlign w:val="center"/>
                </w:tcPr>
                <w:p w14:paraId="0E3FD96A">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水泥料仓及粉煤灰料仓仓顶配套设置袋式除尘器</w:t>
                  </w:r>
                </w:p>
              </w:tc>
              <w:tc>
                <w:tcPr>
                  <w:tcW w:w="1116" w:type="pct"/>
                  <w:vAlign w:val="center"/>
                </w:tcPr>
                <w:p w14:paraId="16EC296E">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0.058</w:t>
                  </w:r>
                </w:p>
              </w:tc>
            </w:tr>
          </w:tbl>
          <w:p w14:paraId="41DC1178">
            <w:pPr>
              <w:pStyle w:val="17"/>
              <w:keepNext w:val="0"/>
              <w:keepLines w:val="0"/>
              <w:pageBreakBefore w:val="0"/>
              <w:widowControl w:val="0"/>
              <w:kinsoku/>
              <w:wordWrap/>
              <w:overflowPunct/>
              <w:topLinePunct w:val="0"/>
              <w:autoSpaceDE/>
              <w:autoSpaceDN/>
              <w:bidi w:val="0"/>
              <w:spacing w:after="0" w:line="360" w:lineRule="auto"/>
              <w:ind w:left="0" w:leftChars="0" w:firstLine="480"/>
              <w:textAlignment w:val="auto"/>
              <w:rPr>
                <w:color w:val="auto"/>
                <w:kern w:val="24"/>
                <w:sz w:val="24"/>
                <w:highlight w:val="none"/>
              </w:rPr>
            </w:pPr>
            <w:r>
              <w:rPr>
                <w:rFonts w:hint="eastAsia"/>
                <w:color w:val="auto"/>
                <w:kern w:val="24"/>
                <w:sz w:val="24"/>
                <w:highlight w:val="none"/>
              </w:rPr>
              <w:t>项目大气污染物年排放量核算详见下表。</w:t>
            </w:r>
          </w:p>
          <w:p w14:paraId="7B3D821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center"/>
              <w:textAlignment w:val="auto"/>
              <w:rPr>
                <w:b/>
                <w:bCs/>
                <w:color w:val="auto"/>
                <w:kern w:val="24"/>
                <w:sz w:val="24"/>
                <w:szCs w:val="24"/>
                <w:highlight w:val="none"/>
              </w:rPr>
            </w:pPr>
            <w:r>
              <w:rPr>
                <w:rFonts w:hint="eastAsia"/>
                <w:b/>
                <w:bCs/>
                <w:color w:val="auto"/>
                <w:kern w:val="24"/>
                <w:sz w:val="24"/>
                <w:szCs w:val="24"/>
                <w:highlight w:val="none"/>
              </w:rPr>
              <w:t>表 4-5  大气污染物年排放量核算表</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1"/>
              <w:gridCol w:w="2934"/>
              <w:gridCol w:w="2982"/>
            </w:tblGrid>
            <w:tr w14:paraId="2826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656" w:type="pct"/>
                  <w:vAlign w:val="center"/>
                </w:tcPr>
                <w:p w14:paraId="0B9803B3">
                  <w:pPr>
                    <w:pStyle w:val="17"/>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color w:val="auto"/>
                      <w:kern w:val="24"/>
                      <w:szCs w:val="21"/>
                      <w:highlight w:val="none"/>
                    </w:rPr>
                  </w:pPr>
                  <w:r>
                    <w:rPr>
                      <w:color w:val="auto"/>
                      <w:kern w:val="24"/>
                      <w:szCs w:val="21"/>
                      <w:highlight w:val="none"/>
                    </w:rPr>
                    <w:t>序号</w:t>
                  </w:r>
                </w:p>
              </w:tc>
              <w:tc>
                <w:tcPr>
                  <w:tcW w:w="1658" w:type="pct"/>
                  <w:vAlign w:val="center"/>
                </w:tcPr>
                <w:p w14:paraId="46FB7097">
                  <w:pPr>
                    <w:pStyle w:val="17"/>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color w:val="auto"/>
                      <w:kern w:val="24"/>
                      <w:szCs w:val="21"/>
                      <w:highlight w:val="none"/>
                    </w:rPr>
                  </w:pPr>
                  <w:r>
                    <w:rPr>
                      <w:color w:val="auto"/>
                      <w:kern w:val="24"/>
                      <w:szCs w:val="21"/>
                      <w:highlight w:val="none"/>
                    </w:rPr>
                    <w:t>污染物</w:t>
                  </w:r>
                </w:p>
              </w:tc>
              <w:tc>
                <w:tcPr>
                  <w:tcW w:w="1685" w:type="pct"/>
                  <w:vAlign w:val="center"/>
                </w:tcPr>
                <w:p w14:paraId="25E61F01">
                  <w:pPr>
                    <w:pStyle w:val="17"/>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color w:val="auto"/>
                      <w:kern w:val="24"/>
                      <w:szCs w:val="21"/>
                      <w:highlight w:val="none"/>
                    </w:rPr>
                  </w:pPr>
                  <w:r>
                    <w:rPr>
                      <w:color w:val="auto"/>
                      <w:kern w:val="24"/>
                      <w:szCs w:val="21"/>
                      <w:highlight w:val="none"/>
                    </w:rPr>
                    <w:t>年排放量(t/a)</w:t>
                  </w:r>
                </w:p>
              </w:tc>
            </w:tr>
            <w:tr w14:paraId="7F8A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656" w:type="pct"/>
                  <w:vAlign w:val="center"/>
                </w:tcPr>
                <w:p w14:paraId="0724D682">
                  <w:pPr>
                    <w:pStyle w:val="17"/>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color w:val="auto"/>
                      <w:kern w:val="24"/>
                      <w:szCs w:val="21"/>
                      <w:highlight w:val="none"/>
                    </w:rPr>
                  </w:pPr>
                  <w:r>
                    <w:rPr>
                      <w:color w:val="auto"/>
                      <w:kern w:val="24"/>
                      <w:szCs w:val="21"/>
                      <w:highlight w:val="none"/>
                    </w:rPr>
                    <w:t>1</w:t>
                  </w:r>
                </w:p>
              </w:tc>
              <w:tc>
                <w:tcPr>
                  <w:tcW w:w="1658" w:type="pct"/>
                  <w:vAlign w:val="center"/>
                </w:tcPr>
                <w:p w14:paraId="6FA20517">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NH</w:t>
                  </w:r>
                  <w:r>
                    <w:rPr>
                      <w:rFonts w:hint="eastAsia"/>
                      <w:color w:val="auto"/>
                      <w:szCs w:val="21"/>
                      <w:highlight w:val="none"/>
                      <w:vertAlign w:val="subscript"/>
                      <w:lang w:val="en-US" w:eastAsia="zh-CN"/>
                    </w:rPr>
                    <w:t>3</w:t>
                  </w:r>
                </w:p>
              </w:tc>
              <w:tc>
                <w:tcPr>
                  <w:tcW w:w="1685" w:type="pct"/>
                  <w:vAlign w:val="center"/>
                </w:tcPr>
                <w:p w14:paraId="11111698">
                  <w:pPr>
                    <w:keepNext w:val="0"/>
                    <w:keepLines w:val="0"/>
                    <w:pageBreakBefore w:val="0"/>
                    <w:widowControl/>
                    <w:kinsoku/>
                    <w:wordWrap/>
                    <w:overflowPunct/>
                    <w:topLinePunct w:val="0"/>
                    <w:autoSpaceDE/>
                    <w:autoSpaceDN/>
                    <w:bidi w:val="0"/>
                    <w:adjustRightInd/>
                    <w:snapToGrid/>
                    <w:ind w:left="0" w:left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0.098</w:t>
                  </w:r>
                </w:p>
              </w:tc>
            </w:tr>
            <w:tr w14:paraId="0B1D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656" w:type="pct"/>
                  <w:vAlign w:val="center"/>
                </w:tcPr>
                <w:p w14:paraId="67581B69">
                  <w:pPr>
                    <w:pStyle w:val="17"/>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color w:val="auto"/>
                      <w:kern w:val="24"/>
                      <w:szCs w:val="21"/>
                      <w:highlight w:val="none"/>
                    </w:rPr>
                  </w:pPr>
                  <w:r>
                    <w:rPr>
                      <w:rFonts w:hint="eastAsia"/>
                      <w:color w:val="auto"/>
                      <w:kern w:val="24"/>
                      <w:szCs w:val="21"/>
                      <w:highlight w:val="none"/>
                    </w:rPr>
                    <w:t>2</w:t>
                  </w:r>
                </w:p>
              </w:tc>
              <w:tc>
                <w:tcPr>
                  <w:tcW w:w="1658" w:type="pct"/>
                  <w:vAlign w:val="center"/>
                </w:tcPr>
                <w:p w14:paraId="6A620DDB">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H</w:t>
                  </w:r>
                  <w:r>
                    <w:rPr>
                      <w:rFonts w:hint="eastAsia"/>
                      <w:color w:val="auto"/>
                      <w:szCs w:val="21"/>
                      <w:highlight w:val="none"/>
                      <w:vertAlign w:val="subscript"/>
                      <w:lang w:val="en-US" w:eastAsia="zh-CN"/>
                    </w:rPr>
                    <w:t>2</w:t>
                  </w:r>
                  <w:r>
                    <w:rPr>
                      <w:rFonts w:hint="eastAsia"/>
                      <w:color w:val="auto"/>
                      <w:szCs w:val="21"/>
                      <w:highlight w:val="none"/>
                      <w:lang w:val="en-US" w:eastAsia="zh-CN"/>
                    </w:rPr>
                    <w:t>S</w:t>
                  </w:r>
                </w:p>
              </w:tc>
              <w:tc>
                <w:tcPr>
                  <w:tcW w:w="1685" w:type="pct"/>
                  <w:vAlign w:val="center"/>
                </w:tcPr>
                <w:p w14:paraId="5F6D16C5">
                  <w:pPr>
                    <w:keepNext w:val="0"/>
                    <w:keepLines w:val="0"/>
                    <w:pageBreakBefore w:val="0"/>
                    <w:widowControl/>
                    <w:kinsoku/>
                    <w:wordWrap/>
                    <w:overflowPunct/>
                    <w:topLinePunct w:val="0"/>
                    <w:autoSpaceDE/>
                    <w:autoSpaceDN/>
                    <w:bidi w:val="0"/>
                    <w:adjustRightInd/>
                    <w:snapToGrid/>
                    <w:ind w:left="0" w:leftChars="0"/>
                    <w:jc w:val="center"/>
                    <w:textAlignment w:val="auto"/>
                    <w:rPr>
                      <w:rFonts w:hint="default" w:eastAsia="宋体"/>
                      <w:color w:val="auto"/>
                      <w:kern w:val="24"/>
                      <w:szCs w:val="21"/>
                      <w:highlight w:val="none"/>
                      <w:lang w:val="en-US" w:eastAsia="zh-CN"/>
                    </w:rPr>
                  </w:pPr>
                  <w:r>
                    <w:rPr>
                      <w:rFonts w:hint="eastAsia"/>
                      <w:color w:val="auto"/>
                      <w:kern w:val="24"/>
                      <w:szCs w:val="21"/>
                      <w:highlight w:val="none"/>
                      <w:lang w:val="en-US" w:eastAsia="zh-CN"/>
                    </w:rPr>
                    <w:t>0.0033</w:t>
                  </w:r>
                </w:p>
              </w:tc>
            </w:tr>
            <w:tr w14:paraId="238F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656" w:type="pct"/>
                  <w:vAlign w:val="center"/>
                </w:tcPr>
                <w:p w14:paraId="1F8B645B">
                  <w:pPr>
                    <w:pStyle w:val="17"/>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kern w:val="24"/>
                      <w:szCs w:val="21"/>
                      <w:highlight w:val="none"/>
                      <w:lang w:val="en-US" w:eastAsia="zh-CN"/>
                    </w:rPr>
                  </w:pPr>
                  <w:r>
                    <w:rPr>
                      <w:rFonts w:hint="eastAsia"/>
                      <w:color w:val="auto"/>
                      <w:kern w:val="24"/>
                      <w:szCs w:val="21"/>
                      <w:highlight w:val="none"/>
                      <w:lang w:val="en-US" w:eastAsia="zh-CN"/>
                    </w:rPr>
                    <w:t>3</w:t>
                  </w:r>
                </w:p>
              </w:tc>
              <w:tc>
                <w:tcPr>
                  <w:tcW w:w="1658" w:type="pct"/>
                  <w:vAlign w:val="center"/>
                </w:tcPr>
                <w:p w14:paraId="71A8640A">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Cs w:val="21"/>
                      <w:highlight w:val="none"/>
                      <w:lang w:val="en-US" w:eastAsia="zh-CN"/>
                    </w:rPr>
                  </w:pPr>
                  <w:r>
                    <w:rPr>
                      <w:rFonts w:hint="eastAsia"/>
                      <w:color w:val="auto"/>
                      <w:szCs w:val="21"/>
                      <w:highlight w:val="none"/>
                      <w:lang w:val="en-US" w:eastAsia="zh-CN"/>
                    </w:rPr>
                    <w:t>颗粒物</w:t>
                  </w:r>
                </w:p>
              </w:tc>
              <w:tc>
                <w:tcPr>
                  <w:tcW w:w="1685" w:type="pct"/>
                  <w:vAlign w:val="center"/>
                </w:tcPr>
                <w:p w14:paraId="0EC61291">
                  <w:pPr>
                    <w:keepNext w:val="0"/>
                    <w:keepLines w:val="0"/>
                    <w:pageBreakBefore w:val="0"/>
                    <w:widowControl/>
                    <w:kinsoku/>
                    <w:wordWrap/>
                    <w:overflowPunct/>
                    <w:topLinePunct w:val="0"/>
                    <w:autoSpaceDE/>
                    <w:autoSpaceDN/>
                    <w:bidi w:val="0"/>
                    <w:adjustRightInd/>
                    <w:snapToGrid/>
                    <w:ind w:left="0" w:leftChars="0"/>
                    <w:jc w:val="center"/>
                    <w:textAlignment w:val="auto"/>
                    <w:rPr>
                      <w:rFonts w:hint="default"/>
                      <w:color w:val="auto"/>
                      <w:kern w:val="24"/>
                      <w:szCs w:val="21"/>
                      <w:highlight w:val="none"/>
                      <w:lang w:val="en-US" w:eastAsia="zh-CN"/>
                    </w:rPr>
                  </w:pPr>
                  <w:r>
                    <w:rPr>
                      <w:rFonts w:hint="eastAsia"/>
                      <w:color w:val="auto"/>
                      <w:kern w:val="24"/>
                      <w:szCs w:val="21"/>
                      <w:highlight w:val="none"/>
                      <w:lang w:val="en-US" w:eastAsia="zh-CN"/>
                    </w:rPr>
                    <w:t>0.058</w:t>
                  </w:r>
                </w:p>
              </w:tc>
            </w:tr>
          </w:tbl>
          <w:p w14:paraId="047713FF">
            <w:pPr>
              <w:adjustRightInd w:val="0"/>
              <w:snapToGrid w:val="0"/>
              <w:spacing w:line="360" w:lineRule="auto"/>
              <w:ind w:firstLine="482" w:firstLineChars="200"/>
              <w:rPr>
                <w:rFonts w:hint="eastAsia" w:ascii="Times New Roman" w:hAnsi="Times New Roman" w:eastAsia="宋体" w:cs="Times New Roman"/>
                <w:b/>
                <w:bCs/>
                <w:color w:val="auto"/>
                <w:kern w:val="0"/>
                <w:sz w:val="24"/>
                <w:szCs w:val="21"/>
                <w:highlight w:val="none"/>
                <w:lang w:val="en-US" w:eastAsia="zh-CN" w:bidi="ar-SA"/>
              </w:rPr>
            </w:pPr>
            <w:r>
              <w:rPr>
                <w:rFonts w:hint="default" w:ascii="Times New Roman" w:hAnsi="Times New Roman" w:cs="Times New Roman"/>
                <w:b/>
                <w:bCs/>
                <w:color w:val="auto"/>
                <w:kern w:val="24"/>
                <w:sz w:val="24"/>
                <w:highlight w:val="none"/>
                <w:lang w:eastAsia="zh-CN"/>
              </w:rPr>
              <w:t>（</w:t>
            </w:r>
            <w:r>
              <w:rPr>
                <w:rFonts w:hint="default" w:ascii="Times New Roman" w:hAnsi="Times New Roman" w:cs="Times New Roman"/>
                <w:b/>
                <w:bCs/>
                <w:color w:val="auto"/>
                <w:kern w:val="24"/>
                <w:sz w:val="24"/>
                <w:highlight w:val="none"/>
                <w:lang w:val="en-US" w:eastAsia="zh-CN"/>
              </w:rPr>
              <w:t>1</w:t>
            </w:r>
            <w:r>
              <w:rPr>
                <w:rFonts w:hint="default" w:ascii="Times New Roman" w:hAnsi="Times New Roman" w:cs="Times New Roman"/>
                <w:b/>
                <w:bCs/>
                <w:color w:val="auto"/>
                <w:kern w:val="24"/>
                <w:sz w:val="24"/>
                <w:highlight w:val="none"/>
                <w:lang w:eastAsia="zh-CN"/>
              </w:rPr>
              <w:t>）</w:t>
            </w:r>
            <w:r>
              <w:rPr>
                <w:rFonts w:hint="eastAsia" w:cs="Times New Roman"/>
                <w:b/>
                <w:bCs/>
                <w:color w:val="auto"/>
                <w:kern w:val="24"/>
                <w:sz w:val="24"/>
                <w:highlight w:val="none"/>
                <w:lang w:val="en-US" w:eastAsia="zh-CN"/>
              </w:rPr>
              <w:t>全量化处理站</w:t>
            </w:r>
            <w:r>
              <w:rPr>
                <w:rFonts w:hint="eastAsia" w:cs="Times New Roman"/>
                <w:b/>
                <w:bCs/>
                <w:color w:val="auto"/>
                <w:kern w:val="0"/>
                <w:sz w:val="24"/>
                <w:szCs w:val="21"/>
                <w:highlight w:val="none"/>
                <w:lang w:val="en-US" w:eastAsia="zh-CN" w:bidi="ar-SA"/>
              </w:rPr>
              <w:t>恶臭</w:t>
            </w:r>
          </w:p>
          <w:p w14:paraId="5A3BCB0D">
            <w:pPr>
              <w:adjustRightInd w:val="0"/>
              <w:snapToGrid w:val="0"/>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1）恶臭产生量</w:t>
            </w:r>
          </w:p>
          <w:p w14:paraId="6B1AE139">
            <w:pPr>
              <w:pStyle w:val="26"/>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sz w:val="24"/>
                <w:szCs w:val="24"/>
                <w:highlight w:val="none"/>
              </w:rPr>
            </w:pPr>
            <w:r>
              <w:rPr>
                <w:rFonts w:hint="eastAsia" w:ascii="Times New Roman" w:hAnsi="Times New Roman" w:cs="Times New Roman"/>
                <w:color w:val="auto"/>
                <w:sz w:val="24"/>
                <w:szCs w:val="24"/>
                <w:highlight w:val="none"/>
                <w:lang w:val="en-US" w:eastAsia="zh-CN"/>
              </w:rPr>
              <w:t>在污水处理运行过程中，由于伴随微生物、原生动物、菌绞团等生物的新陈代谢而产生恶臭污染物，主要成分为H</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S、NH</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lang w:val="en-US" w:eastAsia="zh-CN"/>
              </w:rPr>
              <w:t>，还有甲硫醇、甲基硫、甲基化二硫、三甲胺、苯乙烯乙醛等物质</w:t>
            </w:r>
            <w:r>
              <w:rPr>
                <w:rFonts w:hint="eastAsia" w:cs="Times New Roman"/>
                <w:color w:val="auto"/>
                <w:sz w:val="24"/>
                <w:szCs w:val="24"/>
                <w:highlight w:val="none"/>
                <w:lang w:val="en-US" w:eastAsia="zh-CN"/>
              </w:rPr>
              <w:t>。本项目全量化处理站</w:t>
            </w:r>
            <w:r>
              <w:rPr>
                <w:rFonts w:hint="eastAsia" w:cs="Times New Roman"/>
                <w:color w:val="auto"/>
                <w:sz w:val="24"/>
                <w:szCs w:val="24"/>
                <w:highlight w:val="none"/>
                <w:lang w:eastAsia="zh-CN"/>
              </w:rPr>
              <w:t>产生的恶臭主要来自</w:t>
            </w:r>
            <w:r>
              <w:rPr>
                <w:rFonts w:hint="eastAsia" w:ascii="Times New Roman" w:hAnsi="Times New Roman" w:cs="Times New Roman"/>
                <w:color w:val="auto"/>
                <w:sz w:val="24"/>
                <w:szCs w:val="24"/>
                <w:highlight w:val="none"/>
                <w:lang w:val="en-US" w:eastAsia="zh-CN"/>
              </w:rPr>
              <w:t>调节池、原水储罐、各处理单元、蒸发母液储存罐</w:t>
            </w:r>
            <w:r>
              <w:rPr>
                <w:rFonts w:hint="default" w:ascii="Times New Roman" w:hAnsi="Times New Roman" w:cs="Times New Roman"/>
                <w:b w:val="0"/>
                <w:bCs/>
                <w:color w:val="auto"/>
                <w:sz w:val="24"/>
                <w:szCs w:val="24"/>
                <w:highlight w:val="none"/>
              </w:rPr>
              <w:t>。</w:t>
            </w:r>
          </w:p>
          <w:p w14:paraId="7616C8C4">
            <w:pPr>
              <w:spacing w:line="360" w:lineRule="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参照</w:t>
            </w:r>
            <w:r>
              <w:rPr>
                <w:rFonts w:hint="eastAsia" w:ascii="Times New Roman" w:hAnsi="Times New Roman" w:eastAsia="宋体" w:cs="Times New Roman"/>
                <w:color w:val="auto"/>
                <w:sz w:val="24"/>
                <w:szCs w:val="24"/>
                <w:highlight w:val="none"/>
                <w:lang w:eastAsia="zh-CN"/>
              </w:rPr>
              <w:t>美国EPA对城市污水处理厂恶臭污染物产生情况的研究:每处理1gBOD</w:t>
            </w:r>
            <w:r>
              <w:rPr>
                <w:rFonts w:hint="eastAsia"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eastAsia="zh-CN"/>
              </w:rPr>
              <w:t>可产生NH</w:t>
            </w:r>
            <w:r>
              <w:rPr>
                <w:rFonts w:hint="eastAsia" w:ascii="Times New Roman" w:hAnsi="Times New Roman" w:eastAsia="宋体" w:cs="Times New Roman"/>
                <w:color w:val="auto"/>
                <w:sz w:val="24"/>
                <w:szCs w:val="24"/>
                <w:highlight w:val="none"/>
                <w:vertAlign w:val="subscript"/>
                <w:lang w:eastAsia="zh-CN"/>
              </w:rPr>
              <w:t>3</w:t>
            </w:r>
            <w:r>
              <w:rPr>
                <w:rFonts w:hint="eastAsia" w:ascii="Times New Roman" w:hAnsi="Times New Roman" w:eastAsia="宋体" w:cs="Times New Roman"/>
                <w:color w:val="auto"/>
                <w:sz w:val="24"/>
                <w:szCs w:val="24"/>
                <w:highlight w:val="none"/>
                <w:lang w:eastAsia="zh-CN"/>
              </w:rPr>
              <w:t>:0.0031g、H</w:t>
            </w:r>
            <w:r>
              <w:rPr>
                <w:rFonts w:hint="eastAsia" w:ascii="Times New Roman" w:hAnsi="Times New Roman" w:eastAsia="宋体" w:cs="Times New Roman"/>
                <w:color w:val="auto"/>
                <w:sz w:val="24"/>
                <w:szCs w:val="24"/>
                <w:highlight w:val="none"/>
                <w:vertAlign w:val="subscript"/>
                <w:lang w:eastAsia="zh-CN"/>
              </w:rPr>
              <w:t>2</w:t>
            </w:r>
            <w:r>
              <w:rPr>
                <w:rFonts w:hint="eastAsia" w:ascii="Times New Roman" w:hAnsi="Times New Roman" w:eastAsia="宋体" w:cs="Times New Roman"/>
                <w:color w:val="auto"/>
                <w:sz w:val="24"/>
                <w:szCs w:val="24"/>
                <w:highlight w:val="none"/>
                <w:lang w:eastAsia="zh-CN"/>
              </w:rPr>
              <w:t>S:0.00012g。</w:t>
            </w:r>
            <w:r>
              <w:rPr>
                <w:rFonts w:hint="eastAsia"/>
                <w:color w:val="auto"/>
                <w:sz w:val="24"/>
                <w:highlight w:val="none"/>
              </w:rPr>
              <w:t>根据设计进水水质，本项目BOD</w:t>
            </w:r>
            <w:r>
              <w:rPr>
                <w:rFonts w:hint="eastAsia"/>
                <w:color w:val="auto"/>
                <w:sz w:val="24"/>
                <w:highlight w:val="none"/>
                <w:vertAlign w:val="subscript"/>
              </w:rPr>
              <w:t>5</w:t>
            </w:r>
            <w:r>
              <w:rPr>
                <w:rFonts w:hint="eastAsia"/>
                <w:color w:val="auto"/>
                <w:sz w:val="24"/>
                <w:highlight w:val="none"/>
              </w:rPr>
              <w:t>设计进水浓度12000mg/L，设计出水浓度10mg/L，全量化渗滤液处理站设计处理量50m</w:t>
            </w:r>
            <w:r>
              <w:rPr>
                <w:rFonts w:hint="eastAsia"/>
                <w:color w:val="auto"/>
                <w:sz w:val="24"/>
                <w:highlight w:val="none"/>
                <w:vertAlign w:val="superscript"/>
              </w:rPr>
              <w:t>3</w:t>
            </w:r>
            <w:r>
              <w:rPr>
                <w:rFonts w:hint="eastAsia"/>
                <w:color w:val="auto"/>
                <w:sz w:val="24"/>
                <w:highlight w:val="none"/>
              </w:rPr>
              <w:t>/d，则本项目BOD</w:t>
            </w:r>
            <w:r>
              <w:rPr>
                <w:rFonts w:hint="eastAsia"/>
                <w:color w:val="auto"/>
                <w:sz w:val="24"/>
                <w:highlight w:val="none"/>
                <w:vertAlign w:val="subscript"/>
              </w:rPr>
              <w:t>5</w:t>
            </w:r>
            <w:r>
              <w:rPr>
                <w:rFonts w:hint="eastAsia"/>
                <w:color w:val="auto"/>
                <w:sz w:val="24"/>
                <w:highlight w:val="none"/>
              </w:rPr>
              <w:t>削减量为218.8t/a，则废气产生量为 NH</w:t>
            </w:r>
            <w:r>
              <w:rPr>
                <w:rFonts w:hint="eastAsia"/>
                <w:color w:val="auto"/>
                <w:sz w:val="24"/>
                <w:highlight w:val="none"/>
                <w:vertAlign w:val="subscript"/>
              </w:rPr>
              <w:t>3</w:t>
            </w:r>
            <w:r>
              <w:rPr>
                <w:rFonts w:hint="eastAsia"/>
                <w:color w:val="auto"/>
                <w:sz w:val="24"/>
                <w:highlight w:val="none"/>
              </w:rPr>
              <w:t>:0.678t/a、H</w:t>
            </w:r>
            <w:r>
              <w:rPr>
                <w:rFonts w:hint="eastAsia"/>
                <w:color w:val="auto"/>
                <w:sz w:val="24"/>
                <w:highlight w:val="none"/>
                <w:vertAlign w:val="subscript"/>
              </w:rPr>
              <w:t>2</w:t>
            </w:r>
            <w:r>
              <w:rPr>
                <w:rFonts w:hint="eastAsia"/>
                <w:color w:val="auto"/>
                <w:sz w:val="24"/>
                <w:highlight w:val="none"/>
              </w:rPr>
              <w:t>S:0.026t/a。</w:t>
            </w:r>
          </w:p>
          <w:p w14:paraId="7A941D2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2）措施</w:t>
            </w:r>
          </w:p>
          <w:p w14:paraId="01C970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为减少项目全量化处理站恶臭的排放，本项目现有的调节池池体为密闭式、池体加盖，拟建的全量化处理站置于室内，二级DTRO处理后的清水设置脱气塔去除垃圾渗滤液中的溶解性气体（H</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S、NH</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lang w:val="en-US" w:eastAsia="zh-CN"/>
              </w:rPr>
              <w:t>等），同时拟对各污水处理单元产生的恶臭采用负压管道收集，统一通过一套化学洗涤塔进行除臭处理，之后通过15m高排气筒外排。考虑项目调节池进行加盖收集，原水收集罐、两级DTRO系统</w:t>
            </w:r>
            <w:r>
              <w:rPr>
                <w:rFonts w:hint="eastAsia" w:ascii="Times New Roman" w:hAnsi="Times New Roman" w:cs="Times New Roman"/>
                <w:color w:val="auto"/>
                <w:sz w:val="24"/>
                <w:szCs w:val="24"/>
                <w:highlight w:val="none"/>
                <w:lang w:val="en-US" w:eastAsia="zh-CN"/>
              </w:rPr>
              <w:t>、蒸发母液储存罐</w:t>
            </w:r>
            <w:r>
              <w:rPr>
                <w:rFonts w:hint="eastAsia" w:cs="Times New Roman"/>
                <w:color w:val="auto"/>
                <w:sz w:val="24"/>
                <w:szCs w:val="24"/>
                <w:highlight w:val="none"/>
                <w:lang w:val="en-US" w:eastAsia="zh-CN"/>
              </w:rPr>
              <w:t>均位于封闭场所内，本项目管道收集效率按照95%计。本项目设计采用化学洗涤法进行除臭（洗涤剂碱液NaOH），对NH</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lang w:val="en-US" w:eastAsia="zh-CN"/>
              </w:rPr>
              <w:t>和H</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S的去除效率可达90%。</w:t>
            </w:r>
          </w:p>
          <w:p w14:paraId="36D295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rPr>
              <w:t>综上所述，</w:t>
            </w:r>
            <w:r>
              <w:rPr>
                <w:rFonts w:hint="eastAsia"/>
                <w:color w:val="auto"/>
                <w:sz w:val="24"/>
                <w:szCs w:val="24"/>
                <w:highlight w:val="none"/>
                <w:lang w:eastAsia="zh-CN"/>
              </w:rPr>
              <w:t>本项目恶臭</w:t>
            </w:r>
            <w:r>
              <w:rPr>
                <w:color w:val="auto"/>
                <w:sz w:val="24"/>
                <w:szCs w:val="24"/>
                <w:highlight w:val="none"/>
              </w:rPr>
              <w:t>排放情况如下表所示。</w:t>
            </w:r>
          </w:p>
          <w:p w14:paraId="6F812C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baseline"/>
              <w:rPr>
                <w:b/>
                <w:bCs/>
                <w:color w:val="auto"/>
                <w:kern w:val="0"/>
                <w:sz w:val="24"/>
                <w:szCs w:val="24"/>
                <w:highlight w:val="none"/>
              </w:rPr>
            </w:pPr>
            <w:r>
              <w:rPr>
                <w:rFonts w:hint="eastAsia" w:cs="Times New Roman"/>
                <w:b/>
                <w:bCs/>
                <w:color w:val="auto"/>
                <w:sz w:val="24"/>
                <w:szCs w:val="24"/>
                <w:highlight w:val="none"/>
                <w:lang w:val="en-US" w:eastAsia="zh-CN"/>
              </w:rPr>
              <w:t>表4-6  全量化处理站</w:t>
            </w:r>
            <w:r>
              <w:rPr>
                <w:rFonts w:hint="eastAsia"/>
                <w:b/>
                <w:bCs/>
                <w:color w:val="auto"/>
                <w:kern w:val="0"/>
                <w:sz w:val="24"/>
                <w:szCs w:val="24"/>
                <w:highlight w:val="none"/>
                <w:lang w:val="zh-CN"/>
              </w:rPr>
              <w:t>NH</w:t>
            </w:r>
            <w:r>
              <w:rPr>
                <w:rFonts w:hint="eastAsia"/>
                <w:b/>
                <w:bCs/>
                <w:color w:val="auto"/>
                <w:kern w:val="0"/>
                <w:sz w:val="24"/>
                <w:szCs w:val="24"/>
                <w:highlight w:val="none"/>
                <w:vertAlign w:val="subscript"/>
                <w:lang w:val="zh-CN"/>
              </w:rPr>
              <w:t>3</w:t>
            </w:r>
            <w:r>
              <w:rPr>
                <w:rFonts w:hint="eastAsia"/>
                <w:b/>
                <w:bCs/>
                <w:color w:val="auto"/>
                <w:kern w:val="0"/>
                <w:sz w:val="24"/>
                <w:szCs w:val="24"/>
                <w:highlight w:val="none"/>
                <w:lang w:val="zh-CN"/>
              </w:rPr>
              <w:t>和H</w:t>
            </w:r>
            <w:r>
              <w:rPr>
                <w:rFonts w:hint="eastAsia"/>
                <w:b/>
                <w:bCs/>
                <w:color w:val="auto"/>
                <w:kern w:val="0"/>
                <w:sz w:val="24"/>
                <w:szCs w:val="24"/>
                <w:highlight w:val="none"/>
                <w:vertAlign w:val="subscript"/>
                <w:lang w:val="zh-CN"/>
              </w:rPr>
              <w:t>2</w:t>
            </w:r>
            <w:r>
              <w:rPr>
                <w:rFonts w:hint="eastAsia"/>
                <w:b/>
                <w:bCs/>
                <w:color w:val="auto"/>
                <w:kern w:val="0"/>
                <w:sz w:val="24"/>
                <w:szCs w:val="24"/>
                <w:highlight w:val="none"/>
                <w:lang w:val="zh-CN"/>
              </w:rPr>
              <w:t>S产排情况一览表</w:t>
            </w:r>
          </w:p>
          <w:tbl>
            <w:tblPr>
              <w:tblStyle w:val="30"/>
              <w:tblW w:w="494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35"/>
              <w:gridCol w:w="774"/>
              <w:gridCol w:w="1507"/>
              <w:gridCol w:w="805"/>
              <w:gridCol w:w="1289"/>
              <w:gridCol w:w="753"/>
              <w:gridCol w:w="713"/>
              <w:gridCol w:w="698"/>
              <w:gridCol w:w="785"/>
            </w:tblGrid>
            <w:tr w14:paraId="7F34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restart"/>
                  <w:tcBorders>
                    <w:tl2br w:val="nil"/>
                    <w:tr2bl w:val="nil"/>
                  </w:tcBorders>
                  <w:noWrap w:val="0"/>
                  <w:vAlign w:val="center"/>
                </w:tcPr>
                <w:p w14:paraId="76D7DA62">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rPr>
                    <w:t>名称</w:t>
                  </w:r>
                </w:p>
              </w:tc>
              <w:tc>
                <w:tcPr>
                  <w:tcW w:w="861" w:type="pct"/>
                  <w:gridSpan w:val="2"/>
                  <w:tcBorders>
                    <w:tl2br w:val="nil"/>
                    <w:tr2bl w:val="nil"/>
                  </w:tcBorders>
                  <w:noWrap w:val="0"/>
                  <w:vAlign w:val="center"/>
                </w:tcPr>
                <w:p w14:paraId="7DDCC6C5">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rPr>
                    <w:t>产生量</w:t>
                  </w:r>
                </w:p>
              </w:tc>
              <w:tc>
                <w:tcPr>
                  <w:tcW w:w="860" w:type="pct"/>
                  <w:vMerge w:val="restart"/>
                  <w:tcBorders>
                    <w:tl2br w:val="nil"/>
                    <w:tr2bl w:val="nil"/>
                  </w:tcBorders>
                  <w:noWrap w:val="0"/>
                  <w:vAlign w:val="center"/>
                </w:tcPr>
                <w:p w14:paraId="0C776926">
                  <w:pPr>
                    <w:adjustRightInd w:val="0"/>
                    <w:snapToGrid w:val="0"/>
                    <w:spacing w:line="240" w:lineRule="auto"/>
                    <w:ind w:firstLine="0" w:firstLineChars="0"/>
                    <w:jc w:val="center"/>
                    <w:textAlignment w:val="center"/>
                    <w:rPr>
                      <w:rFonts w:hint="eastAsia" w:eastAsia="宋体"/>
                      <w:color w:val="auto"/>
                      <w:sz w:val="21"/>
                      <w:highlight w:val="none"/>
                      <w:lang w:eastAsia="zh-CN"/>
                    </w:rPr>
                  </w:pPr>
                  <w:r>
                    <w:rPr>
                      <w:rFonts w:hint="eastAsia"/>
                      <w:color w:val="auto"/>
                      <w:sz w:val="21"/>
                      <w:highlight w:val="none"/>
                      <w:lang w:eastAsia="zh-CN"/>
                    </w:rPr>
                    <w:t>收集措施</w:t>
                  </w:r>
                </w:p>
              </w:tc>
              <w:tc>
                <w:tcPr>
                  <w:tcW w:w="459" w:type="pct"/>
                  <w:vMerge w:val="restart"/>
                  <w:tcBorders>
                    <w:tl2br w:val="nil"/>
                    <w:tr2bl w:val="nil"/>
                  </w:tcBorders>
                  <w:noWrap w:val="0"/>
                  <w:vAlign w:val="center"/>
                </w:tcPr>
                <w:p w14:paraId="7B6AA68C">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lang w:eastAsia="zh-CN"/>
                    </w:rPr>
                    <w:t>收集</w:t>
                  </w:r>
                  <w:r>
                    <w:rPr>
                      <w:rFonts w:hint="eastAsia"/>
                      <w:color w:val="auto"/>
                      <w:sz w:val="21"/>
                      <w:highlight w:val="none"/>
                    </w:rPr>
                    <w:t>效率</w:t>
                  </w:r>
                </w:p>
              </w:tc>
              <w:tc>
                <w:tcPr>
                  <w:tcW w:w="735" w:type="pct"/>
                  <w:vMerge w:val="restart"/>
                  <w:tcBorders>
                    <w:tl2br w:val="nil"/>
                    <w:tr2bl w:val="nil"/>
                  </w:tcBorders>
                  <w:noWrap w:val="0"/>
                  <w:vAlign w:val="center"/>
                </w:tcPr>
                <w:p w14:paraId="2E1F49B0">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rPr>
                    <w:t>处理措施</w:t>
                  </w:r>
                </w:p>
              </w:tc>
              <w:tc>
                <w:tcPr>
                  <w:tcW w:w="429" w:type="pct"/>
                  <w:vMerge w:val="restart"/>
                  <w:tcBorders>
                    <w:tl2br w:val="nil"/>
                    <w:tr2bl w:val="nil"/>
                  </w:tcBorders>
                  <w:noWrap w:val="0"/>
                  <w:vAlign w:val="center"/>
                </w:tcPr>
                <w:p w14:paraId="40DCD683">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rPr>
                    <w:t>去除效率</w:t>
                  </w:r>
                </w:p>
              </w:tc>
              <w:tc>
                <w:tcPr>
                  <w:tcW w:w="805" w:type="pct"/>
                  <w:gridSpan w:val="2"/>
                  <w:tcBorders>
                    <w:tl2br w:val="nil"/>
                    <w:tr2bl w:val="nil"/>
                  </w:tcBorders>
                  <w:noWrap w:val="0"/>
                  <w:vAlign w:val="center"/>
                </w:tcPr>
                <w:p w14:paraId="58D3A349">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rPr>
                    <w:t>排放量</w:t>
                  </w:r>
                </w:p>
              </w:tc>
              <w:tc>
                <w:tcPr>
                  <w:tcW w:w="448" w:type="pct"/>
                  <w:tcBorders>
                    <w:tl2br w:val="nil"/>
                    <w:tr2bl w:val="nil"/>
                  </w:tcBorders>
                  <w:noWrap w:val="0"/>
                  <w:vAlign w:val="center"/>
                </w:tcPr>
                <w:p w14:paraId="48A95C8B">
                  <w:pPr>
                    <w:adjustRightInd w:val="0"/>
                    <w:snapToGrid w:val="0"/>
                    <w:spacing w:line="240" w:lineRule="auto"/>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排放浓度</w:t>
                  </w:r>
                </w:p>
              </w:tc>
            </w:tr>
            <w:tr w14:paraId="2CEC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tcBorders>
                    <w:tl2br w:val="nil"/>
                    <w:tr2bl w:val="nil"/>
                  </w:tcBorders>
                  <w:noWrap w:val="0"/>
                  <w:vAlign w:val="center"/>
                </w:tcPr>
                <w:p w14:paraId="16270724">
                  <w:pPr>
                    <w:adjustRightInd w:val="0"/>
                    <w:snapToGrid w:val="0"/>
                    <w:spacing w:line="240" w:lineRule="auto"/>
                    <w:ind w:firstLine="0" w:firstLineChars="0"/>
                    <w:jc w:val="center"/>
                    <w:textAlignment w:val="center"/>
                    <w:rPr>
                      <w:color w:val="auto"/>
                      <w:sz w:val="21"/>
                      <w:highlight w:val="none"/>
                    </w:rPr>
                  </w:pPr>
                </w:p>
              </w:tc>
              <w:tc>
                <w:tcPr>
                  <w:tcW w:w="419" w:type="pct"/>
                  <w:tcBorders>
                    <w:tl2br w:val="nil"/>
                    <w:tr2bl w:val="nil"/>
                  </w:tcBorders>
                  <w:noWrap w:val="0"/>
                  <w:vAlign w:val="center"/>
                </w:tcPr>
                <w:p w14:paraId="53D9DB9D">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rPr>
                    <w:t>kg/</w:t>
                  </w:r>
                  <w:r>
                    <w:rPr>
                      <w:rFonts w:hint="eastAsia"/>
                      <w:color w:val="auto"/>
                      <w:sz w:val="21"/>
                      <w:highlight w:val="none"/>
                      <w:lang w:val="en-US" w:eastAsia="zh-CN"/>
                    </w:rPr>
                    <w:t>h</w:t>
                  </w:r>
                </w:p>
              </w:tc>
              <w:tc>
                <w:tcPr>
                  <w:tcW w:w="441" w:type="pct"/>
                  <w:tcBorders>
                    <w:tl2br w:val="nil"/>
                    <w:tr2bl w:val="nil"/>
                  </w:tcBorders>
                  <w:noWrap w:val="0"/>
                  <w:vAlign w:val="center"/>
                </w:tcPr>
                <w:p w14:paraId="3699E142">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rPr>
                    <w:t>t/a</w:t>
                  </w:r>
                </w:p>
              </w:tc>
              <w:tc>
                <w:tcPr>
                  <w:tcW w:w="860" w:type="pct"/>
                  <w:vMerge w:val="continue"/>
                  <w:tcBorders>
                    <w:tl2br w:val="nil"/>
                    <w:tr2bl w:val="nil"/>
                  </w:tcBorders>
                  <w:noWrap w:val="0"/>
                  <w:vAlign w:val="center"/>
                </w:tcPr>
                <w:p w14:paraId="6C814434">
                  <w:pPr>
                    <w:adjustRightInd w:val="0"/>
                    <w:snapToGrid w:val="0"/>
                    <w:spacing w:line="240" w:lineRule="auto"/>
                    <w:ind w:firstLine="0" w:firstLineChars="0"/>
                    <w:jc w:val="center"/>
                    <w:textAlignment w:val="center"/>
                    <w:rPr>
                      <w:color w:val="auto"/>
                      <w:sz w:val="21"/>
                      <w:highlight w:val="none"/>
                    </w:rPr>
                  </w:pPr>
                </w:p>
              </w:tc>
              <w:tc>
                <w:tcPr>
                  <w:tcW w:w="459" w:type="pct"/>
                  <w:vMerge w:val="continue"/>
                  <w:tcBorders>
                    <w:tl2br w:val="nil"/>
                    <w:tr2bl w:val="nil"/>
                  </w:tcBorders>
                  <w:noWrap w:val="0"/>
                  <w:vAlign w:val="center"/>
                </w:tcPr>
                <w:p w14:paraId="6C62DF14">
                  <w:pPr>
                    <w:adjustRightInd w:val="0"/>
                    <w:snapToGrid w:val="0"/>
                    <w:spacing w:line="240" w:lineRule="auto"/>
                    <w:ind w:firstLine="0" w:firstLineChars="0"/>
                    <w:jc w:val="center"/>
                    <w:textAlignment w:val="center"/>
                    <w:rPr>
                      <w:color w:val="auto"/>
                      <w:sz w:val="21"/>
                      <w:highlight w:val="none"/>
                    </w:rPr>
                  </w:pPr>
                </w:p>
              </w:tc>
              <w:tc>
                <w:tcPr>
                  <w:tcW w:w="735" w:type="pct"/>
                  <w:vMerge w:val="continue"/>
                  <w:tcBorders>
                    <w:tl2br w:val="nil"/>
                    <w:tr2bl w:val="nil"/>
                  </w:tcBorders>
                  <w:noWrap w:val="0"/>
                  <w:vAlign w:val="center"/>
                </w:tcPr>
                <w:p w14:paraId="701D6AB0">
                  <w:pPr>
                    <w:adjustRightInd w:val="0"/>
                    <w:snapToGrid w:val="0"/>
                    <w:spacing w:line="240" w:lineRule="auto"/>
                    <w:ind w:firstLine="0" w:firstLineChars="0"/>
                    <w:jc w:val="center"/>
                    <w:textAlignment w:val="center"/>
                    <w:rPr>
                      <w:color w:val="auto"/>
                      <w:sz w:val="21"/>
                      <w:highlight w:val="none"/>
                    </w:rPr>
                  </w:pPr>
                </w:p>
              </w:tc>
              <w:tc>
                <w:tcPr>
                  <w:tcW w:w="429" w:type="pct"/>
                  <w:vMerge w:val="continue"/>
                  <w:tcBorders>
                    <w:tl2br w:val="nil"/>
                    <w:tr2bl w:val="nil"/>
                  </w:tcBorders>
                  <w:noWrap w:val="0"/>
                  <w:vAlign w:val="center"/>
                </w:tcPr>
                <w:p w14:paraId="248F135D">
                  <w:pPr>
                    <w:adjustRightInd w:val="0"/>
                    <w:snapToGrid w:val="0"/>
                    <w:spacing w:line="240" w:lineRule="auto"/>
                    <w:ind w:firstLine="0" w:firstLineChars="0"/>
                    <w:jc w:val="center"/>
                    <w:textAlignment w:val="center"/>
                    <w:rPr>
                      <w:color w:val="auto"/>
                      <w:sz w:val="21"/>
                      <w:highlight w:val="none"/>
                    </w:rPr>
                  </w:pPr>
                </w:p>
              </w:tc>
              <w:tc>
                <w:tcPr>
                  <w:tcW w:w="407" w:type="pct"/>
                  <w:tcBorders>
                    <w:tl2br w:val="nil"/>
                    <w:tr2bl w:val="nil"/>
                  </w:tcBorders>
                  <w:noWrap w:val="0"/>
                  <w:vAlign w:val="center"/>
                </w:tcPr>
                <w:p w14:paraId="2E218549">
                  <w:pPr>
                    <w:adjustRightInd w:val="0"/>
                    <w:snapToGrid w:val="0"/>
                    <w:spacing w:line="240" w:lineRule="auto"/>
                    <w:ind w:firstLine="0" w:firstLineChars="0"/>
                    <w:jc w:val="center"/>
                    <w:textAlignment w:val="center"/>
                    <w:rPr>
                      <w:rFonts w:hint="eastAsia" w:eastAsia="宋体"/>
                      <w:color w:val="auto"/>
                      <w:sz w:val="21"/>
                      <w:highlight w:val="none"/>
                      <w:lang w:eastAsia="zh-CN"/>
                    </w:rPr>
                  </w:pPr>
                  <w:r>
                    <w:rPr>
                      <w:rFonts w:hint="eastAsia"/>
                      <w:color w:val="auto"/>
                      <w:sz w:val="21"/>
                      <w:highlight w:val="none"/>
                    </w:rPr>
                    <w:t>t/a</w:t>
                  </w:r>
                </w:p>
              </w:tc>
              <w:tc>
                <w:tcPr>
                  <w:tcW w:w="398" w:type="pct"/>
                  <w:tcBorders>
                    <w:tl2br w:val="nil"/>
                    <w:tr2bl w:val="nil"/>
                  </w:tcBorders>
                  <w:noWrap w:val="0"/>
                  <w:vAlign w:val="center"/>
                </w:tcPr>
                <w:p w14:paraId="62E9D80D">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rPr>
                    <w:t>kg/</w:t>
                  </w:r>
                  <w:r>
                    <w:rPr>
                      <w:rFonts w:hint="eastAsia"/>
                      <w:color w:val="auto"/>
                      <w:sz w:val="21"/>
                      <w:highlight w:val="none"/>
                      <w:lang w:val="en-US" w:eastAsia="zh-CN"/>
                    </w:rPr>
                    <w:t>h</w:t>
                  </w:r>
                </w:p>
              </w:tc>
              <w:tc>
                <w:tcPr>
                  <w:tcW w:w="448" w:type="pct"/>
                  <w:tcBorders>
                    <w:tl2br w:val="nil"/>
                    <w:tr2bl w:val="nil"/>
                  </w:tcBorders>
                  <w:noWrap w:val="0"/>
                  <w:vAlign w:val="center"/>
                </w:tcPr>
                <w:p w14:paraId="71572932">
                  <w:pPr>
                    <w:adjustRightInd w:val="0"/>
                    <w:snapToGrid w:val="0"/>
                    <w:spacing w:line="240" w:lineRule="auto"/>
                    <w:ind w:firstLine="0" w:firstLineChars="0"/>
                    <w:jc w:val="center"/>
                    <w:textAlignment w:val="center"/>
                    <w:rPr>
                      <w:rFonts w:hint="eastAsia"/>
                      <w:color w:val="auto"/>
                      <w:sz w:val="21"/>
                      <w:highlight w:val="none"/>
                    </w:rPr>
                  </w:pPr>
                  <w:r>
                    <w:rPr>
                      <w:rFonts w:hint="eastAsia"/>
                      <w:color w:val="auto"/>
                      <w:sz w:val="21"/>
                      <w:szCs w:val="21"/>
                      <w:highlight w:val="none"/>
                    </w:rPr>
                    <w:t>mg</w:t>
                  </w:r>
                  <w:r>
                    <w:rPr>
                      <w:color w:val="auto"/>
                      <w:sz w:val="21"/>
                      <w:szCs w:val="21"/>
                      <w:highlight w:val="none"/>
                    </w:rPr>
                    <w:t>/m</w:t>
                  </w:r>
                  <w:r>
                    <w:rPr>
                      <w:color w:val="auto"/>
                      <w:sz w:val="21"/>
                      <w:szCs w:val="21"/>
                      <w:highlight w:val="none"/>
                      <w:vertAlign w:val="superscript"/>
                    </w:rPr>
                    <w:t>3</w:t>
                  </w:r>
                </w:p>
              </w:tc>
            </w:tr>
            <w:tr w14:paraId="0448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99" w:type="pct"/>
                  <w:tcBorders>
                    <w:tl2br w:val="nil"/>
                    <w:tr2bl w:val="nil"/>
                  </w:tcBorders>
                  <w:noWrap w:val="0"/>
                  <w:vAlign w:val="center"/>
                </w:tcPr>
                <w:p w14:paraId="2708B269">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rPr>
                    <w:t>NH</w:t>
                  </w:r>
                  <w:r>
                    <w:rPr>
                      <w:rFonts w:hint="eastAsia"/>
                      <w:color w:val="auto"/>
                      <w:sz w:val="21"/>
                      <w:highlight w:val="none"/>
                      <w:vertAlign w:val="subscript"/>
                    </w:rPr>
                    <w:t>3</w:t>
                  </w:r>
                </w:p>
              </w:tc>
              <w:tc>
                <w:tcPr>
                  <w:tcW w:w="419" w:type="pct"/>
                  <w:tcBorders>
                    <w:tl2br w:val="nil"/>
                    <w:tr2bl w:val="nil"/>
                  </w:tcBorders>
                  <w:noWrap w:val="0"/>
                  <w:vAlign w:val="center"/>
                </w:tcPr>
                <w:p w14:paraId="26F04F65">
                  <w:pPr>
                    <w:adjustRightInd w:val="0"/>
                    <w:snapToGrid w:val="0"/>
                    <w:spacing w:line="240" w:lineRule="auto"/>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0.077</w:t>
                  </w:r>
                </w:p>
              </w:tc>
              <w:tc>
                <w:tcPr>
                  <w:tcW w:w="441" w:type="pct"/>
                  <w:tcBorders>
                    <w:tl2br w:val="nil"/>
                    <w:tr2bl w:val="nil"/>
                  </w:tcBorders>
                  <w:noWrap w:val="0"/>
                  <w:vAlign w:val="center"/>
                </w:tcPr>
                <w:p w14:paraId="23AD4367">
                  <w:pPr>
                    <w:adjustRightInd w:val="0"/>
                    <w:snapToGrid w:val="0"/>
                    <w:spacing w:line="240" w:lineRule="auto"/>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0.678</w:t>
                  </w:r>
                </w:p>
              </w:tc>
              <w:tc>
                <w:tcPr>
                  <w:tcW w:w="860" w:type="pct"/>
                  <w:vMerge w:val="restart"/>
                  <w:tcBorders>
                    <w:tl2br w:val="nil"/>
                    <w:tr2bl w:val="nil"/>
                  </w:tcBorders>
                  <w:noWrap w:val="0"/>
                  <w:vAlign w:val="center"/>
                </w:tcPr>
                <w:p w14:paraId="373AE06A">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lang w:val="en-US" w:eastAsia="zh-CN"/>
                    </w:rPr>
                    <w:t>调节池</w:t>
                  </w:r>
                  <w:r>
                    <w:rPr>
                      <w:rFonts w:hint="eastAsia"/>
                      <w:color w:val="auto"/>
                      <w:sz w:val="21"/>
                      <w:highlight w:val="none"/>
                      <w:lang w:eastAsia="zh-CN"/>
                    </w:rPr>
                    <w:t>池体加盖、封闭厂房内、管道收集</w:t>
                  </w:r>
                </w:p>
              </w:tc>
              <w:tc>
                <w:tcPr>
                  <w:tcW w:w="459" w:type="pct"/>
                  <w:vMerge w:val="restart"/>
                  <w:tcBorders>
                    <w:tl2br w:val="nil"/>
                    <w:tr2bl w:val="nil"/>
                  </w:tcBorders>
                  <w:noWrap w:val="0"/>
                  <w:vAlign w:val="center"/>
                </w:tcPr>
                <w:p w14:paraId="26187935">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lang w:val="en-US" w:eastAsia="zh-CN"/>
                    </w:rPr>
                    <w:t>95</w:t>
                  </w:r>
                  <w:r>
                    <w:rPr>
                      <w:rFonts w:hint="eastAsia"/>
                      <w:color w:val="auto"/>
                      <w:sz w:val="21"/>
                      <w:highlight w:val="none"/>
                    </w:rPr>
                    <w:t>%</w:t>
                  </w:r>
                </w:p>
              </w:tc>
              <w:tc>
                <w:tcPr>
                  <w:tcW w:w="735" w:type="pct"/>
                  <w:vMerge w:val="restart"/>
                  <w:tcBorders>
                    <w:tl2br w:val="nil"/>
                    <w:tr2bl w:val="nil"/>
                  </w:tcBorders>
                  <w:noWrap w:val="0"/>
                  <w:vAlign w:val="center"/>
                </w:tcPr>
                <w:p w14:paraId="1ABE693F">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lang w:val="en-US" w:eastAsia="zh-CN"/>
                    </w:rPr>
                    <w:t>化学洗涤塔</w:t>
                  </w:r>
                  <w:r>
                    <w:rPr>
                      <w:rFonts w:hint="eastAsia"/>
                      <w:color w:val="auto"/>
                      <w:sz w:val="21"/>
                      <w:highlight w:val="none"/>
                    </w:rPr>
                    <w:t>（风机风量</w:t>
                  </w:r>
                  <w:r>
                    <w:rPr>
                      <w:rFonts w:hint="eastAsia"/>
                      <w:color w:val="auto"/>
                      <w:sz w:val="21"/>
                      <w:highlight w:val="none"/>
                      <w:lang w:val="en-US" w:eastAsia="zh-CN"/>
                    </w:rPr>
                    <w:t>10</w:t>
                  </w:r>
                  <w:r>
                    <w:rPr>
                      <w:color w:val="auto"/>
                      <w:sz w:val="21"/>
                      <w:highlight w:val="none"/>
                    </w:rPr>
                    <w:t>000</w:t>
                  </w:r>
                  <w:r>
                    <w:rPr>
                      <w:rFonts w:hint="eastAsia"/>
                      <w:color w:val="auto"/>
                      <w:sz w:val="21"/>
                      <w:highlight w:val="none"/>
                    </w:rPr>
                    <w:t>m</w:t>
                  </w:r>
                  <w:r>
                    <w:rPr>
                      <w:color w:val="auto"/>
                      <w:sz w:val="21"/>
                      <w:highlight w:val="none"/>
                      <w:vertAlign w:val="superscript"/>
                    </w:rPr>
                    <w:t>3</w:t>
                  </w:r>
                  <w:r>
                    <w:rPr>
                      <w:color w:val="auto"/>
                      <w:sz w:val="21"/>
                      <w:highlight w:val="none"/>
                    </w:rPr>
                    <w:t>/h</w:t>
                  </w:r>
                  <w:r>
                    <w:rPr>
                      <w:rFonts w:hint="eastAsia"/>
                      <w:color w:val="auto"/>
                      <w:sz w:val="21"/>
                      <w:highlight w:val="none"/>
                    </w:rPr>
                    <w:t>）</w:t>
                  </w:r>
                </w:p>
              </w:tc>
              <w:tc>
                <w:tcPr>
                  <w:tcW w:w="429" w:type="pct"/>
                  <w:vMerge w:val="restart"/>
                  <w:tcBorders>
                    <w:tl2br w:val="nil"/>
                    <w:tr2bl w:val="nil"/>
                  </w:tcBorders>
                  <w:noWrap w:val="0"/>
                  <w:vAlign w:val="center"/>
                </w:tcPr>
                <w:p w14:paraId="6B8E292B">
                  <w:pPr>
                    <w:adjustRightInd w:val="0"/>
                    <w:snapToGrid w:val="0"/>
                    <w:spacing w:line="240" w:lineRule="auto"/>
                    <w:ind w:firstLine="0" w:firstLineChars="0"/>
                    <w:jc w:val="center"/>
                    <w:textAlignment w:val="center"/>
                    <w:rPr>
                      <w:color w:val="auto"/>
                      <w:sz w:val="21"/>
                      <w:highlight w:val="none"/>
                    </w:rPr>
                  </w:pPr>
                  <w:r>
                    <w:rPr>
                      <w:color w:val="auto"/>
                      <w:sz w:val="21"/>
                      <w:highlight w:val="none"/>
                    </w:rPr>
                    <w:t>9</w:t>
                  </w:r>
                  <w:r>
                    <w:rPr>
                      <w:rFonts w:hint="eastAsia"/>
                      <w:color w:val="auto"/>
                      <w:sz w:val="21"/>
                      <w:highlight w:val="none"/>
                    </w:rPr>
                    <w:t>0%</w:t>
                  </w:r>
                </w:p>
              </w:tc>
              <w:tc>
                <w:tcPr>
                  <w:tcW w:w="407" w:type="pct"/>
                  <w:tcBorders>
                    <w:tl2br w:val="nil"/>
                    <w:tr2bl w:val="nil"/>
                  </w:tcBorders>
                  <w:noWrap w:val="0"/>
                  <w:vAlign w:val="center"/>
                </w:tcPr>
                <w:p w14:paraId="5CA91E2C">
                  <w:pPr>
                    <w:adjustRightInd w:val="0"/>
                    <w:snapToGrid w:val="0"/>
                    <w:spacing w:line="240" w:lineRule="auto"/>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0.064</w:t>
                  </w:r>
                </w:p>
              </w:tc>
              <w:tc>
                <w:tcPr>
                  <w:tcW w:w="398" w:type="pct"/>
                  <w:tcBorders>
                    <w:tl2br w:val="nil"/>
                    <w:tr2bl w:val="nil"/>
                  </w:tcBorders>
                  <w:noWrap w:val="0"/>
                  <w:vAlign w:val="center"/>
                </w:tcPr>
                <w:p w14:paraId="4DE8F952">
                  <w:pPr>
                    <w:adjustRightInd w:val="0"/>
                    <w:snapToGrid w:val="0"/>
                    <w:spacing w:line="240" w:lineRule="auto"/>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0.007</w:t>
                  </w:r>
                </w:p>
              </w:tc>
              <w:tc>
                <w:tcPr>
                  <w:tcW w:w="448" w:type="pct"/>
                  <w:tcBorders>
                    <w:tl2br w:val="nil"/>
                    <w:tr2bl w:val="nil"/>
                  </w:tcBorders>
                  <w:noWrap w:val="0"/>
                  <w:vAlign w:val="center"/>
                </w:tcPr>
                <w:p w14:paraId="5B33545B">
                  <w:pPr>
                    <w:adjustRightInd w:val="0"/>
                    <w:snapToGrid w:val="0"/>
                    <w:spacing w:line="240" w:lineRule="auto"/>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0.7</w:t>
                  </w:r>
                </w:p>
              </w:tc>
            </w:tr>
            <w:tr w14:paraId="5DC5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399" w:type="pct"/>
                  <w:tcBorders>
                    <w:tl2br w:val="nil"/>
                    <w:tr2bl w:val="nil"/>
                  </w:tcBorders>
                  <w:noWrap w:val="0"/>
                  <w:vAlign w:val="center"/>
                </w:tcPr>
                <w:p w14:paraId="6BAC0498">
                  <w:pPr>
                    <w:adjustRightInd w:val="0"/>
                    <w:snapToGrid w:val="0"/>
                    <w:spacing w:line="240" w:lineRule="auto"/>
                    <w:ind w:firstLine="0" w:firstLineChars="0"/>
                    <w:jc w:val="center"/>
                    <w:textAlignment w:val="center"/>
                    <w:rPr>
                      <w:color w:val="auto"/>
                      <w:sz w:val="21"/>
                      <w:highlight w:val="none"/>
                    </w:rPr>
                  </w:pPr>
                  <w:r>
                    <w:rPr>
                      <w:rFonts w:hint="eastAsia"/>
                      <w:color w:val="auto"/>
                      <w:sz w:val="21"/>
                      <w:highlight w:val="none"/>
                    </w:rPr>
                    <w:t>H</w:t>
                  </w:r>
                  <w:r>
                    <w:rPr>
                      <w:rFonts w:hint="eastAsia"/>
                      <w:color w:val="auto"/>
                      <w:sz w:val="21"/>
                      <w:highlight w:val="none"/>
                      <w:vertAlign w:val="subscript"/>
                    </w:rPr>
                    <w:t>2</w:t>
                  </w:r>
                  <w:r>
                    <w:rPr>
                      <w:rFonts w:hint="eastAsia"/>
                      <w:color w:val="auto"/>
                      <w:sz w:val="21"/>
                      <w:highlight w:val="none"/>
                    </w:rPr>
                    <w:t>S</w:t>
                  </w:r>
                </w:p>
              </w:tc>
              <w:tc>
                <w:tcPr>
                  <w:tcW w:w="419" w:type="pct"/>
                  <w:tcBorders>
                    <w:tl2br w:val="nil"/>
                    <w:tr2bl w:val="nil"/>
                  </w:tcBorders>
                  <w:noWrap w:val="0"/>
                  <w:vAlign w:val="center"/>
                </w:tcPr>
                <w:p w14:paraId="4FA15632">
                  <w:pPr>
                    <w:pStyle w:val="37"/>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sz w:val="21"/>
                      <w:highlight w:val="none"/>
                      <w:lang w:val="en-US" w:eastAsia="zh-CN"/>
                    </w:rPr>
                    <w:t>0.003</w:t>
                  </w:r>
                </w:p>
              </w:tc>
              <w:tc>
                <w:tcPr>
                  <w:tcW w:w="441" w:type="pct"/>
                  <w:tcBorders>
                    <w:tl2br w:val="nil"/>
                    <w:tr2bl w:val="nil"/>
                  </w:tcBorders>
                  <w:noWrap w:val="0"/>
                  <w:vAlign w:val="center"/>
                </w:tcPr>
                <w:p w14:paraId="323DB2F0">
                  <w:pPr>
                    <w:pStyle w:val="37"/>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sz w:val="21"/>
                      <w:highlight w:val="none"/>
                      <w:lang w:val="en-US" w:eastAsia="zh-CN"/>
                    </w:rPr>
                    <w:t>0.026</w:t>
                  </w:r>
                </w:p>
              </w:tc>
              <w:tc>
                <w:tcPr>
                  <w:tcW w:w="860" w:type="pct"/>
                  <w:vMerge w:val="continue"/>
                  <w:tcBorders>
                    <w:tl2br w:val="nil"/>
                    <w:tr2bl w:val="nil"/>
                  </w:tcBorders>
                  <w:noWrap w:val="0"/>
                  <w:vAlign w:val="center"/>
                </w:tcPr>
                <w:p w14:paraId="0C6E2266">
                  <w:pPr>
                    <w:adjustRightInd w:val="0"/>
                    <w:snapToGrid w:val="0"/>
                    <w:spacing w:line="240" w:lineRule="auto"/>
                    <w:ind w:firstLine="0" w:firstLineChars="0"/>
                    <w:jc w:val="center"/>
                    <w:textAlignment w:val="center"/>
                    <w:rPr>
                      <w:color w:val="auto"/>
                      <w:sz w:val="21"/>
                      <w:highlight w:val="none"/>
                    </w:rPr>
                  </w:pPr>
                </w:p>
              </w:tc>
              <w:tc>
                <w:tcPr>
                  <w:tcW w:w="459" w:type="pct"/>
                  <w:vMerge w:val="continue"/>
                  <w:tcBorders>
                    <w:tl2br w:val="nil"/>
                    <w:tr2bl w:val="nil"/>
                  </w:tcBorders>
                  <w:noWrap w:val="0"/>
                  <w:vAlign w:val="center"/>
                </w:tcPr>
                <w:p w14:paraId="3C616358">
                  <w:pPr>
                    <w:adjustRightInd w:val="0"/>
                    <w:snapToGrid w:val="0"/>
                    <w:spacing w:line="240" w:lineRule="auto"/>
                    <w:ind w:firstLine="0" w:firstLineChars="0"/>
                    <w:jc w:val="center"/>
                    <w:textAlignment w:val="center"/>
                    <w:rPr>
                      <w:color w:val="auto"/>
                      <w:sz w:val="21"/>
                      <w:highlight w:val="none"/>
                    </w:rPr>
                  </w:pPr>
                </w:p>
              </w:tc>
              <w:tc>
                <w:tcPr>
                  <w:tcW w:w="735" w:type="pct"/>
                  <w:vMerge w:val="continue"/>
                  <w:tcBorders>
                    <w:tl2br w:val="nil"/>
                    <w:tr2bl w:val="nil"/>
                  </w:tcBorders>
                  <w:noWrap w:val="0"/>
                  <w:vAlign w:val="center"/>
                </w:tcPr>
                <w:p w14:paraId="5CD2553D">
                  <w:pPr>
                    <w:adjustRightInd w:val="0"/>
                    <w:snapToGrid w:val="0"/>
                    <w:spacing w:line="240" w:lineRule="auto"/>
                    <w:ind w:firstLine="0" w:firstLineChars="0"/>
                    <w:jc w:val="center"/>
                    <w:textAlignment w:val="center"/>
                    <w:rPr>
                      <w:color w:val="auto"/>
                      <w:sz w:val="21"/>
                      <w:highlight w:val="none"/>
                    </w:rPr>
                  </w:pPr>
                </w:p>
              </w:tc>
              <w:tc>
                <w:tcPr>
                  <w:tcW w:w="429" w:type="pct"/>
                  <w:vMerge w:val="continue"/>
                  <w:tcBorders>
                    <w:tl2br w:val="nil"/>
                    <w:tr2bl w:val="nil"/>
                  </w:tcBorders>
                  <w:noWrap w:val="0"/>
                  <w:vAlign w:val="center"/>
                </w:tcPr>
                <w:p w14:paraId="58DE3525">
                  <w:pPr>
                    <w:adjustRightInd w:val="0"/>
                    <w:snapToGrid w:val="0"/>
                    <w:spacing w:line="240" w:lineRule="auto"/>
                    <w:ind w:firstLine="0" w:firstLineChars="0"/>
                    <w:jc w:val="center"/>
                    <w:textAlignment w:val="center"/>
                    <w:rPr>
                      <w:color w:val="auto"/>
                      <w:sz w:val="21"/>
                      <w:highlight w:val="none"/>
                    </w:rPr>
                  </w:pPr>
                </w:p>
              </w:tc>
              <w:tc>
                <w:tcPr>
                  <w:tcW w:w="407" w:type="pct"/>
                  <w:tcBorders>
                    <w:tl2br w:val="nil"/>
                    <w:tr2bl w:val="nil"/>
                  </w:tcBorders>
                  <w:noWrap w:val="0"/>
                  <w:vAlign w:val="center"/>
                </w:tcPr>
                <w:p w14:paraId="59F11BDD">
                  <w:pPr>
                    <w:adjustRightInd w:val="0"/>
                    <w:snapToGrid w:val="0"/>
                    <w:spacing w:line="240" w:lineRule="auto"/>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0.002</w:t>
                  </w:r>
                </w:p>
              </w:tc>
              <w:tc>
                <w:tcPr>
                  <w:tcW w:w="398" w:type="pct"/>
                  <w:tcBorders>
                    <w:tl2br w:val="nil"/>
                    <w:tr2bl w:val="nil"/>
                  </w:tcBorders>
                  <w:noWrap w:val="0"/>
                  <w:vAlign w:val="center"/>
                </w:tcPr>
                <w:p w14:paraId="73C69FA4">
                  <w:pPr>
                    <w:adjustRightInd w:val="0"/>
                    <w:snapToGrid w:val="0"/>
                    <w:spacing w:line="240" w:lineRule="auto"/>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0.0002</w:t>
                  </w:r>
                </w:p>
              </w:tc>
              <w:tc>
                <w:tcPr>
                  <w:tcW w:w="448" w:type="pct"/>
                  <w:tcBorders>
                    <w:tl2br w:val="nil"/>
                    <w:tr2bl w:val="nil"/>
                  </w:tcBorders>
                  <w:noWrap w:val="0"/>
                  <w:vAlign w:val="center"/>
                </w:tcPr>
                <w:p w14:paraId="31B46D19">
                  <w:pPr>
                    <w:adjustRightInd w:val="0"/>
                    <w:snapToGrid w:val="0"/>
                    <w:spacing w:line="240" w:lineRule="auto"/>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0.02</w:t>
                  </w:r>
                </w:p>
              </w:tc>
            </w:tr>
          </w:tbl>
          <w:p w14:paraId="51E551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cs="Times New Roman"/>
                <w:color w:val="auto"/>
                <w:sz w:val="24"/>
                <w:szCs w:val="24"/>
                <w:highlight w:val="none"/>
              </w:rPr>
            </w:pPr>
            <w:r>
              <w:rPr>
                <w:rFonts w:hint="eastAsia"/>
                <w:color w:val="auto"/>
                <w:sz w:val="24"/>
                <w:szCs w:val="24"/>
                <w:highlight w:val="none"/>
              </w:rPr>
              <w:t>通过上述措施处理后，</w:t>
            </w:r>
            <w:r>
              <w:rPr>
                <w:rFonts w:hint="eastAsia"/>
                <w:color w:val="auto"/>
                <w:sz w:val="24"/>
                <w:szCs w:val="24"/>
                <w:highlight w:val="none"/>
                <w:lang w:eastAsia="zh-CN"/>
              </w:rPr>
              <w:t>本项目污水处理厂</w:t>
            </w:r>
            <w:r>
              <w:rPr>
                <w:color w:val="auto"/>
                <w:sz w:val="24"/>
                <w:szCs w:val="24"/>
                <w:highlight w:val="none"/>
              </w:rPr>
              <w:t>NH</w:t>
            </w:r>
            <w:r>
              <w:rPr>
                <w:color w:val="auto"/>
                <w:sz w:val="24"/>
                <w:szCs w:val="24"/>
                <w:highlight w:val="none"/>
                <w:vertAlign w:val="subscript"/>
              </w:rPr>
              <w:t>3</w:t>
            </w:r>
            <w:r>
              <w:rPr>
                <w:rFonts w:hint="eastAsia"/>
                <w:color w:val="auto"/>
                <w:sz w:val="24"/>
                <w:szCs w:val="24"/>
                <w:highlight w:val="none"/>
              </w:rPr>
              <w:t>的排放量为</w:t>
            </w:r>
            <w:r>
              <w:rPr>
                <w:rFonts w:hint="eastAsia"/>
                <w:color w:val="auto"/>
                <w:sz w:val="24"/>
                <w:szCs w:val="24"/>
                <w:highlight w:val="none"/>
                <w:lang w:val="en-US" w:eastAsia="zh-CN"/>
              </w:rPr>
              <w:t>0.064</w:t>
            </w:r>
            <w:r>
              <w:rPr>
                <w:color w:val="auto"/>
                <w:sz w:val="24"/>
                <w:szCs w:val="24"/>
                <w:highlight w:val="none"/>
              </w:rPr>
              <w:t>t/a</w:t>
            </w:r>
            <w:r>
              <w:rPr>
                <w:rFonts w:hint="eastAsia"/>
                <w:color w:val="auto"/>
                <w:sz w:val="24"/>
                <w:szCs w:val="24"/>
                <w:highlight w:val="none"/>
              </w:rPr>
              <w:t>，</w:t>
            </w:r>
            <w:r>
              <w:rPr>
                <w:color w:val="auto"/>
                <w:sz w:val="24"/>
                <w:szCs w:val="24"/>
                <w:highlight w:val="none"/>
              </w:rPr>
              <w:t>H</w:t>
            </w:r>
            <w:r>
              <w:rPr>
                <w:color w:val="auto"/>
                <w:sz w:val="24"/>
                <w:szCs w:val="24"/>
                <w:highlight w:val="none"/>
                <w:vertAlign w:val="subscript"/>
              </w:rPr>
              <w:t>2</w:t>
            </w:r>
            <w:r>
              <w:rPr>
                <w:color w:val="auto"/>
                <w:sz w:val="24"/>
                <w:szCs w:val="24"/>
                <w:highlight w:val="none"/>
              </w:rPr>
              <w:t>S</w:t>
            </w:r>
            <w:r>
              <w:rPr>
                <w:rFonts w:hint="eastAsia"/>
                <w:color w:val="auto"/>
                <w:sz w:val="24"/>
                <w:szCs w:val="24"/>
                <w:highlight w:val="none"/>
              </w:rPr>
              <w:t>的排放量为</w:t>
            </w:r>
            <w:r>
              <w:rPr>
                <w:rFonts w:hint="eastAsia"/>
                <w:color w:val="auto"/>
                <w:sz w:val="24"/>
                <w:szCs w:val="24"/>
                <w:highlight w:val="none"/>
                <w:lang w:val="en-US" w:eastAsia="zh-CN"/>
              </w:rPr>
              <w:t>0.002</w:t>
            </w:r>
            <w:r>
              <w:rPr>
                <w:rFonts w:hint="eastAsia"/>
                <w:color w:val="auto"/>
                <w:sz w:val="24"/>
                <w:szCs w:val="24"/>
                <w:highlight w:val="none"/>
              </w:rPr>
              <w:t>t</w:t>
            </w:r>
            <w:r>
              <w:rPr>
                <w:color w:val="auto"/>
                <w:sz w:val="24"/>
                <w:szCs w:val="24"/>
                <w:highlight w:val="none"/>
              </w:rPr>
              <w:t>/a</w:t>
            </w:r>
            <w:r>
              <w:rPr>
                <w:rFonts w:hint="eastAsia"/>
                <w:color w:val="auto"/>
                <w:sz w:val="24"/>
                <w:szCs w:val="24"/>
                <w:highlight w:val="none"/>
              </w:rPr>
              <w:t>，以每天24h计，则</w:t>
            </w:r>
            <w:r>
              <w:rPr>
                <w:color w:val="auto"/>
                <w:sz w:val="24"/>
                <w:szCs w:val="24"/>
                <w:highlight w:val="none"/>
              </w:rPr>
              <w:t>NH</w:t>
            </w:r>
            <w:r>
              <w:rPr>
                <w:color w:val="auto"/>
                <w:sz w:val="24"/>
                <w:szCs w:val="24"/>
                <w:highlight w:val="none"/>
                <w:vertAlign w:val="subscript"/>
              </w:rPr>
              <w:t>3</w:t>
            </w:r>
            <w:r>
              <w:rPr>
                <w:rFonts w:hint="eastAsia"/>
                <w:color w:val="auto"/>
                <w:sz w:val="24"/>
                <w:szCs w:val="24"/>
                <w:highlight w:val="none"/>
              </w:rPr>
              <w:t>的排放量为</w:t>
            </w:r>
            <w:r>
              <w:rPr>
                <w:rFonts w:hint="eastAsia"/>
                <w:color w:val="auto"/>
                <w:sz w:val="24"/>
                <w:szCs w:val="24"/>
                <w:highlight w:val="none"/>
                <w:lang w:val="en-US" w:eastAsia="zh-CN"/>
              </w:rPr>
              <w:t>0.007</w:t>
            </w:r>
            <w:r>
              <w:rPr>
                <w:rFonts w:hint="eastAsia"/>
                <w:color w:val="auto"/>
                <w:sz w:val="24"/>
                <w:szCs w:val="24"/>
                <w:highlight w:val="none"/>
              </w:rPr>
              <w:t>kg/h，排放浓度</w:t>
            </w:r>
            <w:r>
              <w:rPr>
                <w:rFonts w:hint="eastAsia"/>
                <w:color w:val="auto"/>
                <w:sz w:val="24"/>
                <w:szCs w:val="24"/>
                <w:highlight w:val="none"/>
                <w:lang w:val="en-US" w:eastAsia="zh-CN"/>
              </w:rPr>
              <w:t>0.7</w:t>
            </w:r>
            <w:r>
              <w:rPr>
                <w:rFonts w:hint="eastAsia"/>
                <w:color w:val="auto"/>
                <w:sz w:val="24"/>
                <w:szCs w:val="24"/>
                <w:highlight w:val="none"/>
              </w:rPr>
              <w:t>mg</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rPr>
              <w:t>，</w:t>
            </w:r>
            <w:r>
              <w:rPr>
                <w:color w:val="auto"/>
                <w:sz w:val="24"/>
                <w:szCs w:val="24"/>
                <w:highlight w:val="none"/>
              </w:rPr>
              <w:t>H</w:t>
            </w:r>
            <w:r>
              <w:rPr>
                <w:color w:val="auto"/>
                <w:sz w:val="24"/>
                <w:szCs w:val="24"/>
                <w:highlight w:val="none"/>
                <w:vertAlign w:val="subscript"/>
              </w:rPr>
              <w:t>2</w:t>
            </w:r>
            <w:r>
              <w:rPr>
                <w:color w:val="auto"/>
                <w:sz w:val="24"/>
                <w:szCs w:val="24"/>
                <w:highlight w:val="none"/>
              </w:rPr>
              <w:t>S</w:t>
            </w:r>
            <w:r>
              <w:rPr>
                <w:rFonts w:hint="eastAsia"/>
                <w:color w:val="auto"/>
                <w:sz w:val="24"/>
                <w:szCs w:val="24"/>
                <w:highlight w:val="none"/>
              </w:rPr>
              <w:t>的排放量为</w:t>
            </w:r>
            <w:r>
              <w:rPr>
                <w:rFonts w:hint="eastAsia"/>
                <w:color w:val="auto"/>
                <w:sz w:val="24"/>
                <w:szCs w:val="24"/>
                <w:highlight w:val="none"/>
                <w:lang w:val="en-US" w:eastAsia="zh-CN"/>
              </w:rPr>
              <w:t>0.0002</w:t>
            </w:r>
            <w:r>
              <w:rPr>
                <w:rFonts w:hint="eastAsia"/>
                <w:color w:val="auto"/>
                <w:sz w:val="24"/>
                <w:szCs w:val="24"/>
                <w:highlight w:val="none"/>
              </w:rPr>
              <w:t>kg/h，排放浓度为</w:t>
            </w:r>
            <w:r>
              <w:rPr>
                <w:rFonts w:hint="eastAsia"/>
                <w:color w:val="auto"/>
                <w:sz w:val="24"/>
                <w:szCs w:val="24"/>
                <w:highlight w:val="none"/>
                <w:lang w:val="en-US" w:eastAsia="zh-CN"/>
              </w:rPr>
              <w:t>0.02</w:t>
            </w:r>
            <w:r>
              <w:rPr>
                <w:rFonts w:hint="eastAsia"/>
                <w:color w:val="auto"/>
                <w:sz w:val="24"/>
                <w:szCs w:val="24"/>
                <w:highlight w:val="none"/>
              </w:rPr>
              <w:t>mg</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rPr>
              <w:t>。</w:t>
            </w:r>
            <w:r>
              <w:rPr>
                <w:rFonts w:hint="eastAsia"/>
                <w:color w:val="auto"/>
                <w:sz w:val="24"/>
                <w:szCs w:val="24"/>
                <w:highlight w:val="none"/>
                <w:lang w:eastAsia="zh-CN"/>
              </w:rPr>
              <w:t>排放速率能够达到《恶臭污染物排放标准》（GB14554-93）中表2中恶臭污染物排放标准限值要求（</w:t>
            </w:r>
            <w:r>
              <w:rPr>
                <w:color w:val="auto"/>
                <w:sz w:val="24"/>
                <w:szCs w:val="24"/>
                <w:highlight w:val="none"/>
              </w:rPr>
              <w:t>NH</w:t>
            </w:r>
            <w:r>
              <w:rPr>
                <w:color w:val="auto"/>
                <w:sz w:val="24"/>
                <w:szCs w:val="24"/>
                <w:highlight w:val="none"/>
                <w:vertAlign w:val="subscript"/>
              </w:rPr>
              <w:t>3</w:t>
            </w:r>
            <w:r>
              <w:rPr>
                <w:rFonts w:hint="eastAsia"/>
                <w:color w:val="auto"/>
                <w:sz w:val="24"/>
                <w:szCs w:val="24"/>
                <w:highlight w:val="none"/>
                <w:vertAlign w:val="baseline"/>
                <w:lang w:val="en-US" w:eastAsia="zh-CN"/>
              </w:rPr>
              <w:t>4.9kg/h、</w:t>
            </w:r>
            <w:r>
              <w:rPr>
                <w:color w:val="auto"/>
                <w:sz w:val="24"/>
                <w:szCs w:val="24"/>
                <w:highlight w:val="none"/>
              </w:rPr>
              <w:t>H</w:t>
            </w:r>
            <w:r>
              <w:rPr>
                <w:color w:val="auto"/>
                <w:sz w:val="24"/>
                <w:szCs w:val="24"/>
                <w:highlight w:val="none"/>
                <w:vertAlign w:val="subscript"/>
              </w:rPr>
              <w:t>2</w:t>
            </w:r>
            <w:r>
              <w:rPr>
                <w:color w:val="auto"/>
                <w:sz w:val="24"/>
                <w:szCs w:val="24"/>
                <w:highlight w:val="none"/>
              </w:rPr>
              <w:t>S</w:t>
            </w:r>
            <w:r>
              <w:rPr>
                <w:rFonts w:hint="eastAsia"/>
                <w:color w:val="auto"/>
                <w:sz w:val="24"/>
                <w:szCs w:val="24"/>
                <w:highlight w:val="none"/>
                <w:lang w:val="en-US" w:eastAsia="zh-CN"/>
              </w:rPr>
              <w:t>0.33kg/h</w:t>
            </w:r>
            <w:r>
              <w:rPr>
                <w:rFonts w:hint="eastAsia"/>
                <w:color w:val="auto"/>
                <w:sz w:val="24"/>
                <w:szCs w:val="24"/>
                <w:highlight w:val="none"/>
                <w:lang w:eastAsia="zh-CN"/>
              </w:rPr>
              <w:t>）。</w:t>
            </w:r>
            <w:r>
              <w:rPr>
                <w:rFonts w:hint="default" w:ascii="Times New Roman" w:hAnsi="Times New Roman" w:cs="Times New Roman"/>
                <w:color w:val="auto"/>
                <w:sz w:val="24"/>
                <w:szCs w:val="24"/>
                <w:highlight w:val="none"/>
                <w:vertAlign w:val="baseline"/>
                <w:lang w:val="en-US" w:eastAsia="zh-CN"/>
              </w:rPr>
              <w:t>通过一根</w:t>
            </w:r>
            <w:r>
              <w:rPr>
                <w:rFonts w:hint="eastAsia" w:ascii="Times New Roman" w:hAnsi="Times New Roman" w:cs="Times New Roman"/>
                <w:color w:val="auto"/>
                <w:sz w:val="24"/>
                <w:szCs w:val="24"/>
                <w:highlight w:val="none"/>
                <w:vertAlign w:val="baseline"/>
                <w:lang w:val="en-US" w:eastAsia="zh-CN"/>
              </w:rPr>
              <w:t>15</w:t>
            </w:r>
            <w:r>
              <w:rPr>
                <w:rFonts w:hint="default" w:ascii="Times New Roman" w:hAnsi="Times New Roman" w:cs="Times New Roman"/>
                <w:color w:val="auto"/>
                <w:sz w:val="24"/>
                <w:szCs w:val="24"/>
                <w:highlight w:val="none"/>
                <w:vertAlign w:val="baseline"/>
                <w:lang w:val="en-US" w:eastAsia="zh-CN"/>
              </w:rPr>
              <w:t>m高的排气筒（DA001）排放。</w:t>
            </w:r>
          </w:p>
          <w:p w14:paraId="0AC3A2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cs="Times New Roman"/>
                <w:color w:val="auto"/>
                <w:sz w:val="24"/>
                <w:szCs w:val="24"/>
                <w:highlight w:val="none"/>
                <w:lang w:eastAsia="zh-CN"/>
              </w:rPr>
              <w:t>无组织</w:t>
            </w:r>
            <w:r>
              <w:rPr>
                <w:rFonts w:ascii="Times New Roman" w:cs="Times New Roman"/>
                <w:color w:val="auto"/>
                <w:sz w:val="24"/>
                <w:szCs w:val="24"/>
                <w:highlight w:val="none"/>
              </w:rPr>
              <w:t>NH</w:t>
            </w:r>
            <w:r>
              <w:rPr>
                <w:rFonts w:ascii="Times New Roman" w:cs="Times New Roman"/>
                <w:color w:val="auto"/>
                <w:sz w:val="24"/>
                <w:szCs w:val="24"/>
                <w:highlight w:val="none"/>
                <w:vertAlign w:val="subscript"/>
              </w:rPr>
              <w:t>3</w:t>
            </w:r>
            <w:r>
              <w:rPr>
                <w:rFonts w:hint="eastAsia" w:ascii="Times New Roman" w:cs="Times New Roman"/>
                <w:color w:val="auto"/>
                <w:sz w:val="24"/>
                <w:szCs w:val="24"/>
                <w:highlight w:val="none"/>
                <w:lang w:eastAsia="zh-CN"/>
              </w:rPr>
              <w:t>排放</w:t>
            </w:r>
            <w:r>
              <w:rPr>
                <w:rFonts w:ascii="Times New Roman" w:cs="Times New Roman"/>
                <w:color w:val="auto"/>
                <w:sz w:val="24"/>
                <w:szCs w:val="24"/>
                <w:highlight w:val="none"/>
              </w:rPr>
              <w:t>量为</w:t>
            </w:r>
            <w:r>
              <w:rPr>
                <w:rFonts w:hint="eastAsia" w:cs="Times New Roman"/>
                <w:color w:val="auto"/>
                <w:sz w:val="24"/>
                <w:szCs w:val="24"/>
                <w:highlight w:val="none"/>
                <w:lang w:val="en-US" w:eastAsia="zh-CN"/>
              </w:rPr>
              <w:t>0.093kg/d、0.034t/a，</w:t>
            </w:r>
            <w:r>
              <w:rPr>
                <w:rFonts w:ascii="Times New Roman" w:cs="Times New Roman"/>
                <w:color w:val="auto"/>
                <w:sz w:val="24"/>
                <w:szCs w:val="24"/>
                <w:highlight w:val="none"/>
              </w:rPr>
              <w:t>H</w:t>
            </w:r>
            <w:r>
              <w:rPr>
                <w:rFonts w:ascii="Times New Roman" w:cs="Times New Roman"/>
                <w:color w:val="auto"/>
                <w:sz w:val="24"/>
                <w:szCs w:val="24"/>
                <w:highlight w:val="none"/>
                <w:vertAlign w:val="subscript"/>
              </w:rPr>
              <w:t>2</w:t>
            </w:r>
            <w:r>
              <w:rPr>
                <w:rFonts w:ascii="Times New Roman" w:cs="Times New Roman"/>
                <w:color w:val="auto"/>
                <w:sz w:val="24"/>
                <w:szCs w:val="24"/>
                <w:highlight w:val="none"/>
              </w:rPr>
              <w:t>S</w:t>
            </w:r>
            <w:r>
              <w:rPr>
                <w:rFonts w:hint="eastAsia" w:ascii="Times New Roman" w:cs="Times New Roman"/>
                <w:color w:val="auto"/>
                <w:sz w:val="24"/>
                <w:szCs w:val="24"/>
                <w:highlight w:val="none"/>
                <w:lang w:eastAsia="zh-CN"/>
              </w:rPr>
              <w:t>排放量</w:t>
            </w:r>
            <w:r>
              <w:rPr>
                <w:rFonts w:ascii="Times New Roman" w:cs="Times New Roman"/>
                <w:color w:val="auto"/>
                <w:sz w:val="24"/>
                <w:szCs w:val="24"/>
                <w:highlight w:val="none"/>
              </w:rPr>
              <w:t>为</w:t>
            </w:r>
            <w:r>
              <w:rPr>
                <w:rFonts w:hint="eastAsia" w:cs="Times New Roman"/>
                <w:color w:val="auto"/>
                <w:sz w:val="24"/>
                <w:szCs w:val="24"/>
                <w:highlight w:val="none"/>
                <w:lang w:val="en-US" w:eastAsia="zh-CN"/>
              </w:rPr>
              <w:t>0.0036kg/d、0.0013t/a</w:t>
            </w:r>
            <w:r>
              <w:rPr>
                <w:rFonts w:ascii="Times New Roman" w:cs="Times New Roman"/>
                <w:color w:val="auto"/>
                <w:sz w:val="24"/>
                <w:szCs w:val="24"/>
                <w:highlight w:val="none"/>
              </w:rPr>
              <w:t>。</w:t>
            </w:r>
          </w:p>
          <w:p w14:paraId="3C412B89">
            <w:pPr>
              <w:spacing w:line="360" w:lineRule="auto"/>
              <w:ind w:firstLine="482" w:firstLineChars="200"/>
              <w:rPr>
                <w:rFonts w:hint="default" w:ascii="Times New Roman"/>
                <w:b/>
                <w:bCs/>
                <w:color w:val="auto"/>
                <w:sz w:val="24"/>
                <w:szCs w:val="24"/>
                <w:highlight w:val="none"/>
                <w:lang w:val="en-US" w:eastAsia="zh-CN"/>
              </w:rPr>
            </w:pPr>
            <w:r>
              <w:rPr>
                <w:rFonts w:hint="eastAsia"/>
                <w:b/>
                <w:bCs/>
                <w:color w:val="auto"/>
                <w:sz w:val="24"/>
                <w:szCs w:val="24"/>
                <w:highlight w:val="none"/>
                <w:lang w:val="en-US" w:eastAsia="zh-CN"/>
              </w:rPr>
              <w:t>（2）固化剂料仓粉尘</w:t>
            </w:r>
          </w:p>
          <w:p w14:paraId="047BFB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本项目设有2个固化剂料仓，每个容积20m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，将外购的粉料（水泥粉、粉煤灰）通过运输车配有的空压机将粉料沿管道输送到相应的料仓内（封闭式运输），仅当粉料进入料仓时，料仓顶部（即呼吸口）会产生粉尘，平时料仓无粉尘外排。</w:t>
            </w:r>
          </w:p>
          <w:p w14:paraId="187E93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Times New Roman"/>
                <w:b w:val="0"/>
                <w:bCs w:val="0"/>
                <w:color w:val="auto"/>
                <w:kern w:val="0"/>
                <w:sz w:val="24"/>
                <w:szCs w:val="22"/>
                <w:highlight w:val="none"/>
                <w:lang w:val="en-US" w:eastAsia="zh-CN" w:bidi="ar-SA"/>
              </w:rPr>
            </w:pPr>
            <w:r>
              <w:rPr>
                <w:rFonts w:hint="eastAsia"/>
                <w:b w:val="0"/>
                <w:bCs w:val="0"/>
                <w:color w:val="auto"/>
                <w:sz w:val="24"/>
                <w:szCs w:val="24"/>
                <w:highlight w:val="none"/>
                <w:lang w:val="en-US" w:eastAsia="zh-CN"/>
              </w:rPr>
              <w:t>料</w:t>
            </w:r>
            <w:r>
              <w:rPr>
                <w:rFonts w:hint="eastAsia" w:ascii="Times New Roman"/>
                <w:b w:val="0"/>
                <w:bCs w:val="0"/>
                <w:color w:val="auto"/>
                <w:kern w:val="0"/>
                <w:sz w:val="24"/>
                <w:szCs w:val="22"/>
                <w:highlight w:val="none"/>
                <w:lang w:val="en-US" w:eastAsia="zh-CN" w:bidi="ar-SA"/>
              </w:rPr>
              <w:t>仓呼吸口产生的粉尘主要是粉料由运输车辆卸入料仓时</w:t>
            </w:r>
            <w:r>
              <w:rPr>
                <w:rFonts w:hint="eastAsia"/>
                <w:b w:val="0"/>
                <w:bCs w:val="0"/>
                <w:color w:val="auto"/>
                <w:sz w:val="24"/>
                <w:szCs w:val="24"/>
                <w:highlight w:val="none"/>
                <w:lang w:val="en-US" w:eastAsia="zh-CN"/>
              </w:rPr>
              <w:t>料</w:t>
            </w:r>
            <w:r>
              <w:rPr>
                <w:rFonts w:hint="eastAsia" w:ascii="Times New Roman"/>
                <w:b w:val="0"/>
                <w:bCs w:val="0"/>
                <w:color w:val="auto"/>
                <w:kern w:val="0"/>
                <w:sz w:val="24"/>
                <w:szCs w:val="22"/>
                <w:highlight w:val="none"/>
                <w:lang w:val="en-US" w:eastAsia="zh-CN" w:bidi="ar-SA"/>
              </w:rPr>
              <w:t>仓顶呼吸口产生。过风量根据车辆将粉料完全打入筒仓所需风量计算。根据建设单位提供资料，粉料运输车打料风量为2138.4~1300m</w:t>
            </w:r>
            <w:r>
              <w:rPr>
                <w:rFonts w:hint="eastAsia" w:ascii="Times New Roman"/>
                <w:b w:val="0"/>
                <w:bCs w:val="0"/>
                <w:color w:val="auto"/>
                <w:kern w:val="0"/>
                <w:sz w:val="24"/>
                <w:szCs w:val="22"/>
                <w:highlight w:val="none"/>
                <w:vertAlign w:val="superscript"/>
                <w:lang w:val="en-US" w:eastAsia="zh-CN" w:bidi="ar-SA"/>
              </w:rPr>
              <w:t>3</w:t>
            </w:r>
            <w:r>
              <w:rPr>
                <w:rFonts w:hint="eastAsia" w:ascii="Times New Roman"/>
                <w:b w:val="0"/>
                <w:bCs w:val="0"/>
                <w:color w:val="auto"/>
                <w:kern w:val="0"/>
                <w:sz w:val="24"/>
                <w:szCs w:val="22"/>
                <w:highlight w:val="none"/>
                <w:lang w:val="en-US" w:eastAsia="zh-CN" w:bidi="ar-SA"/>
              </w:rPr>
              <w:t>/h，考虑最不利情况项目风量取2500m</w:t>
            </w:r>
            <w:r>
              <w:rPr>
                <w:rFonts w:hint="eastAsia" w:ascii="Times New Roman"/>
                <w:b w:val="0"/>
                <w:bCs w:val="0"/>
                <w:color w:val="auto"/>
                <w:kern w:val="0"/>
                <w:sz w:val="24"/>
                <w:szCs w:val="22"/>
                <w:highlight w:val="none"/>
                <w:vertAlign w:val="superscript"/>
                <w:lang w:val="en-US" w:eastAsia="zh-CN" w:bidi="ar-SA"/>
              </w:rPr>
              <w:t>3</w:t>
            </w:r>
            <w:r>
              <w:rPr>
                <w:rFonts w:hint="eastAsia" w:ascii="Times New Roman"/>
                <w:b w:val="0"/>
                <w:bCs w:val="0"/>
                <w:color w:val="auto"/>
                <w:kern w:val="0"/>
                <w:sz w:val="24"/>
                <w:szCs w:val="22"/>
                <w:highlight w:val="none"/>
                <w:lang w:val="en-US" w:eastAsia="zh-CN" w:bidi="ar-SA"/>
              </w:rPr>
              <w:t xml:space="preserve"> /h。运输车辆平均载重20t，卸料时间为60min/车，则各类料仓加料工作周期为：</w:t>
            </w:r>
          </w:p>
          <w:p w14:paraId="2732AA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Times New Roman"/>
                <w:b w:val="0"/>
                <w:bCs w:val="0"/>
                <w:color w:val="auto"/>
                <w:kern w:val="0"/>
                <w:sz w:val="24"/>
                <w:szCs w:val="22"/>
                <w:highlight w:val="none"/>
                <w:lang w:val="en-US" w:eastAsia="zh-CN" w:bidi="ar-SA"/>
              </w:rPr>
            </w:pPr>
            <w:r>
              <w:rPr>
                <w:rFonts w:hint="eastAsia" w:ascii="Times New Roman"/>
                <w:b w:val="0"/>
                <w:bCs w:val="0"/>
                <w:color w:val="auto"/>
                <w:kern w:val="0"/>
                <w:sz w:val="24"/>
                <w:szCs w:val="22"/>
                <w:highlight w:val="none"/>
                <w:lang w:val="en-US" w:eastAsia="zh-CN" w:bidi="ar-SA"/>
              </w:rPr>
              <w:t>料</w:t>
            </w:r>
            <w:r>
              <w:rPr>
                <w:rFonts w:hint="default" w:ascii="Times New Roman" w:hAnsi="Times New Roman" w:eastAsia="宋体" w:cs="Times New Roman"/>
                <w:color w:val="auto"/>
                <w:kern w:val="0"/>
                <w:sz w:val="24"/>
                <w:szCs w:val="24"/>
                <w:highlight w:val="none"/>
                <w:lang w:val="en-US" w:eastAsia="zh-CN" w:bidi="ar"/>
              </w:rPr>
              <w:t>仓工作周期：</w:t>
            </w:r>
            <w:r>
              <w:rPr>
                <w:rFonts w:hint="eastAsia" w:cs="Times New Roman"/>
                <w:color w:val="auto"/>
                <w:kern w:val="0"/>
                <w:sz w:val="24"/>
                <w:szCs w:val="24"/>
                <w:highlight w:val="none"/>
                <w:lang w:val="en-US" w:eastAsia="zh-CN" w:bidi="ar"/>
              </w:rPr>
              <w:t>每个</w:t>
            </w:r>
            <w:r>
              <w:rPr>
                <w:rFonts w:hint="eastAsia" w:ascii="Times New Roman"/>
                <w:b w:val="0"/>
                <w:bCs w:val="0"/>
                <w:color w:val="auto"/>
                <w:kern w:val="0"/>
                <w:sz w:val="24"/>
                <w:szCs w:val="22"/>
                <w:highlight w:val="none"/>
                <w:lang w:val="en-US" w:eastAsia="zh-CN" w:bidi="ar-SA"/>
              </w:rPr>
              <w:t>料</w:t>
            </w:r>
            <w:r>
              <w:rPr>
                <w:rFonts w:hint="default" w:ascii="Times New Roman" w:hAnsi="Times New Roman" w:eastAsia="宋体" w:cs="Times New Roman"/>
                <w:color w:val="auto"/>
                <w:kern w:val="0"/>
                <w:sz w:val="24"/>
                <w:szCs w:val="24"/>
                <w:highlight w:val="none"/>
                <w:lang w:val="en-US" w:eastAsia="zh-CN" w:bidi="ar"/>
              </w:rPr>
              <w:t>仓储存量为</w:t>
            </w:r>
            <w:r>
              <w:rPr>
                <w:rFonts w:hint="eastAsia" w:cs="Times New Roman"/>
                <w:color w:val="auto"/>
                <w:kern w:val="0"/>
                <w:sz w:val="24"/>
                <w:szCs w:val="24"/>
                <w:highlight w:val="none"/>
                <w:lang w:val="en-US" w:eastAsia="zh-CN" w:bidi="ar"/>
              </w:rPr>
              <w:t>1368.75</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b w:val="0"/>
                <w:bCs w:val="0"/>
                <w:color w:val="auto"/>
                <w:kern w:val="0"/>
                <w:sz w:val="24"/>
                <w:szCs w:val="22"/>
                <w:highlight w:val="none"/>
                <w:lang w:val="en-US" w:eastAsia="zh-CN" w:bidi="ar-SA"/>
              </w:rPr>
              <w:t>则</w:t>
            </w:r>
            <w:r>
              <w:rPr>
                <w:rFonts w:hint="eastAsia"/>
                <w:b w:val="0"/>
                <w:bCs w:val="0"/>
                <w:color w:val="auto"/>
                <w:kern w:val="0"/>
                <w:sz w:val="24"/>
                <w:szCs w:val="22"/>
                <w:highlight w:val="none"/>
                <w:lang w:val="en-US" w:eastAsia="zh-CN" w:bidi="ar-SA"/>
              </w:rPr>
              <w:t>每个料仓</w:t>
            </w:r>
            <w:r>
              <w:rPr>
                <w:rFonts w:hint="eastAsia" w:ascii="Times New Roman"/>
                <w:b w:val="0"/>
                <w:bCs w:val="0"/>
                <w:color w:val="auto"/>
                <w:kern w:val="0"/>
                <w:sz w:val="24"/>
                <w:szCs w:val="22"/>
                <w:highlight w:val="none"/>
                <w:lang w:val="en-US" w:eastAsia="zh-CN" w:bidi="ar-SA"/>
              </w:rPr>
              <w:t>进料时间约为</w:t>
            </w:r>
            <w:r>
              <w:rPr>
                <w:rFonts w:hint="eastAsia"/>
                <w:b w:val="0"/>
                <w:bCs w:val="0"/>
                <w:color w:val="auto"/>
                <w:kern w:val="0"/>
                <w:sz w:val="24"/>
                <w:szCs w:val="22"/>
                <w:highlight w:val="none"/>
                <w:lang w:val="en-US" w:eastAsia="zh-CN" w:bidi="ar-SA"/>
              </w:rPr>
              <w:t>68.5</w:t>
            </w:r>
            <w:r>
              <w:rPr>
                <w:rFonts w:hint="eastAsia" w:ascii="Times New Roman"/>
                <w:b w:val="0"/>
                <w:bCs w:val="0"/>
                <w:color w:val="auto"/>
                <w:kern w:val="0"/>
                <w:sz w:val="24"/>
                <w:szCs w:val="22"/>
                <w:highlight w:val="none"/>
                <w:lang w:val="en-US" w:eastAsia="zh-CN" w:bidi="ar-SA"/>
              </w:rPr>
              <w:t>h</w:t>
            </w:r>
            <w:r>
              <w:rPr>
                <w:rFonts w:hint="eastAsia"/>
                <w:b w:val="0"/>
                <w:bCs w:val="0"/>
                <w:color w:val="auto"/>
                <w:kern w:val="0"/>
                <w:sz w:val="24"/>
                <w:szCs w:val="22"/>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
              </w:rPr>
              <w:t>a。</w:t>
            </w:r>
          </w:p>
          <w:p w14:paraId="56CC03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b w:val="0"/>
                <w:bCs w:val="0"/>
                <w:color w:val="auto"/>
                <w:kern w:val="0"/>
                <w:sz w:val="24"/>
                <w:szCs w:val="22"/>
                <w:highlight w:val="none"/>
                <w:lang w:val="en-US" w:eastAsia="zh-CN" w:bidi="ar-SA"/>
              </w:rPr>
              <w:t xml:space="preserve"> 本次评</w:t>
            </w:r>
            <w:r>
              <w:rPr>
                <w:rFonts w:hint="default" w:ascii="Times New Roman" w:hAnsi="Times New Roman" w:eastAsia="宋体" w:cs="Times New Roman"/>
                <w:b w:val="0"/>
                <w:bCs w:val="0"/>
                <w:color w:val="auto"/>
                <w:kern w:val="0"/>
                <w:sz w:val="24"/>
                <w:szCs w:val="22"/>
                <w:highlight w:val="none"/>
                <w:lang w:val="en-US" w:eastAsia="zh-CN" w:bidi="ar-SA"/>
              </w:rPr>
              <w:t>价</w:t>
            </w:r>
            <w:r>
              <w:rPr>
                <w:rFonts w:hint="eastAsia" w:ascii="Times New Roman" w:hAnsi="Times New Roman" w:eastAsia="宋体" w:cs="Times New Roman"/>
                <w:color w:val="auto"/>
                <w:sz w:val="24"/>
                <w:szCs w:val="24"/>
                <w:highlight w:val="none"/>
                <w:lang w:val="en-US" w:eastAsia="zh-CN"/>
              </w:rPr>
              <w:t>参照</w:t>
            </w:r>
            <w:r>
              <w:rPr>
                <w:rFonts w:hint="default" w:ascii="Times New Roman" w:hAnsi="Times New Roman" w:eastAsia="宋体" w:cs="Times New Roman"/>
                <w:color w:val="auto"/>
                <w:sz w:val="24"/>
                <w:szCs w:val="24"/>
                <w:highlight w:val="none"/>
              </w:rPr>
              <w:t>环境保护部关于发布计算污染物排放量的排污系数和物料衡算方法的公告（2017年第81号）：《未纳入排污许可管理行业适用的排污系数、物料衡算方法（试行）》中水泥制品制造业产排污系数表可知：物料（水泥）输送过程储存工序产污系数为：2.09kg/吨-水泥，其余</w:t>
            </w:r>
            <w:r>
              <w:rPr>
                <w:rFonts w:hint="eastAsia" w:ascii="Times New Roman" w:hAnsi="Times New Roman" w:eastAsia="宋体" w:cs="Times New Roman"/>
                <w:color w:val="auto"/>
                <w:sz w:val="24"/>
                <w:szCs w:val="24"/>
                <w:highlight w:val="none"/>
                <w:lang w:val="en-US" w:eastAsia="zh-CN"/>
              </w:rPr>
              <w:t>粉煤灰料仓</w:t>
            </w:r>
            <w:r>
              <w:rPr>
                <w:rFonts w:hint="default" w:ascii="宋体" w:hAnsi="宋体" w:eastAsia="宋体" w:cs="宋体"/>
                <w:color w:val="auto"/>
                <w:sz w:val="24"/>
                <w:szCs w:val="24"/>
                <w:highlight w:val="none"/>
              </w:rPr>
              <w:t>物料输送产排污系数参照水泥</w:t>
            </w:r>
            <w:r>
              <w:rPr>
                <w:rFonts w:hint="eastAsia" w:ascii="宋体" w:hAnsi="宋体" w:eastAsia="宋体" w:cs="宋体"/>
                <w:color w:val="auto"/>
                <w:sz w:val="24"/>
                <w:szCs w:val="24"/>
                <w:highlight w:val="none"/>
                <w:lang w:val="en-US" w:eastAsia="zh-CN"/>
              </w:rPr>
              <w:t>料仓</w:t>
            </w:r>
            <w:r>
              <w:rPr>
                <w:rFonts w:hint="default" w:ascii="宋体" w:hAnsi="宋体" w:eastAsia="宋体" w:cs="宋体"/>
                <w:color w:val="auto"/>
                <w:sz w:val="24"/>
                <w:szCs w:val="24"/>
                <w:highlight w:val="none"/>
              </w:rPr>
              <w:t>产排系数。</w:t>
            </w:r>
            <w:r>
              <w:rPr>
                <w:rFonts w:hint="default" w:ascii="Times New Roman" w:hAnsi="Times New Roman" w:eastAsia="宋体" w:cs="Times New Roman"/>
                <w:b w:val="0"/>
                <w:bCs w:val="0"/>
                <w:color w:val="auto"/>
                <w:sz w:val="24"/>
                <w:szCs w:val="24"/>
                <w:highlight w:val="none"/>
                <w:lang w:val="en-US" w:eastAsia="zh-CN"/>
              </w:rPr>
              <w:t>则</w:t>
            </w:r>
            <w:r>
              <w:rPr>
                <w:rFonts w:hint="eastAsia" w:ascii="Times New Roman" w:hAnsi="Times New Roman" w:eastAsia="宋体" w:cs="Times New Roman"/>
                <w:b w:val="0"/>
                <w:bCs w:val="0"/>
                <w:color w:val="auto"/>
                <w:sz w:val="24"/>
                <w:szCs w:val="24"/>
                <w:highlight w:val="none"/>
                <w:lang w:val="en-US" w:eastAsia="zh-CN"/>
              </w:rPr>
              <w:t>固化剂料仓</w:t>
            </w:r>
            <w:r>
              <w:rPr>
                <w:rFonts w:hint="default" w:ascii="Times New Roman" w:hAnsi="Times New Roman" w:eastAsia="宋体" w:cs="Times New Roman"/>
                <w:b w:val="0"/>
                <w:bCs w:val="0"/>
                <w:color w:val="auto"/>
                <w:sz w:val="24"/>
                <w:szCs w:val="24"/>
                <w:highlight w:val="none"/>
                <w:lang w:val="en-US" w:eastAsia="zh-CN"/>
              </w:rPr>
              <w:t>粉尘产排情况见下表：</w:t>
            </w:r>
          </w:p>
          <w:p w14:paraId="55F91450">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cs="Times New Roman"/>
                <w:b/>
                <w:bCs/>
                <w:color w:val="auto"/>
                <w:kern w:val="0"/>
                <w:sz w:val="24"/>
                <w:szCs w:val="24"/>
                <w:highlight w:val="none"/>
                <w:lang w:val="en-US" w:eastAsia="zh-CN" w:bidi="ar"/>
              </w:rPr>
              <w:t>4-7</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ascii="Times New Roman" w:hAnsi="Times New Roman" w:eastAsia="宋体" w:cs="Times New Roman"/>
                <w:b/>
                <w:bCs/>
                <w:color w:val="auto"/>
                <w:kern w:val="0"/>
                <w:sz w:val="24"/>
                <w:szCs w:val="24"/>
                <w:highlight w:val="none"/>
                <w:lang w:val="en-US" w:eastAsia="zh-CN" w:bidi="ar"/>
              </w:rPr>
              <w:t>固化剂料仓</w:t>
            </w:r>
            <w:r>
              <w:rPr>
                <w:rFonts w:hint="default" w:ascii="Times New Roman" w:hAnsi="Times New Roman" w:eastAsia="宋体" w:cs="Times New Roman"/>
                <w:b/>
                <w:bCs/>
                <w:color w:val="auto"/>
                <w:kern w:val="0"/>
                <w:sz w:val="24"/>
                <w:szCs w:val="24"/>
                <w:highlight w:val="none"/>
                <w:lang w:val="en-US" w:eastAsia="zh-CN" w:bidi="ar"/>
              </w:rPr>
              <w:t>粉尘产生情况一览表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473"/>
              <w:gridCol w:w="1173"/>
              <w:gridCol w:w="1745"/>
              <w:gridCol w:w="8"/>
              <w:gridCol w:w="1797"/>
              <w:gridCol w:w="1176"/>
            </w:tblGrid>
            <w:tr w14:paraId="63FD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32" w:type="pct"/>
                  <w:noWrap w:val="0"/>
                  <w:vAlign w:val="center"/>
                </w:tcPr>
                <w:p w14:paraId="2BFE733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污染源</w:t>
                  </w:r>
                </w:p>
              </w:tc>
              <w:tc>
                <w:tcPr>
                  <w:tcW w:w="832" w:type="pct"/>
                  <w:noWrap w:val="0"/>
                  <w:vAlign w:val="center"/>
                </w:tcPr>
                <w:p w14:paraId="0633A80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筒仓物料进量</w:t>
                  </w:r>
                </w:p>
              </w:tc>
              <w:tc>
                <w:tcPr>
                  <w:tcW w:w="663" w:type="pct"/>
                  <w:noWrap w:val="0"/>
                  <w:vAlign w:val="center"/>
                </w:tcPr>
                <w:p w14:paraId="56C5C59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产污系数kg/t</w:t>
                  </w:r>
                </w:p>
              </w:tc>
              <w:tc>
                <w:tcPr>
                  <w:tcW w:w="991" w:type="pct"/>
                  <w:gridSpan w:val="2"/>
                  <w:noWrap w:val="0"/>
                  <w:vAlign w:val="center"/>
                </w:tcPr>
                <w:p w14:paraId="2B449D7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产生量 t/a</w:t>
                  </w:r>
                </w:p>
              </w:tc>
              <w:tc>
                <w:tcPr>
                  <w:tcW w:w="1015" w:type="pct"/>
                  <w:noWrap w:val="0"/>
                  <w:vAlign w:val="center"/>
                </w:tcPr>
                <w:p w14:paraId="44D6039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产生速率 kg/h</w:t>
                  </w:r>
                </w:p>
              </w:tc>
              <w:tc>
                <w:tcPr>
                  <w:tcW w:w="664" w:type="pct"/>
                  <w:noWrap w:val="0"/>
                  <w:vAlign w:val="center"/>
                </w:tcPr>
                <w:p w14:paraId="236580C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加料时间h/a</w:t>
                  </w:r>
                </w:p>
              </w:tc>
            </w:tr>
            <w:tr w14:paraId="4CD2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32" w:type="pct"/>
                  <w:noWrap w:val="0"/>
                  <w:vAlign w:val="center"/>
                </w:tcPr>
                <w:p w14:paraId="4A3770D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料仓</w:t>
                  </w:r>
                </w:p>
              </w:tc>
              <w:tc>
                <w:tcPr>
                  <w:tcW w:w="832" w:type="pct"/>
                  <w:noWrap w:val="0"/>
                  <w:vAlign w:val="center"/>
                </w:tcPr>
                <w:p w14:paraId="6F3A47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1368.75</w:t>
                  </w:r>
                  <w:r>
                    <w:rPr>
                      <w:rFonts w:hint="default" w:ascii="Times New Roman" w:hAnsi="Times New Roman" w:eastAsia="宋体" w:cs="Times New Roman"/>
                      <w:color w:val="auto"/>
                      <w:sz w:val="21"/>
                      <w:szCs w:val="21"/>
                      <w:highlight w:val="none"/>
                      <w:vertAlign w:val="baseline"/>
                      <w:lang w:val="en-US" w:eastAsia="zh-CN"/>
                    </w:rPr>
                    <w:t>吨</w:t>
                  </w:r>
                </w:p>
              </w:tc>
              <w:tc>
                <w:tcPr>
                  <w:tcW w:w="663" w:type="pct"/>
                  <w:noWrap w:val="0"/>
                  <w:vAlign w:val="center"/>
                </w:tcPr>
                <w:p w14:paraId="7C8BF7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2.09</w:t>
                  </w:r>
                </w:p>
              </w:tc>
              <w:tc>
                <w:tcPr>
                  <w:tcW w:w="986" w:type="pct"/>
                  <w:noWrap w:val="0"/>
                  <w:vAlign w:val="center"/>
                </w:tcPr>
                <w:p w14:paraId="1F071D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2.86</w:t>
                  </w:r>
                </w:p>
              </w:tc>
              <w:tc>
                <w:tcPr>
                  <w:tcW w:w="1020" w:type="pct"/>
                  <w:gridSpan w:val="2"/>
                  <w:noWrap w:val="0"/>
                  <w:vAlign w:val="center"/>
                </w:tcPr>
                <w:p w14:paraId="3FC622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41.75</w:t>
                  </w:r>
                </w:p>
              </w:tc>
              <w:tc>
                <w:tcPr>
                  <w:tcW w:w="664" w:type="pct"/>
                  <w:noWrap w:val="0"/>
                  <w:vAlign w:val="center"/>
                </w:tcPr>
                <w:p w14:paraId="79AAAC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68.5</w:t>
                  </w:r>
                </w:p>
              </w:tc>
            </w:tr>
            <w:tr w14:paraId="0714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32" w:type="pct"/>
                  <w:noWrap w:val="0"/>
                  <w:vAlign w:val="center"/>
                </w:tcPr>
                <w:p w14:paraId="57FF713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r>
                    <w:rPr>
                      <w:rFonts w:hint="eastAsia" w:ascii="Times New Roman" w:hAnsi="Times New Roman" w:eastAsia="宋体" w:cs="Times New Roman"/>
                      <w:b w:val="0"/>
                      <w:bCs w:val="0"/>
                      <w:color w:val="auto"/>
                      <w:sz w:val="21"/>
                      <w:szCs w:val="21"/>
                      <w:highlight w:val="none"/>
                      <w:vertAlign w:val="baseline"/>
                      <w:lang w:val="en-US" w:eastAsia="zh-CN"/>
                    </w:rPr>
                    <w:t>料仓</w:t>
                  </w:r>
                </w:p>
              </w:tc>
              <w:tc>
                <w:tcPr>
                  <w:tcW w:w="832" w:type="pct"/>
                  <w:noWrap w:val="0"/>
                  <w:vAlign w:val="center"/>
                </w:tcPr>
                <w:p w14:paraId="6CE3B3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1368.75</w:t>
                  </w:r>
                  <w:r>
                    <w:rPr>
                      <w:rFonts w:hint="default" w:ascii="Times New Roman" w:hAnsi="Times New Roman" w:eastAsia="宋体" w:cs="Times New Roman"/>
                      <w:color w:val="auto"/>
                      <w:sz w:val="21"/>
                      <w:szCs w:val="21"/>
                      <w:highlight w:val="none"/>
                      <w:vertAlign w:val="baseline"/>
                      <w:lang w:val="en-US" w:eastAsia="zh-CN"/>
                    </w:rPr>
                    <w:t>吨</w:t>
                  </w:r>
                </w:p>
              </w:tc>
              <w:tc>
                <w:tcPr>
                  <w:tcW w:w="663" w:type="pct"/>
                  <w:noWrap w:val="0"/>
                  <w:vAlign w:val="center"/>
                </w:tcPr>
                <w:p w14:paraId="27B2CC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2.09</w:t>
                  </w:r>
                </w:p>
              </w:tc>
              <w:tc>
                <w:tcPr>
                  <w:tcW w:w="986" w:type="pct"/>
                  <w:noWrap w:val="0"/>
                  <w:vAlign w:val="center"/>
                </w:tcPr>
                <w:p w14:paraId="46642E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2.86</w:t>
                  </w:r>
                </w:p>
              </w:tc>
              <w:tc>
                <w:tcPr>
                  <w:tcW w:w="1020" w:type="pct"/>
                  <w:gridSpan w:val="2"/>
                  <w:noWrap w:val="0"/>
                  <w:vAlign w:val="center"/>
                </w:tcPr>
                <w:p w14:paraId="34258D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41.75</w:t>
                  </w:r>
                </w:p>
              </w:tc>
              <w:tc>
                <w:tcPr>
                  <w:tcW w:w="664" w:type="pct"/>
                  <w:noWrap w:val="0"/>
                  <w:vAlign w:val="center"/>
                </w:tcPr>
                <w:p w14:paraId="6F7AAC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68.5</w:t>
                  </w:r>
                </w:p>
              </w:tc>
            </w:tr>
            <w:tr w14:paraId="22B7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noWrap w:val="0"/>
                  <w:vAlign w:val="center"/>
                </w:tcPr>
                <w:p w14:paraId="27BCC7E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合计</w:t>
                  </w:r>
                </w:p>
              </w:tc>
              <w:tc>
                <w:tcPr>
                  <w:tcW w:w="832" w:type="pct"/>
                  <w:noWrap w:val="0"/>
                  <w:vAlign w:val="center"/>
                </w:tcPr>
                <w:p w14:paraId="3095D28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w:t>
                  </w:r>
                </w:p>
              </w:tc>
              <w:tc>
                <w:tcPr>
                  <w:tcW w:w="663" w:type="pct"/>
                  <w:noWrap w:val="0"/>
                  <w:vAlign w:val="center"/>
                </w:tcPr>
                <w:p w14:paraId="13719F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w:t>
                  </w:r>
                </w:p>
              </w:tc>
              <w:tc>
                <w:tcPr>
                  <w:tcW w:w="986" w:type="pct"/>
                  <w:noWrap w:val="0"/>
                  <w:vAlign w:val="center"/>
                </w:tcPr>
                <w:p w14:paraId="38DEC14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5.72</w:t>
                  </w:r>
                </w:p>
              </w:tc>
              <w:tc>
                <w:tcPr>
                  <w:tcW w:w="1020" w:type="pct"/>
                  <w:gridSpan w:val="2"/>
                  <w:noWrap w:val="0"/>
                  <w:vAlign w:val="center"/>
                </w:tcPr>
                <w:p w14:paraId="5BED5A7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83.5</w:t>
                  </w:r>
                </w:p>
              </w:tc>
              <w:tc>
                <w:tcPr>
                  <w:tcW w:w="664" w:type="pct"/>
                  <w:noWrap w:val="0"/>
                  <w:vAlign w:val="center"/>
                </w:tcPr>
                <w:p w14:paraId="4254A2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w:t>
                  </w:r>
                </w:p>
              </w:tc>
            </w:tr>
          </w:tbl>
          <w:p w14:paraId="3455978D">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处理措施：</w:t>
            </w:r>
            <w:r>
              <w:rPr>
                <w:rFonts w:hint="eastAsia" w:ascii="Times New Roman" w:hAnsi="Times New Roman" w:eastAsia="宋体" w:cs="Times New Roman"/>
                <w:b w:val="0"/>
                <w:bCs w:val="0"/>
                <w:color w:val="auto"/>
                <w:sz w:val="24"/>
                <w:szCs w:val="24"/>
                <w:highlight w:val="none"/>
                <w:lang w:val="en-US" w:eastAsia="zh-CN"/>
              </w:rPr>
              <w:t>本项目水泥及粉煤灰</w:t>
            </w:r>
            <w:r>
              <w:rPr>
                <w:rFonts w:hint="default" w:ascii="Times New Roman" w:hAnsi="Times New Roman" w:eastAsia="宋体" w:cs="Times New Roman"/>
                <w:b w:val="0"/>
                <w:bCs w:val="0"/>
                <w:color w:val="auto"/>
                <w:sz w:val="24"/>
                <w:szCs w:val="24"/>
                <w:highlight w:val="none"/>
                <w:lang w:eastAsia="zh-CN"/>
              </w:rPr>
              <w:t>粉料仓顶均配置</w:t>
            </w:r>
            <w:r>
              <w:rPr>
                <w:rFonts w:hint="default" w:ascii="Times New Roman" w:hAnsi="Times New Roman" w:eastAsia="宋体" w:cs="Times New Roman"/>
                <w:b w:val="0"/>
                <w:bCs w:val="0"/>
                <w:color w:val="auto"/>
                <w:sz w:val="24"/>
                <w:szCs w:val="24"/>
                <w:highlight w:val="none"/>
                <w:lang w:val="en-US" w:eastAsia="zh-CN"/>
              </w:rPr>
              <w:t>1台</w:t>
            </w:r>
            <w:r>
              <w:rPr>
                <w:rFonts w:hint="eastAsia" w:ascii="Times New Roman" w:hAnsi="Times New Roman" w:eastAsia="宋体" w:cs="Times New Roman"/>
                <w:b w:val="0"/>
                <w:bCs w:val="0"/>
                <w:color w:val="auto"/>
                <w:sz w:val="24"/>
                <w:szCs w:val="24"/>
                <w:highlight w:val="none"/>
                <w:lang w:val="en-US" w:eastAsia="zh-CN"/>
              </w:rPr>
              <w:t>袋式</w:t>
            </w:r>
            <w:r>
              <w:rPr>
                <w:rFonts w:hint="default" w:ascii="Times New Roman" w:hAnsi="Times New Roman" w:eastAsia="宋体" w:cs="Times New Roman"/>
                <w:b w:val="0"/>
                <w:bCs w:val="0"/>
                <w:color w:val="auto"/>
                <w:sz w:val="24"/>
                <w:szCs w:val="24"/>
                <w:highlight w:val="none"/>
                <w:lang w:val="en-US" w:eastAsia="zh-CN"/>
              </w:rPr>
              <w:t>除尘器</w:t>
            </w:r>
            <w:r>
              <w:rPr>
                <w:rFonts w:hint="default" w:ascii="Times New Roman" w:hAnsi="Times New Roman" w:eastAsia="宋体" w:cs="Times New Roman"/>
                <w:color w:val="auto"/>
                <w:sz w:val="24"/>
                <w:szCs w:val="24"/>
                <w:highlight w:val="none"/>
                <w:lang w:eastAsia="zh-CN"/>
              </w:rPr>
              <w:t>，除尘效率≥</w:t>
            </w:r>
            <w:r>
              <w:rPr>
                <w:rFonts w:hint="default" w:ascii="Times New Roman" w:hAnsi="Times New Roman" w:eastAsia="宋体" w:cs="Times New Roman"/>
                <w:color w:val="auto"/>
                <w:sz w:val="24"/>
                <w:szCs w:val="24"/>
                <w:highlight w:val="none"/>
                <w:lang w:val="en-US" w:eastAsia="zh-CN"/>
              </w:rPr>
              <w:t>99%，</w:t>
            </w:r>
            <w:r>
              <w:rPr>
                <w:rFonts w:hint="default" w:ascii="Times New Roman" w:hAnsi="Times New Roman" w:eastAsia="宋体" w:cs="Times New Roman"/>
                <w:b w:val="0"/>
                <w:bCs w:val="0"/>
                <w:color w:val="auto"/>
                <w:spacing w:val="2"/>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粉料筒仓粉尘排放情况如下：</w:t>
            </w:r>
          </w:p>
          <w:p w14:paraId="5E58CB0D">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cs="Times New Roman"/>
                <w:b/>
                <w:bCs/>
                <w:color w:val="auto"/>
                <w:kern w:val="0"/>
                <w:sz w:val="24"/>
                <w:szCs w:val="24"/>
                <w:highlight w:val="none"/>
                <w:lang w:val="en-US" w:eastAsia="zh-CN" w:bidi="ar"/>
              </w:rPr>
              <w:t>4-8</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ascii="Times New Roman" w:hAnsi="Times New Roman" w:eastAsia="宋体" w:cs="Times New Roman"/>
                <w:b/>
                <w:bCs/>
                <w:color w:val="auto"/>
                <w:kern w:val="0"/>
                <w:sz w:val="24"/>
                <w:szCs w:val="24"/>
                <w:highlight w:val="none"/>
                <w:lang w:val="en-US" w:eastAsia="zh-CN" w:bidi="ar"/>
              </w:rPr>
              <w:t>固化剂料仓</w:t>
            </w:r>
            <w:r>
              <w:rPr>
                <w:rFonts w:hint="default" w:ascii="Times New Roman" w:hAnsi="Times New Roman" w:eastAsia="宋体" w:cs="Times New Roman"/>
                <w:b/>
                <w:bCs/>
                <w:color w:val="auto"/>
                <w:kern w:val="0"/>
                <w:sz w:val="24"/>
                <w:szCs w:val="24"/>
                <w:highlight w:val="none"/>
                <w:lang w:val="en-US" w:eastAsia="zh-CN" w:bidi="ar"/>
              </w:rPr>
              <w:t>粉尘排放情况一览表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132"/>
              <w:gridCol w:w="3083"/>
              <w:gridCol w:w="1203"/>
              <w:gridCol w:w="1678"/>
            </w:tblGrid>
            <w:tr w14:paraId="36BB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88" w:type="pct"/>
                  <w:noWrap w:val="0"/>
                  <w:vAlign w:val="center"/>
                </w:tcPr>
                <w:p w14:paraId="7E28AF3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40" w:type="pct"/>
                  <w:noWrap w:val="0"/>
                  <w:vAlign w:val="center"/>
                </w:tcPr>
                <w:p w14:paraId="742FF9B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产生量t/a</w:t>
                  </w:r>
                </w:p>
              </w:tc>
              <w:tc>
                <w:tcPr>
                  <w:tcW w:w="1742" w:type="pct"/>
                  <w:noWrap w:val="0"/>
                  <w:vAlign w:val="center"/>
                </w:tcPr>
                <w:p w14:paraId="29319A1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680" w:type="pct"/>
                  <w:noWrap w:val="0"/>
                  <w:vAlign w:val="center"/>
                </w:tcPr>
                <w:p w14:paraId="33F4726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排放量 t/a</w:t>
                  </w:r>
                </w:p>
              </w:tc>
              <w:tc>
                <w:tcPr>
                  <w:tcW w:w="948" w:type="pct"/>
                  <w:noWrap w:val="0"/>
                  <w:vAlign w:val="center"/>
                </w:tcPr>
                <w:p w14:paraId="092FD6C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排放速率 kg/h</w:t>
                  </w:r>
                </w:p>
              </w:tc>
            </w:tr>
            <w:tr w14:paraId="5F3F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988" w:type="pct"/>
                  <w:noWrap w:val="0"/>
                  <w:vAlign w:val="center"/>
                </w:tcPr>
                <w:p w14:paraId="657FA6C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r>
                    <w:rPr>
                      <w:rFonts w:hint="eastAsia" w:cs="Times New Roman"/>
                      <w:b w:val="0"/>
                      <w:bCs w:val="0"/>
                      <w:color w:val="auto"/>
                      <w:sz w:val="21"/>
                      <w:szCs w:val="21"/>
                      <w:highlight w:val="none"/>
                      <w:lang w:val="en-US" w:eastAsia="zh-CN"/>
                    </w:rPr>
                    <w:t>料</w:t>
                  </w:r>
                  <w:r>
                    <w:rPr>
                      <w:rFonts w:hint="default" w:ascii="Times New Roman" w:hAnsi="Times New Roman" w:eastAsia="宋体" w:cs="Times New Roman"/>
                      <w:b w:val="0"/>
                      <w:bCs w:val="0"/>
                      <w:color w:val="auto"/>
                      <w:sz w:val="21"/>
                      <w:szCs w:val="21"/>
                      <w:highlight w:val="none"/>
                      <w:lang w:val="en-US" w:eastAsia="zh-CN"/>
                    </w:rPr>
                    <w:t>仓</w:t>
                  </w:r>
                </w:p>
              </w:tc>
              <w:tc>
                <w:tcPr>
                  <w:tcW w:w="640" w:type="pct"/>
                  <w:noWrap w:val="0"/>
                  <w:vAlign w:val="center"/>
                </w:tcPr>
                <w:p w14:paraId="2E9CCD6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2.86</w:t>
                  </w:r>
                </w:p>
              </w:tc>
              <w:tc>
                <w:tcPr>
                  <w:tcW w:w="1742" w:type="pct"/>
                  <w:noWrap w:val="0"/>
                  <w:vAlign w:val="center"/>
                </w:tcPr>
                <w:p w14:paraId="078A875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袋式</w:t>
                  </w:r>
                  <w:r>
                    <w:rPr>
                      <w:rFonts w:hint="default" w:ascii="Times New Roman" w:hAnsi="Times New Roman" w:eastAsia="宋体" w:cs="Times New Roman"/>
                      <w:b w:val="0"/>
                      <w:bCs w:val="0"/>
                      <w:color w:val="auto"/>
                      <w:sz w:val="21"/>
                      <w:szCs w:val="21"/>
                      <w:highlight w:val="none"/>
                      <w:lang w:val="en-US" w:eastAsia="zh-CN"/>
                    </w:rPr>
                    <w:t>除尘器（TA00</w:t>
                  </w:r>
                  <w:r>
                    <w:rPr>
                      <w:rFonts w:hint="eastAsia"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，处理效率99%</w:t>
                  </w:r>
                </w:p>
              </w:tc>
              <w:tc>
                <w:tcPr>
                  <w:tcW w:w="680" w:type="pct"/>
                  <w:noWrap w:val="0"/>
                  <w:vAlign w:val="center"/>
                </w:tcPr>
                <w:p w14:paraId="764659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0.029</w:t>
                  </w:r>
                </w:p>
              </w:tc>
              <w:tc>
                <w:tcPr>
                  <w:tcW w:w="948" w:type="pct"/>
                  <w:noWrap w:val="0"/>
                  <w:vAlign w:val="center"/>
                </w:tcPr>
                <w:p w14:paraId="6E02C8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0.423</w:t>
                  </w:r>
                </w:p>
              </w:tc>
            </w:tr>
            <w:tr w14:paraId="2A16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noWrap w:val="0"/>
                  <w:vAlign w:val="center"/>
                </w:tcPr>
                <w:p w14:paraId="39D2829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r>
                    <w:rPr>
                      <w:rFonts w:hint="eastAsia" w:ascii="Times New Roman" w:hAnsi="Times New Roman" w:eastAsia="宋体" w:cs="Times New Roman"/>
                      <w:b w:val="0"/>
                      <w:bCs w:val="0"/>
                      <w:color w:val="auto"/>
                      <w:sz w:val="21"/>
                      <w:szCs w:val="21"/>
                      <w:highlight w:val="none"/>
                      <w:vertAlign w:val="baseline"/>
                      <w:lang w:val="en-US" w:eastAsia="zh-CN"/>
                    </w:rPr>
                    <w:t>料仓</w:t>
                  </w:r>
                </w:p>
              </w:tc>
              <w:tc>
                <w:tcPr>
                  <w:tcW w:w="640" w:type="pct"/>
                  <w:noWrap w:val="0"/>
                  <w:vAlign w:val="center"/>
                </w:tcPr>
                <w:p w14:paraId="3916B0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i w:val="0"/>
                      <w:iCs w:val="0"/>
                      <w:color w:val="auto"/>
                      <w:kern w:val="0"/>
                      <w:sz w:val="21"/>
                      <w:szCs w:val="21"/>
                      <w:highlight w:val="none"/>
                      <w:u w:val="none"/>
                      <w:lang w:val="en-US" w:eastAsia="zh-CN" w:bidi="ar"/>
                    </w:rPr>
                    <w:t>2.86</w:t>
                  </w:r>
                </w:p>
              </w:tc>
              <w:tc>
                <w:tcPr>
                  <w:tcW w:w="1742" w:type="pct"/>
                  <w:noWrap w:val="0"/>
                  <w:vAlign w:val="center"/>
                </w:tcPr>
                <w:p w14:paraId="1722B50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袋式</w:t>
                  </w:r>
                  <w:r>
                    <w:rPr>
                      <w:rFonts w:hint="default" w:ascii="Times New Roman" w:hAnsi="Times New Roman" w:eastAsia="宋体" w:cs="Times New Roman"/>
                      <w:b w:val="0"/>
                      <w:bCs w:val="0"/>
                      <w:color w:val="auto"/>
                      <w:sz w:val="21"/>
                      <w:szCs w:val="21"/>
                      <w:highlight w:val="none"/>
                      <w:lang w:val="en-US" w:eastAsia="zh-CN"/>
                    </w:rPr>
                    <w:t>除尘器（TA003）</w:t>
                  </w:r>
                  <w:r>
                    <w:rPr>
                      <w:rFonts w:hint="eastAsia" w:ascii="Times New Roman" w:hAnsi="Times New Roman" w:eastAsia="宋体" w:cs="Times New Roman"/>
                      <w:b w:val="0"/>
                      <w:bCs w:val="0"/>
                      <w:color w:val="auto"/>
                      <w:sz w:val="21"/>
                      <w:szCs w:val="21"/>
                      <w:highlight w:val="none"/>
                      <w:lang w:val="en-US" w:eastAsia="zh-CN"/>
                    </w:rPr>
                    <w:t>，处理效率99%</w:t>
                  </w:r>
                </w:p>
              </w:tc>
              <w:tc>
                <w:tcPr>
                  <w:tcW w:w="680" w:type="pct"/>
                  <w:shd w:val="clear" w:color="auto" w:fill="auto"/>
                  <w:noWrap w:val="0"/>
                  <w:vAlign w:val="center"/>
                </w:tcPr>
                <w:p w14:paraId="68E2E6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0.029</w:t>
                  </w:r>
                </w:p>
              </w:tc>
              <w:tc>
                <w:tcPr>
                  <w:tcW w:w="948" w:type="pct"/>
                  <w:shd w:val="clear" w:color="auto" w:fill="auto"/>
                  <w:noWrap w:val="0"/>
                  <w:vAlign w:val="center"/>
                </w:tcPr>
                <w:p w14:paraId="1AF7CC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0.423</w:t>
                  </w:r>
                </w:p>
              </w:tc>
            </w:tr>
          </w:tbl>
          <w:p w14:paraId="5B976CE6">
            <w:pPr>
              <w:spacing w:line="360" w:lineRule="auto"/>
              <w:ind w:firstLine="480" w:firstLineChars="20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综上分析，本项目固化剂水泥料仓、粉煤灰料仓全年粉尘产生量量5.72t/a，经</w:t>
            </w:r>
            <w:r>
              <w:rPr>
                <w:rFonts w:hint="default" w:ascii="Times New Roman" w:hAnsi="Times New Roman" w:eastAsia="宋体" w:cs="Times New Roman"/>
                <w:b w:val="0"/>
                <w:bCs w:val="0"/>
                <w:color w:val="auto"/>
                <w:sz w:val="24"/>
                <w:szCs w:val="24"/>
                <w:highlight w:val="none"/>
                <w:lang w:eastAsia="zh-CN"/>
              </w:rPr>
              <w:t>仓顶</w:t>
            </w:r>
            <w:r>
              <w:rPr>
                <w:rFonts w:hint="eastAsia" w:ascii="Times New Roman" w:hAnsi="Times New Roman" w:eastAsia="宋体" w:cs="Times New Roman"/>
                <w:b w:val="0"/>
                <w:bCs w:val="0"/>
                <w:color w:val="auto"/>
                <w:sz w:val="24"/>
                <w:szCs w:val="24"/>
                <w:highlight w:val="none"/>
                <w:lang w:val="en-US" w:eastAsia="zh-CN"/>
              </w:rPr>
              <w:t>各自</w:t>
            </w:r>
            <w:r>
              <w:rPr>
                <w:rFonts w:hint="default" w:ascii="Times New Roman" w:hAnsi="Times New Roman" w:eastAsia="宋体" w:cs="Times New Roman"/>
                <w:b w:val="0"/>
                <w:bCs w:val="0"/>
                <w:color w:val="auto"/>
                <w:sz w:val="24"/>
                <w:szCs w:val="24"/>
                <w:highlight w:val="none"/>
                <w:lang w:eastAsia="zh-CN"/>
              </w:rPr>
              <w:t>配置</w:t>
            </w:r>
            <w:r>
              <w:rPr>
                <w:rFonts w:hint="eastAsia" w:ascii="Times New Roman" w:hAnsi="Times New Roman" w:eastAsia="宋体" w:cs="Times New Roman"/>
                <w:b w:val="0"/>
                <w:bCs w:val="0"/>
                <w:color w:val="auto"/>
                <w:sz w:val="24"/>
                <w:szCs w:val="24"/>
                <w:highlight w:val="none"/>
                <w:lang w:val="en-US" w:eastAsia="zh-CN"/>
              </w:rPr>
              <w:t>的袋式</w:t>
            </w:r>
            <w:r>
              <w:rPr>
                <w:rFonts w:hint="default" w:ascii="Times New Roman" w:hAnsi="Times New Roman" w:eastAsia="宋体" w:cs="Times New Roman"/>
                <w:b w:val="0"/>
                <w:bCs w:val="0"/>
                <w:color w:val="auto"/>
                <w:sz w:val="24"/>
                <w:szCs w:val="24"/>
                <w:highlight w:val="none"/>
                <w:lang w:val="en-US" w:eastAsia="zh-CN"/>
              </w:rPr>
              <w:t>除尘器</w:t>
            </w:r>
            <w:r>
              <w:rPr>
                <w:rFonts w:hint="eastAsia" w:ascii="Times New Roman" w:hAnsi="Times New Roman" w:eastAsia="宋体" w:cs="Times New Roman"/>
                <w:b w:val="0"/>
                <w:bCs w:val="0"/>
                <w:color w:val="auto"/>
                <w:sz w:val="24"/>
                <w:szCs w:val="24"/>
                <w:highlight w:val="none"/>
                <w:lang w:val="en-US" w:eastAsia="zh-CN"/>
              </w:rPr>
              <w:t>处理后，粉尘年排放为0.0</w:t>
            </w:r>
            <w:r>
              <w:rPr>
                <w:rFonts w:hint="eastAsia" w:cs="Times New Roman"/>
                <w:b w:val="0"/>
                <w:bCs w:val="0"/>
                <w:color w:val="auto"/>
                <w:sz w:val="24"/>
                <w:szCs w:val="24"/>
                <w:highlight w:val="none"/>
                <w:lang w:val="en-US" w:eastAsia="zh-CN"/>
              </w:rPr>
              <w:t>5</w:t>
            </w:r>
            <w:r>
              <w:rPr>
                <w:rFonts w:hint="eastAsia" w:ascii="Times New Roman" w:hAnsi="Times New Roman" w:eastAsia="宋体" w:cs="Times New Roman"/>
                <w:b w:val="0"/>
                <w:bCs w:val="0"/>
                <w:color w:val="auto"/>
                <w:sz w:val="24"/>
                <w:szCs w:val="24"/>
                <w:highlight w:val="none"/>
                <w:lang w:val="en-US" w:eastAsia="zh-CN"/>
              </w:rPr>
              <w:t>8t/a、</w:t>
            </w:r>
            <w:r>
              <w:rPr>
                <w:rFonts w:hint="eastAsia" w:cs="Times New Roman"/>
                <w:b w:val="0"/>
                <w:bCs w:val="0"/>
                <w:color w:val="auto"/>
                <w:sz w:val="24"/>
                <w:szCs w:val="24"/>
                <w:highlight w:val="none"/>
                <w:lang w:val="en-US" w:eastAsia="zh-CN"/>
              </w:rPr>
              <w:t>0.846</w:t>
            </w:r>
            <w:r>
              <w:rPr>
                <w:rFonts w:hint="eastAsia" w:ascii="Times New Roman" w:hAnsi="Times New Roman" w:eastAsia="宋体" w:cs="Times New Roman"/>
                <w:b w:val="0"/>
                <w:bCs w:val="0"/>
                <w:color w:val="auto"/>
                <w:sz w:val="24"/>
                <w:szCs w:val="24"/>
                <w:highlight w:val="none"/>
                <w:lang w:val="en-US" w:eastAsia="zh-CN"/>
              </w:rPr>
              <w:t>kg/h，呈无组织排放。</w:t>
            </w:r>
          </w:p>
          <w:p w14:paraId="356AC73A">
            <w:pPr>
              <w:spacing w:line="360" w:lineRule="auto"/>
              <w:ind w:firstLine="482"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（3）搅拌楼粉尘</w:t>
            </w:r>
          </w:p>
          <w:p w14:paraId="5B01ACD3">
            <w:pPr>
              <w:spacing w:line="360" w:lineRule="auto"/>
              <w:ind w:firstLine="480" w:firstLineChars="200"/>
              <w:rPr>
                <w:rFonts w:hint="eastAsia"/>
                <w:b/>
                <w:bCs/>
                <w:color w:val="auto"/>
                <w:sz w:val="24"/>
                <w:szCs w:val="24"/>
                <w:highlight w:val="none"/>
                <w:lang w:val="en-US" w:eastAsia="zh-CN"/>
              </w:rPr>
            </w:pPr>
            <w:r>
              <w:rPr>
                <w:rFonts w:hint="eastAsia" w:ascii="Times New Roman" w:hAnsi="Times New Roman" w:eastAsia="宋体" w:cs="Times New Roman"/>
                <w:color w:val="auto"/>
                <w:sz w:val="24"/>
                <w:highlight w:val="none"/>
                <w:shd w:val="clear" w:color="auto" w:fill="auto"/>
                <w:lang w:val="en-US" w:eastAsia="zh-CN"/>
              </w:rPr>
              <w:t>本项目固化剂水泥、粉煤灰通过密闭管道输送至搅拌楼内，整个搅拌过程均在密闭状态下进行，且蒸发母液含有一定的水分，粉尘产生量小，对外环境影响不大。</w:t>
            </w:r>
          </w:p>
          <w:p w14:paraId="5927FD7E">
            <w:pPr>
              <w:spacing w:line="360" w:lineRule="auto"/>
              <w:ind w:firstLine="482" w:firstLineChars="200"/>
              <w:rPr>
                <w:b/>
                <w:color w:val="auto"/>
                <w:sz w:val="24"/>
                <w:highlight w:val="none"/>
              </w:rPr>
            </w:pPr>
            <w:r>
              <w:rPr>
                <w:rFonts w:hint="eastAsia" w:ascii="Times New Roman"/>
                <w:b/>
                <w:bCs/>
                <w:color w:val="auto"/>
                <w:sz w:val="24"/>
                <w:szCs w:val="24"/>
                <w:highlight w:val="none"/>
                <w:lang w:val="en-US" w:eastAsia="zh-CN"/>
              </w:rPr>
              <w:t>2、</w:t>
            </w:r>
            <w:r>
              <w:rPr>
                <w:rFonts w:hint="eastAsia"/>
                <w:b/>
                <w:color w:val="auto"/>
                <w:sz w:val="24"/>
                <w:highlight w:val="none"/>
              </w:rPr>
              <w:t>非正常排放</w:t>
            </w:r>
          </w:p>
          <w:p w14:paraId="062E6C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highlight w:val="none"/>
              </w:rPr>
            </w:pPr>
            <w:r>
              <w:rPr>
                <w:rFonts w:hint="eastAsia"/>
                <w:bCs/>
                <w:color w:val="auto"/>
                <w:sz w:val="24"/>
                <w:highlight w:val="none"/>
              </w:rPr>
              <w:t>项目</w:t>
            </w:r>
            <w:r>
              <w:rPr>
                <w:rFonts w:hint="eastAsia"/>
                <w:bCs/>
                <w:color w:val="auto"/>
                <w:sz w:val="24"/>
                <w:highlight w:val="none"/>
                <w:lang w:val="en-US" w:eastAsia="zh-CN"/>
              </w:rPr>
              <w:t>产生的恶臭经一套化学洗涤塔</w:t>
            </w:r>
            <w:r>
              <w:rPr>
                <w:rFonts w:hint="eastAsia"/>
                <w:bCs/>
                <w:color w:val="auto"/>
                <w:sz w:val="24"/>
                <w:highlight w:val="none"/>
                <w:lang w:eastAsia="zh-CN"/>
              </w:rPr>
              <w:t>处理后通过一根</w:t>
            </w:r>
            <w:r>
              <w:rPr>
                <w:rFonts w:hint="eastAsia"/>
                <w:bCs/>
                <w:color w:val="auto"/>
                <w:sz w:val="24"/>
                <w:highlight w:val="none"/>
                <w:lang w:val="en-US" w:eastAsia="zh-CN"/>
              </w:rPr>
              <w:t>15m排气筒</w:t>
            </w:r>
            <w:r>
              <w:rPr>
                <w:rFonts w:hint="eastAsia"/>
                <w:bCs/>
                <w:color w:val="auto"/>
                <w:sz w:val="24"/>
                <w:highlight w:val="none"/>
              </w:rPr>
              <w:t>排放，</w:t>
            </w:r>
            <w:r>
              <w:rPr>
                <w:bCs/>
                <w:color w:val="auto"/>
                <w:sz w:val="24"/>
                <w:highlight w:val="none"/>
              </w:rPr>
              <w:t>在</w:t>
            </w:r>
            <w:r>
              <w:rPr>
                <w:rFonts w:hint="eastAsia"/>
                <w:bCs/>
                <w:color w:val="auto"/>
                <w:sz w:val="24"/>
                <w:highlight w:val="none"/>
                <w:lang w:eastAsia="zh-CN"/>
              </w:rPr>
              <w:t>正常</w:t>
            </w:r>
            <w:r>
              <w:rPr>
                <w:bCs/>
                <w:color w:val="auto"/>
                <w:sz w:val="24"/>
                <w:highlight w:val="none"/>
              </w:rPr>
              <w:t>情况下运行只要达到设计要求，可确保</w:t>
            </w:r>
            <w:r>
              <w:rPr>
                <w:rFonts w:hint="eastAsia"/>
                <w:bCs/>
                <w:color w:val="auto"/>
                <w:sz w:val="24"/>
                <w:highlight w:val="none"/>
                <w:lang w:eastAsia="zh-CN"/>
              </w:rPr>
              <w:t>氨气、硫化氢</w:t>
            </w:r>
            <w:r>
              <w:rPr>
                <w:bCs/>
                <w:color w:val="auto"/>
                <w:sz w:val="24"/>
                <w:highlight w:val="none"/>
              </w:rPr>
              <w:t>达标排放。本环评</w:t>
            </w:r>
            <w:r>
              <w:rPr>
                <w:rFonts w:hint="eastAsia"/>
                <w:bCs/>
                <w:color w:val="auto"/>
                <w:sz w:val="24"/>
                <w:highlight w:val="none"/>
                <w:lang w:eastAsia="zh-CN"/>
              </w:rPr>
              <w:t>非正常排放</w:t>
            </w:r>
            <w:r>
              <w:rPr>
                <w:bCs/>
                <w:color w:val="auto"/>
                <w:sz w:val="24"/>
                <w:highlight w:val="none"/>
              </w:rPr>
              <w:t>按</w:t>
            </w:r>
            <w:r>
              <w:rPr>
                <w:rFonts w:hint="eastAsia"/>
                <w:bCs/>
                <w:color w:val="auto"/>
                <w:sz w:val="24"/>
                <w:highlight w:val="none"/>
                <w:lang w:val="en-US" w:eastAsia="zh-CN"/>
              </w:rPr>
              <w:t>化学洗涤塔</w:t>
            </w:r>
            <w:r>
              <w:rPr>
                <w:rFonts w:hint="eastAsia"/>
                <w:bCs/>
                <w:color w:val="auto"/>
                <w:sz w:val="24"/>
                <w:highlight w:val="none"/>
                <w:lang w:eastAsia="zh-CN"/>
              </w:rPr>
              <w:t>处理效率降低到</w:t>
            </w:r>
            <w:r>
              <w:rPr>
                <w:rFonts w:hint="eastAsia"/>
                <w:bCs/>
                <w:color w:val="auto"/>
                <w:sz w:val="24"/>
                <w:highlight w:val="none"/>
                <w:lang w:val="en-US" w:eastAsia="zh-CN"/>
              </w:rPr>
              <w:t>0%计</w:t>
            </w:r>
            <w:r>
              <w:rPr>
                <w:bCs/>
                <w:color w:val="auto"/>
                <w:sz w:val="24"/>
                <w:highlight w:val="none"/>
              </w:rPr>
              <w:t>，则</w:t>
            </w:r>
            <w:r>
              <w:rPr>
                <w:rFonts w:hint="eastAsia"/>
                <w:bCs/>
                <w:color w:val="auto"/>
                <w:sz w:val="24"/>
                <w:highlight w:val="none"/>
                <w:lang w:val="en-US" w:eastAsia="zh-CN"/>
              </w:rPr>
              <w:t>化学洗涤塔排气筒NH</w:t>
            </w:r>
            <w:r>
              <w:rPr>
                <w:rFonts w:hint="eastAsia"/>
                <w:bCs/>
                <w:color w:val="auto"/>
                <w:sz w:val="24"/>
                <w:highlight w:val="none"/>
                <w:vertAlign w:val="subscript"/>
                <w:lang w:val="en-US" w:eastAsia="zh-CN"/>
              </w:rPr>
              <w:t>3</w:t>
            </w:r>
            <w:r>
              <w:rPr>
                <w:bCs/>
                <w:color w:val="auto"/>
                <w:sz w:val="24"/>
                <w:highlight w:val="none"/>
              </w:rPr>
              <w:t>排放量为</w:t>
            </w:r>
            <w:r>
              <w:rPr>
                <w:rFonts w:hint="eastAsia"/>
                <w:bCs/>
                <w:color w:val="auto"/>
                <w:sz w:val="24"/>
                <w:highlight w:val="none"/>
                <w:lang w:val="en-US" w:eastAsia="zh-CN"/>
              </w:rPr>
              <w:t>0.197</w:t>
            </w:r>
            <w:r>
              <w:rPr>
                <w:bCs/>
                <w:color w:val="auto"/>
                <w:sz w:val="24"/>
                <w:highlight w:val="none"/>
              </w:rPr>
              <w:t>t/a，排放速率</w:t>
            </w:r>
            <w:r>
              <w:rPr>
                <w:rFonts w:hint="eastAsia"/>
                <w:bCs/>
                <w:color w:val="auto"/>
                <w:sz w:val="24"/>
                <w:highlight w:val="none"/>
                <w:lang w:val="en-US" w:eastAsia="zh-CN"/>
              </w:rPr>
              <w:t>0.022</w:t>
            </w:r>
            <w:r>
              <w:rPr>
                <w:bCs/>
                <w:color w:val="auto"/>
                <w:sz w:val="24"/>
                <w:highlight w:val="none"/>
              </w:rPr>
              <w:t>kg/h</w:t>
            </w:r>
            <w:r>
              <w:rPr>
                <w:rFonts w:hint="eastAsia"/>
                <w:bCs/>
                <w:color w:val="auto"/>
                <w:sz w:val="24"/>
                <w:highlight w:val="none"/>
                <w:lang w:eastAsia="zh-CN"/>
              </w:rPr>
              <w:t>；</w:t>
            </w:r>
            <w:r>
              <w:rPr>
                <w:rFonts w:hint="eastAsia"/>
                <w:bCs/>
                <w:color w:val="auto"/>
                <w:sz w:val="24"/>
                <w:highlight w:val="none"/>
                <w:lang w:val="en-US" w:eastAsia="zh-CN"/>
              </w:rPr>
              <w:t>H</w:t>
            </w:r>
            <w:r>
              <w:rPr>
                <w:rFonts w:hint="eastAsia"/>
                <w:bCs/>
                <w:color w:val="auto"/>
                <w:sz w:val="24"/>
                <w:highlight w:val="none"/>
                <w:vertAlign w:val="subscript"/>
                <w:lang w:val="en-US" w:eastAsia="zh-CN"/>
              </w:rPr>
              <w:t>2</w:t>
            </w:r>
            <w:r>
              <w:rPr>
                <w:rFonts w:hint="eastAsia"/>
                <w:bCs/>
                <w:color w:val="auto"/>
                <w:sz w:val="24"/>
                <w:highlight w:val="none"/>
                <w:lang w:val="en-US" w:eastAsia="zh-CN"/>
              </w:rPr>
              <w:t>S</w:t>
            </w:r>
            <w:r>
              <w:rPr>
                <w:bCs/>
                <w:color w:val="auto"/>
                <w:sz w:val="24"/>
                <w:highlight w:val="none"/>
              </w:rPr>
              <w:t>排放量为</w:t>
            </w:r>
            <w:r>
              <w:rPr>
                <w:rFonts w:hint="eastAsia"/>
                <w:bCs/>
                <w:color w:val="auto"/>
                <w:sz w:val="24"/>
                <w:highlight w:val="none"/>
                <w:lang w:val="en-US" w:eastAsia="zh-CN"/>
              </w:rPr>
              <w:t>0.008</w:t>
            </w:r>
            <w:r>
              <w:rPr>
                <w:bCs/>
                <w:color w:val="auto"/>
                <w:sz w:val="24"/>
                <w:highlight w:val="none"/>
              </w:rPr>
              <w:t>t/a，排放速率为</w:t>
            </w:r>
            <w:r>
              <w:rPr>
                <w:rFonts w:hint="eastAsia"/>
                <w:bCs/>
                <w:color w:val="auto"/>
                <w:sz w:val="24"/>
                <w:highlight w:val="none"/>
                <w:lang w:val="en-US" w:eastAsia="zh-CN"/>
              </w:rPr>
              <w:t>0.0009</w:t>
            </w:r>
            <w:r>
              <w:rPr>
                <w:bCs/>
                <w:color w:val="auto"/>
                <w:sz w:val="24"/>
                <w:highlight w:val="none"/>
              </w:rPr>
              <w:t>kg/h。</w:t>
            </w:r>
            <w:r>
              <w:rPr>
                <w:rFonts w:hint="eastAsia"/>
                <w:bCs/>
                <w:color w:val="auto"/>
                <w:sz w:val="24"/>
                <w:highlight w:val="none"/>
              </w:rPr>
              <w:t>项目故障情况下</w:t>
            </w:r>
            <w:r>
              <w:rPr>
                <w:rFonts w:hint="eastAsia"/>
                <w:bCs/>
                <w:color w:val="auto"/>
                <w:sz w:val="24"/>
                <w:highlight w:val="none"/>
                <w:lang w:val="en-US" w:eastAsia="zh-CN"/>
              </w:rPr>
              <w:t>NH</w:t>
            </w:r>
            <w:r>
              <w:rPr>
                <w:rFonts w:hint="eastAsia"/>
                <w:bCs/>
                <w:color w:val="auto"/>
                <w:sz w:val="24"/>
                <w:highlight w:val="none"/>
                <w:vertAlign w:val="subscript"/>
                <w:lang w:val="en-US" w:eastAsia="zh-CN"/>
              </w:rPr>
              <w:t>3</w:t>
            </w:r>
            <w:r>
              <w:rPr>
                <w:rFonts w:hint="eastAsia"/>
                <w:bCs/>
                <w:color w:val="auto"/>
                <w:sz w:val="24"/>
                <w:highlight w:val="none"/>
                <w:lang w:eastAsia="zh-CN"/>
              </w:rPr>
              <w:t>、</w:t>
            </w:r>
            <w:r>
              <w:rPr>
                <w:rFonts w:hint="eastAsia"/>
                <w:bCs/>
                <w:color w:val="auto"/>
                <w:sz w:val="24"/>
                <w:highlight w:val="none"/>
                <w:lang w:val="en-US" w:eastAsia="zh-CN"/>
              </w:rPr>
              <w:t>H</w:t>
            </w:r>
            <w:r>
              <w:rPr>
                <w:rFonts w:hint="eastAsia"/>
                <w:bCs/>
                <w:color w:val="auto"/>
                <w:sz w:val="24"/>
                <w:highlight w:val="none"/>
                <w:vertAlign w:val="subscript"/>
                <w:lang w:val="en-US" w:eastAsia="zh-CN"/>
              </w:rPr>
              <w:t>2</w:t>
            </w:r>
            <w:r>
              <w:rPr>
                <w:rFonts w:hint="eastAsia"/>
                <w:bCs/>
                <w:color w:val="auto"/>
                <w:sz w:val="24"/>
                <w:highlight w:val="none"/>
                <w:lang w:val="en-US" w:eastAsia="zh-CN"/>
              </w:rPr>
              <w:t>S</w:t>
            </w:r>
            <w:r>
              <w:rPr>
                <w:rFonts w:hint="eastAsia"/>
                <w:bCs/>
                <w:color w:val="auto"/>
                <w:sz w:val="24"/>
                <w:highlight w:val="none"/>
              </w:rPr>
              <w:t>排放</w:t>
            </w:r>
            <w:r>
              <w:rPr>
                <w:rFonts w:hint="eastAsia"/>
                <w:bCs/>
                <w:color w:val="auto"/>
                <w:sz w:val="24"/>
                <w:highlight w:val="none"/>
                <w:lang w:eastAsia="zh-CN"/>
              </w:rPr>
              <w:t>速率能够</w:t>
            </w:r>
            <w:r>
              <w:rPr>
                <w:rFonts w:hint="eastAsia"/>
                <w:bCs/>
                <w:color w:val="auto"/>
                <w:sz w:val="24"/>
                <w:highlight w:val="none"/>
              </w:rPr>
              <w:t>满足</w:t>
            </w:r>
            <w:r>
              <w:rPr>
                <w:rFonts w:hint="default" w:ascii="Times New Roman" w:hAnsi="Times New Roman" w:cs="Times New Roman"/>
                <w:bCs/>
                <w:color w:val="auto"/>
                <w:sz w:val="24"/>
                <w:highlight w:val="none"/>
              </w:rPr>
              <w:t>《</w:t>
            </w:r>
            <w:r>
              <w:rPr>
                <w:rFonts w:hint="eastAsia" w:cs="Times New Roman"/>
                <w:bCs/>
                <w:color w:val="auto"/>
                <w:sz w:val="24"/>
                <w:highlight w:val="none"/>
                <w:lang w:eastAsia="zh-CN"/>
              </w:rPr>
              <w:t>恶臭污染物</w:t>
            </w:r>
            <w:r>
              <w:rPr>
                <w:rFonts w:hint="default" w:ascii="Times New Roman" w:hAnsi="Times New Roman" w:cs="Times New Roman"/>
                <w:bCs/>
                <w:color w:val="auto"/>
                <w:sz w:val="24"/>
                <w:highlight w:val="none"/>
              </w:rPr>
              <w:t>排放标准》</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GB</w:t>
            </w:r>
            <w:r>
              <w:rPr>
                <w:rFonts w:hint="eastAsia" w:cs="Times New Roman"/>
                <w:bCs/>
                <w:color w:val="auto"/>
                <w:sz w:val="24"/>
                <w:highlight w:val="none"/>
                <w:lang w:val="en-US" w:eastAsia="zh-CN"/>
              </w:rPr>
              <w:t>14554-1993</w:t>
            </w:r>
            <w:r>
              <w:rPr>
                <w:rFonts w:hint="default" w:ascii="Times New Roman" w:hAnsi="Times New Roman" w:cs="Times New Roman"/>
                <w:bCs/>
                <w:color w:val="auto"/>
                <w:sz w:val="24"/>
                <w:highlight w:val="none"/>
                <w:lang w:eastAsia="zh-CN"/>
              </w:rPr>
              <w:t>）</w:t>
            </w:r>
            <w:r>
              <w:rPr>
                <w:rFonts w:hint="eastAsia" w:cs="Times New Roman"/>
                <w:bCs/>
                <w:color w:val="auto"/>
                <w:sz w:val="24"/>
                <w:highlight w:val="none"/>
                <w:lang w:eastAsia="zh-CN"/>
              </w:rPr>
              <w:t>表</w:t>
            </w:r>
            <w:r>
              <w:rPr>
                <w:rFonts w:hint="eastAsia" w:cs="Times New Roman"/>
                <w:bCs/>
                <w:color w:val="auto"/>
                <w:sz w:val="24"/>
                <w:highlight w:val="none"/>
                <w:lang w:val="en-US" w:eastAsia="zh-CN"/>
              </w:rPr>
              <w:t>2</w:t>
            </w:r>
            <w:r>
              <w:rPr>
                <w:bCs/>
                <w:color w:val="auto"/>
                <w:sz w:val="24"/>
                <w:highlight w:val="none"/>
              </w:rPr>
              <w:t>中</w:t>
            </w:r>
            <w:r>
              <w:rPr>
                <w:rFonts w:hint="eastAsia"/>
                <w:bCs/>
                <w:color w:val="auto"/>
                <w:sz w:val="24"/>
                <w:highlight w:val="none"/>
                <w:lang w:eastAsia="zh-CN"/>
              </w:rPr>
              <w:t>排放标准</w:t>
            </w:r>
            <w:r>
              <w:rPr>
                <w:rFonts w:hint="eastAsia"/>
                <w:bCs/>
                <w:color w:val="auto"/>
                <w:sz w:val="24"/>
                <w:highlight w:val="none"/>
              </w:rPr>
              <w:t>限值要求</w:t>
            </w:r>
            <w:r>
              <w:rPr>
                <w:rFonts w:hint="eastAsia"/>
                <w:bCs/>
                <w:color w:val="auto"/>
                <w:sz w:val="24"/>
                <w:highlight w:val="none"/>
                <w:lang w:eastAsia="zh-CN"/>
              </w:rPr>
              <w:t>（</w:t>
            </w:r>
            <w:r>
              <w:rPr>
                <w:rFonts w:hint="eastAsia"/>
                <w:bCs/>
                <w:color w:val="auto"/>
                <w:sz w:val="24"/>
                <w:highlight w:val="none"/>
                <w:lang w:val="en-US" w:eastAsia="zh-CN"/>
              </w:rPr>
              <w:t>NH</w:t>
            </w:r>
            <w:r>
              <w:rPr>
                <w:rFonts w:hint="eastAsia"/>
                <w:bCs/>
                <w:color w:val="auto"/>
                <w:sz w:val="24"/>
                <w:highlight w:val="none"/>
                <w:vertAlign w:val="subscript"/>
                <w:lang w:val="en-US" w:eastAsia="zh-CN"/>
              </w:rPr>
              <w:t>3</w:t>
            </w:r>
            <w:r>
              <w:rPr>
                <w:rFonts w:hint="eastAsia"/>
                <w:bCs/>
                <w:color w:val="auto"/>
                <w:sz w:val="24"/>
                <w:highlight w:val="none"/>
                <w:vertAlign w:val="baseline"/>
                <w:lang w:val="en-US" w:eastAsia="zh-CN"/>
              </w:rPr>
              <w:t xml:space="preserve"> 4.9kg/h</w:t>
            </w:r>
            <w:r>
              <w:rPr>
                <w:rFonts w:hint="eastAsia"/>
                <w:bCs/>
                <w:color w:val="auto"/>
                <w:sz w:val="24"/>
                <w:highlight w:val="none"/>
                <w:lang w:eastAsia="zh-CN"/>
              </w:rPr>
              <w:t>、</w:t>
            </w:r>
            <w:r>
              <w:rPr>
                <w:rFonts w:hint="eastAsia"/>
                <w:bCs/>
                <w:color w:val="auto"/>
                <w:sz w:val="24"/>
                <w:highlight w:val="none"/>
                <w:lang w:val="en-US" w:eastAsia="zh-CN"/>
              </w:rPr>
              <w:t>H</w:t>
            </w:r>
            <w:r>
              <w:rPr>
                <w:rFonts w:hint="eastAsia"/>
                <w:bCs/>
                <w:color w:val="auto"/>
                <w:sz w:val="24"/>
                <w:highlight w:val="none"/>
                <w:vertAlign w:val="subscript"/>
                <w:lang w:val="en-US" w:eastAsia="zh-CN"/>
              </w:rPr>
              <w:t>2</w:t>
            </w:r>
            <w:r>
              <w:rPr>
                <w:rFonts w:hint="eastAsia"/>
                <w:bCs/>
                <w:color w:val="auto"/>
                <w:sz w:val="24"/>
                <w:highlight w:val="none"/>
                <w:lang w:val="en-US" w:eastAsia="zh-CN"/>
              </w:rPr>
              <w:t>S 0.33kg/h</w:t>
            </w:r>
            <w:r>
              <w:rPr>
                <w:rFonts w:hint="eastAsia"/>
                <w:bCs/>
                <w:color w:val="auto"/>
                <w:sz w:val="24"/>
                <w:highlight w:val="none"/>
                <w:lang w:eastAsia="zh-CN"/>
              </w:rPr>
              <w:t>）</w:t>
            </w:r>
            <w:r>
              <w:rPr>
                <w:rFonts w:hint="eastAsia"/>
                <w:bCs/>
                <w:color w:val="auto"/>
                <w:sz w:val="24"/>
                <w:highlight w:val="none"/>
              </w:rPr>
              <w:t>。</w:t>
            </w:r>
          </w:p>
          <w:p w14:paraId="7EE95A2A">
            <w:pPr>
              <w:adjustRightInd w:val="0"/>
              <w:snapToGrid w:val="0"/>
              <w:spacing w:line="360" w:lineRule="auto"/>
              <w:ind w:firstLine="482" w:firstLineChars="200"/>
              <w:jc w:val="center"/>
              <w:rPr>
                <w:b/>
                <w:color w:val="auto"/>
                <w:sz w:val="24"/>
                <w:szCs w:val="24"/>
                <w:highlight w:val="none"/>
              </w:rPr>
            </w:pPr>
            <w:r>
              <w:rPr>
                <w:rFonts w:hint="eastAsia"/>
                <w:b/>
                <w:color w:val="auto"/>
                <w:sz w:val="24"/>
                <w:szCs w:val="24"/>
                <w:highlight w:val="none"/>
              </w:rPr>
              <w:t>表4</w:t>
            </w:r>
            <w:r>
              <w:rPr>
                <w:b/>
                <w:color w:val="auto"/>
                <w:sz w:val="24"/>
                <w:szCs w:val="24"/>
                <w:highlight w:val="none"/>
              </w:rPr>
              <w:t>-</w:t>
            </w:r>
            <w:r>
              <w:rPr>
                <w:rFonts w:hint="eastAsia"/>
                <w:b/>
                <w:color w:val="auto"/>
                <w:sz w:val="24"/>
                <w:szCs w:val="24"/>
                <w:highlight w:val="none"/>
                <w:lang w:val="en-US" w:eastAsia="zh-CN"/>
              </w:rPr>
              <w:t xml:space="preserve">9  </w:t>
            </w:r>
            <w:r>
              <w:rPr>
                <w:b/>
                <w:color w:val="auto"/>
                <w:sz w:val="24"/>
                <w:szCs w:val="24"/>
                <w:highlight w:val="none"/>
              </w:rPr>
              <w:t xml:space="preserve"> </w:t>
            </w:r>
            <w:r>
              <w:rPr>
                <w:rFonts w:hint="eastAsia"/>
                <w:b/>
                <w:color w:val="auto"/>
                <w:sz w:val="24"/>
                <w:szCs w:val="24"/>
                <w:highlight w:val="none"/>
              </w:rPr>
              <w:t>污染源非正常排放量核算表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341"/>
              <w:gridCol w:w="1250"/>
              <w:gridCol w:w="1250"/>
              <w:gridCol w:w="1250"/>
              <w:gridCol w:w="954"/>
              <w:gridCol w:w="1551"/>
            </w:tblGrid>
            <w:tr w14:paraId="7C44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tcBorders>
                    <w:tl2br w:val="nil"/>
                    <w:tr2bl w:val="nil"/>
                  </w:tcBorders>
                  <w:noWrap w:val="0"/>
                  <w:vAlign w:val="center"/>
                </w:tcPr>
                <w:p w14:paraId="04760304">
                  <w:pPr>
                    <w:jc w:val="center"/>
                    <w:rPr>
                      <w:color w:val="auto"/>
                      <w:szCs w:val="21"/>
                      <w:highlight w:val="none"/>
                    </w:rPr>
                  </w:pPr>
                  <w:r>
                    <w:rPr>
                      <w:rFonts w:hint="eastAsia"/>
                      <w:color w:val="auto"/>
                      <w:szCs w:val="21"/>
                      <w:highlight w:val="none"/>
                    </w:rPr>
                    <w:t>污染源</w:t>
                  </w:r>
                </w:p>
              </w:tc>
              <w:tc>
                <w:tcPr>
                  <w:tcW w:w="758" w:type="pct"/>
                  <w:tcBorders>
                    <w:tl2br w:val="nil"/>
                    <w:tr2bl w:val="nil"/>
                  </w:tcBorders>
                  <w:noWrap w:val="0"/>
                  <w:vAlign w:val="center"/>
                </w:tcPr>
                <w:p w14:paraId="73154D2A">
                  <w:pPr>
                    <w:jc w:val="center"/>
                    <w:rPr>
                      <w:rFonts w:hint="eastAsia"/>
                      <w:color w:val="auto"/>
                      <w:szCs w:val="21"/>
                      <w:highlight w:val="none"/>
                    </w:rPr>
                  </w:pPr>
                  <w:r>
                    <w:rPr>
                      <w:rFonts w:hint="eastAsia"/>
                      <w:color w:val="auto"/>
                      <w:szCs w:val="21"/>
                      <w:highlight w:val="none"/>
                    </w:rPr>
                    <w:t>非正常排放原因</w:t>
                  </w:r>
                </w:p>
              </w:tc>
              <w:tc>
                <w:tcPr>
                  <w:tcW w:w="706" w:type="pct"/>
                  <w:tcBorders>
                    <w:tl2br w:val="nil"/>
                    <w:tr2bl w:val="nil"/>
                  </w:tcBorders>
                  <w:noWrap w:val="0"/>
                  <w:vAlign w:val="center"/>
                </w:tcPr>
                <w:p w14:paraId="759CD615">
                  <w:pPr>
                    <w:jc w:val="center"/>
                    <w:rPr>
                      <w:color w:val="auto"/>
                      <w:szCs w:val="21"/>
                      <w:highlight w:val="none"/>
                    </w:rPr>
                  </w:pPr>
                  <w:r>
                    <w:rPr>
                      <w:rFonts w:hint="eastAsia"/>
                      <w:color w:val="auto"/>
                      <w:szCs w:val="21"/>
                      <w:highlight w:val="none"/>
                    </w:rPr>
                    <w:t>污染物</w:t>
                  </w:r>
                </w:p>
              </w:tc>
              <w:tc>
                <w:tcPr>
                  <w:tcW w:w="706" w:type="pct"/>
                  <w:tcBorders>
                    <w:tl2br w:val="nil"/>
                    <w:tr2bl w:val="nil"/>
                  </w:tcBorders>
                  <w:noWrap w:val="0"/>
                  <w:vAlign w:val="center"/>
                </w:tcPr>
                <w:p w14:paraId="3263C68B">
                  <w:pPr>
                    <w:jc w:val="center"/>
                    <w:rPr>
                      <w:rFonts w:hint="default" w:eastAsia="宋体"/>
                      <w:color w:val="auto"/>
                      <w:szCs w:val="21"/>
                      <w:highlight w:val="none"/>
                      <w:lang w:val="en-US" w:eastAsia="zh-CN"/>
                    </w:rPr>
                  </w:pPr>
                  <w:r>
                    <w:rPr>
                      <w:rFonts w:hint="eastAsia"/>
                      <w:color w:val="auto"/>
                      <w:szCs w:val="21"/>
                      <w:highlight w:val="none"/>
                    </w:rPr>
                    <w:t>非正常排放速率</w:t>
                  </w:r>
                  <w:r>
                    <w:rPr>
                      <w:rFonts w:hint="eastAsia"/>
                      <w:color w:val="auto"/>
                      <w:szCs w:val="21"/>
                      <w:highlight w:val="none"/>
                      <w:lang w:val="en-US" w:eastAsia="zh-CN"/>
                    </w:rPr>
                    <w:t>kg/h</w:t>
                  </w:r>
                </w:p>
              </w:tc>
              <w:tc>
                <w:tcPr>
                  <w:tcW w:w="706" w:type="pct"/>
                  <w:tcBorders>
                    <w:tl2br w:val="nil"/>
                    <w:tr2bl w:val="nil"/>
                  </w:tcBorders>
                  <w:noWrap w:val="0"/>
                  <w:vAlign w:val="center"/>
                </w:tcPr>
                <w:p w14:paraId="307C0135">
                  <w:pPr>
                    <w:jc w:val="center"/>
                    <w:rPr>
                      <w:color w:val="auto"/>
                      <w:szCs w:val="21"/>
                      <w:highlight w:val="none"/>
                    </w:rPr>
                  </w:pPr>
                  <w:r>
                    <w:rPr>
                      <w:rFonts w:hint="eastAsia"/>
                      <w:color w:val="auto"/>
                      <w:szCs w:val="21"/>
                      <w:highlight w:val="none"/>
                    </w:rPr>
                    <w:t>单次持续时间/h</w:t>
                  </w:r>
                </w:p>
              </w:tc>
              <w:tc>
                <w:tcPr>
                  <w:tcW w:w="539" w:type="pct"/>
                  <w:tcBorders>
                    <w:tl2br w:val="nil"/>
                    <w:tr2bl w:val="nil"/>
                  </w:tcBorders>
                  <w:noWrap w:val="0"/>
                  <w:vAlign w:val="center"/>
                </w:tcPr>
                <w:p w14:paraId="49CC9BB0">
                  <w:pPr>
                    <w:jc w:val="center"/>
                    <w:rPr>
                      <w:color w:val="auto"/>
                      <w:szCs w:val="21"/>
                      <w:highlight w:val="none"/>
                    </w:rPr>
                  </w:pPr>
                  <w:r>
                    <w:rPr>
                      <w:rFonts w:hint="eastAsia"/>
                      <w:color w:val="auto"/>
                      <w:szCs w:val="21"/>
                      <w:highlight w:val="none"/>
                    </w:rPr>
                    <w:t>年发生频次/次</w:t>
                  </w:r>
                </w:p>
              </w:tc>
              <w:tc>
                <w:tcPr>
                  <w:tcW w:w="876" w:type="pct"/>
                  <w:tcBorders>
                    <w:tl2br w:val="nil"/>
                    <w:tr2bl w:val="nil"/>
                  </w:tcBorders>
                  <w:noWrap w:val="0"/>
                  <w:vAlign w:val="center"/>
                </w:tcPr>
                <w:p w14:paraId="6EAD92A5">
                  <w:pPr>
                    <w:jc w:val="center"/>
                    <w:rPr>
                      <w:color w:val="auto"/>
                      <w:szCs w:val="21"/>
                      <w:highlight w:val="none"/>
                    </w:rPr>
                  </w:pPr>
                  <w:r>
                    <w:rPr>
                      <w:rFonts w:hint="eastAsia"/>
                      <w:color w:val="auto"/>
                      <w:szCs w:val="21"/>
                      <w:highlight w:val="none"/>
                    </w:rPr>
                    <w:t>应对措施</w:t>
                  </w:r>
                </w:p>
              </w:tc>
            </w:tr>
            <w:tr w14:paraId="7DBA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06" w:type="pct"/>
                  <w:vMerge w:val="restart"/>
                  <w:tcBorders>
                    <w:tl2br w:val="nil"/>
                    <w:tr2bl w:val="nil"/>
                  </w:tcBorders>
                  <w:noWrap w:val="0"/>
                  <w:vAlign w:val="center"/>
                </w:tcPr>
                <w:p w14:paraId="61B8F0B7">
                  <w:pPr>
                    <w:jc w:val="center"/>
                    <w:rPr>
                      <w:rFonts w:hint="eastAsia" w:eastAsia="宋体"/>
                      <w:color w:val="auto"/>
                      <w:szCs w:val="21"/>
                      <w:highlight w:val="none"/>
                      <w:lang w:eastAsia="zh-CN"/>
                    </w:rPr>
                  </w:pPr>
                  <w:r>
                    <w:rPr>
                      <w:rFonts w:hint="eastAsia"/>
                      <w:bCs/>
                      <w:color w:val="auto"/>
                      <w:sz w:val="21"/>
                      <w:szCs w:val="21"/>
                      <w:highlight w:val="none"/>
                      <w:lang w:val="en-US" w:eastAsia="zh-CN"/>
                    </w:rPr>
                    <w:t>化学洗涤塔</w:t>
                  </w:r>
                </w:p>
              </w:tc>
              <w:tc>
                <w:tcPr>
                  <w:tcW w:w="758" w:type="pct"/>
                  <w:vMerge w:val="restart"/>
                  <w:tcBorders>
                    <w:tl2br w:val="nil"/>
                    <w:tr2bl w:val="nil"/>
                  </w:tcBorders>
                  <w:noWrap w:val="0"/>
                  <w:vAlign w:val="center"/>
                </w:tcPr>
                <w:p w14:paraId="4598B663">
                  <w:pPr>
                    <w:jc w:val="center"/>
                    <w:rPr>
                      <w:rFonts w:hint="default"/>
                      <w:color w:val="auto"/>
                      <w:szCs w:val="21"/>
                      <w:highlight w:val="none"/>
                      <w:lang w:val="en-US"/>
                    </w:rPr>
                  </w:pPr>
                  <w:r>
                    <w:rPr>
                      <w:rFonts w:hint="eastAsia"/>
                      <w:color w:val="auto"/>
                      <w:szCs w:val="21"/>
                      <w:highlight w:val="none"/>
                      <w:lang w:eastAsia="zh-CN"/>
                    </w:rPr>
                    <w:t>处理效率降低至</w:t>
                  </w:r>
                  <w:r>
                    <w:rPr>
                      <w:rFonts w:hint="eastAsia"/>
                      <w:color w:val="auto"/>
                      <w:szCs w:val="21"/>
                      <w:highlight w:val="none"/>
                      <w:lang w:val="en-US" w:eastAsia="zh-CN"/>
                    </w:rPr>
                    <w:t>0%</w:t>
                  </w:r>
                </w:p>
              </w:tc>
              <w:tc>
                <w:tcPr>
                  <w:tcW w:w="706" w:type="pct"/>
                  <w:tcBorders>
                    <w:tl2br w:val="nil"/>
                    <w:tr2bl w:val="nil"/>
                  </w:tcBorders>
                  <w:noWrap w:val="0"/>
                  <w:vAlign w:val="center"/>
                </w:tcPr>
                <w:p w14:paraId="2B9E96C0">
                  <w:pPr>
                    <w:jc w:val="center"/>
                    <w:rPr>
                      <w:rFonts w:hint="eastAsia" w:eastAsia="宋体"/>
                      <w:color w:val="auto"/>
                      <w:szCs w:val="21"/>
                      <w:highlight w:val="none"/>
                      <w:lang w:eastAsia="zh-CN"/>
                    </w:rPr>
                  </w:pPr>
                  <w:r>
                    <w:rPr>
                      <w:rFonts w:hint="eastAsia"/>
                      <w:bCs/>
                      <w:color w:val="auto"/>
                      <w:sz w:val="24"/>
                      <w:highlight w:val="none"/>
                      <w:lang w:val="en-US" w:eastAsia="zh-CN"/>
                    </w:rPr>
                    <w:t>NH</w:t>
                  </w:r>
                  <w:r>
                    <w:rPr>
                      <w:rFonts w:hint="eastAsia"/>
                      <w:bCs/>
                      <w:color w:val="auto"/>
                      <w:sz w:val="24"/>
                      <w:highlight w:val="none"/>
                      <w:vertAlign w:val="subscript"/>
                      <w:lang w:val="en-US" w:eastAsia="zh-CN"/>
                    </w:rPr>
                    <w:t>3</w:t>
                  </w:r>
                </w:p>
              </w:tc>
              <w:tc>
                <w:tcPr>
                  <w:tcW w:w="706" w:type="pct"/>
                  <w:tcBorders>
                    <w:tl2br w:val="nil"/>
                    <w:tr2bl w:val="nil"/>
                  </w:tcBorders>
                  <w:noWrap w:val="0"/>
                  <w:vAlign w:val="center"/>
                </w:tcPr>
                <w:p w14:paraId="219B5E34">
                  <w:pPr>
                    <w:jc w:val="center"/>
                    <w:rPr>
                      <w:rFonts w:hint="default" w:eastAsia="宋体"/>
                      <w:color w:val="auto"/>
                      <w:szCs w:val="21"/>
                      <w:highlight w:val="none"/>
                      <w:lang w:val="en-US" w:eastAsia="zh-CN"/>
                    </w:rPr>
                  </w:pPr>
                  <w:r>
                    <w:rPr>
                      <w:rFonts w:hint="eastAsia"/>
                      <w:color w:val="auto"/>
                      <w:szCs w:val="21"/>
                      <w:highlight w:val="none"/>
                      <w:lang w:val="en-US" w:eastAsia="zh-CN"/>
                    </w:rPr>
                    <w:t>0.022</w:t>
                  </w:r>
                </w:p>
              </w:tc>
              <w:tc>
                <w:tcPr>
                  <w:tcW w:w="706" w:type="pct"/>
                  <w:vMerge w:val="restart"/>
                  <w:tcBorders>
                    <w:tl2br w:val="nil"/>
                    <w:tr2bl w:val="nil"/>
                  </w:tcBorders>
                  <w:noWrap w:val="0"/>
                  <w:vAlign w:val="center"/>
                </w:tcPr>
                <w:p w14:paraId="0791BCCE">
                  <w:pPr>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539" w:type="pct"/>
                  <w:vMerge w:val="restart"/>
                  <w:tcBorders>
                    <w:tl2br w:val="nil"/>
                    <w:tr2bl w:val="nil"/>
                  </w:tcBorders>
                  <w:noWrap w:val="0"/>
                  <w:vAlign w:val="center"/>
                </w:tcPr>
                <w:p w14:paraId="4CAB0FA1">
                  <w:pPr>
                    <w:jc w:val="center"/>
                    <w:rPr>
                      <w:color w:val="auto"/>
                      <w:szCs w:val="21"/>
                      <w:highlight w:val="none"/>
                    </w:rPr>
                  </w:pPr>
                  <w:r>
                    <w:rPr>
                      <w:rFonts w:hint="eastAsia"/>
                      <w:color w:val="auto"/>
                      <w:szCs w:val="21"/>
                      <w:highlight w:val="none"/>
                    </w:rPr>
                    <w:t>1</w:t>
                  </w:r>
                </w:p>
              </w:tc>
              <w:tc>
                <w:tcPr>
                  <w:tcW w:w="876" w:type="pct"/>
                  <w:vMerge w:val="restart"/>
                  <w:tcBorders>
                    <w:tl2br w:val="nil"/>
                    <w:tr2bl w:val="nil"/>
                  </w:tcBorders>
                  <w:noWrap w:val="0"/>
                  <w:vAlign w:val="center"/>
                </w:tcPr>
                <w:p w14:paraId="0675D243">
                  <w:pPr>
                    <w:jc w:val="center"/>
                    <w:rPr>
                      <w:color w:val="auto"/>
                      <w:szCs w:val="21"/>
                      <w:highlight w:val="none"/>
                    </w:rPr>
                  </w:pPr>
                  <w:r>
                    <w:rPr>
                      <w:rFonts w:hint="eastAsia"/>
                      <w:color w:val="auto"/>
                      <w:szCs w:val="21"/>
                      <w:highlight w:val="none"/>
                      <w:lang w:eastAsia="zh-CN"/>
                    </w:rPr>
                    <w:t>及时更换滤料、定期维护</w:t>
                  </w:r>
                </w:p>
              </w:tc>
            </w:tr>
            <w:tr w14:paraId="73A7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06" w:type="pct"/>
                  <w:vMerge w:val="continue"/>
                  <w:tcBorders>
                    <w:tl2br w:val="nil"/>
                    <w:tr2bl w:val="nil"/>
                  </w:tcBorders>
                  <w:noWrap w:val="0"/>
                  <w:vAlign w:val="center"/>
                </w:tcPr>
                <w:p w14:paraId="2AA9DA26">
                  <w:pPr>
                    <w:jc w:val="center"/>
                    <w:rPr>
                      <w:rFonts w:hint="eastAsia"/>
                      <w:color w:val="auto"/>
                      <w:szCs w:val="21"/>
                      <w:highlight w:val="none"/>
                      <w:lang w:eastAsia="zh-CN"/>
                    </w:rPr>
                  </w:pPr>
                </w:p>
              </w:tc>
              <w:tc>
                <w:tcPr>
                  <w:tcW w:w="758" w:type="pct"/>
                  <w:vMerge w:val="continue"/>
                  <w:tcBorders>
                    <w:tl2br w:val="nil"/>
                    <w:tr2bl w:val="nil"/>
                  </w:tcBorders>
                  <w:noWrap w:val="0"/>
                  <w:vAlign w:val="center"/>
                </w:tcPr>
                <w:p w14:paraId="7142BE34">
                  <w:pPr>
                    <w:jc w:val="center"/>
                    <w:rPr>
                      <w:rFonts w:hint="eastAsia"/>
                      <w:color w:val="auto"/>
                      <w:szCs w:val="21"/>
                      <w:highlight w:val="none"/>
                      <w:lang w:eastAsia="zh-CN"/>
                    </w:rPr>
                  </w:pPr>
                </w:p>
              </w:tc>
              <w:tc>
                <w:tcPr>
                  <w:tcW w:w="706" w:type="pct"/>
                  <w:tcBorders>
                    <w:tl2br w:val="nil"/>
                    <w:tr2bl w:val="nil"/>
                  </w:tcBorders>
                  <w:noWrap w:val="0"/>
                  <w:vAlign w:val="center"/>
                </w:tcPr>
                <w:p w14:paraId="570EB7E0">
                  <w:pPr>
                    <w:jc w:val="center"/>
                    <w:rPr>
                      <w:rFonts w:hint="eastAsia"/>
                      <w:color w:val="auto"/>
                      <w:szCs w:val="21"/>
                      <w:highlight w:val="none"/>
                      <w:lang w:eastAsia="zh-CN"/>
                    </w:rPr>
                  </w:pPr>
                  <w:r>
                    <w:rPr>
                      <w:rFonts w:hint="eastAsia"/>
                      <w:bCs/>
                      <w:color w:val="auto"/>
                      <w:sz w:val="24"/>
                      <w:highlight w:val="none"/>
                      <w:lang w:val="en-US" w:eastAsia="zh-CN"/>
                    </w:rPr>
                    <w:t>H</w:t>
                  </w:r>
                  <w:r>
                    <w:rPr>
                      <w:rFonts w:hint="eastAsia"/>
                      <w:bCs/>
                      <w:color w:val="auto"/>
                      <w:sz w:val="24"/>
                      <w:highlight w:val="none"/>
                      <w:vertAlign w:val="subscript"/>
                      <w:lang w:val="en-US" w:eastAsia="zh-CN"/>
                    </w:rPr>
                    <w:t>2</w:t>
                  </w:r>
                  <w:r>
                    <w:rPr>
                      <w:rFonts w:hint="eastAsia"/>
                      <w:bCs/>
                      <w:color w:val="auto"/>
                      <w:sz w:val="24"/>
                      <w:highlight w:val="none"/>
                      <w:lang w:val="en-US" w:eastAsia="zh-CN"/>
                    </w:rPr>
                    <w:t>S</w:t>
                  </w:r>
                </w:p>
              </w:tc>
              <w:tc>
                <w:tcPr>
                  <w:tcW w:w="706" w:type="pct"/>
                  <w:tcBorders>
                    <w:tl2br w:val="nil"/>
                    <w:tr2bl w:val="nil"/>
                  </w:tcBorders>
                  <w:noWrap w:val="0"/>
                  <w:vAlign w:val="center"/>
                </w:tcPr>
                <w:p w14:paraId="6ADAF1EC">
                  <w:pPr>
                    <w:jc w:val="center"/>
                    <w:rPr>
                      <w:rFonts w:hint="default"/>
                      <w:color w:val="auto"/>
                      <w:szCs w:val="21"/>
                      <w:highlight w:val="none"/>
                      <w:lang w:val="en-US" w:eastAsia="zh-CN"/>
                    </w:rPr>
                  </w:pPr>
                  <w:r>
                    <w:rPr>
                      <w:rFonts w:hint="eastAsia"/>
                      <w:color w:val="auto"/>
                      <w:szCs w:val="21"/>
                      <w:highlight w:val="none"/>
                      <w:lang w:val="en-US" w:eastAsia="zh-CN"/>
                    </w:rPr>
                    <w:t>0.0009</w:t>
                  </w:r>
                </w:p>
              </w:tc>
              <w:tc>
                <w:tcPr>
                  <w:tcW w:w="706" w:type="pct"/>
                  <w:vMerge w:val="continue"/>
                  <w:tcBorders>
                    <w:tl2br w:val="nil"/>
                    <w:tr2bl w:val="nil"/>
                  </w:tcBorders>
                  <w:noWrap w:val="0"/>
                  <w:vAlign w:val="center"/>
                </w:tcPr>
                <w:p w14:paraId="149F5199">
                  <w:pPr>
                    <w:jc w:val="center"/>
                    <w:rPr>
                      <w:rFonts w:hint="eastAsia"/>
                      <w:color w:val="auto"/>
                      <w:szCs w:val="21"/>
                      <w:highlight w:val="none"/>
                      <w:lang w:val="en-US" w:eastAsia="zh-CN"/>
                    </w:rPr>
                  </w:pPr>
                </w:p>
              </w:tc>
              <w:tc>
                <w:tcPr>
                  <w:tcW w:w="539" w:type="pct"/>
                  <w:vMerge w:val="continue"/>
                  <w:tcBorders>
                    <w:tl2br w:val="nil"/>
                    <w:tr2bl w:val="nil"/>
                  </w:tcBorders>
                  <w:noWrap w:val="0"/>
                  <w:vAlign w:val="center"/>
                </w:tcPr>
                <w:p w14:paraId="485BF9E3">
                  <w:pPr>
                    <w:jc w:val="center"/>
                    <w:rPr>
                      <w:rFonts w:hint="eastAsia"/>
                      <w:color w:val="auto"/>
                      <w:szCs w:val="21"/>
                      <w:highlight w:val="none"/>
                    </w:rPr>
                  </w:pPr>
                </w:p>
              </w:tc>
              <w:tc>
                <w:tcPr>
                  <w:tcW w:w="876" w:type="pct"/>
                  <w:vMerge w:val="continue"/>
                  <w:tcBorders>
                    <w:tl2br w:val="nil"/>
                    <w:tr2bl w:val="nil"/>
                  </w:tcBorders>
                  <w:noWrap w:val="0"/>
                  <w:vAlign w:val="center"/>
                </w:tcPr>
                <w:p w14:paraId="16AD8C38">
                  <w:pPr>
                    <w:jc w:val="center"/>
                    <w:rPr>
                      <w:rFonts w:hint="eastAsia"/>
                      <w:color w:val="auto"/>
                      <w:szCs w:val="21"/>
                      <w:highlight w:val="none"/>
                    </w:rPr>
                  </w:pPr>
                </w:p>
              </w:tc>
            </w:tr>
          </w:tbl>
          <w:p w14:paraId="2F6DEE5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baseline"/>
              <w:rPr>
                <w:rFonts w:hint="eastAsia" w:ascii="Times New Roman"/>
                <w:b/>
                <w:bCs/>
                <w:color w:val="auto"/>
                <w:sz w:val="24"/>
                <w:szCs w:val="24"/>
                <w:highlight w:val="none"/>
                <w:lang w:val="en-US" w:eastAsia="zh-CN"/>
              </w:rPr>
            </w:pPr>
            <w:r>
              <w:rPr>
                <w:rFonts w:hint="eastAsia"/>
                <w:b/>
                <w:bCs/>
                <w:color w:val="auto"/>
                <w:sz w:val="24"/>
                <w:szCs w:val="24"/>
                <w:highlight w:val="none"/>
                <w:lang w:val="en-US" w:eastAsia="zh-CN"/>
              </w:rPr>
              <w:t>3、</w:t>
            </w:r>
            <w:r>
              <w:rPr>
                <w:rFonts w:hint="eastAsia"/>
                <w:b/>
                <w:bCs/>
                <w:color w:val="auto"/>
                <w:sz w:val="24"/>
                <w:highlight w:val="none"/>
              </w:rPr>
              <w:t>废气污染防治措施可行性分析</w:t>
            </w:r>
          </w:p>
          <w:p w14:paraId="1646D46F">
            <w:pPr>
              <w:pStyle w:val="2"/>
              <w:adjustRightInd w:val="0"/>
              <w:spacing w:before="0" w:after="0" w:line="360" w:lineRule="auto"/>
              <w:ind w:left="0" w:firstLine="480" w:firstLineChars="200"/>
              <w:rPr>
                <w:rFonts w:hint="eastAsia" w:eastAsia="宋体"/>
                <w:b w:val="0"/>
                <w:bCs w:val="0"/>
                <w:color w:val="auto"/>
                <w:sz w:val="24"/>
                <w:szCs w:val="24"/>
                <w:highlight w:val="none"/>
                <w:lang w:eastAsia="zh-CN"/>
              </w:rPr>
            </w:pPr>
            <w:r>
              <w:rPr>
                <w:rFonts w:hint="eastAsia" w:eastAsia="宋体"/>
                <w:b w:val="0"/>
                <w:bCs w:val="0"/>
                <w:color w:val="auto"/>
                <w:sz w:val="24"/>
                <w:szCs w:val="24"/>
                <w:highlight w:val="none"/>
                <w:lang w:val="en-US" w:eastAsia="zh-CN"/>
              </w:rPr>
              <w:t>根据《排污许可证申请与核发技术规范 环境卫生管理业》（HJ1106-2020）附录A中表A.1废气治理可行技术参照表，渗滤液收集、废水处理产生恶臭气体一般采用生物过滤、化学洗涤、活性炭吸附，本项目采用化学洗涤进行处理，属于可行技术。</w:t>
            </w:r>
          </w:p>
          <w:p w14:paraId="66242B21">
            <w:pPr>
              <w:keepNext w:val="0"/>
              <w:keepLines w:val="0"/>
              <w:pageBreakBefore w:val="0"/>
              <w:widowControl w:val="0"/>
              <w:suppressLineNumbers w:val="0"/>
              <w:tabs>
                <w:tab w:val="left" w:pos="2978"/>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b w:val="0"/>
                <w:bCs w:val="0"/>
                <w:color w:val="auto"/>
                <w:sz w:val="24"/>
                <w:szCs w:val="24"/>
                <w:highlight w:val="none"/>
                <w:lang w:val="en-US" w:eastAsia="zh-CN"/>
              </w:rPr>
              <w:t>项目设有2个固化剂料仓，一座搅拌楼，参照</w:t>
            </w:r>
            <w:r>
              <w:rPr>
                <w:rFonts w:hint="default" w:ascii="Times New Roman" w:hAnsi="Times New Roman" w:eastAsia="宋体" w:cs="Times New Roman"/>
                <w:color w:val="auto"/>
                <w:sz w:val="24"/>
                <w:szCs w:val="24"/>
                <w:highlight w:val="none"/>
                <w:lang w:val="en-US" w:eastAsia="zh-CN"/>
              </w:rPr>
              <w:t>《排污许可证申请与核发技术规范 水泥工业》（HJ954-2018）中“附录B及5.2.4无组织排放控制要求中表4”相关要求，详见下表：</w:t>
            </w:r>
          </w:p>
          <w:p w14:paraId="4A88D765">
            <w:pPr>
              <w:keepNext w:val="0"/>
              <w:keepLines w:val="0"/>
              <w:pageBreakBefore w:val="0"/>
              <w:widowControl w:val="0"/>
              <w:suppressLineNumbers w:val="0"/>
              <w:tabs>
                <w:tab w:val="left" w:pos="2978"/>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eastAsia="zh-CN"/>
              </w:rPr>
              <w:t>表</w:t>
            </w:r>
            <w:r>
              <w:rPr>
                <w:rFonts w:hint="eastAsia" w:ascii="Times New Roman" w:hAnsi="Times New Roman" w:cs="Times New Roman"/>
                <w:b/>
                <w:bCs/>
                <w:color w:val="auto"/>
                <w:sz w:val="24"/>
                <w:szCs w:val="24"/>
                <w:highlight w:val="none"/>
                <w:lang w:val="en-US" w:eastAsia="zh-CN"/>
              </w:rPr>
              <w:t xml:space="preserve">4-10 </w:t>
            </w:r>
            <w:r>
              <w:rPr>
                <w:rFonts w:hint="default" w:ascii="Times New Roman" w:hAnsi="Times New Roman" w:eastAsia="宋体" w:cs="Times New Roman"/>
                <w:b/>
                <w:bCs/>
                <w:color w:val="auto"/>
                <w:sz w:val="24"/>
                <w:szCs w:val="24"/>
                <w:highlight w:val="none"/>
                <w:lang w:val="en-US" w:eastAsia="zh-CN"/>
              </w:rPr>
              <w:t xml:space="preserve"> 水泥工业排污单位废气污染物防治推荐可行技术</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2452"/>
              <w:gridCol w:w="1388"/>
              <w:gridCol w:w="3531"/>
            </w:tblGrid>
            <w:tr w14:paraId="0D41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33" w:type="pct"/>
                  <w:noWrap w:val="0"/>
                  <w:vAlign w:val="center"/>
                </w:tcPr>
                <w:p w14:paraId="0C9F9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类型</w:t>
                  </w:r>
                </w:p>
              </w:tc>
              <w:tc>
                <w:tcPr>
                  <w:tcW w:w="1386" w:type="pct"/>
                  <w:noWrap w:val="0"/>
                  <w:vAlign w:val="center"/>
                </w:tcPr>
                <w:p w14:paraId="61940E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排放节点</w:t>
                  </w:r>
                </w:p>
              </w:tc>
              <w:tc>
                <w:tcPr>
                  <w:tcW w:w="784" w:type="pct"/>
                  <w:noWrap w:val="0"/>
                  <w:vAlign w:val="center"/>
                </w:tcPr>
                <w:p w14:paraId="50A79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主要污染物</w:t>
                  </w:r>
                </w:p>
              </w:tc>
              <w:tc>
                <w:tcPr>
                  <w:tcW w:w="1995" w:type="pct"/>
                  <w:noWrap w:val="0"/>
                  <w:vAlign w:val="center"/>
                </w:tcPr>
                <w:p w14:paraId="474041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可行技术</w:t>
                  </w:r>
                </w:p>
              </w:tc>
            </w:tr>
            <w:tr w14:paraId="1FF7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33" w:type="pct"/>
                  <w:vMerge w:val="restart"/>
                  <w:noWrap w:val="0"/>
                  <w:vAlign w:val="center"/>
                </w:tcPr>
                <w:p w14:paraId="00F237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无组织排放</w:t>
                  </w:r>
                </w:p>
              </w:tc>
              <w:tc>
                <w:tcPr>
                  <w:tcW w:w="1386" w:type="pct"/>
                  <w:noWrap w:val="0"/>
                  <w:vAlign w:val="center"/>
                </w:tcPr>
                <w:p w14:paraId="04A4F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原辅料堆存</w:t>
                  </w:r>
                </w:p>
              </w:tc>
              <w:tc>
                <w:tcPr>
                  <w:tcW w:w="784" w:type="pct"/>
                  <w:noWrap w:val="0"/>
                  <w:vAlign w:val="center"/>
                </w:tcPr>
                <w:p w14:paraId="707327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1995" w:type="pct"/>
                  <w:noWrap w:val="0"/>
                  <w:vAlign w:val="center"/>
                </w:tcPr>
                <w:p w14:paraId="1BF00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粉状物料密闭储存，其他块石、粘湿物料、浆料等辅材设置不低于堆放物高度的严密围挡，并采取有效覆盖等措施防治扬尘污染</w:t>
                  </w:r>
                </w:p>
              </w:tc>
            </w:tr>
            <w:tr w14:paraId="1881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33" w:type="pct"/>
                  <w:vMerge w:val="continue"/>
                  <w:noWrap w:val="0"/>
                  <w:vAlign w:val="center"/>
                </w:tcPr>
                <w:p w14:paraId="3A324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86" w:type="pct"/>
                  <w:noWrap w:val="0"/>
                  <w:vAlign w:val="center"/>
                </w:tcPr>
                <w:p w14:paraId="5FAD68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原辅料转运</w:t>
                  </w:r>
                </w:p>
              </w:tc>
              <w:tc>
                <w:tcPr>
                  <w:tcW w:w="784" w:type="pct"/>
                  <w:noWrap w:val="0"/>
                  <w:vAlign w:val="center"/>
                </w:tcPr>
                <w:p w14:paraId="74E128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1995" w:type="pct"/>
                  <w:noWrap w:val="0"/>
                  <w:vAlign w:val="center"/>
                </w:tcPr>
                <w:p w14:paraId="4DF7A1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运输皮带、斗提、斜槽等应封闭，其它块石、粘湿物料、浆料等装卸过程也可采取其他有抑尘措施的运输方式。</w:t>
                  </w:r>
                </w:p>
              </w:tc>
            </w:tr>
            <w:tr w14:paraId="27CD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pct"/>
                  <w:noWrap w:val="0"/>
                  <w:vAlign w:val="center"/>
                </w:tcPr>
                <w:p w14:paraId="3D90E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有组织排放口</w:t>
                  </w:r>
                </w:p>
              </w:tc>
              <w:tc>
                <w:tcPr>
                  <w:tcW w:w="1386" w:type="pct"/>
                  <w:noWrap w:val="0"/>
                  <w:vAlign w:val="center"/>
                </w:tcPr>
                <w:p w14:paraId="18453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破碎机、包装机及其他通风生产设备等排气筒</w:t>
                  </w:r>
                </w:p>
              </w:tc>
              <w:tc>
                <w:tcPr>
                  <w:tcW w:w="784" w:type="pct"/>
                  <w:noWrap w:val="0"/>
                  <w:vAlign w:val="center"/>
                </w:tcPr>
                <w:p w14:paraId="28410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1995" w:type="pct"/>
                  <w:noWrap w:val="0"/>
                  <w:vAlign w:val="center"/>
                </w:tcPr>
                <w:p w14:paraId="6D1157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袋式除尘器</w:t>
                  </w:r>
                </w:p>
              </w:tc>
            </w:tr>
          </w:tbl>
          <w:p w14:paraId="2E0C3EFF">
            <w:pPr>
              <w:keepNext w:val="0"/>
              <w:keepLines w:val="0"/>
              <w:pageBreakBefore w:val="0"/>
              <w:widowControl w:val="0"/>
              <w:suppressLineNumbers w:val="0"/>
              <w:tabs>
                <w:tab w:val="left" w:pos="2978"/>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cs="Times New Roman"/>
                <w:color w:val="auto"/>
                <w:sz w:val="24"/>
                <w:szCs w:val="24"/>
                <w:highlight w:val="none"/>
                <w:lang w:val="en-US" w:eastAsia="zh-CN"/>
              </w:rPr>
              <w:t>固化剂水泥、粉煤灰采用</w:t>
            </w:r>
            <w:r>
              <w:rPr>
                <w:rFonts w:hint="default" w:ascii="Times New Roman" w:hAnsi="Times New Roman" w:eastAsia="宋体" w:cs="Times New Roman"/>
                <w:color w:val="auto"/>
                <w:sz w:val="24"/>
                <w:szCs w:val="24"/>
                <w:highlight w:val="none"/>
                <w:lang w:val="en-US" w:eastAsia="zh-CN"/>
              </w:rPr>
              <w:t>粉料筒仓</w:t>
            </w:r>
            <w:r>
              <w:rPr>
                <w:rFonts w:hint="eastAsia" w:ascii="Times New Roman" w:hAnsi="Times New Roman" w:cs="Times New Roman"/>
                <w:color w:val="auto"/>
                <w:sz w:val="24"/>
                <w:szCs w:val="24"/>
                <w:highlight w:val="none"/>
                <w:lang w:val="en-US" w:eastAsia="zh-CN"/>
              </w:rPr>
              <w:t>储存，粉料通过密闭管道输送至搅拌楼，属于密闭储存、输送措施，筒仓</w:t>
            </w:r>
            <w:r>
              <w:rPr>
                <w:rFonts w:hint="default" w:ascii="Times New Roman" w:hAnsi="Times New Roman" w:eastAsia="宋体" w:cs="Times New Roman"/>
                <w:color w:val="auto"/>
                <w:sz w:val="24"/>
                <w:szCs w:val="24"/>
                <w:highlight w:val="none"/>
                <w:lang w:val="en-US" w:eastAsia="zh-CN"/>
              </w:rPr>
              <w:t>顶部</w:t>
            </w:r>
            <w:r>
              <w:rPr>
                <w:rFonts w:hint="eastAsia" w:ascii="Times New Roman" w:hAnsi="Times New Roman" w:cs="Times New Roman"/>
                <w:color w:val="auto"/>
                <w:sz w:val="24"/>
                <w:szCs w:val="24"/>
                <w:highlight w:val="none"/>
                <w:lang w:val="en-US" w:eastAsia="zh-CN"/>
              </w:rPr>
              <w:t>设有布袋</w:t>
            </w:r>
            <w:r>
              <w:rPr>
                <w:rFonts w:hint="default" w:ascii="Times New Roman" w:hAnsi="Times New Roman" w:eastAsia="宋体" w:cs="Times New Roman"/>
                <w:color w:val="auto"/>
                <w:sz w:val="24"/>
                <w:szCs w:val="24"/>
                <w:highlight w:val="none"/>
                <w:lang w:val="en-US" w:eastAsia="zh-CN"/>
              </w:rPr>
              <w:t>除尘器，与排污许可证中推荐的“可行性技术</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袋式除尘”一致，根据达标分析，有组织废气能够达标排放</w:t>
            </w:r>
            <w:r>
              <w:rPr>
                <w:rFonts w:hint="default" w:ascii="Times New Roman" w:hAnsi="Times New Roman" w:eastAsia="宋体" w:cs="Times New Roman"/>
                <w:color w:val="auto"/>
                <w:sz w:val="24"/>
                <w:szCs w:val="24"/>
                <w:highlight w:val="none"/>
              </w:rPr>
              <w:t>。因此，项目</w:t>
            </w:r>
            <w:r>
              <w:rPr>
                <w:rFonts w:hint="eastAsia" w:ascii="Times New Roman" w:hAnsi="Times New Roman" w:cs="Times New Roman"/>
                <w:color w:val="auto"/>
                <w:sz w:val="24"/>
                <w:szCs w:val="24"/>
                <w:highlight w:val="none"/>
                <w:lang w:val="en-US" w:eastAsia="zh-CN"/>
              </w:rPr>
              <w:t>粉料</w:t>
            </w:r>
            <w:r>
              <w:rPr>
                <w:rFonts w:hint="default" w:ascii="Times New Roman" w:hAnsi="Times New Roman" w:eastAsia="宋体" w:cs="Times New Roman"/>
                <w:color w:val="auto"/>
                <w:sz w:val="24"/>
                <w:szCs w:val="24"/>
                <w:highlight w:val="none"/>
              </w:rPr>
              <w:t>采用的</w:t>
            </w:r>
            <w:r>
              <w:rPr>
                <w:rFonts w:hint="default"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eastAsia="zh-CN"/>
              </w:rPr>
              <w:t>设施</w:t>
            </w:r>
            <w:r>
              <w:rPr>
                <w:rFonts w:hint="default" w:ascii="Times New Roman" w:hAnsi="Times New Roman" w:eastAsia="宋体" w:cs="Times New Roman"/>
                <w:color w:val="auto"/>
                <w:sz w:val="24"/>
                <w:szCs w:val="24"/>
                <w:highlight w:val="none"/>
              </w:rPr>
              <w:t>是有效可行的。</w:t>
            </w:r>
          </w:p>
          <w:p w14:paraId="226B8C6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baseline"/>
              <w:rPr>
                <w:b/>
                <w:bCs/>
                <w:color w:val="auto"/>
                <w:sz w:val="24"/>
                <w:highlight w:val="none"/>
              </w:rPr>
            </w:pPr>
            <w:r>
              <w:rPr>
                <w:rFonts w:hint="eastAsia"/>
                <w:b/>
                <w:bCs/>
                <w:color w:val="auto"/>
                <w:sz w:val="24"/>
                <w:szCs w:val="24"/>
                <w:highlight w:val="none"/>
                <w:lang w:val="en-US" w:eastAsia="zh-CN"/>
              </w:rPr>
              <w:t>4、</w:t>
            </w:r>
            <w:r>
              <w:rPr>
                <w:rFonts w:hint="eastAsia"/>
                <w:b/>
                <w:bCs/>
                <w:color w:val="auto"/>
                <w:sz w:val="24"/>
                <w:highlight w:val="none"/>
              </w:rPr>
              <w:t>大气环境影响分析</w:t>
            </w:r>
          </w:p>
          <w:p w14:paraId="47874A74">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highlight w:val="none"/>
              </w:rPr>
              <w:t>项目所在区域为环境空气功能区划中的二类区，区域环境空气执行《环境空气质量标准》（GB3035-2012）中的二级标准。</w:t>
            </w:r>
          </w:p>
          <w:p w14:paraId="07A5067E">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本次评价大气环境引用澄江市环境自动监测站20</w:t>
            </w:r>
            <w:r>
              <w:rPr>
                <w:rFonts w:hint="eastAsia"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lang w:val="en-US" w:eastAsia="zh-CN"/>
              </w:rPr>
              <w:t>年全年自动监测数据统计结果进行分析，根据监测结果：可吸入颗粒物（PM</w:t>
            </w:r>
            <w:r>
              <w:rPr>
                <w:rFonts w:hint="default" w:ascii="Times New Roman" w:hAnsi="Times New Roman" w:eastAsia="宋体" w:cs="Times New Roman"/>
                <w:color w:val="auto"/>
                <w:kern w:val="0"/>
                <w:sz w:val="24"/>
                <w:szCs w:val="24"/>
                <w:highlight w:val="none"/>
                <w:vertAlign w:val="subscript"/>
                <w:lang w:val="en-US" w:eastAsia="zh-CN"/>
              </w:rPr>
              <w:t>10</w:t>
            </w:r>
            <w:r>
              <w:rPr>
                <w:rFonts w:hint="default" w:ascii="Times New Roman" w:hAnsi="Times New Roman" w:eastAsia="宋体" w:cs="Times New Roman"/>
                <w:color w:val="auto"/>
                <w:kern w:val="0"/>
                <w:sz w:val="24"/>
                <w:szCs w:val="24"/>
                <w:highlight w:val="none"/>
                <w:lang w:val="en-US" w:eastAsia="zh-CN"/>
              </w:rPr>
              <w:t>）、细颗粒物（PM</w:t>
            </w:r>
            <w:r>
              <w:rPr>
                <w:rFonts w:hint="default" w:ascii="Times New Roman" w:hAnsi="Times New Roman" w:eastAsia="宋体" w:cs="Times New Roman"/>
                <w:color w:val="auto"/>
                <w:kern w:val="0"/>
                <w:sz w:val="24"/>
                <w:szCs w:val="24"/>
                <w:highlight w:val="none"/>
                <w:vertAlign w:val="subscript"/>
                <w:lang w:val="en-US" w:eastAsia="zh-CN"/>
              </w:rPr>
              <w:t>2.5</w:t>
            </w:r>
            <w:r>
              <w:rPr>
                <w:rFonts w:hint="default" w:ascii="Times New Roman" w:hAnsi="Times New Roman" w:eastAsia="宋体" w:cs="Times New Roman"/>
                <w:color w:val="auto"/>
                <w:kern w:val="0"/>
                <w:sz w:val="24"/>
                <w:szCs w:val="24"/>
                <w:highlight w:val="none"/>
                <w:lang w:val="en-US" w:eastAsia="zh-CN"/>
              </w:rPr>
              <w:t>）、二氧化硫（SO</w:t>
            </w:r>
            <w:r>
              <w:rPr>
                <w:rFonts w:hint="default" w:ascii="Times New Roman" w:hAnsi="Times New Roman" w:eastAsia="宋体" w:cs="Times New Roman"/>
                <w:color w:val="auto"/>
                <w:kern w:val="0"/>
                <w:sz w:val="24"/>
                <w:szCs w:val="24"/>
                <w:highlight w:val="none"/>
                <w:vertAlign w:val="subscript"/>
                <w:lang w:val="en-US" w:eastAsia="zh-CN"/>
              </w:rPr>
              <w:t>2</w:t>
            </w:r>
            <w:r>
              <w:rPr>
                <w:rFonts w:hint="default" w:ascii="Times New Roman" w:hAnsi="Times New Roman" w:eastAsia="宋体" w:cs="Times New Roman"/>
                <w:color w:val="auto"/>
                <w:kern w:val="0"/>
                <w:sz w:val="24"/>
                <w:szCs w:val="24"/>
                <w:highlight w:val="none"/>
                <w:lang w:val="en-US" w:eastAsia="zh-CN"/>
              </w:rPr>
              <w:t>）、二氧化氮（NO</w:t>
            </w:r>
            <w:r>
              <w:rPr>
                <w:rFonts w:hint="default" w:ascii="Times New Roman" w:hAnsi="Times New Roman" w:eastAsia="宋体" w:cs="Times New Roman"/>
                <w:color w:val="auto"/>
                <w:kern w:val="0"/>
                <w:sz w:val="24"/>
                <w:szCs w:val="24"/>
                <w:highlight w:val="none"/>
                <w:vertAlign w:val="subscript"/>
                <w:lang w:val="en-US" w:eastAsia="zh-CN"/>
              </w:rPr>
              <w:t>2</w:t>
            </w:r>
            <w:r>
              <w:rPr>
                <w:rFonts w:hint="default" w:ascii="Times New Roman" w:hAnsi="Times New Roman" w:eastAsia="宋体" w:cs="Times New Roman"/>
                <w:color w:val="auto"/>
                <w:kern w:val="0"/>
                <w:sz w:val="24"/>
                <w:szCs w:val="24"/>
                <w:highlight w:val="none"/>
                <w:lang w:val="en-US" w:eastAsia="zh-CN"/>
              </w:rPr>
              <w:t>）、一氧化氮（CO）、臭氧（O</w:t>
            </w:r>
            <w:r>
              <w:rPr>
                <w:rFonts w:hint="default" w:ascii="Times New Roman" w:hAnsi="Times New Roman" w:eastAsia="宋体" w:cs="Times New Roman"/>
                <w:color w:val="auto"/>
                <w:kern w:val="0"/>
                <w:sz w:val="24"/>
                <w:szCs w:val="24"/>
                <w:highlight w:val="none"/>
                <w:vertAlign w:val="subscript"/>
                <w:lang w:val="en-US" w:eastAsia="zh-CN"/>
              </w:rPr>
              <w:t>3</w:t>
            </w:r>
            <w:r>
              <w:rPr>
                <w:rFonts w:hint="default" w:ascii="Times New Roman" w:hAnsi="Times New Roman" w:eastAsia="宋体" w:cs="Times New Roman"/>
                <w:color w:val="auto"/>
                <w:kern w:val="0"/>
                <w:sz w:val="24"/>
                <w:szCs w:val="24"/>
                <w:highlight w:val="none"/>
                <w:lang w:val="en-US" w:eastAsia="zh-CN"/>
              </w:rPr>
              <w:t>）年均浓度达二级标准限值，本项目所在区域为达标区。</w:t>
            </w:r>
          </w:p>
          <w:p w14:paraId="5F3C0CA0">
            <w:pPr>
              <w:spacing w:line="360" w:lineRule="auto"/>
              <w:ind w:firstLine="480" w:firstLineChars="200"/>
              <w:rPr>
                <w:rFonts w:hint="default" w:ascii="Times New Roman" w:hAnsi="Times New Roman" w:cs="Times New Roman"/>
                <w:color w:val="auto"/>
                <w:kern w:val="0"/>
                <w:sz w:val="24"/>
                <w:highlight w:val="none"/>
                <w:lang w:eastAsia="zh-CN"/>
              </w:rPr>
            </w:pPr>
            <w:r>
              <w:rPr>
                <w:rFonts w:hint="eastAsia" w:cs="Times New Roman"/>
                <w:color w:val="auto"/>
                <w:kern w:val="0"/>
                <w:sz w:val="24"/>
                <w:highlight w:val="none"/>
                <w:lang w:val="en-US" w:eastAsia="zh-CN"/>
              </w:rPr>
              <w:t>（3）</w:t>
            </w:r>
            <w:r>
              <w:rPr>
                <w:rFonts w:hint="default" w:ascii="Times New Roman" w:hAnsi="Times New Roman" w:cs="Times New Roman"/>
                <w:color w:val="auto"/>
                <w:kern w:val="0"/>
                <w:sz w:val="24"/>
                <w:highlight w:val="none"/>
                <w:lang w:val="en-US" w:eastAsia="zh-CN"/>
              </w:rPr>
              <w:t>本项目</w:t>
            </w:r>
            <w:r>
              <w:rPr>
                <w:rFonts w:hint="eastAsia" w:cs="Times New Roman"/>
                <w:color w:val="auto"/>
                <w:kern w:val="24"/>
                <w:sz w:val="24"/>
                <w:highlight w:val="none"/>
                <w:lang w:val="en-US" w:eastAsia="zh-CN"/>
              </w:rPr>
              <w:t>采取</w:t>
            </w:r>
            <w:r>
              <w:rPr>
                <w:rFonts w:hint="default" w:ascii="Times New Roman" w:hAnsi="Times New Roman" w:cs="Times New Roman"/>
                <w:color w:val="auto"/>
                <w:kern w:val="24"/>
                <w:sz w:val="24"/>
                <w:highlight w:val="none"/>
              </w:rPr>
              <w:t>的污染治理措施为污染防治可行技术。</w:t>
            </w:r>
            <w:r>
              <w:rPr>
                <w:rFonts w:hint="default" w:ascii="Times New Roman" w:hAnsi="Times New Roman" w:cs="Times New Roman"/>
                <w:color w:val="auto"/>
                <w:kern w:val="24"/>
                <w:sz w:val="24"/>
                <w:szCs w:val="24"/>
                <w:highlight w:val="none"/>
                <w:lang w:eastAsia="zh-CN"/>
              </w:rPr>
              <w:t>项目</w:t>
            </w:r>
            <w:r>
              <w:rPr>
                <w:rFonts w:hint="eastAsia" w:cs="Times New Roman"/>
                <w:color w:val="auto"/>
                <w:kern w:val="24"/>
                <w:sz w:val="24"/>
                <w:szCs w:val="24"/>
                <w:highlight w:val="none"/>
                <w:lang w:eastAsia="zh-CN"/>
              </w:rPr>
              <w:t>各污水处理单元产生的恶臭通过采取</w:t>
            </w:r>
            <w:r>
              <w:rPr>
                <w:rFonts w:hint="eastAsia" w:cs="Times New Roman"/>
                <w:color w:val="auto"/>
                <w:sz w:val="24"/>
                <w:szCs w:val="24"/>
                <w:highlight w:val="none"/>
                <w:lang w:val="en-US" w:eastAsia="zh-CN"/>
              </w:rPr>
              <w:t>对污水调蓄池进行池体加盖、原水收集罐、两级DTRO系统、蒸发母液储罐等设备置于封闭场所内，对污水处理厂各单元产生的恶臭进行管道收集，最终引至一套化学洗涤进行除臭处理，通过15m高排气筒外排</w:t>
            </w:r>
            <w:r>
              <w:rPr>
                <w:rFonts w:hint="default" w:ascii="Times New Roman" w:hAnsi="Times New Roman" w:cs="Times New Roman"/>
                <w:color w:val="auto"/>
                <w:kern w:val="24"/>
                <w:sz w:val="24"/>
                <w:szCs w:val="24"/>
                <w:highlight w:val="none"/>
                <w:lang w:eastAsia="zh-CN"/>
              </w:rPr>
              <w:t>，排放速率均</w:t>
            </w:r>
            <w:r>
              <w:rPr>
                <w:rFonts w:hint="default" w:ascii="Times New Roman" w:hAnsi="Times New Roman" w:cs="Times New Roman"/>
                <w:color w:val="auto"/>
                <w:kern w:val="24"/>
                <w:sz w:val="24"/>
                <w:szCs w:val="24"/>
                <w:highlight w:val="none"/>
              </w:rPr>
              <w:t>能够满足</w:t>
            </w:r>
            <w:r>
              <w:rPr>
                <w:rFonts w:hint="default" w:ascii="Times New Roman" w:hAnsi="Times New Roman" w:cs="Times New Roman"/>
                <w:bCs/>
                <w:color w:val="auto"/>
                <w:sz w:val="24"/>
                <w:highlight w:val="none"/>
              </w:rPr>
              <w:t>《</w:t>
            </w:r>
            <w:r>
              <w:rPr>
                <w:rFonts w:hint="eastAsia" w:cs="Times New Roman"/>
                <w:bCs/>
                <w:color w:val="auto"/>
                <w:sz w:val="24"/>
                <w:highlight w:val="none"/>
                <w:lang w:eastAsia="zh-CN"/>
              </w:rPr>
              <w:t>恶臭污染物</w:t>
            </w:r>
            <w:r>
              <w:rPr>
                <w:rFonts w:hint="default" w:ascii="Times New Roman" w:hAnsi="Times New Roman" w:cs="Times New Roman"/>
                <w:bCs/>
                <w:color w:val="auto"/>
                <w:sz w:val="24"/>
                <w:highlight w:val="none"/>
              </w:rPr>
              <w:t>排放标准》</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GB</w:t>
            </w:r>
            <w:r>
              <w:rPr>
                <w:rFonts w:hint="eastAsia" w:cs="Times New Roman"/>
                <w:bCs/>
                <w:color w:val="auto"/>
                <w:sz w:val="24"/>
                <w:highlight w:val="none"/>
                <w:lang w:val="en-US" w:eastAsia="zh-CN"/>
              </w:rPr>
              <w:t>14554-1993</w:t>
            </w:r>
            <w:r>
              <w:rPr>
                <w:rFonts w:hint="default" w:ascii="Times New Roman" w:hAnsi="Times New Roman" w:cs="Times New Roman"/>
                <w:bCs/>
                <w:color w:val="auto"/>
                <w:sz w:val="24"/>
                <w:highlight w:val="none"/>
                <w:lang w:eastAsia="zh-CN"/>
              </w:rPr>
              <w:t>）</w:t>
            </w:r>
            <w:r>
              <w:rPr>
                <w:rFonts w:hint="eastAsia" w:cs="Times New Roman"/>
                <w:bCs/>
                <w:color w:val="auto"/>
                <w:sz w:val="24"/>
                <w:highlight w:val="none"/>
                <w:lang w:eastAsia="zh-CN"/>
              </w:rPr>
              <w:t>表</w:t>
            </w:r>
            <w:r>
              <w:rPr>
                <w:rFonts w:hint="eastAsia" w:cs="Times New Roman"/>
                <w:bCs/>
                <w:color w:val="auto"/>
                <w:sz w:val="24"/>
                <w:highlight w:val="none"/>
                <w:lang w:val="en-US" w:eastAsia="zh-CN"/>
              </w:rPr>
              <w:t>2</w:t>
            </w:r>
            <w:r>
              <w:rPr>
                <w:bCs/>
                <w:color w:val="auto"/>
                <w:sz w:val="24"/>
                <w:highlight w:val="none"/>
              </w:rPr>
              <w:t>中</w:t>
            </w:r>
            <w:r>
              <w:rPr>
                <w:rFonts w:hint="eastAsia"/>
                <w:bCs/>
                <w:color w:val="auto"/>
                <w:sz w:val="24"/>
                <w:highlight w:val="none"/>
                <w:lang w:eastAsia="zh-CN"/>
              </w:rPr>
              <w:t>排放标准</w:t>
            </w:r>
            <w:r>
              <w:rPr>
                <w:rFonts w:hint="eastAsia"/>
                <w:bCs/>
                <w:color w:val="auto"/>
                <w:sz w:val="24"/>
                <w:highlight w:val="none"/>
              </w:rPr>
              <w:t>限值要求</w:t>
            </w:r>
            <w:r>
              <w:rPr>
                <w:rFonts w:hint="default" w:ascii="Times New Roman" w:hAnsi="Times New Roman" w:cs="Times New Roman"/>
                <w:color w:val="auto"/>
                <w:kern w:val="0"/>
                <w:sz w:val="24"/>
                <w:highlight w:val="none"/>
                <w:lang w:eastAsia="zh-CN"/>
              </w:rPr>
              <w:t>。</w:t>
            </w:r>
          </w:p>
          <w:p w14:paraId="683D0943">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4</w:t>
            </w:r>
            <w:r>
              <w:rPr>
                <w:rFonts w:hint="eastAsia"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固化剂料仓</w:t>
            </w:r>
            <w:r>
              <w:rPr>
                <w:rFonts w:hint="eastAsia"/>
                <w:b w:val="0"/>
                <w:bCs w:val="0"/>
                <w:color w:val="auto"/>
                <w:sz w:val="24"/>
                <w:szCs w:val="24"/>
                <w:highlight w:val="none"/>
                <w:lang w:val="en-US" w:eastAsia="zh-CN"/>
              </w:rPr>
              <w:t>仅当粉料进入料仓时，料仓顶部（即呼吸口）会产生粉尘，平时料仓无粉尘外排，产生的粉尘</w:t>
            </w:r>
            <w:r>
              <w:rPr>
                <w:rFonts w:hint="eastAsia" w:ascii="Times New Roman" w:hAnsi="Times New Roman" w:eastAsia="宋体" w:cs="Times New Roman"/>
                <w:b w:val="0"/>
                <w:bCs w:val="0"/>
                <w:color w:val="auto"/>
                <w:sz w:val="24"/>
                <w:szCs w:val="24"/>
                <w:highlight w:val="none"/>
                <w:lang w:val="en-US" w:eastAsia="zh-CN"/>
              </w:rPr>
              <w:t>通过</w:t>
            </w:r>
            <w:r>
              <w:rPr>
                <w:rFonts w:hint="default" w:ascii="Times New Roman" w:hAnsi="Times New Roman" w:eastAsia="宋体" w:cs="Times New Roman"/>
                <w:b w:val="0"/>
                <w:bCs w:val="0"/>
                <w:color w:val="auto"/>
                <w:sz w:val="24"/>
                <w:szCs w:val="24"/>
                <w:highlight w:val="none"/>
                <w:lang w:eastAsia="zh-CN"/>
              </w:rPr>
              <w:t>料仓顶配置</w:t>
            </w:r>
            <w:r>
              <w:rPr>
                <w:rFonts w:hint="eastAsia" w:ascii="Times New Roman" w:hAnsi="Times New Roman" w:eastAsia="宋体" w:cs="Times New Roman"/>
                <w:b w:val="0"/>
                <w:bCs w:val="0"/>
                <w:color w:val="auto"/>
                <w:sz w:val="24"/>
                <w:szCs w:val="24"/>
                <w:highlight w:val="none"/>
                <w:lang w:val="en-US" w:eastAsia="zh-CN"/>
              </w:rPr>
              <w:t>的袋式</w:t>
            </w:r>
            <w:r>
              <w:rPr>
                <w:rFonts w:hint="default" w:ascii="Times New Roman" w:hAnsi="Times New Roman" w:eastAsia="宋体" w:cs="Times New Roman"/>
                <w:b w:val="0"/>
                <w:bCs w:val="0"/>
                <w:color w:val="auto"/>
                <w:sz w:val="24"/>
                <w:szCs w:val="24"/>
                <w:highlight w:val="none"/>
                <w:lang w:val="en-US" w:eastAsia="zh-CN"/>
              </w:rPr>
              <w:t>除尘器</w:t>
            </w:r>
            <w:r>
              <w:rPr>
                <w:rFonts w:hint="eastAsia" w:ascii="Times New Roman" w:hAnsi="Times New Roman" w:eastAsia="宋体" w:cs="Times New Roman"/>
                <w:b w:val="0"/>
                <w:bCs w:val="0"/>
                <w:color w:val="auto"/>
                <w:sz w:val="24"/>
                <w:szCs w:val="24"/>
                <w:highlight w:val="none"/>
                <w:lang w:val="en-US" w:eastAsia="zh-CN"/>
              </w:rPr>
              <w:t>处理后对周边环境影响不大。蒸发母液搅拌楼均在密闭的环境下进行搅拌，粉尘产生量小，经大气稀释扩散后对外环境影响不大。</w:t>
            </w:r>
          </w:p>
          <w:p w14:paraId="47974130">
            <w:pPr>
              <w:spacing w:line="360" w:lineRule="auto"/>
              <w:ind w:firstLine="480" w:firstLineChars="200"/>
              <w:rPr>
                <w:rFonts w:hint="eastAsia" w:ascii="Times New Roman" w:hAnsi="Times New Roman" w:cs="Times New Roman"/>
                <w:color w:val="auto"/>
                <w:kern w:val="0"/>
                <w:sz w:val="24"/>
                <w:highlight w:val="none"/>
                <w:lang w:val="en-US" w:eastAsia="zh-CN"/>
              </w:rPr>
            </w:pPr>
            <w:r>
              <w:rPr>
                <w:rFonts w:hint="eastAsia" w:cs="Times New Roman"/>
                <w:color w:val="auto"/>
                <w:kern w:val="0"/>
                <w:sz w:val="24"/>
                <w:highlight w:val="none"/>
                <w:lang w:val="en-US" w:eastAsia="zh-CN"/>
              </w:rPr>
              <w:t>（5）本项目周边500m范围内无环境敏感点，根据现有渗滤液处理站自行监测报告，填埋场厂界</w:t>
            </w:r>
            <w:r>
              <w:rPr>
                <w:rFonts w:hint="eastAsia" w:ascii="Times New Roman" w:hAnsi="Times New Roman" w:eastAsia="Calibri" w:cs="Times New Roman"/>
                <w:color w:val="auto"/>
                <w:kern w:val="0"/>
                <w:sz w:val="24"/>
                <w:szCs w:val="24"/>
                <w:highlight w:val="none"/>
                <w:lang w:val="en-US" w:eastAsia="zh-CN" w:bidi="ar-SA"/>
              </w:rPr>
              <w:t>氨、硫化氢、臭气浓度均达到</w:t>
            </w:r>
            <w:r>
              <w:rPr>
                <w:rFonts w:hint="eastAsia" w:cs="Times New Roman"/>
                <w:color w:val="auto"/>
                <w:sz w:val="24"/>
                <w:highlight w:val="none"/>
                <w:lang w:val="en-US" w:eastAsia="zh-CN"/>
              </w:rPr>
              <w:t>《恶臭污染物排放标准》（GB14554-93）中表1中恶臭污染物排放标准限值要求</w:t>
            </w:r>
            <w:r>
              <w:rPr>
                <w:rFonts w:hint="eastAsia" w:ascii="Times New Roman" w:hAnsi="Times New Roman" w:eastAsia="Calibri" w:cs="Times New Roman"/>
                <w:color w:val="auto"/>
                <w:kern w:val="0"/>
                <w:sz w:val="24"/>
                <w:szCs w:val="24"/>
                <w:highlight w:val="none"/>
                <w:lang w:val="en-US" w:eastAsia="zh-CN" w:bidi="ar-SA"/>
              </w:rPr>
              <w:t>。本项目新建渗滤液处理站原水处理工艺与现有处理工艺一致，渗滤液处理规模较现状减小，综合分析，项目建成后产生的恶臭对周边大气环境影响不大</w:t>
            </w:r>
            <w:r>
              <w:rPr>
                <w:rFonts w:hint="eastAsia" w:ascii="Times New Roman" w:hAnsi="Times New Roman" w:cs="Times New Roman"/>
                <w:color w:val="auto"/>
                <w:kern w:val="0"/>
                <w:sz w:val="24"/>
                <w:highlight w:val="none"/>
                <w:lang w:val="en-US" w:eastAsia="zh-CN"/>
              </w:rPr>
              <w:t>。</w:t>
            </w:r>
          </w:p>
          <w:p w14:paraId="45D1E9C0">
            <w:pPr>
              <w:spacing w:line="360" w:lineRule="auto"/>
              <w:ind w:firstLine="480" w:firstLineChars="200"/>
              <w:rPr>
                <w:rFonts w:hint="eastAsia" w:ascii="Times New Roman"/>
                <w:b/>
                <w:bCs/>
                <w:color w:val="auto"/>
                <w:sz w:val="24"/>
                <w:szCs w:val="24"/>
                <w:highlight w:val="none"/>
                <w:lang w:val="en-US" w:eastAsia="zh-CN"/>
              </w:rPr>
            </w:pPr>
            <w:r>
              <w:rPr>
                <w:color w:val="auto"/>
                <w:sz w:val="24"/>
                <w:highlight w:val="none"/>
              </w:rPr>
              <w:t>在采取以上措施，并在生产时规范管理，项目产生的废气对环境影响小。</w:t>
            </w:r>
          </w:p>
          <w:p w14:paraId="318B3DD7">
            <w:pPr>
              <w:snapToGrid w:val="0"/>
              <w:spacing w:line="360" w:lineRule="auto"/>
              <w:ind w:firstLine="482" w:firstLineChars="200"/>
              <w:rPr>
                <w:rFonts w:hint="eastAsia" w:ascii="Times New Roman"/>
                <w:b/>
                <w:bCs/>
                <w:color w:val="auto"/>
                <w:sz w:val="24"/>
                <w:szCs w:val="24"/>
                <w:highlight w:val="none"/>
                <w:lang w:val="en-US" w:eastAsia="zh-CN"/>
              </w:rPr>
            </w:pPr>
            <w:r>
              <w:rPr>
                <w:rFonts w:hint="eastAsia"/>
                <w:b/>
                <w:bCs/>
                <w:color w:val="auto"/>
                <w:sz w:val="24"/>
                <w:szCs w:val="24"/>
                <w:highlight w:val="none"/>
                <w:lang w:val="en-US" w:eastAsia="zh-CN"/>
              </w:rPr>
              <w:t>5</w:t>
            </w:r>
            <w:r>
              <w:rPr>
                <w:rFonts w:hint="eastAsia" w:ascii="Times New Roman"/>
                <w:b/>
                <w:bCs/>
                <w:color w:val="auto"/>
                <w:sz w:val="24"/>
                <w:szCs w:val="24"/>
                <w:highlight w:val="none"/>
                <w:lang w:val="en-US" w:eastAsia="zh-CN"/>
              </w:rPr>
              <w:t>、监测要求</w:t>
            </w:r>
          </w:p>
          <w:p w14:paraId="0F06571A">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w:t>
            </w:r>
            <w:r>
              <w:rPr>
                <w:rFonts w:hint="eastAsia" w:cs="Times New Roman"/>
                <w:b w:val="0"/>
                <w:bCs w:val="0"/>
                <w:color w:val="auto"/>
                <w:sz w:val="24"/>
                <w:szCs w:val="24"/>
                <w:highlight w:val="none"/>
                <w:lang w:val="en-US" w:eastAsia="zh-CN"/>
              </w:rPr>
              <w:t>排污许可证申请与核发技术规范</w:t>
            </w:r>
            <w:r>
              <w:rPr>
                <w:rFonts w:hint="eastAsia"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环境卫生管理业</w:t>
            </w:r>
            <w:r>
              <w:rPr>
                <w:rFonts w:hint="eastAsia" w:ascii="Times New Roman" w:hAnsi="Times New Roman" w:eastAsia="宋体" w:cs="Times New Roman"/>
                <w:b w:val="0"/>
                <w:bCs w:val="0"/>
                <w:color w:val="auto"/>
                <w:sz w:val="24"/>
                <w:szCs w:val="24"/>
                <w:highlight w:val="none"/>
                <w:lang w:val="en-US" w:eastAsia="zh-CN"/>
              </w:rPr>
              <w:t xml:space="preserve">》（HJ </w:t>
            </w:r>
            <w:r>
              <w:rPr>
                <w:rFonts w:hint="eastAsia" w:cs="Times New Roman"/>
                <w:b w:val="0"/>
                <w:bCs w:val="0"/>
                <w:color w:val="auto"/>
                <w:sz w:val="24"/>
                <w:szCs w:val="24"/>
                <w:highlight w:val="none"/>
                <w:lang w:val="en-US" w:eastAsia="zh-CN"/>
              </w:rPr>
              <w:t>1106</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2020</w:t>
            </w:r>
            <w:r>
              <w:rPr>
                <w:rFonts w:hint="eastAsia" w:ascii="Times New Roman" w:hAnsi="Times New Roman" w:eastAsia="宋体" w:cs="Times New Roman"/>
                <w:b w:val="0"/>
                <w:bCs w:val="0"/>
                <w:color w:val="auto"/>
                <w:sz w:val="24"/>
                <w:szCs w:val="24"/>
                <w:highlight w:val="none"/>
                <w:lang w:val="en-US" w:eastAsia="zh-CN"/>
              </w:rPr>
              <w:t>）中的相关要求，</w:t>
            </w:r>
            <w:r>
              <w:rPr>
                <w:rFonts w:hint="default" w:ascii="Times New Roman" w:hAnsi="Times New Roman" w:eastAsia="宋体" w:cs="Times New Roman"/>
                <w:b w:val="0"/>
                <w:bCs w:val="0"/>
                <w:color w:val="auto"/>
                <w:sz w:val="24"/>
                <w:szCs w:val="24"/>
                <w:highlight w:val="none"/>
                <w:lang w:val="en-US" w:eastAsia="zh-CN"/>
              </w:rPr>
              <w:t>具体监测要求见下表。</w:t>
            </w:r>
          </w:p>
          <w:p w14:paraId="73E99E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表4-</w:t>
            </w:r>
            <w:r>
              <w:rPr>
                <w:rFonts w:hint="eastAsia" w:cs="Times New Roman"/>
                <w:b/>
                <w:bCs w:val="0"/>
                <w:color w:val="auto"/>
                <w:sz w:val="24"/>
                <w:szCs w:val="24"/>
                <w:highlight w:val="none"/>
                <w:lang w:val="en-US" w:eastAsia="zh-CN"/>
              </w:rPr>
              <w:t xml:space="preserve">11   </w:t>
            </w:r>
            <w:r>
              <w:rPr>
                <w:rFonts w:hint="eastAsia" w:ascii="Times New Roman" w:hAnsi="Times New Roman" w:cs="Times New Roman"/>
                <w:b/>
                <w:bCs w:val="0"/>
                <w:color w:val="auto"/>
                <w:sz w:val="24"/>
                <w:szCs w:val="24"/>
                <w:highlight w:val="none"/>
                <w:lang w:val="en-US" w:eastAsia="zh-CN"/>
              </w:rPr>
              <w:t>有组织废气排放</w:t>
            </w:r>
            <w:r>
              <w:rPr>
                <w:rFonts w:hint="eastAsia" w:cs="Times New Roman"/>
                <w:b/>
                <w:bCs w:val="0"/>
                <w:color w:val="auto"/>
                <w:sz w:val="24"/>
                <w:szCs w:val="24"/>
                <w:highlight w:val="none"/>
                <w:lang w:val="en-US" w:eastAsia="zh-CN"/>
              </w:rPr>
              <w:t>监测指标及最低监测频次</w:t>
            </w:r>
            <w:r>
              <w:rPr>
                <w:rFonts w:hint="default" w:ascii="Times New Roman" w:hAnsi="Times New Roman" w:cs="Times New Roman"/>
                <w:b/>
                <w:bCs w:val="0"/>
                <w:color w:val="auto"/>
                <w:sz w:val="24"/>
                <w:szCs w:val="24"/>
                <w:highlight w:val="none"/>
                <w:lang w:val="en-US" w:eastAsia="zh-CN"/>
              </w:rPr>
              <w:t>要求</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2362"/>
              <w:gridCol w:w="1200"/>
              <w:gridCol w:w="3684"/>
            </w:tblGrid>
            <w:tr w14:paraId="3559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03" w:type="pct"/>
                  <w:noWrap w:val="0"/>
                  <w:vAlign w:val="center"/>
                </w:tcPr>
                <w:p w14:paraId="71F9F100">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监测点位</w:t>
                  </w:r>
                </w:p>
              </w:tc>
              <w:tc>
                <w:tcPr>
                  <w:tcW w:w="1335" w:type="pct"/>
                  <w:noWrap w:val="0"/>
                  <w:vAlign w:val="center"/>
                </w:tcPr>
                <w:p w14:paraId="66B8E194">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w:t>
                  </w:r>
                  <w:r>
                    <w:rPr>
                      <w:rFonts w:hint="eastAsia" w:ascii="Times New Roman" w:hAnsi="Times New Roman" w:cs="Times New Roman"/>
                      <w:color w:val="auto"/>
                      <w:sz w:val="21"/>
                      <w:szCs w:val="21"/>
                      <w:highlight w:val="none"/>
                      <w:vertAlign w:val="baseline"/>
                      <w:lang w:val="en-US" w:eastAsia="zh-CN"/>
                    </w:rPr>
                    <w:t>指标</w:t>
                  </w:r>
                </w:p>
              </w:tc>
              <w:tc>
                <w:tcPr>
                  <w:tcW w:w="678" w:type="pct"/>
                  <w:noWrap w:val="0"/>
                  <w:vAlign w:val="center"/>
                </w:tcPr>
                <w:p w14:paraId="728C178D">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监测频次</w:t>
                  </w:r>
                </w:p>
              </w:tc>
              <w:tc>
                <w:tcPr>
                  <w:tcW w:w="2082" w:type="pct"/>
                  <w:noWrap w:val="0"/>
                  <w:vAlign w:val="center"/>
                </w:tcPr>
                <w:p w14:paraId="0C74095F">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olor w:val="auto"/>
                      <w:highlight w:val="none"/>
                    </w:rPr>
                    <w:t>执行标准</w:t>
                  </w:r>
                </w:p>
              </w:tc>
            </w:tr>
            <w:tr w14:paraId="4D91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03" w:type="pct"/>
                  <w:noWrap w:val="0"/>
                  <w:vAlign w:val="center"/>
                </w:tcPr>
                <w:p w14:paraId="42842F8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化学洗涤塔排气筒DA001</w:t>
                  </w:r>
                </w:p>
              </w:tc>
              <w:tc>
                <w:tcPr>
                  <w:tcW w:w="1335" w:type="pct"/>
                  <w:noWrap w:val="0"/>
                  <w:vAlign w:val="center"/>
                </w:tcPr>
                <w:p w14:paraId="0296564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臭气浓度、硫化氢、氨</w:t>
                  </w:r>
                </w:p>
              </w:tc>
              <w:tc>
                <w:tcPr>
                  <w:tcW w:w="678" w:type="pct"/>
                  <w:noWrap w:val="0"/>
                  <w:vAlign w:val="center"/>
                </w:tcPr>
                <w:p w14:paraId="573873E7">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半年</w:t>
                  </w:r>
                </w:p>
              </w:tc>
              <w:tc>
                <w:tcPr>
                  <w:tcW w:w="2082" w:type="pct"/>
                  <w:noWrap w:val="0"/>
                  <w:vAlign w:val="center"/>
                </w:tcPr>
                <w:p w14:paraId="4D1E6079">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《恶臭污染物排放标准》（GB14554-93）中表2中恶臭污染物排放标准限值</w:t>
                  </w:r>
                </w:p>
              </w:tc>
            </w:tr>
          </w:tbl>
          <w:p w14:paraId="19C6EE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表4-</w:t>
            </w:r>
            <w:r>
              <w:rPr>
                <w:rFonts w:hint="eastAsia" w:cs="Times New Roman"/>
                <w:b/>
                <w:bCs w:val="0"/>
                <w:color w:val="auto"/>
                <w:sz w:val="24"/>
                <w:szCs w:val="24"/>
                <w:highlight w:val="none"/>
                <w:lang w:val="en-US" w:eastAsia="zh-CN"/>
              </w:rPr>
              <w:t xml:space="preserve">12   </w:t>
            </w:r>
            <w:r>
              <w:rPr>
                <w:rFonts w:hint="eastAsia" w:ascii="Times New Roman" w:hAnsi="Times New Roman" w:cs="Times New Roman"/>
                <w:b/>
                <w:bCs w:val="0"/>
                <w:color w:val="auto"/>
                <w:sz w:val="24"/>
                <w:szCs w:val="24"/>
                <w:highlight w:val="none"/>
                <w:lang w:val="en-US" w:eastAsia="zh-CN"/>
              </w:rPr>
              <w:t>无组织废气</w:t>
            </w:r>
            <w:r>
              <w:rPr>
                <w:rFonts w:hint="eastAsia" w:cs="Times New Roman"/>
                <w:b/>
                <w:bCs w:val="0"/>
                <w:color w:val="auto"/>
                <w:sz w:val="24"/>
                <w:szCs w:val="24"/>
                <w:highlight w:val="none"/>
                <w:lang w:val="en-US" w:eastAsia="zh-CN"/>
              </w:rPr>
              <w:t>监测指标及最低监测频次</w:t>
            </w:r>
            <w:r>
              <w:rPr>
                <w:rFonts w:hint="default" w:ascii="Times New Roman" w:hAnsi="Times New Roman" w:cs="Times New Roman"/>
                <w:b/>
                <w:bCs w:val="0"/>
                <w:color w:val="auto"/>
                <w:sz w:val="24"/>
                <w:szCs w:val="24"/>
                <w:highlight w:val="none"/>
                <w:lang w:val="en-US" w:eastAsia="zh-CN"/>
              </w:rPr>
              <w:t>要求</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318"/>
              <w:gridCol w:w="1269"/>
              <w:gridCol w:w="3667"/>
            </w:tblGrid>
            <w:tr w14:paraId="270F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97" w:type="pct"/>
                  <w:noWrap w:val="0"/>
                  <w:vAlign w:val="center"/>
                </w:tcPr>
                <w:p w14:paraId="5C2E8AEF">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监测点位</w:t>
                  </w:r>
                </w:p>
              </w:tc>
              <w:tc>
                <w:tcPr>
                  <w:tcW w:w="1310" w:type="pct"/>
                  <w:noWrap w:val="0"/>
                  <w:vAlign w:val="center"/>
                </w:tcPr>
                <w:p w14:paraId="324E4628">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w:t>
                  </w:r>
                  <w:r>
                    <w:rPr>
                      <w:rFonts w:hint="eastAsia" w:ascii="Times New Roman" w:hAnsi="Times New Roman" w:cs="Times New Roman"/>
                      <w:color w:val="auto"/>
                      <w:sz w:val="21"/>
                      <w:szCs w:val="21"/>
                      <w:highlight w:val="none"/>
                      <w:vertAlign w:val="baseline"/>
                      <w:lang w:val="en-US" w:eastAsia="zh-CN"/>
                    </w:rPr>
                    <w:t>指标</w:t>
                  </w:r>
                </w:p>
              </w:tc>
              <w:tc>
                <w:tcPr>
                  <w:tcW w:w="717" w:type="pct"/>
                  <w:noWrap w:val="0"/>
                  <w:vAlign w:val="center"/>
                </w:tcPr>
                <w:p w14:paraId="623A9FF3">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监测频次</w:t>
                  </w:r>
                </w:p>
              </w:tc>
              <w:tc>
                <w:tcPr>
                  <w:tcW w:w="2073" w:type="pct"/>
                  <w:noWrap w:val="0"/>
                  <w:vAlign w:val="center"/>
                </w:tcPr>
                <w:p w14:paraId="707A144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olor w:val="auto"/>
                      <w:highlight w:val="none"/>
                    </w:rPr>
                    <w:t>执行标准</w:t>
                  </w:r>
                </w:p>
              </w:tc>
            </w:tr>
            <w:tr w14:paraId="1A1E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97" w:type="pct"/>
                  <w:noWrap w:val="0"/>
                  <w:vAlign w:val="center"/>
                </w:tcPr>
                <w:p w14:paraId="30B7AEEF">
                  <w:pPr>
                    <w:spacing w:line="240" w:lineRule="auto"/>
                    <w:jc w:val="center"/>
                    <w:rPr>
                      <w:rFonts w:hint="default" w:ascii="Times New Roman" w:hAnsi="Times New Roman" w:cs="Times New Roman"/>
                      <w:color w:val="auto"/>
                      <w:sz w:val="21"/>
                      <w:szCs w:val="21"/>
                      <w:highlight w:val="none"/>
                      <w:vertAlign w:val="superscript"/>
                      <w:lang w:val="en-US" w:eastAsia="zh-CN"/>
                    </w:rPr>
                  </w:pPr>
                  <w:r>
                    <w:rPr>
                      <w:rFonts w:hint="eastAsia" w:cs="Times New Roman"/>
                      <w:color w:val="auto"/>
                      <w:sz w:val="21"/>
                      <w:szCs w:val="21"/>
                      <w:highlight w:val="none"/>
                      <w:vertAlign w:val="baseline"/>
                      <w:lang w:val="en-US" w:eastAsia="zh-CN"/>
                    </w:rPr>
                    <w:t>厂界</w:t>
                  </w:r>
                </w:p>
              </w:tc>
              <w:tc>
                <w:tcPr>
                  <w:tcW w:w="1310" w:type="pct"/>
                  <w:noWrap w:val="0"/>
                  <w:vAlign w:val="center"/>
                </w:tcPr>
                <w:p w14:paraId="7B94D13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硫化氢、氨、臭气浓度</w:t>
                  </w:r>
                  <w:r>
                    <w:rPr>
                      <w:rFonts w:hint="eastAsia" w:cs="Times New Roman"/>
                      <w:color w:val="auto"/>
                      <w:sz w:val="21"/>
                      <w:szCs w:val="21"/>
                      <w:highlight w:val="none"/>
                      <w:vertAlign w:val="baseline"/>
                      <w:lang w:val="en-US" w:eastAsia="zh-CN"/>
                    </w:rPr>
                    <w:t>、颗粒物</w:t>
                  </w:r>
                </w:p>
              </w:tc>
              <w:tc>
                <w:tcPr>
                  <w:tcW w:w="717" w:type="pct"/>
                  <w:noWrap w:val="0"/>
                  <w:vAlign w:val="center"/>
                </w:tcPr>
                <w:p w14:paraId="4156E05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月</w:t>
                  </w:r>
                </w:p>
              </w:tc>
              <w:tc>
                <w:tcPr>
                  <w:tcW w:w="2073" w:type="pct"/>
                  <w:noWrap w:val="0"/>
                  <w:vAlign w:val="center"/>
                </w:tcPr>
                <w:p w14:paraId="0AA611B1">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《恶臭污染物排放标准》（GB14554-93）中表1中恶臭污染物排放标准限值</w:t>
                  </w:r>
                </w:p>
              </w:tc>
            </w:tr>
          </w:tbl>
          <w:p w14:paraId="03ED5E14">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eastAsia"/>
                <w:b/>
                <w:bCs/>
                <w:color w:val="auto"/>
                <w:sz w:val="24"/>
                <w:highlight w:val="none"/>
                <w:lang w:eastAsia="zh-CN"/>
              </w:rPr>
            </w:pPr>
          </w:p>
          <w:p w14:paraId="2851E803">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left"/>
              <w:textAlignment w:val="auto"/>
              <w:rPr>
                <w:b/>
                <w:bCs/>
                <w:color w:val="auto"/>
                <w:sz w:val="24"/>
                <w:highlight w:val="none"/>
              </w:rPr>
            </w:pPr>
            <w:r>
              <w:rPr>
                <w:rFonts w:hint="eastAsia"/>
                <w:b/>
                <w:bCs/>
                <w:color w:val="auto"/>
                <w:sz w:val="24"/>
                <w:highlight w:val="none"/>
                <w:lang w:eastAsia="zh-CN"/>
              </w:rPr>
              <w:t>二</w:t>
            </w:r>
            <w:r>
              <w:rPr>
                <w:rFonts w:hint="eastAsia"/>
                <w:b/>
                <w:bCs/>
                <w:color w:val="auto"/>
                <w:sz w:val="24"/>
                <w:highlight w:val="none"/>
              </w:rPr>
              <w:t>、运营期废水环境影响和保护措施</w:t>
            </w:r>
          </w:p>
          <w:p w14:paraId="2E8B3AE2">
            <w:pPr>
              <w:spacing w:line="360" w:lineRule="auto"/>
              <w:ind w:firstLine="482" w:firstLineChars="200"/>
              <w:textAlignment w:val="auto"/>
              <w:rPr>
                <w:rFonts w:hint="eastAsia"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1、</w:t>
            </w:r>
            <w:r>
              <w:rPr>
                <w:rFonts w:hint="eastAsia"/>
                <w:b/>
                <w:bCs/>
                <w:color w:val="auto"/>
                <w:sz w:val="24"/>
                <w:highlight w:val="none"/>
              </w:rPr>
              <w:t>污染源源强核算及达标排放情况</w:t>
            </w:r>
          </w:p>
          <w:p w14:paraId="17BDF597">
            <w:pPr>
              <w:adjustRightInd w:val="0"/>
              <w:snapToGrid w:val="0"/>
              <w:spacing w:line="360" w:lineRule="auto"/>
              <w:ind w:firstLine="480" w:firstLineChars="200"/>
              <w:rPr>
                <w:rFonts w:hint="default"/>
                <w:bCs/>
                <w:snapToGrid w:val="0"/>
                <w:color w:val="auto"/>
                <w:sz w:val="24"/>
                <w:highlight w:val="none"/>
                <w:lang w:val="en-US" w:eastAsia="zh-CN"/>
              </w:rPr>
            </w:pPr>
            <w:r>
              <w:rPr>
                <w:rFonts w:hint="eastAsia"/>
                <w:bCs/>
                <w:snapToGrid w:val="0"/>
                <w:color w:val="auto"/>
                <w:sz w:val="24"/>
                <w:highlight w:val="none"/>
                <w:lang w:val="en-US" w:eastAsia="zh-CN"/>
              </w:rPr>
              <w:t>（1）填埋场渗滤液</w:t>
            </w:r>
          </w:p>
          <w:p w14:paraId="77E6B43A">
            <w:pPr>
              <w:adjustRightInd w:val="0"/>
              <w:snapToGrid w:val="0"/>
              <w:spacing w:line="360" w:lineRule="auto"/>
              <w:ind w:firstLine="480" w:firstLineChars="200"/>
              <w:rPr>
                <w:rFonts w:hint="default" w:ascii="Times New Roman" w:hAnsi="Times New Roman" w:cs="Times New Roman"/>
                <w:bCs/>
                <w:snapToGrid w:val="0"/>
                <w:color w:val="auto"/>
                <w:sz w:val="24"/>
                <w:szCs w:val="24"/>
                <w:highlight w:val="none"/>
                <w:lang w:val="en-US" w:eastAsia="zh-CN"/>
              </w:rPr>
            </w:pPr>
            <w:r>
              <w:rPr>
                <w:rFonts w:hint="eastAsia"/>
                <w:color w:val="auto"/>
                <w:sz w:val="24"/>
                <w:highlight w:val="none"/>
              </w:rPr>
              <w:t>根据项目可行性研究报告及设计方案，项目建成后预计</w:t>
            </w:r>
            <w:r>
              <w:rPr>
                <w:rFonts w:hint="eastAsia"/>
                <w:color w:val="auto"/>
                <w:kern w:val="0"/>
                <w:sz w:val="24"/>
                <w:highlight w:val="none"/>
              </w:rPr>
              <w:t>垃圾填埋场的渗滤液日平均产生量47</w:t>
            </w:r>
            <w:r>
              <w:rPr>
                <w:color w:val="auto"/>
                <w:kern w:val="0"/>
                <w:sz w:val="24"/>
                <w:highlight w:val="none"/>
              </w:rPr>
              <w:t>~50</w:t>
            </w:r>
            <w:r>
              <w:rPr>
                <w:rFonts w:hint="eastAsia"/>
                <w:color w:val="auto"/>
                <w:kern w:val="0"/>
                <w:sz w:val="24"/>
                <w:highlight w:val="none"/>
              </w:rPr>
              <w:t>t/d</w:t>
            </w:r>
            <w:r>
              <w:rPr>
                <w:rFonts w:hint="eastAsia"/>
                <w:color w:val="auto"/>
                <w:sz w:val="24"/>
                <w:highlight w:val="none"/>
              </w:rPr>
              <w:t>，经渗滤液收集池收集后，</w:t>
            </w:r>
            <w:r>
              <w:rPr>
                <w:rFonts w:hint="eastAsia"/>
                <w:bCs/>
                <w:color w:val="auto"/>
                <w:sz w:val="24"/>
                <w:highlight w:val="none"/>
              </w:rPr>
              <w:t>排入1000m</w:t>
            </w:r>
            <w:r>
              <w:rPr>
                <w:rFonts w:hint="eastAsia"/>
                <w:bCs/>
                <w:color w:val="auto"/>
                <w:sz w:val="24"/>
                <w:highlight w:val="none"/>
                <w:vertAlign w:val="superscript"/>
              </w:rPr>
              <w:t>3</w:t>
            </w:r>
            <w:r>
              <w:rPr>
                <w:rFonts w:hint="eastAsia"/>
                <w:bCs/>
                <w:color w:val="auto"/>
                <w:sz w:val="24"/>
                <w:highlight w:val="none"/>
              </w:rPr>
              <w:t>渗滤液调节池，再进入</w:t>
            </w:r>
            <w:r>
              <w:rPr>
                <w:rFonts w:hint="eastAsia"/>
                <w:color w:val="auto"/>
                <w:kern w:val="0"/>
                <w:sz w:val="24"/>
                <w:highlight w:val="none"/>
              </w:rPr>
              <w:t>全量化处理站处理系统处理</w:t>
            </w:r>
            <w:r>
              <w:rPr>
                <w:color w:val="auto"/>
                <w:kern w:val="24"/>
                <w:sz w:val="24"/>
                <w:highlight w:val="none"/>
              </w:rPr>
              <w:t>。</w:t>
            </w:r>
          </w:p>
          <w:p w14:paraId="36721A9B">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生活污水</w:t>
            </w:r>
          </w:p>
          <w:p w14:paraId="683C1815">
            <w:pPr>
              <w:spacing w:line="360" w:lineRule="auto"/>
              <w:ind w:firstLine="480" w:firstLineChars="200"/>
              <w:rPr>
                <w:rFonts w:hint="eastAsia" w:ascii="宋体" w:hAnsi="宋体" w:cs="宋体"/>
                <w:color w:val="auto"/>
                <w:sz w:val="24"/>
                <w:highlight w:val="none"/>
                <w:lang w:eastAsia="zh-CN"/>
              </w:rPr>
            </w:pPr>
            <w:r>
              <w:rPr>
                <w:rFonts w:hint="eastAsia"/>
                <w:color w:val="auto"/>
                <w:sz w:val="24"/>
                <w:highlight w:val="none"/>
              </w:rPr>
              <w:t>根据</w:t>
            </w:r>
            <w:r>
              <w:rPr>
                <w:rFonts w:hint="eastAsia"/>
                <w:color w:val="auto"/>
                <w:sz w:val="24"/>
                <w:highlight w:val="none"/>
                <w:lang w:eastAsia="zh-CN"/>
              </w:rPr>
              <w:t>水平衡分析</w:t>
            </w:r>
            <w:r>
              <w:rPr>
                <w:rFonts w:hint="eastAsia"/>
                <w:color w:val="auto"/>
                <w:sz w:val="24"/>
                <w:highlight w:val="none"/>
              </w:rPr>
              <w:t>，项目</w:t>
            </w:r>
            <w:r>
              <w:rPr>
                <w:rFonts w:hint="eastAsia"/>
                <w:color w:val="auto"/>
                <w:sz w:val="24"/>
                <w:highlight w:val="none"/>
                <w:lang w:eastAsia="zh-CN"/>
              </w:rPr>
              <w:t>员工生活污水</w:t>
            </w:r>
            <w:r>
              <w:rPr>
                <w:rFonts w:hint="eastAsia"/>
                <w:bCs/>
                <w:color w:val="auto"/>
                <w:sz w:val="24"/>
                <w:highlight w:val="none"/>
              </w:rPr>
              <w:t>产生量</w:t>
            </w:r>
            <w:r>
              <w:rPr>
                <w:rFonts w:hint="eastAsia"/>
                <w:bCs/>
                <w:color w:val="auto"/>
                <w:sz w:val="24"/>
                <w:highlight w:val="none"/>
                <w:lang w:val="en-US" w:eastAsia="zh-CN"/>
              </w:rPr>
              <w:t>0.44</w:t>
            </w:r>
            <w:r>
              <w:rPr>
                <w:rFonts w:hint="eastAsia"/>
                <w:bCs/>
                <w:color w:val="auto"/>
                <w:sz w:val="24"/>
                <w:highlight w:val="none"/>
              </w:rPr>
              <w:t>m</w:t>
            </w:r>
            <w:r>
              <w:rPr>
                <w:rFonts w:hint="eastAsia"/>
                <w:bCs/>
                <w:color w:val="auto"/>
                <w:sz w:val="24"/>
                <w:highlight w:val="none"/>
                <w:vertAlign w:val="superscript"/>
              </w:rPr>
              <w:t>3</w:t>
            </w:r>
            <w:r>
              <w:rPr>
                <w:rFonts w:hint="eastAsia"/>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160.6m</w:t>
            </w:r>
            <w:r>
              <w:rPr>
                <w:rFonts w:hint="eastAsia"/>
                <w:bCs/>
                <w:color w:val="auto"/>
                <w:sz w:val="24"/>
                <w:highlight w:val="none"/>
                <w:vertAlign w:val="superscript"/>
                <w:lang w:val="en-US" w:eastAsia="zh-CN"/>
              </w:rPr>
              <w:t>3</w:t>
            </w:r>
            <w:r>
              <w:rPr>
                <w:rFonts w:hint="eastAsia"/>
                <w:bCs/>
                <w:color w:val="auto"/>
                <w:sz w:val="24"/>
                <w:highlight w:val="none"/>
                <w:lang w:val="en-US" w:eastAsia="zh-CN"/>
              </w:rPr>
              <w:t>/a，排入现有</w:t>
            </w:r>
            <w:r>
              <w:rPr>
                <w:rFonts w:hint="eastAsia"/>
                <w:bCs/>
                <w:color w:val="auto"/>
                <w:sz w:val="24"/>
                <w:highlight w:val="none"/>
              </w:rPr>
              <w:t>1000m</w:t>
            </w:r>
            <w:r>
              <w:rPr>
                <w:rFonts w:hint="eastAsia"/>
                <w:bCs/>
                <w:color w:val="auto"/>
                <w:sz w:val="24"/>
                <w:highlight w:val="none"/>
                <w:vertAlign w:val="superscript"/>
              </w:rPr>
              <w:t>3</w:t>
            </w:r>
            <w:r>
              <w:rPr>
                <w:rFonts w:hint="eastAsia"/>
                <w:bCs/>
                <w:color w:val="auto"/>
                <w:sz w:val="24"/>
                <w:highlight w:val="none"/>
                <w:lang w:val="en-US" w:eastAsia="zh-CN"/>
              </w:rPr>
              <w:t>调节池调节后，进入全量化处理站</w:t>
            </w:r>
            <w:r>
              <w:rPr>
                <w:rFonts w:hint="eastAsia"/>
                <w:bCs/>
                <w:snapToGrid w:val="0"/>
                <w:color w:val="auto"/>
                <w:sz w:val="24"/>
                <w:highlight w:val="none"/>
                <w:lang w:val="en-US" w:eastAsia="zh-CN"/>
              </w:rPr>
              <w:t>进行处理。</w:t>
            </w:r>
          </w:p>
          <w:p w14:paraId="67F1C4C3">
            <w:pPr>
              <w:spacing w:line="360" w:lineRule="auto"/>
              <w:ind w:firstLine="480" w:firstLineChars="200"/>
              <w:rPr>
                <w:rFonts w:hint="default"/>
                <w:color w:val="auto"/>
                <w:sz w:val="24"/>
                <w:highlight w:val="none"/>
                <w:lang w:val="en-US"/>
              </w:rPr>
            </w:pP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eastAsia" w:ascii="宋体" w:hAnsi="宋体" w:cs="宋体"/>
                <w:color w:val="auto"/>
                <w:sz w:val="24"/>
                <w:highlight w:val="none"/>
                <w:lang w:val="en-US" w:eastAsia="zh-CN"/>
              </w:rPr>
              <w:t>生产废水</w:t>
            </w:r>
          </w:p>
          <w:p w14:paraId="5D0DA2EF">
            <w:pPr>
              <w:adjustRightInd w:val="0"/>
              <w:snapToGrid w:val="0"/>
              <w:spacing w:line="360" w:lineRule="auto"/>
              <w:ind w:firstLine="480" w:firstLineChars="200"/>
              <w:rPr>
                <w:rFonts w:hint="eastAsia"/>
                <w:bCs/>
                <w:snapToGrid w:val="0"/>
                <w:color w:val="auto"/>
                <w:sz w:val="24"/>
                <w:highlight w:val="none"/>
                <w:lang w:val="en-US" w:eastAsia="zh-CN"/>
              </w:rPr>
            </w:pPr>
            <w:r>
              <w:rPr>
                <w:rFonts w:hint="eastAsia"/>
                <w:color w:val="auto"/>
                <w:sz w:val="24"/>
                <w:highlight w:val="none"/>
              </w:rPr>
              <w:t>根据</w:t>
            </w:r>
            <w:r>
              <w:rPr>
                <w:rFonts w:hint="eastAsia"/>
                <w:color w:val="auto"/>
                <w:sz w:val="24"/>
                <w:highlight w:val="none"/>
                <w:lang w:eastAsia="zh-CN"/>
              </w:rPr>
              <w:t>水平衡分析</w:t>
            </w:r>
            <w:r>
              <w:rPr>
                <w:rFonts w:hint="eastAsia"/>
                <w:color w:val="auto"/>
                <w:sz w:val="24"/>
                <w:highlight w:val="none"/>
              </w:rPr>
              <w:t>，项目</w:t>
            </w:r>
            <w:r>
              <w:rPr>
                <w:rFonts w:hint="eastAsia"/>
                <w:color w:val="auto"/>
                <w:sz w:val="24"/>
                <w:highlight w:val="none"/>
                <w:lang w:val="en-US" w:eastAsia="zh-CN"/>
              </w:rPr>
              <w:t>全量化处理站运行过程中</w:t>
            </w:r>
            <w:r>
              <w:rPr>
                <w:rFonts w:hint="eastAsia"/>
                <w:bCs/>
                <w:color w:val="auto"/>
                <w:sz w:val="24"/>
                <w:highlight w:val="none"/>
                <w:lang w:val="en-US" w:eastAsia="zh-CN"/>
              </w:rPr>
              <w:t>化学洗涤塔废液产生量0.05</w:t>
            </w:r>
            <w:r>
              <w:rPr>
                <w:rFonts w:hint="eastAsia"/>
                <w:bCs/>
                <w:color w:val="auto"/>
                <w:sz w:val="24"/>
                <w:highlight w:val="none"/>
              </w:rPr>
              <w:t>m</w:t>
            </w:r>
            <w:r>
              <w:rPr>
                <w:rFonts w:hint="eastAsia"/>
                <w:bCs/>
                <w:color w:val="auto"/>
                <w:sz w:val="24"/>
                <w:highlight w:val="none"/>
                <w:vertAlign w:val="superscript"/>
              </w:rPr>
              <w:t>3</w:t>
            </w:r>
            <w:r>
              <w:rPr>
                <w:rFonts w:hint="eastAsia"/>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18.25m</w:t>
            </w:r>
            <w:r>
              <w:rPr>
                <w:rFonts w:hint="eastAsia"/>
                <w:bCs/>
                <w:color w:val="auto"/>
                <w:sz w:val="24"/>
                <w:highlight w:val="none"/>
                <w:vertAlign w:val="superscript"/>
                <w:lang w:val="en-US" w:eastAsia="zh-CN"/>
              </w:rPr>
              <w:t>3</w:t>
            </w:r>
            <w:r>
              <w:rPr>
                <w:rFonts w:hint="eastAsia"/>
                <w:bCs/>
                <w:color w:val="auto"/>
                <w:sz w:val="24"/>
                <w:highlight w:val="none"/>
                <w:lang w:val="en-US" w:eastAsia="zh-CN"/>
              </w:rPr>
              <w:t>/a；</w:t>
            </w:r>
            <w:r>
              <w:rPr>
                <w:rFonts w:hint="eastAsia"/>
                <w:color w:val="auto"/>
                <w:kern w:val="24"/>
                <w:sz w:val="24"/>
                <w:highlight w:val="none"/>
              </w:rPr>
              <w:t>两级DTRO膜组件清洗废水</w:t>
            </w:r>
            <w:r>
              <w:rPr>
                <w:rFonts w:hint="eastAsia"/>
                <w:color w:val="auto"/>
                <w:sz w:val="24"/>
                <w:highlight w:val="none"/>
              </w:rPr>
              <w:t>产生量约3</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104</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r>
              <w:rPr>
                <w:rFonts w:hint="eastAsia"/>
                <w:color w:val="auto"/>
                <w:kern w:val="24"/>
                <w:sz w:val="24"/>
                <w:highlight w:val="none"/>
              </w:rPr>
              <w:t>离子交换再生废水</w:t>
            </w:r>
            <w:r>
              <w:rPr>
                <w:rFonts w:hint="eastAsia"/>
                <w:color w:val="auto"/>
                <w:sz w:val="24"/>
                <w:highlight w:val="none"/>
              </w:rPr>
              <w:t>产生量约0.285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104</w:t>
            </w:r>
            <w:r>
              <w:rPr>
                <w:color w:val="auto"/>
                <w:sz w:val="24"/>
                <w:highlight w:val="none"/>
              </w:rPr>
              <w:t>m</w:t>
            </w:r>
            <w:r>
              <w:rPr>
                <w:color w:val="auto"/>
                <w:sz w:val="24"/>
                <w:highlight w:val="none"/>
                <w:vertAlign w:val="superscript"/>
              </w:rPr>
              <w:t>3</w:t>
            </w:r>
            <w:r>
              <w:rPr>
                <w:color w:val="auto"/>
                <w:sz w:val="24"/>
                <w:highlight w:val="none"/>
              </w:rPr>
              <w:t>/a，</w:t>
            </w:r>
            <w:r>
              <w:rPr>
                <w:rFonts w:hint="eastAsia"/>
                <w:bCs/>
                <w:color w:val="auto"/>
                <w:sz w:val="24"/>
                <w:highlight w:val="none"/>
                <w:lang w:val="en-US" w:eastAsia="zh-CN"/>
              </w:rPr>
              <w:t>均排入现有</w:t>
            </w:r>
            <w:r>
              <w:rPr>
                <w:rFonts w:hint="eastAsia"/>
                <w:bCs/>
                <w:color w:val="auto"/>
                <w:sz w:val="24"/>
                <w:highlight w:val="none"/>
              </w:rPr>
              <w:t>1000m</w:t>
            </w:r>
            <w:r>
              <w:rPr>
                <w:rFonts w:hint="eastAsia"/>
                <w:bCs/>
                <w:color w:val="auto"/>
                <w:sz w:val="24"/>
                <w:highlight w:val="none"/>
                <w:vertAlign w:val="superscript"/>
              </w:rPr>
              <w:t>3</w:t>
            </w:r>
            <w:r>
              <w:rPr>
                <w:rFonts w:hint="eastAsia"/>
                <w:bCs/>
                <w:color w:val="auto"/>
                <w:sz w:val="24"/>
                <w:highlight w:val="none"/>
                <w:lang w:val="en-US" w:eastAsia="zh-CN"/>
              </w:rPr>
              <w:t>调节池调节后，进入全量化处理站</w:t>
            </w:r>
            <w:r>
              <w:rPr>
                <w:rFonts w:hint="eastAsia"/>
                <w:bCs/>
                <w:snapToGrid w:val="0"/>
                <w:color w:val="auto"/>
                <w:sz w:val="24"/>
                <w:highlight w:val="none"/>
                <w:lang w:val="en-US" w:eastAsia="zh-CN"/>
              </w:rPr>
              <w:t>进行处理。</w:t>
            </w:r>
          </w:p>
          <w:p w14:paraId="24DFB101">
            <w:pPr>
              <w:adjustRightInd w:val="0"/>
              <w:snapToGrid w:val="0"/>
              <w:spacing w:line="360" w:lineRule="auto"/>
              <w:ind w:firstLine="480" w:firstLineChars="200"/>
              <w:rPr>
                <w:rFonts w:hint="eastAsia" w:ascii="Times New Roman" w:hAnsi="Times New Roman"/>
                <w:color w:val="auto"/>
                <w:sz w:val="24"/>
                <w:szCs w:val="24"/>
                <w:highlight w:val="none"/>
              </w:rPr>
            </w:pPr>
            <w:r>
              <w:rPr>
                <w:rFonts w:hint="eastAsia"/>
                <w:color w:val="auto"/>
                <w:sz w:val="24"/>
                <w:highlight w:val="none"/>
              </w:rPr>
              <w:t>本项目</w:t>
            </w:r>
            <w:r>
              <w:rPr>
                <w:rFonts w:hint="eastAsia"/>
                <w:bCs/>
                <w:color w:val="auto"/>
                <w:sz w:val="24"/>
                <w:highlight w:val="none"/>
              </w:rPr>
              <w:t>全量化处理站设计处理量为</w:t>
            </w:r>
            <w:r>
              <w:rPr>
                <w:rFonts w:hint="eastAsia" w:eastAsia="仿宋"/>
                <w:color w:val="auto"/>
                <w:spacing w:val="1"/>
                <w:sz w:val="24"/>
                <w:highlight w:val="none"/>
              </w:rPr>
              <w:t>50</w:t>
            </w:r>
            <w:r>
              <w:rPr>
                <w:rFonts w:eastAsia="Times New Roman"/>
                <w:color w:val="auto"/>
                <w:sz w:val="24"/>
                <w:highlight w:val="none"/>
              </w:rPr>
              <w:t>m</w:t>
            </w:r>
            <w:r>
              <w:rPr>
                <w:color w:val="auto"/>
                <w:sz w:val="24"/>
                <w:highlight w:val="none"/>
                <w:vertAlign w:val="superscript"/>
              </w:rPr>
              <w:t>3</w:t>
            </w:r>
            <w:r>
              <w:rPr>
                <w:rFonts w:eastAsia="Times New Roman"/>
                <w:color w:val="auto"/>
                <w:sz w:val="24"/>
                <w:highlight w:val="none"/>
              </w:rPr>
              <w:t>/d</w:t>
            </w:r>
            <w:r>
              <w:rPr>
                <w:rFonts w:hint="eastAsia"/>
                <w:color w:val="auto"/>
                <w:sz w:val="24"/>
                <w:highlight w:val="none"/>
              </w:rPr>
              <w:t>，本次评价按最大处理量计算，每年处理废水量为18250</w:t>
            </w:r>
            <w:r>
              <w:rPr>
                <w:rFonts w:eastAsia="Times New Roman"/>
                <w:color w:val="auto"/>
                <w:sz w:val="24"/>
                <w:highlight w:val="none"/>
              </w:rPr>
              <w:t>m</w:t>
            </w:r>
            <w:r>
              <w:rPr>
                <w:color w:val="auto"/>
                <w:sz w:val="24"/>
                <w:highlight w:val="none"/>
                <w:vertAlign w:val="superscript"/>
              </w:rPr>
              <w:t>3</w:t>
            </w:r>
            <w:r>
              <w:rPr>
                <w:rFonts w:eastAsia="Times New Roman"/>
                <w:color w:val="auto"/>
                <w:sz w:val="24"/>
                <w:highlight w:val="none"/>
              </w:rPr>
              <w:t>/</w:t>
            </w:r>
            <w:r>
              <w:rPr>
                <w:color w:val="auto"/>
                <w:sz w:val="24"/>
                <w:highlight w:val="none"/>
              </w:rPr>
              <w:t>a</w:t>
            </w:r>
            <w:r>
              <w:rPr>
                <w:rFonts w:hint="eastAsia"/>
                <w:color w:val="auto"/>
                <w:sz w:val="24"/>
                <w:highlight w:val="none"/>
              </w:rPr>
              <w:t>。废水中的主要污染物为COD、BOD</w:t>
            </w:r>
            <w:r>
              <w:rPr>
                <w:rFonts w:hint="eastAsia"/>
                <w:color w:val="auto"/>
                <w:sz w:val="24"/>
                <w:highlight w:val="none"/>
                <w:vertAlign w:val="subscript"/>
              </w:rPr>
              <w:t>5</w:t>
            </w:r>
            <w:r>
              <w:rPr>
                <w:rFonts w:hint="eastAsia"/>
                <w:color w:val="auto"/>
                <w:sz w:val="24"/>
                <w:highlight w:val="none"/>
              </w:rPr>
              <w:t>、SS、NH</w:t>
            </w:r>
            <w:r>
              <w:rPr>
                <w:rFonts w:hint="eastAsia"/>
                <w:color w:val="auto"/>
                <w:sz w:val="24"/>
                <w:highlight w:val="none"/>
                <w:vertAlign w:val="subscript"/>
              </w:rPr>
              <w:t>3</w:t>
            </w:r>
            <w:r>
              <w:rPr>
                <w:rFonts w:hint="eastAsia"/>
                <w:color w:val="auto"/>
                <w:sz w:val="24"/>
                <w:highlight w:val="none"/>
              </w:rPr>
              <w:t>-N、总氮。</w:t>
            </w:r>
            <w:r>
              <w:rPr>
                <w:rFonts w:hint="eastAsia"/>
                <w:color w:val="auto"/>
                <w:sz w:val="24"/>
                <w:szCs w:val="24"/>
                <w:highlight w:val="none"/>
                <w:lang w:eastAsia="zh-CN"/>
              </w:rPr>
              <w:t>根据项目工程可行性研究报告</w:t>
            </w:r>
            <w:r>
              <w:rPr>
                <w:rFonts w:hint="eastAsia" w:ascii="Times New Roman" w:hAnsi="Times New Roman"/>
                <w:color w:val="auto"/>
                <w:sz w:val="24"/>
                <w:szCs w:val="24"/>
                <w:highlight w:val="none"/>
              </w:rPr>
              <w:t>，</w:t>
            </w:r>
            <w:r>
              <w:rPr>
                <w:rFonts w:hint="eastAsia"/>
                <w:color w:val="auto"/>
                <w:sz w:val="24"/>
                <w:szCs w:val="24"/>
                <w:highlight w:val="none"/>
                <w:lang w:eastAsia="zh-CN"/>
              </w:rPr>
              <w:t>本项目</w:t>
            </w:r>
            <w:r>
              <w:rPr>
                <w:rFonts w:hint="eastAsia" w:cs="Times New Roman"/>
                <w:color w:val="auto"/>
                <w:sz w:val="24"/>
                <w:szCs w:val="24"/>
                <w:highlight w:val="none"/>
                <w:lang w:val="en-US" w:eastAsia="zh-CN"/>
              </w:rPr>
              <w:t>渗滤液全量化处理站</w:t>
            </w:r>
            <w:r>
              <w:rPr>
                <w:rFonts w:hint="eastAsia"/>
                <w:color w:val="auto"/>
                <w:sz w:val="24"/>
                <w:szCs w:val="24"/>
                <w:highlight w:val="none"/>
                <w:lang w:eastAsia="zh-CN"/>
              </w:rPr>
              <w:t>设计进水水质为</w:t>
            </w:r>
            <w:r>
              <w:rPr>
                <w:rFonts w:hint="eastAsia" w:ascii="Times New Roman" w:hAnsi="Times New Roman"/>
                <w:color w:val="auto"/>
                <w:sz w:val="24"/>
                <w:szCs w:val="24"/>
                <w:highlight w:val="none"/>
              </w:rPr>
              <w:t>COD：</w:t>
            </w:r>
            <w:r>
              <w:rPr>
                <w:rFonts w:hint="eastAsia"/>
                <w:color w:val="auto"/>
                <w:sz w:val="24"/>
                <w:szCs w:val="24"/>
                <w:highlight w:val="none"/>
                <w:lang w:val="en-US" w:eastAsia="zh-CN"/>
              </w:rPr>
              <w:t>14000</w:t>
            </w:r>
            <w:r>
              <w:rPr>
                <w:rFonts w:hint="eastAsia" w:ascii="Times New Roman" w:hAnsi="Times New Roman"/>
                <w:color w:val="auto"/>
                <w:sz w:val="24"/>
                <w:szCs w:val="24"/>
                <w:highlight w:val="none"/>
              </w:rPr>
              <w:t>mg/L、BOD</w:t>
            </w:r>
            <w:r>
              <w:rPr>
                <w:rFonts w:hint="eastAsia" w:ascii="Times New Roman" w:hAnsi="Times New Roman"/>
                <w:color w:val="auto"/>
                <w:sz w:val="24"/>
                <w:szCs w:val="24"/>
                <w:highlight w:val="none"/>
                <w:vertAlign w:val="subscript"/>
              </w:rPr>
              <w:t>5</w:t>
            </w:r>
            <w:r>
              <w:rPr>
                <w:rFonts w:hint="eastAsia" w:ascii="Times New Roman" w:hAnsi="Times New Roman"/>
                <w:color w:val="auto"/>
                <w:sz w:val="24"/>
                <w:szCs w:val="24"/>
                <w:highlight w:val="none"/>
              </w:rPr>
              <w:t>：</w:t>
            </w:r>
            <w:r>
              <w:rPr>
                <w:rFonts w:hint="eastAsia"/>
                <w:color w:val="auto"/>
                <w:sz w:val="24"/>
                <w:szCs w:val="24"/>
                <w:highlight w:val="none"/>
                <w:lang w:val="en-US" w:eastAsia="zh-CN"/>
              </w:rPr>
              <w:t>12000</w:t>
            </w:r>
            <w:r>
              <w:rPr>
                <w:rFonts w:hint="eastAsia" w:ascii="Times New Roman" w:hAnsi="Times New Roman"/>
                <w:color w:val="auto"/>
                <w:sz w:val="24"/>
                <w:szCs w:val="24"/>
                <w:highlight w:val="none"/>
              </w:rPr>
              <w:t>mg/L、SS：</w:t>
            </w:r>
            <w:r>
              <w:rPr>
                <w:rFonts w:hint="eastAsia"/>
                <w:color w:val="auto"/>
                <w:sz w:val="24"/>
                <w:szCs w:val="24"/>
                <w:highlight w:val="none"/>
                <w:lang w:val="en-US" w:eastAsia="zh-CN"/>
              </w:rPr>
              <w:t>200</w:t>
            </w:r>
            <w:r>
              <w:rPr>
                <w:rFonts w:hint="eastAsia" w:ascii="Times New Roman" w:hAnsi="Times New Roman"/>
                <w:color w:val="auto"/>
                <w:sz w:val="24"/>
                <w:szCs w:val="24"/>
                <w:highlight w:val="none"/>
              </w:rPr>
              <w:t>mg/L、NH</w:t>
            </w:r>
            <w:r>
              <w:rPr>
                <w:rFonts w:hint="eastAsia" w:ascii="Times New Roman" w:hAnsi="Times New Roman"/>
                <w:color w:val="auto"/>
                <w:sz w:val="24"/>
                <w:szCs w:val="24"/>
                <w:highlight w:val="none"/>
                <w:vertAlign w:val="subscript"/>
              </w:rPr>
              <w:t>3</w:t>
            </w:r>
            <w:r>
              <w:rPr>
                <w:rFonts w:hint="eastAsia" w:ascii="Times New Roman" w:hAnsi="Times New Roman"/>
                <w:color w:val="auto"/>
                <w:sz w:val="24"/>
                <w:szCs w:val="24"/>
                <w:highlight w:val="none"/>
              </w:rPr>
              <w:t>-N：</w:t>
            </w:r>
            <w:r>
              <w:rPr>
                <w:rFonts w:hint="eastAsia"/>
                <w:color w:val="auto"/>
                <w:sz w:val="24"/>
                <w:szCs w:val="24"/>
                <w:highlight w:val="none"/>
                <w:lang w:val="en-US" w:eastAsia="zh-CN"/>
              </w:rPr>
              <w:t>4100</w:t>
            </w:r>
            <w:r>
              <w:rPr>
                <w:rFonts w:hint="eastAsia" w:ascii="Times New Roman" w:hAnsi="Times New Roman"/>
                <w:color w:val="auto"/>
                <w:sz w:val="24"/>
                <w:szCs w:val="24"/>
                <w:highlight w:val="none"/>
              </w:rPr>
              <w:t>mg/L、总氮：</w:t>
            </w:r>
            <w:r>
              <w:rPr>
                <w:rFonts w:hint="eastAsia"/>
                <w:color w:val="auto"/>
                <w:sz w:val="24"/>
                <w:szCs w:val="24"/>
                <w:highlight w:val="none"/>
                <w:lang w:val="en-US" w:eastAsia="zh-CN"/>
              </w:rPr>
              <w:t>4400</w:t>
            </w:r>
            <w:r>
              <w:rPr>
                <w:rFonts w:hint="eastAsia" w:ascii="Times New Roman" w:hAnsi="Times New Roman"/>
                <w:color w:val="auto"/>
                <w:sz w:val="24"/>
                <w:szCs w:val="24"/>
                <w:highlight w:val="none"/>
              </w:rPr>
              <w:t>mg/L</w:t>
            </w:r>
            <w:r>
              <w:rPr>
                <w:rFonts w:hint="eastAsia"/>
                <w:color w:val="auto"/>
                <w:sz w:val="24"/>
                <w:szCs w:val="24"/>
                <w:highlight w:val="none"/>
                <w:lang w:eastAsia="zh-CN"/>
              </w:rPr>
              <w:t>。设计出水水质为：</w:t>
            </w:r>
            <w:r>
              <w:rPr>
                <w:rFonts w:hint="eastAsia" w:ascii="Times New Roman" w:hAnsi="Times New Roman"/>
                <w:color w:val="auto"/>
                <w:sz w:val="24"/>
                <w:szCs w:val="24"/>
                <w:highlight w:val="none"/>
              </w:rPr>
              <w:t>COD：50mg/L、BOD</w:t>
            </w:r>
            <w:r>
              <w:rPr>
                <w:rFonts w:hint="eastAsia" w:ascii="Times New Roman" w:hAnsi="Times New Roman"/>
                <w:color w:val="auto"/>
                <w:sz w:val="24"/>
                <w:szCs w:val="24"/>
                <w:highlight w:val="none"/>
                <w:vertAlign w:val="subscript"/>
              </w:rPr>
              <w:t>5</w:t>
            </w:r>
            <w:r>
              <w:rPr>
                <w:rFonts w:hint="eastAsia" w:ascii="Times New Roman" w:hAnsi="Times New Roman"/>
                <w:color w:val="auto"/>
                <w:sz w:val="24"/>
                <w:szCs w:val="24"/>
                <w:highlight w:val="none"/>
              </w:rPr>
              <w:t>：10mg/L、SS：10mg/L、NH</w:t>
            </w:r>
            <w:r>
              <w:rPr>
                <w:rFonts w:hint="eastAsia" w:ascii="Times New Roman" w:hAnsi="Times New Roman"/>
                <w:color w:val="auto"/>
                <w:sz w:val="24"/>
                <w:szCs w:val="24"/>
                <w:highlight w:val="none"/>
                <w:vertAlign w:val="subscript"/>
              </w:rPr>
              <w:t>3</w:t>
            </w:r>
            <w:r>
              <w:rPr>
                <w:rFonts w:hint="eastAsia" w:ascii="Times New Roman" w:hAnsi="Times New Roman"/>
                <w:color w:val="auto"/>
                <w:sz w:val="24"/>
                <w:szCs w:val="24"/>
                <w:highlight w:val="none"/>
              </w:rPr>
              <w:t>-N：5mg/L、总氮：15mg/L。</w:t>
            </w:r>
          </w:p>
          <w:p w14:paraId="1E15B6B9">
            <w:pPr>
              <w:adjustRightInd w:val="0"/>
              <w:snapToGrid w:val="0"/>
              <w:spacing w:line="360" w:lineRule="auto"/>
              <w:ind w:firstLine="480" w:firstLineChars="200"/>
              <w:rPr>
                <w:rFonts w:hint="eastAsia" w:eastAsia="宋体"/>
                <w:bCs/>
                <w:snapToGrid w:val="0"/>
                <w:color w:val="auto"/>
                <w:sz w:val="24"/>
                <w:highlight w:val="none"/>
                <w:lang w:eastAsia="zh-CN"/>
              </w:rPr>
            </w:pPr>
            <w:r>
              <w:rPr>
                <w:rFonts w:hint="eastAsia"/>
                <w:color w:val="auto"/>
                <w:sz w:val="24"/>
                <w:highlight w:val="none"/>
              </w:rPr>
              <w:t>本项目生活垃圾填埋场渗滤液、员工生活污水、生产废水分别排入调节池后，再进入全量化处理站处理，处理达到《城镇污水处理厂污染物排放标准》（GB18918-2002）中一级A标排放标准及《城市污水再生利用 城市杂用水水质》（GB/T18920-2020）中城市绿化水质标准要求后，回用于场区绿化灌溉，不外排。全量化处理站产生的蒸发母液采用固化剂固化处理后委托具有资质的单位处置。</w:t>
            </w:r>
          </w:p>
          <w:p w14:paraId="1488D471">
            <w:pPr>
              <w:adjustRightInd w:val="0"/>
              <w:snapToGrid w:val="0"/>
              <w:spacing w:line="360" w:lineRule="auto"/>
              <w:jc w:val="center"/>
              <w:rPr>
                <w:b/>
                <w:color w:val="auto"/>
                <w:sz w:val="24"/>
                <w:szCs w:val="24"/>
                <w:highlight w:val="none"/>
              </w:rPr>
            </w:pPr>
            <w:r>
              <w:rPr>
                <w:b/>
                <w:color w:val="auto"/>
                <w:sz w:val="24"/>
                <w:szCs w:val="24"/>
                <w:highlight w:val="none"/>
              </w:rPr>
              <w:t>表4-</w:t>
            </w:r>
            <w:r>
              <w:rPr>
                <w:rFonts w:hint="eastAsia"/>
                <w:b/>
                <w:color w:val="auto"/>
                <w:sz w:val="24"/>
                <w:szCs w:val="24"/>
                <w:highlight w:val="none"/>
                <w:lang w:val="en-US" w:eastAsia="zh-CN"/>
              </w:rPr>
              <w:t>13</w:t>
            </w:r>
            <w:r>
              <w:rPr>
                <w:b/>
                <w:color w:val="auto"/>
                <w:sz w:val="24"/>
                <w:szCs w:val="24"/>
                <w:highlight w:val="none"/>
              </w:rPr>
              <w:t xml:space="preserve"> </w:t>
            </w:r>
            <w:r>
              <w:rPr>
                <w:rFonts w:hint="eastAsia"/>
                <w:b/>
                <w:color w:val="auto"/>
                <w:sz w:val="24"/>
                <w:szCs w:val="24"/>
                <w:highlight w:val="none"/>
                <w:lang w:val="en-US" w:eastAsia="zh-CN"/>
              </w:rPr>
              <w:t xml:space="preserve">    </w:t>
            </w:r>
            <w:r>
              <w:rPr>
                <w:b/>
                <w:color w:val="auto"/>
                <w:sz w:val="24"/>
                <w:szCs w:val="24"/>
                <w:highlight w:val="none"/>
              </w:rPr>
              <w:t>废水治理设施信息表</w:t>
            </w:r>
          </w:p>
          <w:tbl>
            <w:tblPr>
              <w:tblStyle w:val="30"/>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054"/>
              <w:gridCol w:w="854"/>
              <w:gridCol w:w="908"/>
              <w:gridCol w:w="721"/>
              <w:gridCol w:w="1548"/>
              <w:gridCol w:w="948"/>
              <w:gridCol w:w="695"/>
              <w:gridCol w:w="681"/>
              <w:gridCol w:w="659"/>
            </w:tblGrid>
            <w:tr w14:paraId="44FE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restart"/>
                  <w:tcBorders>
                    <w:tl2br w:val="nil"/>
                    <w:tr2bl w:val="nil"/>
                  </w:tcBorders>
                  <w:noWrap w:val="0"/>
                  <w:vAlign w:val="center"/>
                </w:tcPr>
                <w:p w14:paraId="25EC4848">
                  <w:pPr>
                    <w:adjustRightInd w:val="0"/>
                    <w:snapToGrid w:val="0"/>
                    <w:jc w:val="center"/>
                    <w:rPr>
                      <w:color w:val="auto"/>
                      <w:szCs w:val="21"/>
                      <w:highlight w:val="none"/>
                    </w:rPr>
                  </w:pPr>
                  <w:bookmarkStart w:id="22" w:name="_Hlk92977898"/>
                  <w:r>
                    <w:rPr>
                      <w:color w:val="auto"/>
                      <w:szCs w:val="21"/>
                      <w:highlight w:val="none"/>
                    </w:rPr>
                    <w:t>废水类型</w:t>
                  </w:r>
                </w:p>
              </w:tc>
              <w:tc>
                <w:tcPr>
                  <w:tcW w:w="595" w:type="pct"/>
                  <w:vMerge w:val="restart"/>
                  <w:tcBorders>
                    <w:tl2br w:val="nil"/>
                    <w:tr2bl w:val="nil"/>
                  </w:tcBorders>
                  <w:noWrap w:val="0"/>
                  <w:vAlign w:val="center"/>
                </w:tcPr>
                <w:p w14:paraId="599EB6A4">
                  <w:pPr>
                    <w:adjustRightInd w:val="0"/>
                    <w:snapToGrid w:val="0"/>
                    <w:jc w:val="center"/>
                    <w:rPr>
                      <w:color w:val="auto"/>
                      <w:szCs w:val="21"/>
                      <w:highlight w:val="none"/>
                    </w:rPr>
                  </w:pPr>
                  <w:r>
                    <w:rPr>
                      <w:color w:val="auto"/>
                      <w:szCs w:val="21"/>
                      <w:highlight w:val="none"/>
                    </w:rPr>
                    <w:t>污染物种类</w:t>
                  </w:r>
                </w:p>
              </w:tc>
              <w:tc>
                <w:tcPr>
                  <w:tcW w:w="2278" w:type="pct"/>
                  <w:gridSpan w:val="4"/>
                  <w:tcBorders>
                    <w:tl2br w:val="nil"/>
                    <w:tr2bl w:val="nil"/>
                  </w:tcBorders>
                  <w:noWrap w:val="0"/>
                  <w:vAlign w:val="center"/>
                </w:tcPr>
                <w:p w14:paraId="24D95BAD">
                  <w:pPr>
                    <w:adjustRightInd w:val="0"/>
                    <w:snapToGrid w:val="0"/>
                    <w:jc w:val="center"/>
                    <w:rPr>
                      <w:color w:val="auto"/>
                      <w:szCs w:val="21"/>
                      <w:highlight w:val="none"/>
                    </w:rPr>
                  </w:pPr>
                  <w:r>
                    <w:rPr>
                      <w:color w:val="auto"/>
                      <w:szCs w:val="21"/>
                      <w:highlight w:val="none"/>
                    </w:rPr>
                    <w:t>污染治理设施</w:t>
                  </w:r>
                </w:p>
              </w:tc>
              <w:tc>
                <w:tcPr>
                  <w:tcW w:w="535" w:type="pct"/>
                  <w:vMerge w:val="restart"/>
                  <w:tcBorders>
                    <w:tl2br w:val="nil"/>
                    <w:tr2bl w:val="nil"/>
                  </w:tcBorders>
                  <w:noWrap w:val="0"/>
                  <w:vAlign w:val="center"/>
                </w:tcPr>
                <w:p w14:paraId="09F4FF8D">
                  <w:pPr>
                    <w:adjustRightInd w:val="0"/>
                    <w:snapToGrid w:val="0"/>
                    <w:jc w:val="center"/>
                    <w:rPr>
                      <w:color w:val="auto"/>
                      <w:szCs w:val="21"/>
                      <w:highlight w:val="none"/>
                    </w:rPr>
                  </w:pPr>
                  <w:r>
                    <w:rPr>
                      <w:color w:val="auto"/>
                      <w:szCs w:val="21"/>
                      <w:highlight w:val="none"/>
                    </w:rPr>
                    <w:t>排放方式</w:t>
                  </w:r>
                </w:p>
              </w:tc>
              <w:tc>
                <w:tcPr>
                  <w:tcW w:w="392" w:type="pct"/>
                  <w:vMerge w:val="restart"/>
                  <w:tcBorders>
                    <w:tl2br w:val="nil"/>
                    <w:tr2bl w:val="nil"/>
                  </w:tcBorders>
                  <w:noWrap w:val="0"/>
                  <w:vAlign w:val="center"/>
                </w:tcPr>
                <w:p w14:paraId="1D13840C">
                  <w:pPr>
                    <w:adjustRightInd w:val="0"/>
                    <w:snapToGrid w:val="0"/>
                    <w:jc w:val="center"/>
                    <w:rPr>
                      <w:color w:val="auto"/>
                      <w:szCs w:val="21"/>
                      <w:highlight w:val="none"/>
                    </w:rPr>
                  </w:pPr>
                  <w:r>
                    <w:rPr>
                      <w:rFonts w:hint="eastAsia"/>
                      <w:color w:val="auto"/>
                      <w:szCs w:val="21"/>
                      <w:highlight w:val="none"/>
                    </w:rPr>
                    <w:t>排放口编号</w:t>
                  </w:r>
                </w:p>
              </w:tc>
              <w:tc>
                <w:tcPr>
                  <w:tcW w:w="384" w:type="pct"/>
                  <w:vMerge w:val="restart"/>
                  <w:tcBorders>
                    <w:tl2br w:val="nil"/>
                    <w:tr2bl w:val="nil"/>
                  </w:tcBorders>
                  <w:noWrap w:val="0"/>
                  <w:vAlign w:val="center"/>
                </w:tcPr>
                <w:p w14:paraId="0ABE8958">
                  <w:pPr>
                    <w:adjustRightInd w:val="0"/>
                    <w:snapToGrid w:val="0"/>
                    <w:jc w:val="center"/>
                    <w:rPr>
                      <w:color w:val="auto"/>
                      <w:szCs w:val="21"/>
                      <w:highlight w:val="none"/>
                    </w:rPr>
                  </w:pPr>
                  <w:r>
                    <w:rPr>
                      <w:rFonts w:hint="eastAsia"/>
                      <w:color w:val="auto"/>
                      <w:szCs w:val="21"/>
                      <w:highlight w:val="none"/>
                    </w:rPr>
                    <w:t>排放口类型</w:t>
                  </w:r>
                </w:p>
              </w:tc>
              <w:tc>
                <w:tcPr>
                  <w:tcW w:w="372" w:type="pct"/>
                  <w:vMerge w:val="restart"/>
                  <w:tcBorders>
                    <w:tl2br w:val="nil"/>
                    <w:tr2bl w:val="nil"/>
                  </w:tcBorders>
                  <w:noWrap w:val="0"/>
                  <w:vAlign w:val="center"/>
                </w:tcPr>
                <w:p w14:paraId="135188F6">
                  <w:pPr>
                    <w:adjustRightInd w:val="0"/>
                    <w:snapToGrid w:val="0"/>
                    <w:jc w:val="center"/>
                    <w:rPr>
                      <w:rFonts w:hint="eastAsia"/>
                      <w:color w:val="auto"/>
                      <w:szCs w:val="21"/>
                      <w:highlight w:val="none"/>
                    </w:rPr>
                  </w:pPr>
                  <w:r>
                    <w:rPr>
                      <w:color w:val="auto"/>
                      <w:szCs w:val="21"/>
                      <w:highlight w:val="none"/>
                    </w:rPr>
                    <w:t>排放去向</w:t>
                  </w:r>
                </w:p>
              </w:tc>
            </w:tr>
            <w:tr w14:paraId="6E1D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14:paraId="796E6B9C">
                  <w:pPr>
                    <w:adjustRightInd w:val="0"/>
                    <w:snapToGrid w:val="0"/>
                    <w:jc w:val="center"/>
                    <w:rPr>
                      <w:color w:val="auto"/>
                      <w:szCs w:val="21"/>
                      <w:highlight w:val="none"/>
                    </w:rPr>
                  </w:pPr>
                </w:p>
              </w:tc>
              <w:tc>
                <w:tcPr>
                  <w:tcW w:w="595" w:type="pct"/>
                  <w:vMerge w:val="continue"/>
                  <w:tcBorders>
                    <w:tl2br w:val="nil"/>
                    <w:tr2bl w:val="nil"/>
                  </w:tcBorders>
                  <w:noWrap w:val="0"/>
                  <w:vAlign w:val="center"/>
                </w:tcPr>
                <w:p w14:paraId="7A600E25">
                  <w:pPr>
                    <w:adjustRightInd w:val="0"/>
                    <w:snapToGrid w:val="0"/>
                    <w:jc w:val="center"/>
                    <w:rPr>
                      <w:color w:val="auto"/>
                      <w:szCs w:val="21"/>
                      <w:highlight w:val="none"/>
                    </w:rPr>
                  </w:pPr>
                </w:p>
              </w:tc>
              <w:tc>
                <w:tcPr>
                  <w:tcW w:w="483" w:type="pct"/>
                  <w:tcBorders>
                    <w:tl2br w:val="nil"/>
                    <w:tr2bl w:val="nil"/>
                  </w:tcBorders>
                  <w:noWrap w:val="0"/>
                  <w:vAlign w:val="center"/>
                </w:tcPr>
                <w:p w14:paraId="738D2F76">
                  <w:pPr>
                    <w:adjustRightInd w:val="0"/>
                    <w:snapToGrid w:val="0"/>
                    <w:jc w:val="center"/>
                    <w:rPr>
                      <w:color w:val="auto"/>
                      <w:szCs w:val="21"/>
                      <w:highlight w:val="none"/>
                    </w:rPr>
                  </w:pPr>
                  <w:r>
                    <w:rPr>
                      <w:rFonts w:hint="eastAsia"/>
                      <w:color w:val="auto"/>
                      <w:szCs w:val="21"/>
                      <w:highlight w:val="none"/>
                    </w:rPr>
                    <w:t>设施编号</w:t>
                  </w:r>
                </w:p>
              </w:tc>
              <w:tc>
                <w:tcPr>
                  <w:tcW w:w="513" w:type="pct"/>
                  <w:tcBorders>
                    <w:tl2br w:val="nil"/>
                    <w:tr2bl w:val="nil"/>
                  </w:tcBorders>
                  <w:noWrap w:val="0"/>
                  <w:vAlign w:val="center"/>
                </w:tcPr>
                <w:p w14:paraId="2658488B">
                  <w:pPr>
                    <w:adjustRightInd w:val="0"/>
                    <w:snapToGrid w:val="0"/>
                    <w:jc w:val="center"/>
                    <w:rPr>
                      <w:color w:val="auto"/>
                      <w:szCs w:val="21"/>
                      <w:highlight w:val="none"/>
                    </w:rPr>
                  </w:pPr>
                  <w:r>
                    <w:rPr>
                      <w:color w:val="auto"/>
                      <w:szCs w:val="21"/>
                      <w:highlight w:val="none"/>
                    </w:rPr>
                    <w:t>名称</w:t>
                  </w:r>
                </w:p>
              </w:tc>
              <w:tc>
                <w:tcPr>
                  <w:tcW w:w="407" w:type="pct"/>
                  <w:tcBorders>
                    <w:tl2br w:val="nil"/>
                    <w:tr2bl w:val="nil"/>
                  </w:tcBorders>
                  <w:noWrap w:val="0"/>
                  <w:vAlign w:val="center"/>
                </w:tcPr>
                <w:p w14:paraId="3864C0BB">
                  <w:pPr>
                    <w:adjustRightInd w:val="0"/>
                    <w:snapToGrid w:val="0"/>
                    <w:jc w:val="center"/>
                    <w:rPr>
                      <w:color w:val="auto"/>
                      <w:szCs w:val="21"/>
                      <w:highlight w:val="none"/>
                    </w:rPr>
                  </w:pPr>
                  <w:r>
                    <w:rPr>
                      <w:color w:val="auto"/>
                      <w:szCs w:val="21"/>
                      <w:highlight w:val="none"/>
                    </w:rPr>
                    <w:t>处理能力m</w:t>
                  </w:r>
                  <w:r>
                    <w:rPr>
                      <w:color w:val="auto"/>
                      <w:szCs w:val="21"/>
                      <w:highlight w:val="none"/>
                      <w:vertAlign w:val="superscript"/>
                    </w:rPr>
                    <w:t>3</w:t>
                  </w:r>
                </w:p>
              </w:tc>
              <w:tc>
                <w:tcPr>
                  <w:tcW w:w="875" w:type="pct"/>
                  <w:tcBorders>
                    <w:tl2br w:val="nil"/>
                    <w:tr2bl w:val="nil"/>
                  </w:tcBorders>
                  <w:noWrap w:val="0"/>
                  <w:vAlign w:val="center"/>
                </w:tcPr>
                <w:p w14:paraId="5C3343E3">
                  <w:pPr>
                    <w:adjustRightInd w:val="0"/>
                    <w:snapToGrid w:val="0"/>
                    <w:jc w:val="center"/>
                    <w:rPr>
                      <w:color w:val="auto"/>
                      <w:szCs w:val="21"/>
                      <w:highlight w:val="none"/>
                    </w:rPr>
                  </w:pPr>
                  <w:r>
                    <w:rPr>
                      <w:color w:val="auto"/>
                      <w:szCs w:val="21"/>
                      <w:highlight w:val="none"/>
                    </w:rPr>
                    <w:t>治理工艺</w:t>
                  </w:r>
                </w:p>
              </w:tc>
              <w:tc>
                <w:tcPr>
                  <w:tcW w:w="535" w:type="pct"/>
                  <w:vMerge w:val="continue"/>
                  <w:tcBorders>
                    <w:tl2br w:val="nil"/>
                    <w:tr2bl w:val="nil"/>
                  </w:tcBorders>
                  <w:noWrap w:val="0"/>
                  <w:vAlign w:val="center"/>
                </w:tcPr>
                <w:p w14:paraId="227ED6C1">
                  <w:pPr>
                    <w:adjustRightInd w:val="0"/>
                    <w:snapToGrid w:val="0"/>
                    <w:jc w:val="center"/>
                    <w:rPr>
                      <w:color w:val="auto"/>
                      <w:szCs w:val="21"/>
                      <w:highlight w:val="none"/>
                    </w:rPr>
                  </w:pPr>
                </w:p>
              </w:tc>
              <w:tc>
                <w:tcPr>
                  <w:tcW w:w="392" w:type="pct"/>
                  <w:vMerge w:val="continue"/>
                  <w:tcBorders>
                    <w:tl2br w:val="nil"/>
                    <w:tr2bl w:val="nil"/>
                  </w:tcBorders>
                  <w:noWrap w:val="0"/>
                  <w:vAlign w:val="center"/>
                </w:tcPr>
                <w:p w14:paraId="0DBDDFF2">
                  <w:pPr>
                    <w:adjustRightInd w:val="0"/>
                    <w:snapToGrid w:val="0"/>
                    <w:jc w:val="center"/>
                    <w:rPr>
                      <w:color w:val="auto"/>
                      <w:szCs w:val="21"/>
                      <w:highlight w:val="none"/>
                    </w:rPr>
                  </w:pPr>
                </w:p>
              </w:tc>
              <w:tc>
                <w:tcPr>
                  <w:tcW w:w="384" w:type="pct"/>
                  <w:vMerge w:val="continue"/>
                  <w:tcBorders>
                    <w:tl2br w:val="nil"/>
                    <w:tr2bl w:val="nil"/>
                  </w:tcBorders>
                  <w:noWrap w:val="0"/>
                  <w:vAlign w:val="center"/>
                </w:tcPr>
                <w:p w14:paraId="1E186CA7">
                  <w:pPr>
                    <w:adjustRightInd w:val="0"/>
                    <w:snapToGrid w:val="0"/>
                    <w:jc w:val="center"/>
                    <w:rPr>
                      <w:color w:val="auto"/>
                      <w:szCs w:val="21"/>
                      <w:highlight w:val="none"/>
                    </w:rPr>
                  </w:pPr>
                </w:p>
              </w:tc>
              <w:tc>
                <w:tcPr>
                  <w:tcW w:w="372" w:type="pct"/>
                  <w:vMerge w:val="continue"/>
                  <w:tcBorders>
                    <w:tl2br w:val="nil"/>
                    <w:tr2bl w:val="nil"/>
                  </w:tcBorders>
                  <w:noWrap w:val="0"/>
                  <w:vAlign w:val="center"/>
                </w:tcPr>
                <w:p w14:paraId="4BD14E79">
                  <w:pPr>
                    <w:adjustRightInd w:val="0"/>
                    <w:snapToGrid w:val="0"/>
                    <w:jc w:val="center"/>
                    <w:rPr>
                      <w:color w:val="auto"/>
                      <w:szCs w:val="21"/>
                      <w:highlight w:val="none"/>
                    </w:rPr>
                  </w:pPr>
                </w:p>
              </w:tc>
            </w:tr>
            <w:tr w14:paraId="557F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restart"/>
                  <w:tcBorders>
                    <w:tl2br w:val="nil"/>
                    <w:tr2bl w:val="nil"/>
                  </w:tcBorders>
                  <w:noWrap w:val="0"/>
                  <w:vAlign w:val="center"/>
                </w:tcPr>
                <w:p w14:paraId="5B0F6DC7">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生活污水</w:t>
                  </w:r>
                </w:p>
              </w:tc>
              <w:tc>
                <w:tcPr>
                  <w:tcW w:w="595" w:type="pct"/>
                  <w:vMerge w:val="restart"/>
                  <w:tcBorders>
                    <w:tl2br w:val="nil"/>
                    <w:tr2bl w:val="nil"/>
                  </w:tcBorders>
                  <w:noWrap w:val="0"/>
                  <w:vAlign w:val="center"/>
                </w:tcPr>
                <w:p w14:paraId="210141B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COD、BOD</w:t>
                  </w:r>
                  <w:r>
                    <w:rPr>
                      <w:color w:val="auto"/>
                      <w:szCs w:val="21"/>
                      <w:highlight w:val="none"/>
                      <w:vertAlign w:val="subscript"/>
                    </w:rPr>
                    <w:t>5</w:t>
                  </w:r>
                  <w:r>
                    <w:rPr>
                      <w:color w:val="auto"/>
                      <w:szCs w:val="21"/>
                      <w:highlight w:val="none"/>
                    </w:rPr>
                    <w:t>、SS</w:t>
                  </w:r>
                  <w:r>
                    <w:rPr>
                      <w:rFonts w:hint="eastAsia"/>
                      <w:color w:val="auto"/>
                      <w:szCs w:val="21"/>
                      <w:highlight w:val="none"/>
                      <w:lang w:eastAsia="zh-CN"/>
                    </w:rPr>
                    <w:t>、氨氮、</w:t>
                  </w:r>
                  <w:r>
                    <w:rPr>
                      <w:rFonts w:hint="eastAsia"/>
                      <w:color w:val="auto"/>
                      <w:szCs w:val="21"/>
                      <w:highlight w:val="none"/>
                      <w:lang w:val="en-US" w:eastAsia="zh-CN"/>
                    </w:rPr>
                    <w:t>TN</w:t>
                  </w:r>
                </w:p>
              </w:tc>
              <w:tc>
                <w:tcPr>
                  <w:tcW w:w="483" w:type="pct"/>
                  <w:tcBorders>
                    <w:tl2br w:val="nil"/>
                    <w:tr2bl w:val="nil"/>
                  </w:tcBorders>
                  <w:noWrap w:val="0"/>
                  <w:vAlign w:val="center"/>
                </w:tcPr>
                <w:p w14:paraId="728C3A9E">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bCs/>
                      <w:snapToGrid w:val="0"/>
                      <w:color w:val="auto"/>
                      <w:szCs w:val="21"/>
                      <w:highlight w:val="none"/>
                    </w:rPr>
                    <w:t>TW00</w:t>
                  </w:r>
                  <w:r>
                    <w:rPr>
                      <w:rFonts w:hint="eastAsia"/>
                      <w:bCs/>
                      <w:snapToGrid w:val="0"/>
                      <w:color w:val="auto"/>
                      <w:szCs w:val="21"/>
                      <w:highlight w:val="none"/>
                      <w:lang w:val="en-US" w:eastAsia="zh-CN"/>
                    </w:rPr>
                    <w:t>1</w:t>
                  </w:r>
                </w:p>
              </w:tc>
              <w:tc>
                <w:tcPr>
                  <w:tcW w:w="513" w:type="pct"/>
                  <w:tcBorders>
                    <w:tl2br w:val="nil"/>
                    <w:tr2bl w:val="nil"/>
                  </w:tcBorders>
                  <w:noWrap w:val="0"/>
                  <w:vAlign w:val="center"/>
                </w:tcPr>
                <w:p w14:paraId="2D693FB1">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化粪池</w:t>
                  </w:r>
                </w:p>
              </w:tc>
              <w:tc>
                <w:tcPr>
                  <w:tcW w:w="407" w:type="pct"/>
                  <w:tcBorders>
                    <w:tl2br w:val="nil"/>
                    <w:tr2bl w:val="nil"/>
                  </w:tcBorders>
                  <w:noWrap w:val="0"/>
                  <w:vAlign w:val="center"/>
                </w:tcPr>
                <w:p w14:paraId="0F0106D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w:t>
                  </w:r>
                </w:p>
              </w:tc>
              <w:tc>
                <w:tcPr>
                  <w:tcW w:w="875" w:type="pct"/>
                  <w:tcBorders>
                    <w:tl2br w:val="nil"/>
                    <w:tr2bl w:val="nil"/>
                  </w:tcBorders>
                  <w:noWrap w:val="0"/>
                  <w:vAlign w:val="center"/>
                </w:tcPr>
                <w:p w14:paraId="103C9BE2">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沉淀和厌氧发酵</w:t>
                  </w:r>
                </w:p>
              </w:tc>
              <w:tc>
                <w:tcPr>
                  <w:tcW w:w="535" w:type="pct"/>
                  <w:vMerge w:val="restart"/>
                  <w:tcBorders>
                    <w:tl2br w:val="nil"/>
                    <w:tr2bl w:val="nil"/>
                  </w:tcBorders>
                  <w:noWrap w:val="0"/>
                  <w:vAlign w:val="center"/>
                </w:tcPr>
                <w:p w14:paraId="5360141B">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不</w:t>
                  </w:r>
                  <w:r>
                    <w:rPr>
                      <w:rFonts w:hint="eastAsia"/>
                      <w:color w:val="auto"/>
                      <w:szCs w:val="21"/>
                      <w:highlight w:val="none"/>
                      <w:lang w:eastAsia="zh-CN"/>
                    </w:rPr>
                    <w:t>排放</w:t>
                  </w:r>
                </w:p>
              </w:tc>
              <w:tc>
                <w:tcPr>
                  <w:tcW w:w="392" w:type="pct"/>
                  <w:vMerge w:val="restart"/>
                  <w:tcBorders>
                    <w:tl2br w:val="nil"/>
                    <w:tr2bl w:val="nil"/>
                  </w:tcBorders>
                  <w:noWrap w:val="0"/>
                  <w:vAlign w:val="center"/>
                </w:tcPr>
                <w:p w14:paraId="5C2D39DB">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384" w:type="pct"/>
                  <w:vMerge w:val="restart"/>
                  <w:tcBorders>
                    <w:tl2br w:val="nil"/>
                    <w:tr2bl w:val="nil"/>
                  </w:tcBorders>
                  <w:noWrap w:val="0"/>
                  <w:vAlign w:val="center"/>
                </w:tcPr>
                <w:p w14:paraId="4CB3BDA1">
                  <w:pPr>
                    <w:adjustRightInd w:val="0"/>
                    <w:snapToGrid w:val="0"/>
                    <w:jc w:val="center"/>
                    <w:rPr>
                      <w:rFonts w:hint="eastAsia" w:eastAsia="宋体"/>
                      <w:color w:val="auto"/>
                      <w:szCs w:val="21"/>
                      <w:highlight w:val="none"/>
                      <w:lang w:eastAsia="zh-CN"/>
                    </w:rPr>
                  </w:pPr>
                  <w:r>
                    <w:rPr>
                      <w:rFonts w:hint="eastAsia"/>
                      <w:bCs/>
                      <w:color w:val="auto"/>
                      <w:szCs w:val="21"/>
                      <w:highlight w:val="none"/>
                      <w:lang w:val="en-US" w:eastAsia="zh-CN"/>
                    </w:rPr>
                    <w:t>/</w:t>
                  </w:r>
                </w:p>
              </w:tc>
              <w:tc>
                <w:tcPr>
                  <w:tcW w:w="372" w:type="pct"/>
                  <w:vMerge w:val="restart"/>
                  <w:tcBorders>
                    <w:tl2br w:val="nil"/>
                    <w:tr2bl w:val="nil"/>
                  </w:tcBorders>
                  <w:noWrap w:val="0"/>
                  <w:vAlign w:val="center"/>
                </w:tcPr>
                <w:p w14:paraId="61540E1E">
                  <w:pPr>
                    <w:adjustRightInd w:val="0"/>
                    <w:snapToGrid w:val="0"/>
                    <w:jc w:val="center"/>
                    <w:rPr>
                      <w:rFonts w:hint="eastAsia"/>
                      <w:color w:val="auto"/>
                      <w:szCs w:val="21"/>
                      <w:highlight w:val="none"/>
                    </w:rPr>
                  </w:pPr>
                  <w:r>
                    <w:rPr>
                      <w:rFonts w:hint="eastAsia"/>
                      <w:color w:val="auto"/>
                      <w:szCs w:val="21"/>
                      <w:highlight w:val="none"/>
                      <w:lang w:val="en-US" w:eastAsia="zh-CN"/>
                    </w:rPr>
                    <w:t>回用于填埋场区绿化灌溉</w:t>
                  </w:r>
                </w:p>
              </w:tc>
            </w:tr>
            <w:tr w14:paraId="2869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14:paraId="62C98B07">
                  <w:pPr>
                    <w:adjustRightInd w:val="0"/>
                    <w:snapToGrid w:val="0"/>
                    <w:jc w:val="center"/>
                    <w:rPr>
                      <w:color w:val="auto"/>
                      <w:szCs w:val="21"/>
                      <w:highlight w:val="none"/>
                    </w:rPr>
                  </w:pPr>
                </w:p>
              </w:tc>
              <w:tc>
                <w:tcPr>
                  <w:tcW w:w="595" w:type="pct"/>
                  <w:vMerge w:val="continue"/>
                  <w:tcBorders>
                    <w:tl2br w:val="nil"/>
                    <w:tr2bl w:val="nil"/>
                  </w:tcBorders>
                  <w:noWrap w:val="0"/>
                  <w:vAlign w:val="center"/>
                </w:tcPr>
                <w:p w14:paraId="6E2AF0C6">
                  <w:pPr>
                    <w:adjustRightInd w:val="0"/>
                    <w:snapToGrid w:val="0"/>
                    <w:jc w:val="center"/>
                    <w:rPr>
                      <w:color w:val="auto"/>
                      <w:szCs w:val="21"/>
                      <w:highlight w:val="none"/>
                    </w:rPr>
                  </w:pPr>
                </w:p>
              </w:tc>
              <w:tc>
                <w:tcPr>
                  <w:tcW w:w="483" w:type="pct"/>
                  <w:tcBorders>
                    <w:tl2br w:val="nil"/>
                    <w:tr2bl w:val="nil"/>
                  </w:tcBorders>
                  <w:noWrap w:val="0"/>
                  <w:vAlign w:val="center"/>
                </w:tcPr>
                <w:p w14:paraId="047B6E14">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bCs/>
                      <w:snapToGrid w:val="0"/>
                      <w:color w:val="auto"/>
                      <w:szCs w:val="21"/>
                      <w:highlight w:val="none"/>
                    </w:rPr>
                    <w:t>TW00</w:t>
                  </w:r>
                  <w:r>
                    <w:rPr>
                      <w:rFonts w:hint="eastAsia"/>
                      <w:bCs/>
                      <w:snapToGrid w:val="0"/>
                      <w:color w:val="auto"/>
                      <w:szCs w:val="21"/>
                      <w:highlight w:val="none"/>
                      <w:lang w:val="en-US" w:eastAsia="zh-CN"/>
                    </w:rPr>
                    <w:t>2</w:t>
                  </w:r>
                </w:p>
              </w:tc>
              <w:tc>
                <w:tcPr>
                  <w:tcW w:w="513" w:type="pct"/>
                  <w:tcBorders>
                    <w:tl2br w:val="nil"/>
                    <w:tr2bl w:val="nil"/>
                  </w:tcBorders>
                  <w:noWrap w:val="0"/>
                  <w:vAlign w:val="center"/>
                </w:tcPr>
                <w:p w14:paraId="7BECA3D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渗滤液全量化处理站</w:t>
                  </w:r>
                </w:p>
              </w:tc>
              <w:tc>
                <w:tcPr>
                  <w:tcW w:w="407" w:type="pct"/>
                  <w:tcBorders>
                    <w:tl2br w:val="nil"/>
                    <w:tr2bl w:val="nil"/>
                  </w:tcBorders>
                  <w:noWrap w:val="0"/>
                  <w:vAlign w:val="center"/>
                </w:tcPr>
                <w:p w14:paraId="5B6161B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Style w:val="36"/>
                      <w:rFonts w:hint="eastAsia"/>
                      <w:color w:val="auto"/>
                      <w:kern w:val="0"/>
                      <w:szCs w:val="20"/>
                      <w:highlight w:val="none"/>
                      <w:lang w:val="en-US" w:eastAsia="zh-CN"/>
                    </w:rPr>
                    <w:t>50</w:t>
                  </w:r>
                </w:p>
              </w:tc>
              <w:tc>
                <w:tcPr>
                  <w:tcW w:w="875" w:type="pct"/>
                  <w:tcBorders>
                    <w:tl2br w:val="nil"/>
                    <w:tr2bl w:val="nil"/>
                  </w:tcBorders>
                  <w:noWrap w:val="0"/>
                  <w:vAlign w:val="center"/>
                </w:tcPr>
                <w:p w14:paraId="42287302">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val="en-US" w:eastAsia="zh-CN"/>
                    </w:rPr>
                    <w:t>“预处理+两级DTRO+低温真空蒸发+固化”</w:t>
                  </w:r>
                  <w:r>
                    <w:rPr>
                      <w:color w:val="auto"/>
                      <w:kern w:val="0"/>
                      <w:szCs w:val="21"/>
                      <w:highlight w:val="none"/>
                    </w:rPr>
                    <w:t>工艺</w:t>
                  </w:r>
                </w:p>
              </w:tc>
              <w:tc>
                <w:tcPr>
                  <w:tcW w:w="535" w:type="pct"/>
                  <w:vMerge w:val="continue"/>
                  <w:tcBorders>
                    <w:tl2br w:val="nil"/>
                    <w:tr2bl w:val="nil"/>
                  </w:tcBorders>
                  <w:noWrap w:val="0"/>
                  <w:vAlign w:val="center"/>
                </w:tcPr>
                <w:p w14:paraId="22E6A88F">
                  <w:pPr>
                    <w:adjustRightInd w:val="0"/>
                    <w:snapToGrid w:val="0"/>
                    <w:jc w:val="center"/>
                    <w:rPr>
                      <w:rFonts w:hint="eastAsia"/>
                      <w:color w:val="auto"/>
                      <w:szCs w:val="21"/>
                      <w:highlight w:val="none"/>
                      <w:lang w:eastAsia="zh-CN"/>
                    </w:rPr>
                  </w:pPr>
                </w:p>
              </w:tc>
              <w:tc>
                <w:tcPr>
                  <w:tcW w:w="392" w:type="pct"/>
                  <w:vMerge w:val="continue"/>
                  <w:tcBorders>
                    <w:tl2br w:val="nil"/>
                    <w:tr2bl w:val="nil"/>
                  </w:tcBorders>
                  <w:noWrap w:val="0"/>
                  <w:vAlign w:val="center"/>
                </w:tcPr>
                <w:p w14:paraId="51CBF769">
                  <w:pPr>
                    <w:adjustRightInd w:val="0"/>
                    <w:snapToGrid w:val="0"/>
                    <w:jc w:val="center"/>
                    <w:rPr>
                      <w:rFonts w:hint="eastAsia"/>
                      <w:color w:val="auto"/>
                      <w:szCs w:val="21"/>
                      <w:highlight w:val="none"/>
                    </w:rPr>
                  </w:pPr>
                </w:p>
              </w:tc>
              <w:tc>
                <w:tcPr>
                  <w:tcW w:w="384" w:type="pct"/>
                  <w:vMerge w:val="continue"/>
                  <w:tcBorders>
                    <w:tl2br w:val="nil"/>
                    <w:tr2bl w:val="nil"/>
                  </w:tcBorders>
                  <w:noWrap w:val="0"/>
                  <w:vAlign w:val="center"/>
                </w:tcPr>
                <w:p w14:paraId="46BDDC73">
                  <w:pPr>
                    <w:adjustRightInd w:val="0"/>
                    <w:snapToGrid w:val="0"/>
                    <w:jc w:val="center"/>
                    <w:rPr>
                      <w:rFonts w:hint="eastAsia"/>
                      <w:bCs/>
                      <w:color w:val="auto"/>
                      <w:szCs w:val="21"/>
                      <w:highlight w:val="none"/>
                    </w:rPr>
                  </w:pPr>
                </w:p>
              </w:tc>
              <w:tc>
                <w:tcPr>
                  <w:tcW w:w="372" w:type="pct"/>
                  <w:vMerge w:val="continue"/>
                  <w:tcBorders>
                    <w:tl2br w:val="nil"/>
                    <w:tr2bl w:val="nil"/>
                  </w:tcBorders>
                  <w:noWrap w:val="0"/>
                  <w:vAlign w:val="center"/>
                </w:tcPr>
                <w:p w14:paraId="2ECC2E0F">
                  <w:pPr>
                    <w:adjustRightInd w:val="0"/>
                    <w:snapToGrid w:val="0"/>
                    <w:jc w:val="center"/>
                    <w:rPr>
                      <w:rFonts w:hint="eastAsia" w:eastAsia="宋体" w:cs="Times New Roman"/>
                      <w:b w:val="0"/>
                      <w:bCs w:val="0"/>
                      <w:color w:val="auto"/>
                      <w:sz w:val="21"/>
                      <w:szCs w:val="21"/>
                      <w:highlight w:val="none"/>
                      <w:lang w:val="en-US" w:eastAsia="zh-CN"/>
                    </w:rPr>
                  </w:pPr>
                </w:p>
              </w:tc>
            </w:tr>
            <w:tr w14:paraId="189D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40" w:type="pct"/>
                  <w:tcBorders>
                    <w:tl2br w:val="nil"/>
                    <w:tr2bl w:val="nil"/>
                  </w:tcBorders>
                  <w:noWrap w:val="0"/>
                  <w:vAlign w:val="center"/>
                </w:tcPr>
                <w:p w14:paraId="5696ED82">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填埋场渗滤液、生产废水</w:t>
                  </w:r>
                </w:p>
              </w:tc>
              <w:tc>
                <w:tcPr>
                  <w:tcW w:w="595" w:type="pct"/>
                  <w:tcBorders>
                    <w:tl2br w:val="nil"/>
                    <w:tr2bl w:val="nil"/>
                  </w:tcBorders>
                  <w:noWrap w:val="0"/>
                  <w:vAlign w:val="center"/>
                </w:tcPr>
                <w:p w14:paraId="00C4A3DC">
                  <w:pPr>
                    <w:adjustRightInd w:val="0"/>
                    <w:snapToGrid w:val="0"/>
                    <w:jc w:val="center"/>
                    <w:rPr>
                      <w:rFonts w:hint="default" w:eastAsia="宋体"/>
                      <w:color w:val="auto"/>
                      <w:szCs w:val="21"/>
                      <w:highlight w:val="none"/>
                      <w:lang w:val="en-US" w:eastAsia="zh-CN"/>
                    </w:rPr>
                  </w:pPr>
                  <w:r>
                    <w:rPr>
                      <w:color w:val="auto"/>
                      <w:szCs w:val="21"/>
                      <w:highlight w:val="none"/>
                    </w:rPr>
                    <w:t>COD、BOD</w:t>
                  </w:r>
                  <w:r>
                    <w:rPr>
                      <w:color w:val="auto"/>
                      <w:szCs w:val="21"/>
                      <w:highlight w:val="none"/>
                      <w:vertAlign w:val="subscript"/>
                    </w:rPr>
                    <w:t>5</w:t>
                  </w:r>
                  <w:r>
                    <w:rPr>
                      <w:color w:val="auto"/>
                      <w:szCs w:val="21"/>
                      <w:highlight w:val="none"/>
                    </w:rPr>
                    <w:t>、</w:t>
                  </w:r>
                  <w:r>
                    <w:rPr>
                      <w:rFonts w:hint="eastAsia"/>
                      <w:color w:val="auto"/>
                      <w:szCs w:val="21"/>
                      <w:highlight w:val="none"/>
                      <w:lang w:eastAsia="zh-CN"/>
                    </w:rPr>
                    <w:t>氨氮</w:t>
                  </w:r>
                  <w:r>
                    <w:rPr>
                      <w:color w:val="auto"/>
                      <w:szCs w:val="21"/>
                      <w:highlight w:val="none"/>
                    </w:rPr>
                    <w:t>、SS、</w:t>
                  </w:r>
                  <w:r>
                    <w:rPr>
                      <w:rFonts w:hint="eastAsia"/>
                      <w:color w:val="auto"/>
                      <w:szCs w:val="21"/>
                      <w:highlight w:val="none"/>
                      <w:lang w:val="en-US" w:eastAsia="zh-CN"/>
                    </w:rPr>
                    <w:t>TN</w:t>
                  </w:r>
                </w:p>
              </w:tc>
              <w:tc>
                <w:tcPr>
                  <w:tcW w:w="483" w:type="pct"/>
                  <w:tcBorders>
                    <w:tl2br w:val="nil"/>
                    <w:tr2bl w:val="nil"/>
                  </w:tcBorders>
                  <w:noWrap w:val="0"/>
                  <w:vAlign w:val="center"/>
                </w:tcPr>
                <w:p w14:paraId="25738AD3">
                  <w:pPr>
                    <w:adjustRightInd w:val="0"/>
                    <w:snapToGrid w:val="0"/>
                    <w:jc w:val="center"/>
                    <w:rPr>
                      <w:rFonts w:hint="eastAsia" w:eastAsia="宋体"/>
                      <w:color w:val="auto"/>
                      <w:szCs w:val="21"/>
                      <w:highlight w:val="none"/>
                      <w:lang w:eastAsia="zh-CN"/>
                    </w:rPr>
                  </w:pPr>
                  <w:r>
                    <w:rPr>
                      <w:rFonts w:hint="eastAsia"/>
                      <w:bCs/>
                      <w:snapToGrid w:val="0"/>
                      <w:color w:val="auto"/>
                      <w:szCs w:val="21"/>
                      <w:highlight w:val="none"/>
                    </w:rPr>
                    <w:t>TW00</w:t>
                  </w:r>
                  <w:r>
                    <w:rPr>
                      <w:rFonts w:hint="eastAsia"/>
                      <w:bCs/>
                      <w:snapToGrid w:val="0"/>
                      <w:color w:val="auto"/>
                      <w:szCs w:val="21"/>
                      <w:highlight w:val="none"/>
                      <w:lang w:val="en-US" w:eastAsia="zh-CN"/>
                    </w:rPr>
                    <w:t>2</w:t>
                  </w:r>
                </w:p>
              </w:tc>
              <w:tc>
                <w:tcPr>
                  <w:tcW w:w="513" w:type="pct"/>
                  <w:tcBorders>
                    <w:tl2br w:val="nil"/>
                    <w:tr2bl w:val="nil"/>
                  </w:tcBorders>
                  <w:noWrap w:val="0"/>
                  <w:vAlign w:val="center"/>
                </w:tcPr>
                <w:p w14:paraId="59EA0F1A">
                  <w:pPr>
                    <w:adjustRightInd w:val="0"/>
                    <w:snapToGrid w:val="0"/>
                    <w:jc w:val="center"/>
                    <w:rPr>
                      <w:rFonts w:hint="eastAsia" w:eastAsia="宋体"/>
                      <w:color w:val="auto"/>
                      <w:szCs w:val="21"/>
                      <w:highlight w:val="none"/>
                      <w:lang w:eastAsia="zh-CN"/>
                    </w:rPr>
                  </w:pPr>
                  <w:r>
                    <w:rPr>
                      <w:rFonts w:hint="eastAsia" w:cs="Times New Roman"/>
                      <w:color w:val="auto"/>
                      <w:kern w:val="2"/>
                      <w:sz w:val="21"/>
                      <w:szCs w:val="21"/>
                      <w:highlight w:val="none"/>
                      <w:lang w:val="en-US" w:eastAsia="zh-CN" w:bidi="ar-SA"/>
                    </w:rPr>
                    <w:t>渗滤液全量化处理站</w:t>
                  </w:r>
                </w:p>
              </w:tc>
              <w:tc>
                <w:tcPr>
                  <w:tcW w:w="407" w:type="pct"/>
                  <w:tcBorders>
                    <w:tl2br w:val="nil"/>
                    <w:tr2bl w:val="nil"/>
                  </w:tcBorders>
                  <w:noWrap w:val="0"/>
                  <w:vAlign w:val="center"/>
                </w:tcPr>
                <w:p w14:paraId="06A5335E">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875" w:type="pct"/>
                  <w:tcBorders>
                    <w:tl2br w:val="nil"/>
                    <w:tr2bl w:val="nil"/>
                  </w:tcBorders>
                  <w:noWrap w:val="0"/>
                  <w:vAlign w:val="center"/>
                </w:tcPr>
                <w:p w14:paraId="04A49725">
                  <w:pPr>
                    <w:adjustRightInd w:val="0"/>
                    <w:snapToGrid w:val="0"/>
                    <w:jc w:val="center"/>
                    <w:rPr>
                      <w:color w:val="auto"/>
                      <w:szCs w:val="21"/>
                      <w:highlight w:val="none"/>
                    </w:rPr>
                  </w:pPr>
                  <w:r>
                    <w:rPr>
                      <w:rFonts w:hint="eastAsia"/>
                      <w:color w:val="auto"/>
                      <w:kern w:val="0"/>
                      <w:szCs w:val="21"/>
                      <w:highlight w:val="none"/>
                      <w:lang w:val="en-US" w:eastAsia="zh-CN"/>
                    </w:rPr>
                    <w:t>“预处理+两级DTRO+低温真空蒸发+固化”</w:t>
                  </w:r>
                  <w:r>
                    <w:rPr>
                      <w:color w:val="auto"/>
                      <w:kern w:val="0"/>
                      <w:szCs w:val="21"/>
                      <w:highlight w:val="none"/>
                    </w:rPr>
                    <w:t>工艺</w:t>
                  </w:r>
                </w:p>
              </w:tc>
              <w:tc>
                <w:tcPr>
                  <w:tcW w:w="535" w:type="pct"/>
                  <w:tcBorders>
                    <w:tl2br w:val="nil"/>
                    <w:tr2bl w:val="nil"/>
                  </w:tcBorders>
                  <w:noWrap w:val="0"/>
                  <w:vAlign w:val="center"/>
                </w:tcPr>
                <w:p w14:paraId="1D1ACD1D">
                  <w:pPr>
                    <w:adjustRightInd w:val="0"/>
                    <w:snapToGrid w:val="0"/>
                    <w:jc w:val="center"/>
                    <w:rPr>
                      <w:color w:val="auto"/>
                      <w:szCs w:val="21"/>
                      <w:highlight w:val="none"/>
                    </w:rPr>
                  </w:pPr>
                  <w:r>
                    <w:rPr>
                      <w:rFonts w:hint="eastAsia"/>
                      <w:color w:val="auto"/>
                      <w:szCs w:val="21"/>
                      <w:highlight w:val="none"/>
                      <w:lang w:val="en-US" w:eastAsia="zh-CN"/>
                    </w:rPr>
                    <w:t>不</w:t>
                  </w:r>
                  <w:r>
                    <w:rPr>
                      <w:rFonts w:hint="eastAsia"/>
                      <w:color w:val="auto"/>
                      <w:szCs w:val="21"/>
                      <w:highlight w:val="none"/>
                      <w:lang w:eastAsia="zh-CN"/>
                    </w:rPr>
                    <w:t>排放</w:t>
                  </w:r>
                </w:p>
              </w:tc>
              <w:tc>
                <w:tcPr>
                  <w:tcW w:w="392" w:type="pct"/>
                  <w:vMerge w:val="continue"/>
                  <w:tcBorders>
                    <w:tl2br w:val="nil"/>
                    <w:tr2bl w:val="nil"/>
                  </w:tcBorders>
                  <w:noWrap w:val="0"/>
                  <w:vAlign w:val="center"/>
                </w:tcPr>
                <w:p w14:paraId="4F4938FF">
                  <w:pPr>
                    <w:adjustRightInd w:val="0"/>
                    <w:snapToGrid w:val="0"/>
                    <w:jc w:val="center"/>
                    <w:rPr>
                      <w:color w:val="auto"/>
                      <w:szCs w:val="21"/>
                      <w:highlight w:val="none"/>
                    </w:rPr>
                  </w:pPr>
                </w:p>
              </w:tc>
              <w:tc>
                <w:tcPr>
                  <w:tcW w:w="384" w:type="pct"/>
                  <w:vMerge w:val="continue"/>
                  <w:tcBorders>
                    <w:tl2br w:val="nil"/>
                    <w:tr2bl w:val="nil"/>
                  </w:tcBorders>
                  <w:noWrap w:val="0"/>
                  <w:vAlign w:val="center"/>
                </w:tcPr>
                <w:p w14:paraId="772568ED">
                  <w:pPr>
                    <w:adjustRightInd w:val="0"/>
                    <w:snapToGrid w:val="0"/>
                    <w:jc w:val="center"/>
                    <w:rPr>
                      <w:color w:val="auto"/>
                      <w:szCs w:val="21"/>
                      <w:highlight w:val="none"/>
                    </w:rPr>
                  </w:pPr>
                </w:p>
              </w:tc>
              <w:tc>
                <w:tcPr>
                  <w:tcW w:w="372" w:type="pct"/>
                  <w:vMerge w:val="continue"/>
                  <w:tcBorders>
                    <w:tl2br w:val="nil"/>
                    <w:tr2bl w:val="nil"/>
                  </w:tcBorders>
                  <w:noWrap w:val="0"/>
                  <w:vAlign w:val="center"/>
                </w:tcPr>
                <w:p w14:paraId="1A68F30A">
                  <w:pPr>
                    <w:adjustRightInd w:val="0"/>
                    <w:snapToGrid w:val="0"/>
                    <w:jc w:val="center"/>
                    <w:rPr>
                      <w:color w:val="auto"/>
                      <w:szCs w:val="21"/>
                      <w:highlight w:val="none"/>
                    </w:rPr>
                  </w:pPr>
                </w:p>
              </w:tc>
            </w:tr>
            <w:bookmarkEnd w:id="22"/>
          </w:tbl>
          <w:p w14:paraId="65D5A710">
            <w:pPr>
              <w:adjustRightInd w:val="0"/>
              <w:snapToGrid w:val="0"/>
              <w:spacing w:line="360" w:lineRule="auto"/>
              <w:ind w:firstLine="482" w:firstLineChars="200"/>
              <w:jc w:val="center"/>
              <w:rPr>
                <w:b/>
                <w:color w:val="auto"/>
                <w:sz w:val="24"/>
                <w:szCs w:val="24"/>
                <w:highlight w:val="none"/>
              </w:rPr>
            </w:pPr>
            <w:r>
              <w:rPr>
                <w:b/>
                <w:color w:val="auto"/>
                <w:sz w:val="24"/>
                <w:szCs w:val="24"/>
                <w:highlight w:val="none"/>
              </w:rPr>
              <w:t>表4-</w:t>
            </w:r>
            <w:r>
              <w:rPr>
                <w:rFonts w:hint="eastAsia"/>
                <w:b/>
                <w:color w:val="auto"/>
                <w:sz w:val="24"/>
                <w:szCs w:val="24"/>
                <w:highlight w:val="none"/>
                <w:lang w:val="en-US" w:eastAsia="zh-CN"/>
              </w:rPr>
              <w:t xml:space="preserve">14  </w:t>
            </w:r>
            <w:r>
              <w:rPr>
                <w:b/>
                <w:color w:val="auto"/>
                <w:sz w:val="24"/>
                <w:szCs w:val="24"/>
                <w:highlight w:val="none"/>
              </w:rPr>
              <w:t xml:space="preserve"> </w:t>
            </w:r>
            <w:r>
              <w:rPr>
                <w:rFonts w:hint="eastAsia"/>
                <w:b/>
                <w:bCs/>
                <w:color w:val="auto"/>
                <w:kern w:val="24"/>
                <w:sz w:val="24"/>
                <w:szCs w:val="24"/>
                <w:highlight w:val="none"/>
              </w:rPr>
              <w:t>项目建成后全厂废水污染物产生排放统计情况</w:t>
            </w:r>
            <w:r>
              <w:rPr>
                <w:b/>
                <w:color w:val="auto"/>
                <w:sz w:val="24"/>
                <w:szCs w:val="24"/>
                <w:highlight w:val="none"/>
              </w:rPr>
              <w:t>表</w:t>
            </w:r>
          </w:p>
          <w:tbl>
            <w:tblPr>
              <w:tblStyle w:val="30"/>
              <w:tblW w:w="4953"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791"/>
              <w:gridCol w:w="698"/>
              <w:gridCol w:w="605"/>
              <w:gridCol w:w="787"/>
              <w:gridCol w:w="1365"/>
              <w:gridCol w:w="639"/>
              <w:gridCol w:w="639"/>
              <w:gridCol w:w="739"/>
              <w:gridCol w:w="856"/>
              <w:gridCol w:w="1063"/>
            </w:tblGrid>
            <w:tr w14:paraId="25C1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tcBorders>
                    <w:tl2br w:val="nil"/>
                    <w:tr2bl w:val="nil"/>
                  </w:tcBorders>
                  <w:noWrap w:val="0"/>
                  <w:vAlign w:val="center"/>
                </w:tcPr>
                <w:p w14:paraId="437E6AFA">
                  <w:pPr>
                    <w:adjustRightInd w:val="0"/>
                    <w:snapToGrid w:val="0"/>
                    <w:jc w:val="center"/>
                    <w:rPr>
                      <w:color w:val="auto"/>
                      <w:szCs w:val="21"/>
                      <w:highlight w:val="none"/>
                    </w:rPr>
                  </w:pPr>
                  <w:bookmarkStart w:id="23" w:name="_Hlk80803359"/>
                  <w:r>
                    <w:rPr>
                      <w:color w:val="auto"/>
                      <w:szCs w:val="21"/>
                      <w:highlight w:val="none"/>
                    </w:rPr>
                    <w:t>污染源</w:t>
                  </w:r>
                </w:p>
              </w:tc>
              <w:tc>
                <w:tcPr>
                  <w:tcW w:w="451" w:type="pct"/>
                  <w:vMerge w:val="restart"/>
                  <w:tcBorders>
                    <w:tl2br w:val="nil"/>
                    <w:tr2bl w:val="nil"/>
                  </w:tcBorders>
                  <w:noWrap w:val="0"/>
                  <w:vAlign w:val="center"/>
                </w:tcPr>
                <w:p w14:paraId="13099CF0">
                  <w:pPr>
                    <w:adjustRightInd w:val="0"/>
                    <w:snapToGrid w:val="0"/>
                    <w:jc w:val="center"/>
                    <w:rPr>
                      <w:color w:val="auto"/>
                      <w:szCs w:val="21"/>
                      <w:highlight w:val="none"/>
                    </w:rPr>
                  </w:pPr>
                  <w:r>
                    <w:rPr>
                      <w:color w:val="auto"/>
                      <w:szCs w:val="21"/>
                      <w:highlight w:val="none"/>
                    </w:rPr>
                    <w:t>污染物</w:t>
                  </w:r>
                </w:p>
              </w:tc>
              <w:tc>
                <w:tcPr>
                  <w:tcW w:w="1192" w:type="pct"/>
                  <w:gridSpan w:val="3"/>
                  <w:tcBorders>
                    <w:tl2br w:val="nil"/>
                    <w:tr2bl w:val="nil"/>
                  </w:tcBorders>
                  <w:noWrap w:val="0"/>
                  <w:vAlign w:val="center"/>
                </w:tcPr>
                <w:p w14:paraId="6D541899">
                  <w:pPr>
                    <w:adjustRightInd w:val="0"/>
                    <w:snapToGrid w:val="0"/>
                    <w:jc w:val="center"/>
                    <w:rPr>
                      <w:color w:val="auto"/>
                      <w:szCs w:val="21"/>
                      <w:highlight w:val="none"/>
                    </w:rPr>
                  </w:pPr>
                  <w:r>
                    <w:rPr>
                      <w:color w:val="auto"/>
                      <w:szCs w:val="21"/>
                      <w:highlight w:val="none"/>
                    </w:rPr>
                    <w:t>污染物产生</w:t>
                  </w:r>
                </w:p>
              </w:tc>
              <w:tc>
                <w:tcPr>
                  <w:tcW w:w="778" w:type="pct"/>
                  <w:tcBorders>
                    <w:tl2br w:val="nil"/>
                    <w:tr2bl w:val="nil"/>
                  </w:tcBorders>
                  <w:noWrap w:val="0"/>
                  <w:vAlign w:val="center"/>
                </w:tcPr>
                <w:p w14:paraId="355F8441">
                  <w:pPr>
                    <w:adjustRightInd w:val="0"/>
                    <w:snapToGrid w:val="0"/>
                    <w:jc w:val="center"/>
                    <w:rPr>
                      <w:color w:val="auto"/>
                      <w:szCs w:val="21"/>
                      <w:highlight w:val="none"/>
                    </w:rPr>
                  </w:pPr>
                  <w:r>
                    <w:rPr>
                      <w:color w:val="auto"/>
                      <w:szCs w:val="21"/>
                      <w:highlight w:val="none"/>
                    </w:rPr>
                    <w:t>治理措施</w:t>
                  </w:r>
                </w:p>
              </w:tc>
              <w:tc>
                <w:tcPr>
                  <w:tcW w:w="1638" w:type="pct"/>
                  <w:gridSpan w:val="4"/>
                  <w:tcBorders>
                    <w:tl2br w:val="nil"/>
                    <w:tr2bl w:val="nil"/>
                  </w:tcBorders>
                  <w:noWrap w:val="0"/>
                  <w:vAlign w:val="center"/>
                </w:tcPr>
                <w:p w14:paraId="474BB9B8">
                  <w:pPr>
                    <w:adjustRightInd w:val="0"/>
                    <w:snapToGrid w:val="0"/>
                    <w:jc w:val="center"/>
                    <w:rPr>
                      <w:color w:val="auto"/>
                      <w:szCs w:val="21"/>
                      <w:highlight w:val="none"/>
                    </w:rPr>
                  </w:pPr>
                  <w:r>
                    <w:rPr>
                      <w:color w:val="auto"/>
                      <w:szCs w:val="21"/>
                      <w:highlight w:val="none"/>
                    </w:rPr>
                    <w:t>污染物排放</w:t>
                  </w:r>
                </w:p>
              </w:tc>
              <w:tc>
                <w:tcPr>
                  <w:tcW w:w="606" w:type="pct"/>
                  <w:vMerge w:val="restart"/>
                  <w:tcBorders>
                    <w:tl2br w:val="nil"/>
                    <w:tr2bl w:val="nil"/>
                  </w:tcBorders>
                  <w:noWrap w:val="0"/>
                  <w:vAlign w:val="center"/>
                </w:tcPr>
                <w:p w14:paraId="5D9D7F72">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出水</w:t>
                  </w:r>
                  <w:r>
                    <w:rPr>
                      <w:rFonts w:hint="eastAsia"/>
                      <w:color w:val="auto"/>
                      <w:szCs w:val="21"/>
                      <w:highlight w:val="none"/>
                      <w:lang w:eastAsia="zh-CN"/>
                    </w:rPr>
                    <w:t>标准</w:t>
                  </w:r>
                </w:p>
              </w:tc>
            </w:tr>
            <w:tr w14:paraId="6847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tcBorders>
                    <w:tl2br w:val="nil"/>
                    <w:tr2bl w:val="nil"/>
                  </w:tcBorders>
                  <w:noWrap w:val="0"/>
                  <w:vAlign w:val="center"/>
                </w:tcPr>
                <w:p w14:paraId="0685B40B">
                  <w:pPr>
                    <w:adjustRightInd w:val="0"/>
                    <w:snapToGrid w:val="0"/>
                    <w:jc w:val="center"/>
                    <w:rPr>
                      <w:color w:val="auto"/>
                      <w:szCs w:val="21"/>
                      <w:highlight w:val="none"/>
                    </w:rPr>
                  </w:pPr>
                </w:p>
              </w:tc>
              <w:tc>
                <w:tcPr>
                  <w:tcW w:w="451" w:type="pct"/>
                  <w:vMerge w:val="continue"/>
                  <w:tcBorders>
                    <w:tl2br w:val="nil"/>
                    <w:tr2bl w:val="nil"/>
                  </w:tcBorders>
                  <w:noWrap w:val="0"/>
                  <w:vAlign w:val="center"/>
                </w:tcPr>
                <w:p w14:paraId="1105E122">
                  <w:pPr>
                    <w:adjustRightInd w:val="0"/>
                    <w:snapToGrid w:val="0"/>
                    <w:jc w:val="center"/>
                    <w:rPr>
                      <w:color w:val="auto"/>
                      <w:szCs w:val="21"/>
                      <w:highlight w:val="none"/>
                    </w:rPr>
                  </w:pPr>
                </w:p>
              </w:tc>
              <w:tc>
                <w:tcPr>
                  <w:tcW w:w="398" w:type="pct"/>
                  <w:tcBorders>
                    <w:tl2br w:val="nil"/>
                    <w:tr2bl w:val="nil"/>
                  </w:tcBorders>
                  <w:noWrap w:val="0"/>
                  <w:vAlign w:val="center"/>
                </w:tcPr>
                <w:p w14:paraId="400E1C15">
                  <w:pPr>
                    <w:adjustRightInd w:val="0"/>
                    <w:snapToGrid w:val="0"/>
                    <w:jc w:val="center"/>
                    <w:rPr>
                      <w:color w:val="auto"/>
                      <w:szCs w:val="21"/>
                      <w:highlight w:val="none"/>
                    </w:rPr>
                  </w:pPr>
                  <w:r>
                    <w:rPr>
                      <w:color w:val="auto"/>
                      <w:szCs w:val="21"/>
                      <w:highlight w:val="none"/>
                    </w:rPr>
                    <w:t>废水量m</w:t>
                  </w:r>
                  <w:r>
                    <w:rPr>
                      <w:color w:val="auto"/>
                      <w:szCs w:val="21"/>
                      <w:highlight w:val="none"/>
                      <w:vertAlign w:val="superscript"/>
                    </w:rPr>
                    <w:t>3</w:t>
                  </w:r>
                  <w:r>
                    <w:rPr>
                      <w:color w:val="auto"/>
                      <w:szCs w:val="21"/>
                      <w:highlight w:val="none"/>
                    </w:rPr>
                    <w:t>/a</w:t>
                  </w:r>
                </w:p>
              </w:tc>
              <w:tc>
                <w:tcPr>
                  <w:tcW w:w="345" w:type="pct"/>
                  <w:tcBorders>
                    <w:tl2br w:val="nil"/>
                    <w:tr2bl w:val="nil"/>
                  </w:tcBorders>
                  <w:noWrap w:val="0"/>
                  <w:vAlign w:val="center"/>
                </w:tcPr>
                <w:p w14:paraId="41FD4899">
                  <w:pPr>
                    <w:adjustRightInd w:val="0"/>
                    <w:snapToGrid w:val="0"/>
                    <w:jc w:val="center"/>
                    <w:rPr>
                      <w:color w:val="auto"/>
                      <w:szCs w:val="21"/>
                      <w:highlight w:val="none"/>
                    </w:rPr>
                  </w:pPr>
                  <w:r>
                    <w:rPr>
                      <w:color w:val="auto"/>
                      <w:szCs w:val="21"/>
                      <w:highlight w:val="none"/>
                    </w:rPr>
                    <w:t>浓度mg/L</w:t>
                  </w:r>
                </w:p>
              </w:tc>
              <w:tc>
                <w:tcPr>
                  <w:tcW w:w="448" w:type="pct"/>
                  <w:tcBorders>
                    <w:tl2br w:val="nil"/>
                    <w:tr2bl w:val="nil"/>
                  </w:tcBorders>
                  <w:noWrap w:val="0"/>
                  <w:vAlign w:val="center"/>
                </w:tcPr>
                <w:p w14:paraId="1BD8ACE4">
                  <w:pPr>
                    <w:adjustRightInd w:val="0"/>
                    <w:snapToGrid w:val="0"/>
                    <w:jc w:val="center"/>
                    <w:rPr>
                      <w:color w:val="auto"/>
                      <w:szCs w:val="21"/>
                      <w:highlight w:val="none"/>
                    </w:rPr>
                  </w:pPr>
                  <w:r>
                    <w:rPr>
                      <w:color w:val="auto"/>
                      <w:szCs w:val="21"/>
                      <w:highlight w:val="none"/>
                    </w:rPr>
                    <w:t>产生量t/a</w:t>
                  </w:r>
                </w:p>
              </w:tc>
              <w:tc>
                <w:tcPr>
                  <w:tcW w:w="778" w:type="pct"/>
                  <w:tcBorders>
                    <w:tl2br w:val="nil"/>
                    <w:tr2bl w:val="nil"/>
                  </w:tcBorders>
                  <w:noWrap w:val="0"/>
                  <w:vAlign w:val="center"/>
                </w:tcPr>
                <w:p w14:paraId="1D358268">
                  <w:pPr>
                    <w:adjustRightInd w:val="0"/>
                    <w:snapToGrid w:val="0"/>
                    <w:jc w:val="center"/>
                    <w:rPr>
                      <w:color w:val="auto"/>
                      <w:szCs w:val="21"/>
                      <w:highlight w:val="none"/>
                    </w:rPr>
                  </w:pPr>
                  <w:r>
                    <w:rPr>
                      <w:color w:val="auto"/>
                      <w:szCs w:val="21"/>
                      <w:highlight w:val="none"/>
                    </w:rPr>
                    <w:t>治理工艺</w:t>
                  </w:r>
                </w:p>
              </w:tc>
              <w:tc>
                <w:tcPr>
                  <w:tcW w:w="364" w:type="pct"/>
                  <w:tcBorders>
                    <w:tl2br w:val="nil"/>
                    <w:tr2bl w:val="nil"/>
                  </w:tcBorders>
                  <w:noWrap w:val="0"/>
                  <w:vAlign w:val="center"/>
                </w:tcPr>
                <w:p w14:paraId="6DBBE34A">
                  <w:pPr>
                    <w:adjustRightInd w:val="0"/>
                    <w:snapToGrid w:val="0"/>
                    <w:jc w:val="center"/>
                    <w:rPr>
                      <w:color w:val="auto"/>
                      <w:szCs w:val="21"/>
                      <w:highlight w:val="none"/>
                    </w:rPr>
                  </w:pPr>
                  <w:r>
                    <w:rPr>
                      <w:color w:val="auto"/>
                      <w:szCs w:val="21"/>
                      <w:highlight w:val="none"/>
                    </w:rPr>
                    <w:t>废水量m</w:t>
                  </w:r>
                  <w:r>
                    <w:rPr>
                      <w:color w:val="auto"/>
                      <w:szCs w:val="21"/>
                      <w:highlight w:val="none"/>
                      <w:vertAlign w:val="superscript"/>
                    </w:rPr>
                    <w:t>3</w:t>
                  </w:r>
                  <w:r>
                    <w:rPr>
                      <w:color w:val="auto"/>
                      <w:szCs w:val="21"/>
                      <w:highlight w:val="none"/>
                    </w:rPr>
                    <w:t>/a</w:t>
                  </w:r>
                </w:p>
              </w:tc>
              <w:tc>
                <w:tcPr>
                  <w:tcW w:w="364" w:type="pct"/>
                  <w:tcBorders>
                    <w:tl2br w:val="nil"/>
                    <w:tr2bl w:val="nil"/>
                  </w:tcBorders>
                  <w:noWrap w:val="0"/>
                  <w:vAlign w:val="center"/>
                </w:tcPr>
                <w:p w14:paraId="61A16738">
                  <w:pPr>
                    <w:adjustRightInd w:val="0"/>
                    <w:snapToGrid w:val="0"/>
                    <w:jc w:val="center"/>
                    <w:rPr>
                      <w:color w:val="auto"/>
                      <w:szCs w:val="21"/>
                      <w:highlight w:val="none"/>
                    </w:rPr>
                  </w:pPr>
                  <w:r>
                    <w:rPr>
                      <w:color w:val="auto"/>
                      <w:szCs w:val="21"/>
                      <w:highlight w:val="none"/>
                    </w:rPr>
                    <w:t>浓度mg/L</w:t>
                  </w:r>
                </w:p>
              </w:tc>
              <w:tc>
                <w:tcPr>
                  <w:tcW w:w="421" w:type="pct"/>
                  <w:tcBorders>
                    <w:tl2br w:val="nil"/>
                    <w:tr2bl w:val="nil"/>
                  </w:tcBorders>
                  <w:noWrap w:val="0"/>
                  <w:vAlign w:val="center"/>
                </w:tcPr>
                <w:p w14:paraId="52A3D6BF">
                  <w:pPr>
                    <w:adjustRightInd w:val="0"/>
                    <w:snapToGrid w:val="0"/>
                    <w:jc w:val="center"/>
                    <w:rPr>
                      <w:color w:val="auto"/>
                      <w:szCs w:val="21"/>
                      <w:highlight w:val="none"/>
                    </w:rPr>
                  </w:pPr>
                  <w:r>
                    <w:rPr>
                      <w:color w:val="auto"/>
                      <w:szCs w:val="21"/>
                      <w:highlight w:val="none"/>
                    </w:rPr>
                    <w:t>排放量t/a</w:t>
                  </w:r>
                </w:p>
              </w:tc>
              <w:tc>
                <w:tcPr>
                  <w:tcW w:w="488" w:type="pct"/>
                  <w:tcBorders>
                    <w:tl2br w:val="nil"/>
                    <w:tr2bl w:val="nil"/>
                  </w:tcBorders>
                  <w:noWrap w:val="0"/>
                  <w:vAlign w:val="center"/>
                </w:tcPr>
                <w:p w14:paraId="01225FD2">
                  <w:pPr>
                    <w:adjustRightInd w:val="0"/>
                    <w:snapToGrid w:val="0"/>
                    <w:jc w:val="center"/>
                    <w:rPr>
                      <w:color w:val="auto"/>
                      <w:szCs w:val="21"/>
                      <w:highlight w:val="none"/>
                    </w:rPr>
                  </w:pPr>
                  <w:r>
                    <w:rPr>
                      <w:color w:val="auto"/>
                      <w:szCs w:val="21"/>
                      <w:highlight w:val="none"/>
                    </w:rPr>
                    <w:t>排放标准mg/L</w:t>
                  </w:r>
                </w:p>
              </w:tc>
              <w:tc>
                <w:tcPr>
                  <w:tcW w:w="606" w:type="pct"/>
                  <w:vMerge w:val="continue"/>
                  <w:tcBorders>
                    <w:tl2br w:val="nil"/>
                    <w:tr2bl w:val="nil"/>
                  </w:tcBorders>
                  <w:noWrap w:val="0"/>
                  <w:vAlign w:val="center"/>
                </w:tcPr>
                <w:p w14:paraId="24FBD1F0">
                  <w:pPr>
                    <w:adjustRightInd w:val="0"/>
                    <w:snapToGrid w:val="0"/>
                    <w:jc w:val="center"/>
                    <w:rPr>
                      <w:color w:val="auto"/>
                      <w:szCs w:val="21"/>
                      <w:highlight w:val="none"/>
                    </w:rPr>
                  </w:pPr>
                </w:p>
              </w:tc>
            </w:tr>
            <w:tr w14:paraId="23A6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333" w:type="pct"/>
                  <w:vMerge w:val="restart"/>
                  <w:tcBorders>
                    <w:tl2br w:val="nil"/>
                    <w:tr2bl w:val="nil"/>
                  </w:tcBorders>
                  <w:noWrap w:val="0"/>
                  <w:vAlign w:val="center"/>
                </w:tcPr>
                <w:p w14:paraId="62E202D7">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生活污水、填埋场渗滤液、生产废水</w:t>
                  </w:r>
                </w:p>
              </w:tc>
              <w:tc>
                <w:tcPr>
                  <w:tcW w:w="451" w:type="pct"/>
                  <w:tcBorders>
                    <w:tl2br w:val="nil"/>
                    <w:tr2bl w:val="nil"/>
                  </w:tcBorders>
                  <w:noWrap w:val="0"/>
                  <w:vAlign w:val="center"/>
                </w:tcPr>
                <w:p w14:paraId="010FD96C">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COD</w:t>
                  </w:r>
                </w:p>
              </w:tc>
              <w:tc>
                <w:tcPr>
                  <w:tcW w:w="398" w:type="pct"/>
                  <w:vMerge w:val="restart"/>
                  <w:tcBorders>
                    <w:tl2br w:val="nil"/>
                    <w:tr2bl w:val="nil"/>
                  </w:tcBorders>
                  <w:noWrap w:val="0"/>
                  <w:vAlign w:val="center"/>
                </w:tcPr>
                <w:p w14:paraId="29728280">
                  <w:pPr>
                    <w:adjustRightInd w:val="0"/>
                    <w:snapToGrid w:val="0"/>
                    <w:jc w:val="center"/>
                    <w:rPr>
                      <w:rFonts w:hint="default" w:eastAsia="宋体"/>
                      <w:color w:val="auto"/>
                      <w:szCs w:val="21"/>
                      <w:highlight w:val="none"/>
                      <w:lang w:val="en-US" w:eastAsia="zh-CN"/>
                    </w:rPr>
                  </w:pPr>
                  <w:r>
                    <w:rPr>
                      <w:rFonts w:hint="eastAsia" w:cs="Times New Roman"/>
                      <w:color w:val="auto"/>
                      <w:spacing w:val="0"/>
                      <w:sz w:val="21"/>
                      <w:szCs w:val="21"/>
                      <w:highlight w:val="none"/>
                      <w:lang w:val="en-US" w:eastAsia="zh-CN"/>
                    </w:rPr>
                    <w:t>18250</w:t>
                  </w:r>
                </w:p>
              </w:tc>
              <w:tc>
                <w:tcPr>
                  <w:tcW w:w="345" w:type="pct"/>
                  <w:tcBorders>
                    <w:tl2br w:val="nil"/>
                    <w:tr2bl w:val="nil"/>
                  </w:tcBorders>
                  <w:noWrap w:val="0"/>
                  <w:vAlign w:val="center"/>
                </w:tcPr>
                <w:p w14:paraId="24FD5ED0">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14000</w:t>
                  </w:r>
                </w:p>
              </w:tc>
              <w:tc>
                <w:tcPr>
                  <w:tcW w:w="448" w:type="pct"/>
                  <w:tcBorders>
                    <w:tl2br w:val="nil"/>
                    <w:tr2bl w:val="nil"/>
                  </w:tcBorders>
                  <w:noWrap w:val="0"/>
                  <w:vAlign w:val="center"/>
                </w:tcPr>
                <w:p w14:paraId="2E57B736">
                  <w:pPr>
                    <w:jc w:val="center"/>
                    <w:rPr>
                      <w:rFonts w:hint="default" w:eastAsia="宋体"/>
                      <w:color w:val="auto"/>
                      <w:szCs w:val="21"/>
                      <w:highlight w:val="none"/>
                      <w:lang w:val="en-US" w:eastAsia="zh-CN"/>
                    </w:rPr>
                  </w:pPr>
                  <w:r>
                    <w:rPr>
                      <w:rFonts w:hint="eastAsia"/>
                      <w:color w:val="auto"/>
                      <w:szCs w:val="21"/>
                      <w:highlight w:val="none"/>
                      <w:lang w:val="en-US" w:eastAsia="zh-CN"/>
                    </w:rPr>
                    <w:t>255.5</w:t>
                  </w:r>
                </w:p>
              </w:tc>
              <w:tc>
                <w:tcPr>
                  <w:tcW w:w="778" w:type="pct"/>
                  <w:vMerge w:val="restart"/>
                  <w:tcBorders>
                    <w:tl2br w:val="nil"/>
                    <w:tr2bl w:val="nil"/>
                  </w:tcBorders>
                  <w:noWrap w:val="0"/>
                  <w:vAlign w:val="center"/>
                </w:tcPr>
                <w:p w14:paraId="2A17BAF0">
                  <w:pPr>
                    <w:adjustRightInd w:val="0"/>
                    <w:snapToGrid w:val="0"/>
                    <w:jc w:val="center"/>
                    <w:rPr>
                      <w:color w:val="auto"/>
                      <w:szCs w:val="21"/>
                      <w:highlight w:val="none"/>
                    </w:rPr>
                  </w:pPr>
                  <w:r>
                    <w:rPr>
                      <w:rFonts w:hint="eastAsia"/>
                      <w:color w:val="auto"/>
                      <w:kern w:val="0"/>
                      <w:szCs w:val="21"/>
                      <w:highlight w:val="none"/>
                      <w:lang w:val="en-US" w:eastAsia="zh-CN"/>
                    </w:rPr>
                    <w:t>“预处理+两级DTRO+低温真空蒸发+固化”</w:t>
                  </w:r>
                  <w:r>
                    <w:rPr>
                      <w:color w:val="auto"/>
                      <w:kern w:val="0"/>
                      <w:szCs w:val="21"/>
                      <w:highlight w:val="none"/>
                    </w:rPr>
                    <w:t>工艺</w:t>
                  </w:r>
                </w:p>
              </w:tc>
              <w:tc>
                <w:tcPr>
                  <w:tcW w:w="364" w:type="pct"/>
                  <w:vMerge w:val="restart"/>
                  <w:tcBorders>
                    <w:tl2br w:val="nil"/>
                    <w:tr2bl w:val="nil"/>
                  </w:tcBorders>
                  <w:noWrap w:val="0"/>
                  <w:vAlign w:val="center"/>
                </w:tcPr>
                <w:p w14:paraId="1B3FE1D5">
                  <w:pPr>
                    <w:adjustRightInd w:val="0"/>
                    <w:snapToGrid w:val="0"/>
                    <w:jc w:val="center"/>
                    <w:rPr>
                      <w:rFonts w:hint="default" w:eastAsia="宋体"/>
                      <w:color w:val="auto"/>
                      <w:szCs w:val="21"/>
                      <w:highlight w:val="none"/>
                      <w:lang w:val="en-US" w:eastAsia="zh-CN"/>
                    </w:rPr>
                  </w:pPr>
                  <w:r>
                    <w:rPr>
                      <w:rFonts w:hint="eastAsia" w:cs="Times New Roman"/>
                      <w:color w:val="auto"/>
                      <w:spacing w:val="0"/>
                      <w:sz w:val="21"/>
                      <w:szCs w:val="21"/>
                      <w:highlight w:val="none"/>
                      <w:lang w:val="en-US" w:eastAsia="zh-CN"/>
                    </w:rPr>
                    <w:t>18250</w:t>
                  </w:r>
                </w:p>
              </w:tc>
              <w:tc>
                <w:tcPr>
                  <w:tcW w:w="364" w:type="pct"/>
                  <w:tcBorders>
                    <w:tl2br w:val="nil"/>
                    <w:tr2bl w:val="nil"/>
                  </w:tcBorders>
                  <w:noWrap w:val="0"/>
                  <w:vAlign w:val="center"/>
                </w:tcPr>
                <w:p w14:paraId="271177E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50</w:t>
                  </w:r>
                </w:p>
              </w:tc>
              <w:tc>
                <w:tcPr>
                  <w:tcW w:w="421" w:type="pct"/>
                  <w:tcBorders>
                    <w:tl2br w:val="nil"/>
                    <w:tr2bl w:val="nil"/>
                  </w:tcBorders>
                  <w:noWrap w:val="0"/>
                  <w:vAlign w:val="center"/>
                </w:tcPr>
                <w:p w14:paraId="23D23AF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0.913</w:t>
                  </w:r>
                </w:p>
              </w:tc>
              <w:tc>
                <w:tcPr>
                  <w:tcW w:w="488" w:type="pct"/>
                  <w:tcBorders>
                    <w:tl2br w:val="nil"/>
                    <w:tr2bl w:val="nil"/>
                  </w:tcBorders>
                  <w:noWrap w:val="0"/>
                  <w:vAlign w:val="center"/>
                </w:tcPr>
                <w:p w14:paraId="11EC6EA4">
                  <w:pPr>
                    <w:adjustRightInd w:val="0"/>
                    <w:snapToGrid w:val="0"/>
                    <w:jc w:val="center"/>
                    <w:rPr>
                      <w:rFonts w:hint="default" w:eastAsia="宋体"/>
                      <w:color w:val="auto"/>
                      <w:szCs w:val="21"/>
                      <w:highlight w:val="none"/>
                      <w:lang w:val="en-US" w:eastAsia="zh-CN"/>
                    </w:rPr>
                  </w:pPr>
                  <w:r>
                    <w:rPr>
                      <w:color w:val="auto"/>
                      <w:sz w:val="21"/>
                      <w:szCs w:val="21"/>
                      <w:highlight w:val="none"/>
                    </w:rPr>
                    <w:t>50</w:t>
                  </w:r>
                </w:p>
              </w:tc>
              <w:tc>
                <w:tcPr>
                  <w:tcW w:w="606" w:type="pct"/>
                  <w:vMerge w:val="restart"/>
                  <w:tcBorders>
                    <w:tl2br w:val="nil"/>
                    <w:tr2bl w:val="nil"/>
                  </w:tcBorders>
                  <w:noWrap w:val="0"/>
                  <w:vAlign w:val="center"/>
                </w:tcPr>
                <w:p w14:paraId="0C876D0B">
                  <w:pPr>
                    <w:adjustRightInd w:val="0"/>
                    <w:snapToGrid w:val="0"/>
                    <w:jc w:val="center"/>
                    <w:rPr>
                      <w:color w:val="auto"/>
                      <w:szCs w:val="21"/>
                      <w:highlight w:val="none"/>
                    </w:rPr>
                  </w:pPr>
                  <w:r>
                    <w:rPr>
                      <w:rFonts w:hint="eastAsia"/>
                      <w:color w:val="auto"/>
                      <w:szCs w:val="21"/>
                      <w:highlight w:val="none"/>
                      <w:lang w:val="en-US" w:eastAsia="zh-CN"/>
                    </w:rPr>
                    <w:t>《城镇污水处理厂污染物排放标准》（GB18918-2002）中一级A标排放标准及《城市污水再生利用 城市杂用水水质》（GB/T18920-2020）中城市绿化水质标准，</w:t>
                  </w:r>
                  <w:r>
                    <w:rPr>
                      <w:rFonts w:hint="eastAsia"/>
                      <w:color w:val="auto"/>
                      <w:szCs w:val="21"/>
                      <w:highlight w:val="none"/>
                    </w:rPr>
                    <w:t>回用于绿化，不外排</w:t>
                  </w:r>
                </w:p>
              </w:tc>
            </w:tr>
            <w:tr w14:paraId="1D68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33" w:type="pct"/>
                  <w:vMerge w:val="continue"/>
                  <w:tcBorders>
                    <w:tl2br w:val="nil"/>
                    <w:tr2bl w:val="nil"/>
                  </w:tcBorders>
                  <w:noWrap w:val="0"/>
                  <w:vAlign w:val="center"/>
                </w:tcPr>
                <w:p w14:paraId="692DB95B">
                  <w:pPr>
                    <w:adjustRightInd w:val="0"/>
                    <w:snapToGrid w:val="0"/>
                    <w:jc w:val="center"/>
                    <w:rPr>
                      <w:color w:val="auto"/>
                      <w:szCs w:val="21"/>
                      <w:highlight w:val="none"/>
                    </w:rPr>
                  </w:pPr>
                </w:p>
              </w:tc>
              <w:tc>
                <w:tcPr>
                  <w:tcW w:w="451" w:type="pct"/>
                  <w:tcBorders>
                    <w:tl2br w:val="nil"/>
                    <w:tr2bl w:val="nil"/>
                  </w:tcBorders>
                  <w:noWrap w:val="0"/>
                  <w:vAlign w:val="center"/>
                </w:tcPr>
                <w:p w14:paraId="7EDE92AC">
                  <w:pPr>
                    <w:adjustRightInd w:val="0"/>
                    <w:snapToGrid w:val="0"/>
                    <w:jc w:val="center"/>
                    <w:rPr>
                      <w:color w:val="auto"/>
                      <w:szCs w:val="21"/>
                      <w:highlight w:val="none"/>
                    </w:rPr>
                  </w:pPr>
                  <w:r>
                    <w:rPr>
                      <w:color w:val="auto"/>
                      <w:szCs w:val="21"/>
                      <w:highlight w:val="none"/>
                    </w:rPr>
                    <w:t>BOD</w:t>
                  </w:r>
                  <w:r>
                    <w:rPr>
                      <w:color w:val="auto"/>
                      <w:szCs w:val="21"/>
                      <w:highlight w:val="none"/>
                      <w:vertAlign w:val="subscript"/>
                    </w:rPr>
                    <w:t>5</w:t>
                  </w:r>
                </w:p>
              </w:tc>
              <w:tc>
                <w:tcPr>
                  <w:tcW w:w="398" w:type="pct"/>
                  <w:vMerge w:val="continue"/>
                  <w:tcBorders>
                    <w:tl2br w:val="nil"/>
                    <w:tr2bl w:val="nil"/>
                  </w:tcBorders>
                  <w:noWrap w:val="0"/>
                  <w:vAlign w:val="center"/>
                </w:tcPr>
                <w:p w14:paraId="28FC9389">
                  <w:pPr>
                    <w:adjustRightInd w:val="0"/>
                    <w:snapToGrid w:val="0"/>
                    <w:jc w:val="center"/>
                    <w:rPr>
                      <w:color w:val="auto"/>
                      <w:szCs w:val="21"/>
                      <w:highlight w:val="none"/>
                    </w:rPr>
                  </w:pPr>
                </w:p>
              </w:tc>
              <w:tc>
                <w:tcPr>
                  <w:tcW w:w="345" w:type="pct"/>
                  <w:tcBorders>
                    <w:tl2br w:val="nil"/>
                    <w:tr2bl w:val="nil"/>
                  </w:tcBorders>
                  <w:noWrap w:val="0"/>
                  <w:vAlign w:val="center"/>
                </w:tcPr>
                <w:p w14:paraId="78ECF556">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12000</w:t>
                  </w:r>
                </w:p>
              </w:tc>
              <w:tc>
                <w:tcPr>
                  <w:tcW w:w="448" w:type="pct"/>
                  <w:tcBorders>
                    <w:tl2br w:val="nil"/>
                    <w:tr2bl w:val="nil"/>
                  </w:tcBorders>
                  <w:noWrap w:val="0"/>
                  <w:vAlign w:val="center"/>
                </w:tcPr>
                <w:p w14:paraId="160E236D">
                  <w:pPr>
                    <w:jc w:val="center"/>
                    <w:rPr>
                      <w:rFonts w:hint="default" w:eastAsia="宋体"/>
                      <w:color w:val="auto"/>
                      <w:szCs w:val="21"/>
                      <w:highlight w:val="none"/>
                      <w:lang w:val="en-US" w:eastAsia="zh-CN"/>
                    </w:rPr>
                  </w:pPr>
                  <w:r>
                    <w:rPr>
                      <w:rFonts w:hint="eastAsia"/>
                      <w:color w:val="auto"/>
                      <w:szCs w:val="21"/>
                      <w:highlight w:val="none"/>
                      <w:lang w:val="en-US" w:eastAsia="zh-CN"/>
                    </w:rPr>
                    <w:t>219.0</w:t>
                  </w:r>
                </w:p>
              </w:tc>
              <w:tc>
                <w:tcPr>
                  <w:tcW w:w="778" w:type="pct"/>
                  <w:vMerge w:val="continue"/>
                  <w:tcBorders>
                    <w:tl2br w:val="nil"/>
                    <w:tr2bl w:val="nil"/>
                  </w:tcBorders>
                  <w:noWrap w:val="0"/>
                  <w:vAlign w:val="center"/>
                </w:tcPr>
                <w:p w14:paraId="18494D1D">
                  <w:pPr>
                    <w:adjustRightInd w:val="0"/>
                    <w:snapToGrid w:val="0"/>
                    <w:jc w:val="center"/>
                    <w:rPr>
                      <w:color w:val="auto"/>
                      <w:szCs w:val="21"/>
                      <w:highlight w:val="none"/>
                    </w:rPr>
                  </w:pPr>
                </w:p>
              </w:tc>
              <w:tc>
                <w:tcPr>
                  <w:tcW w:w="364" w:type="pct"/>
                  <w:vMerge w:val="continue"/>
                  <w:tcBorders>
                    <w:tl2br w:val="nil"/>
                    <w:tr2bl w:val="nil"/>
                  </w:tcBorders>
                  <w:noWrap w:val="0"/>
                  <w:vAlign w:val="center"/>
                </w:tcPr>
                <w:p w14:paraId="15518060">
                  <w:pPr>
                    <w:adjustRightInd w:val="0"/>
                    <w:snapToGrid w:val="0"/>
                    <w:jc w:val="center"/>
                    <w:rPr>
                      <w:color w:val="auto"/>
                      <w:szCs w:val="21"/>
                      <w:highlight w:val="none"/>
                    </w:rPr>
                  </w:pPr>
                </w:p>
              </w:tc>
              <w:tc>
                <w:tcPr>
                  <w:tcW w:w="364" w:type="pct"/>
                  <w:tcBorders>
                    <w:tl2br w:val="nil"/>
                    <w:tr2bl w:val="nil"/>
                  </w:tcBorders>
                  <w:noWrap w:val="0"/>
                  <w:vAlign w:val="center"/>
                </w:tcPr>
                <w:p w14:paraId="5B9FAFE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w:t>
                  </w:r>
                </w:p>
              </w:tc>
              <w:tc>
                <w:tcPr>
                  <w:tcW w:w="421" w:type="pct"/>
                  <w:tcBorders>
                    <w:tl2br w:val="nil"/>
                    <w:tr2bl w:val="nil"/>
                  </w:tcBorders>
                  <w:noWrap w:val="0"/>
                  <w:vAlign w:val="center"/>
                </w:tcPr>
                <w:p w14:paraId="71C3C46D">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0.183</w:t>
                  </w:r>
                </w:p>
              </w:tc>
              <w:tc>
                <w:tcPr>
                  <w:tcW w:w="488" w:type="pct"/>
                  <w:tcBorders>
                    <w:tl2br w:val="nil"/>
                    <w:tr2bl w:val="nil"/>
                  </w:tcBorders>
                  <w:noWrap w:val="0"/>
                  <w:vAlign w:val="center"/>
                </w:tcPr>
                <w:p w14:paraId="0F9C004C">
                  <w:pPr>
                    <w:adjustRightInd w:val="0"/>
                    <w:snapToGrid w:val="0"/>
                    <w:jc w:val="center"/>
                    <w:rPr>
                      <w:rFonts w:hint="default" w:eastAsia="宋体"/>
                      <w:color w:val="auto"/>
                      <w:szCs w:val="21"/>
                      <w:highlight w:val="none"/>
                      <w:lang w:val="en-US" w:eastAsia="zh-CN"/>
                    </w:rPr>
                  </w:pPr>
                  <w:r>
                    <w:rPr>
                      <w:rFonts w:hint="eastAsia"/>
                      <w:color w:val="auto"/>
                      <w:sz w:val="21"/>
                      <w:szCs w:val="21"/>
                      <w:highlight w:val="none"/>
                      <w:lang w:val="en-US" w:eastAsia="zh-CN"/>
                    </w:rPr>
                    <w:t>10</w:t>
                  </w:r>
                </w:p>
              </w:tc>
              <w:tc>
                <w:tcPr>
                  <w:tcW w:w="606" w:type="pct"/>
                  <w:vMerge w:val="continue"/>
                  <w:tcBorders>
                    <w:tl2br w:val="nil"/>
                    <w:tr2bl w:val="nil"/>
                  </w:tcBorders>
                  <w:noWrap w:val="0"/>
                  <w:vAlign w:val="center"/>
                </w:tcPr>
                <w:p w14:paraId="22E2B151">
                  <w:pPr>
                    <w:adjustRightInd w:val="0"/>
                    <w:snapToGrid w:val="0"/>
                    <w:jc w:val="center"/>
                    <w:rPr>
                      <w:color w:val="auto"/>
                      <w:szCs w:val="21"/>
                      <w:highlight w:val="none"/>
                    </w:rPr>
                  </w:pPr>
                </w:p>
              </w:tc>
            </w:tr>
            <w:tr w14:paraId="76CB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333" w:type="pct"/>
                  <w:vMerge w:val="continue"/>
                  <w:tcBorders>
                    <w:tl2br w:val="nil"/>
                    <w:tr2bl w:val="nil"/>
                  </w:tcBorders>
                  <w:noWrap w:val="0"/>
                  <w:vAlign w:val="center"/>
                </w:tcPr>
                <w:p w14:paraId="67FD9285">
                  <w:pPr>
                    <w:adjustRightInd w:val="0"/>
                    <w:snapToGrid w:val="0"/>
                    <w:jc w:val="center"/>
                    <w:rPr>
                      <w:color w:val="auto"/>
                      <w:szCs w:val="21"/>
                      <w:highlight w:val="none"/>
                    </w:rPr>
                  </w:pPr>
                </w:p>
              </w:tc>
              <w:tc>
                <w:tcPr>
                  <w:tcW w:w="451" w:type="pct"/>
                  <w:tcBorders>
                    <w:tl2br w:val="nil"/>
                    <w:tr2bl w:val="nil"/>
                  </w:tcBorders>
                  <w:noWrap w:val="0"/>
                  <w:vAlign w:val="center"/>
                </w:tcPr>
                <w:p w14:paraId="216714FB">
                  <w:pPr>
                    <w:adjustRightInd w:val="0"/>
                    <w:snapToGrid w:val="0"/>
                    <w:jc w:val="center"/>
                    <w:rPr>
                      <w:color w:val="auto"/>
                      <w:szCs w:val="21"/>
                      <w:highlight w:val="none"/>
                    </w:rPr>
                  </w:pPr>
                  <w:r>
                    <w:rPr>
                      <w:color w:val="auto"/>
                      <w:szCs w:val="21"/>
                      <w:highlight w:val="none"/>
                    </w:rPr>
                    <w:t>SS</w:t>
                  </w:r>
                </w:p>
              </w:tc>
              <w:tc>
                <w:tcPr>
                  <w:tcW w:w="398" w:type="pct"/>
                  <w:vMerge w:val="continue"/>
                  <w:tcBorders>
                    <w:tl2br w:val="nil"/>
                    <w:tr2bl w:val="nil"/>
                  </w:tcBorders>
                  <w:noWrap w:val="0"/>
                  <w:vAlign w:val="center"/>
                </w:tcPr>
                <w:p w14:paraId="36AB9180">
                  <w:pPr>
                    <w:adjustRightInd w:val="0"/>
                    <w:snapToGrid w:val="0"/>
                    <w:jc w:val="center"/>
                    <w:rPr>
                      <w:color w:val="auto"/>
                      <w:szCs w:val="21"/>
                      <w:highlight w:val="none"/>
                    </w:rPr>
                  </w:pPr>
                </w:p>
              </w:tc>
              <w:tc>
                <w:tcPr>
                  <w:tcW w:w="345" w:type="pct"/>
                  <w:tcBorders>
                    <w:tl2br w:val="nil"/>
                    <w:tr2bl w:val="nil"/>
                  </w:tcBorders>
                  <w:noWrap w:val="0"/>
                  <w:vAlign w:val="center"/>
                </w:tcPr>
                <w:p w14:paraId="37053571">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200</w:t>
                  </w:r>
                </w:p>
              </w:tc>
              <w:tc>
                <w:tcPr>
                  <w:tcW w:w="448" w:type="pct"/>
                  <w:tcBorders>
                    <w:tl2br w:val="nil"/>
                    <w:tr2bl w:val="nil"/>
                  </w:tcBorders>
                  <w:noWrap w:val="0"/>
                  <w:vAlign w:val="center"/>
                </w:tcPr>
                <w:p w14:paraId="162ED32F">
                  <w:pPr>
                    <w:jc w:val="center"/>
                    <w:rPr>
                      <w:rFonts w:hint="default" w:eastAsia="宋体"/>
                      <w:color w:val="auto"/>
                      <w:szCs w:val="21"/>
                      <w:highlight w:val="none"/>
                      <w:lang w:val="en-US" w:eastAsia="zh-CN"/>
                    </w:rPr>
                  </w:pPr>
                  <w:r>
                    <w:rPr>
                      <w:rFonts w:hint="eastAsia"/>
                      <w:color w:val="auto"/>
                      <w:szCs w:val="21"/>
                      <w:highlight w:val="none"/>
                      <w:lang w:val="en-US" w:eastAsia="zh-CN"/>
                    </w:rPr>
                    <w:t>3.65</w:t>
                  </w:r>
                </w:p>
              </w:tc>
              <w:tc>
                <w:tcPr>
                  <w:tcW w:w="778" w:type="pct"/>
                  <w:vMerge w:val="continue"/>
                  <w:tcBorders>
                    <w:tl2br w:val="nil"/>
                    <w:tr2bl w:val="nil"/>
                  </w:tcBorders>
                  <w:noWrap w:val="0"/>
                  <w:vAlign w:val="center"/>
                </w:tcPr>
                <w:p w14:paraId="2256B3A6">
                  <w:pPr>
                    <w:adjustRightInd w:val="0"/>
                    <w:snapToGrid w:val="0"/>
                    <w:jc w:val="center"/>
                    <w:rPr>
                      <w:color w:val="auto"/>
                      <w:szCs w:val="21"/>
                      <w:highlight w:val="none"/>
                    </w:rPr>
                  </w:pPr>
                </w:p>
              </w:tc>
              <w:tc>
                <w:tcPr>
                  <w:tcW w:w="364" w:type="pct"/>
                  <w:vMerge w:val="continue"/>
                  <w:tcBorders>
                    <w:tl2br w:val="nil"/>
                    <w:tr2bl w:val="nil"/>
                  </w:tcBorders>
                  <w:noWrap w:val="0"/>
                  <w:vAlign w:val="center"/>
                </w:tcPr>
                <w:p w14:paraId="33211F7B">
                  <w:pPr>
                    <w:adjustRightInd w:val="0"/>
                    <w:snapToGrid w:val="0"/>
                    <w:jc w:val="center"/>
                    <w:rPr>
                      <w:color w:val="auto"/>
                      <w:szCs w:val="21"/>
                      <w:highlight w:val="none"/>
                    </w:rPr>
                  </w:pPr>
                </w:p>
              </w:tc>
              <w:tc>
                <w:tcPr>
                  <w:tcW w:w="364" w:type="pct"/>
                  <w:tcBorders>
                    <w:tl2br w:val="nil"/>
                    <w:tr2bl w:val="nil"/>
                  </w:tcBorders>
                  <w:noWrap w:val="0"/>
                  <w:vAlign w:val="center"/>
                </w:tcPr>
                <w:p w14:paraId="512BD66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w:t>
                  </w:r>
                </w:p>
              </w:tc>
              <w:tc>
                <w:tcPr>
                  <w:tcW w:w="421" w:type="pct"/>
                  <w:tcBorders>
                    <w:tl2br w:val="nil"/>
                    <w:tr2bl w:val="nil"/>
                  </w:tcBorders>
                  <w:noWrap w:val="0"/>
                  <w:vAlign w:val="center"/>
                </w:tcPr>
                <w:p w14:paraId="4C8FB727">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0.183</w:t>
                  </w:r>
                </w:p>
              </w:tc>
              <w:tc>
                <w:tcPr>
                  <w:tcW w:w="488" w:type="pct"/>
                  <w:tcBorders>
                    <w:tl2br w:val="nil"/>
                    <w:tr2bl w:val="nil"/>
                  </w:tcBorders>
                  <w:noWrap w:val="0"/>
                  <w:vAlign w:val="center"/>
                </w:tcPr>
                <w:p w14:paraId="63DA8484">
                  <w:pPr>
                    <w:adjustRightInd w:val="0"/>
                    <w:snapToGrid w:val="0"/>
                    <w:jc w:val="center"/>
                    <w:rPr>
                      <w:rFonts w:hint="default" w:eastAsia="宋体"/>
                      <w:color w:val="auto"/>
                      <w:szCs w:val="21"/>
                      <w:highlight w:val="none"/>
                      <w:lang w:val="en-US" w:eastAsia="zh-CN"/>
                    </w:rPr>
                  </w:pPr>
                  <w:r>
                    <w:rPr>
                      <w:rFonts w:hint="eastAsia"/>
                      <w:color w:val="auto"/>
                      <w:sz w:val="21"/>
                      <w:szCs w:val="21"/>
                      <w:highlight w:val="none"/>
                      <w:lang w:val="en-US" w:eastAsia="zh-CN"/>
                    </w:rPr>
                    <w:t>10</w:t>
                  </w:r>
                </w:p>
              </w:tc>
              <w:tc>
                <w:tcPr>
                  <w:tcW w:w="606" w:type="pct"/>
                  <w:vMerge w:val="continue"/>
                  <w:tcBorders>
                    <w:tl2br w:val="nil"/>
                    <w:tr2bl w:val="nil"/>
                  </w:tcBorders>
                  <w:noWrap w:val="0"/>
                  <w:vAlign w:val="center"/>
                </w:tcPr>
                <w:p w14:paraId="6BF7D271">
                  <w:pPr>
                    <w:adjustRightInd w:val="0"/>
                    <w:snapToGrid w:val="0"/>
                    <w:jc w:val="center"/>
                    <w:rPr>
                      <w:color w:val="auto"/>
                      <w:szCs w:val="21"/>
                      <w:highlight w:val="none"/>
                    </w:rPr>
                  </w:pPr>
                </w:p>
              </w:tc>
            </w:tr>
            <w:tr w14:paraId="40F5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333" w:type="pct"/>
                  <w:vMerge w:val="continue"/>
                  <w:tcBorders>
                    <w:tl2br w:val="nil"/>
                    <w:tr2bl w:val="nil"/>
                  </w:tcBorders>
                  <w:noWrap w:val="0"/>
                  <w:vAlign w:val="center"/>
                </w:tcPr>
                <w:p w14:paraId="04AA04EA">
                  <w:pPr>
                    <w:adjustRightInd w:val="0"/>
                    <w:snapToGrid w:val="0"/>
                    <w:jc w:val="center"/>
                    <w:rPr>
                      <w:color w:val="auto"/>
                      <w:szCs w:val="21"/>
                      <w:highlight w:val="none"/>
                    </w:rPr>
                  </w:pPr>
                </w:p>
              </w:tc>
              <w:tc>
                <w:tcPr>
                  <w:tcW w:w="451" w:type="pct"/>
                  <w:tcBorders>
                    <w:tl2br w:val="nil"/>
                    <w:tr2bl w:val="nil"/>
                  </w:tcBorders>
                  <w:noWrap w:val="0"/>
                  <w:vAlign w:val="center"/>
                </w:tcPr>
                <w:p w14:paraId="4C91C7BE">
                  <w:pPr>
                    <w:adjustRightInd w:val="0"/>
                    <w:snapToGrid w:val="0"/>
                    <w:jc w:val="center"/>
                    <w:rPr>
                      <w:color w:val="auto"/>
                      <w:szCs w:val="21"/>
                      <w:highlight w:val="none"/>
                    </w:rPr>
                  </w:pPr>
                  <w:r>
                    <w:rPr>
                      <w:color w:val="auto"/>
                      <w:szCs w:val="21"/>
                      <w:highlight w:val="none"/>
                    </w:rPr>
                    <w:t>氨氮</w:t>
                  </w:r>
                </w:p>
              </w:tc>
              <w:tc>
                <w:tcPr>
                  <w:tcW w:w="398" w:type="pct"/>
                  <w:vMerge w:val="continue"/>
                  <w:tcBorders>
                    <w:tl2br w:val="nil"/>
                    <w:tr2bl w:val="nil"/>
                  </w:tcBorders>
                  <w:noWrap w:val="0"/>
                  <w:vAlign w:val="center"/>
                </w:tcPr>
                <w:p w14:paraId="6C915356">
                  <w:pPr>
                    <w:adjustRightInd w:val="0"/>
                    <w:snapToGrid w:val="0"/>
                    <w:jc w:val="center"/>
                    <w:rPr>
                      <w:color w:val="auto"/>
                      <w:szCs w:val="21"/>
                      <w:highlight w:val="none"/>
                    </w:rPr>
                  </w:pPr>
                </w:p>
              </w:tc>
              <w:tc>
                <w:tcPr>
                  <w:tcW w:w="345" w:type="pct"/>
                  <w:tcBorders>
                    <w:tl2br w:val="nil"/>
                    <w:tr2bl w:val="nil"/>
                  </w:tcBorders>
                  <w:noWrap w:val="0"/>
                  <w:vAlign w:val="center"/>
                </w:tcPr>
                <w:p w14:paraId="6AB0446E">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4100</w:t>
                  </w:r>
                </w:p>
              </w:tc>
              <w:tc>
                <w:tcPr>
                  <w:tcW w:w="448" w:type="pct"/>
                  <w:tcBorders>
                    <w:tl2br w:val="nil"/>
                    <w:tr2bl w:val="nil"/>
                  </w:tcBorders>
                  <w:noWrap w:val="0"/>
                  <w:vAlign w:val="center"/>
                </w:tcPr>
                <w:p w14:paraId="7AD36198">
                  <w:pPr>
                    <w:jc w:val="center"/>
                    <w:rPr>
                      <w:rFonts w:hint="default" w:eastAsia="宋体"/>
                      <w:color w:val="auto"/>
                      <w:szCs w:val="21"/>
                      <w:highlight w:val="none"/>
                      <w:lang w:val="en-US" w:eastAsia="zh-CN"/>
                    </w:rPr>
                  </w:pPr>
                  <w:r>
                    <w:rPr>
                      <w:rFonts w:hint="eastAsia"/>
                      <w:color w:val="auto"/>
                      <w:szCs w:val="21"/>
                      <w:highlight w:val="none"/>
                      <w:lang w:val="en-US" w:eastAsia="zh-CN"/>
                    </w:rPr>
                    <w:t>74.825</w:t>
                  </w:r>
                </w:p>
              </w:tc>
              <w:tc>
                <w:tcPr>
                  <w:tcW w:w="778" w:type="pct"/>
                  <w:vMerge w:val="continue"/>
                  <w:tcBorders>
                    <w:tl2br w:val="nil"/>
                    <w:tr2bl w:val="nil"/>
                  </w:tcBorders>
                  <w:noWrap w:val="0"/>
                  <w:vAlign w:val="center"/>
                </w:tcPr>
                <w:p w14:paraId="2B82CAF5">
                  <w:pPr>
                    <w:adjustRightInd w:val="0"/>
                    <w:snapToGrid w:val="0"/>
                    <w:jc w:val="center"/>
                    <w:rPr>
                      <w:color w:val="auto"/>
                      <w:szCs w:val="21"/>
                      <w:highlight w:val="none"/>
                    </w:rPr>
                  </w:pPr>
                </w:p>
              </w:tc>
              <w:tc>
                <w:tcPr>
                  <w:tcW w:w="364" w:type="pct"/>
                  <w:vMerge w:val="continue"/>
                  <w:tcBorders>
                    <w:tl2br w:val="nil"/>
                    <w:tr2bl w:val="nil"/>
                  </w:tcBorders>
                  <w:noWrap w:val="0"/>
                  <w:vAlign w:val="center"/>
                </w:tcPr>
                <w:p w14:paraId="3FD09D9D">
                  <w:pPr>
                    <w:adjustRightInd w:val="0"/>
                    <w:snapToGrid w:val="0"/>
                    <w:jc w:val="center"/>
                    <w:rPr>
                      <w:color w:val="auto"/>
                      <w:szCs w:val="21"/>
                      <w:highlight w:val="none"/>
                    </w:rPr>
                  </w:pPr>
                </w:p>
              </w:tc>
              <w:tc>
                <w:tcPr>
                  <w:tcW w:w="364" w:type="pct"/>
                  <w:tcBorders>
                    <w:tl2br w:val="nil"/>
                    <w:tr2bl w:val="nil"/>
                  </w:tcBorders>
                  <w:noWrap w:val="0"/>
                  <w:vAlign w:val="center"/>
                </w:tcPr>
                <w:p w14:paraId="2B959B93">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eastAsia="zh-CN"/>
                    </w:rPr>
                    <w:t>5</w:t>
                  </w:r>
                </w:p>
              </w:tc>
              <w:tc>
                <w:tcPr>
                  <w:tcW w:w="421" w:type="pct"/>
                  <w:tcBorders>
                    <w:tl2br w:val="nil"/>
                    <w:tr2bl w:val="nil"/>
                  </w:tcBorders>
                  <w:noWrap w:val="0"/>
                  <w:vAlign w:val="center"/>
                </w:tcPr>
                <w:p w14:paraId="75C79405">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0.091</w:t>
                  </w:r>
                </w:p>
              </w:tc>
              <w:tc>
                <w:tcPr>
                  <w:tcW w:w="488" w:type="pct"/>
                  <w:tcBorders>
                    <w:tl2br w:val="nil"/>
                    <w:tr2bl w:val="nil"/>
                  </w:tcBorders>
                  <w:noWrap w:val="0"/>
                  <w:vAlign w:val="center"/>
                </w:tcPr>
                <w:p w14:paraId="4251D1F7">
                  <w:pPr>
                    <w:adjustRightInd w:val="0"/>
                    <w:snapToGrid w:val="0"/>
                    <w:jc w:val="center"/>
                    <w:rPr>
                      <w:rFonts w:hint="default" w:eastAsia="宋体"/>
                      <w:color w:val="auto"/>
                      <w:szCs w:val="21"/>
                      <w:highlight w:val="none"/>
                      <w:lang w:val="en-US" w:eastAsia="zh-CN"/>
                    </w:rPr>
                  </w:pPr>
                  <w:r>
                    <w:rPr>
                      <w:rFonts w:hint="eastAsia" w:eastAsia="宋体"/>
                      <w:color w:val="auto"/>
                      <w:sz w:val="21"/>
                      <w:szCs w:val="21"/>
                      <w:highlight w:val="none"/>
                      <w:lang w:eastAsia="zh-CN"/>
                    </w:rPr>
                    <w:t>5</w:t>
                  </w:r>
                </w:p>
              </w:tc>
              <w:tc>
                <w:tcPr>
                  <w:tcW w:w="606" w:type="pct"/>
                  <w:vMerge w:val="continue"/>
                  <w:tcBorders>
                    <w:tl2br w:val="nil"/>
                    <w:tr2bl w:val="nil"/>
                  </w:tcBorders>
                  <w:noWrap w:val="0"/>
                  <w:vAlign w:val="center"/>
                </w:tcPr>
                <w:p w14:paraId="38172DAF">
                  <w:pPr>
                    <w:adjustRightInd w:val="0"/>
                    <w:snapToGrid w:val="0"/>
                    <w:jc w:val="center"/>
                    <w:rPr>
                      <w:color w:val="auto"/>
                      <w:szCs w:val="21"/>
                      <w:highlight w:val="none"/>
                    </w:rPr>
                  </w:pPr>
                </w:p>
              </w:tc>
            </w:tr>
            <w:tr w14:paraId="4F82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333" w:type="pct"/>
                  <w:vMerge w:val="continue"/>
                  <w:tcBorders>
                    <w:tl2br w:val="nil"/>
                    <w:tr2bl w:val="nil"/>
                  </w:tcBorders>
                  <w:noWrap w:val="0"/>
                  <w:vAlign w:val="center"/>
                </w:tcPr>
                <w:p w14:paraId="743942EC">
                  <w:pPr>
                    <w:adjustRightInd w:val="0"/>
                    <w:snapToGrid w:val="0"/>
                    <w:jc w:val="center"/>
                    <w:rPr>
                      <w:color w:val="auto"/>
                      <w:szCs w:val="21"/>
                      <w:highlight w:val="none"/>
                    </w:rPr>
                  </w:pPr>
                </w:p>
              </w:tc>
              <w:tc>
                <w:tcPr>
                  <w:tcW w:w="451" w:type="pct"/>
                  <w:tcBorders>
                    <w:tl2br w:val="nil"/>
                    <w:tr2bl w:val="nil"/>
                  </w:tcBorders>
                  <w:noWrap w:val="0"/>
                  <w:vAlign w:val="center"/>
                </w:tcPr>
                <w:p w14:paraId="516FC30A">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TN</w:t>
                  </w:r>
                </w:p>
              </w:tc>
              <w:tc>
                <w:tcPr>
                  <w:tcW w:w="398" w:type="pct"/>
                  <w:vMerge w:val="continue"/>
                  <w:tcBorders>
                    <w:tl2br w:val="nil"/>
                    <w:tr2bl w:val="nil"/>
                  </w:tcBorders>
                  <w:noWrap w:val="0"/>
                  <w:vAlign w:val="center"/>
                </w:tcPr>
                <w:p w14:paraId="7BF31DE8">
                  <w:pPr>
                    <w:adjustRightInd w:val="0"/>
                    <w:snapToGrid w:val="0"/>
                    <w:jc w:val="center"/>
                    <w:rPr>
                      <w:color w:val="auto"/>
                      <w:szCs w:val="21"/>
                      <w:highlight w:val="none"/>
                    </w:rPr>
                  </w:pPr>
                </w:p>
              </w:tc>
              <w:tc>
                <w:tcPr>
                  <w:tcW w:w="345" w:type="pct"/>
                  <w:tcBorders>
                    <w:tl2br w:val="nil"/>
                    <w:tr2bl w:val="nil"/>
                  </w:tcBorders>
                  <w:noWrap w:val="0"/>
                  <w:vAlign w:val="center"/>
                </w:tcPr>
                <w:p w14:paraId="36ABB0FD">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4400</w:t>
                  </w:r>
                </w:p>
              </w:tc>
              <w:tc>
                <w:tcPr>
                  <w:tcW w:w="448" w:type="pct"/>
                  <w:tcBorders>
                    <w:tl2br w:val="nil"/>
                    <w:tr2bl w:val="nil"/>
                  </w:tcBorders>
                  <w:noWrap w:val="0"/>
                  <w:vAlign w:val="center"/>
                </w:tcPr>
                <w:p w14:paraId="2A2A055E">
                  <w:pPr>
                    <w:jc w:val="center"/>
                    <w:rPr>
                      <w:rFonts w:hint="default" w:eastAsia="宋体"/>
                      <w:color w:val="auto"/>
                      <w:szCs w:val="21"/>
                      <w:highlight w:val="none"/>
                      <w:lang w:val="en-US" w:eastAsia="zh-CN"/>
                    </w:rPr>
                  </w:pPr>
                  <w:r>
                    <w:rPr>
                      <w:rFonts w:hint="eastAsia"/>
                      <w:color w:val="auto"/>
                      <w:szCs w:val="21"/>
                      <w:highlight w:val="none"/>
                      <w:lang w:val="en-US" w:eastAsia="zh-CN"/>
                    </w:rPr>
                    <w:t>80.3</w:t>
                  </w:r>
                </w:p>
              </w:tc>
              <w:tc>
                <w:tcPr>
                  <w:tcW w:w="778" w:type="pct"/>
                  <w:vMerge w:val="continue"/>
                  <w:tcBorders>
                    <w:tl2br w:val="nil"/>
                    <w:tr2bl w:val="nil"/>
                  </w:tcBorders>
                  <w:noWrap w:val="0"/>
                  <w:vAlign w:val="center"/>
                </w:tcPr>
                <w:p w14:paraId="2E945CA7">
                  <w:pPr>
                    <w:adjustRightInd w:val="0"/>
                    <w:snapToGrid w:val="0"/>
                    <w:jc w:val="center"/>
                    <w:rPr>
                      <w:color w:val="auto"/>
                      <w:szCs w:val="21"/>
                      <w:highlight w:val="none"/>
                    </w:rPr>
                  </w:pPr>
                </w:p>
              </w:tc>
              <w:tc>
                <w:tcPr>
                  <w:tcW w:w="364" w:type="pct"/>
                  <w:vMerge w:val="continue"/>
                  <w:tcBorders>
                    <w:tl2br w:val="nil"/>
                    <w:tr2bl w:val="nil"/>
                  </w:tcBorders>
                  <w:noWrap w:val="0"/>
                  <w:vAlign w:val="center"/>
                </w:tcPr>
                <w:p w14:paraId="146A2BFC">
                  <w:pPr>
                    <w:adjustRightInd w:val="0"/>
                    <w:snapToGrid w:val="0"/>
                    <w:jc w:val="center"/>
                    <w:rPr>
                      <w:color w:val="auto"/>
                      <w:szCs w:val="21"/>
                      <w:highlight w:val="none"/>
                    </w:rPr>
                  </w:pPr>
                </w:p>
              </w:tc>
              <w:tc>
                <w:tcPr>
                  <w:tcW w:w="364" w:type="pct"/>
                  <w:tcBorders>
                    <w:tl2br w:val="nil"/>
                    <w:tr2bl w:val="nil"/>
                  </w:tcBorders>
                  <w:noWrap w:val="0"/>
                  <w:vAlign w:val="center"/>
                </w:tcPr>
                <w:p w14:paraId="527DA29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421" w:type="pct"/>
                  <w:tcBorders>
                    <w:tl2br w:val="nil"/>
                    <w:tr2bl w:val="nil"/>
                  </w:tcBorders>
                  <w:noWrap w:val="0"/>
                  <w:vAlign w:val="center"/>
                </w:tcPr>
                <w:p w14:paraId="55875AE0">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0.274</w:t>
                  </w:r>
                </w:p>
              </w:tc>
              <w:tc>
                <w:tcPr>
                  <w:tcW w:w="488" w:type="pct"/>
                  <w:tcBorders>
                    <w:tl2br w:val="nil"/>
                    <w:tr2bl w:val="nil"/>
                  </w:tcBorders>
                  <w:noWrap w:val="0"/>
                  <w:vAlign w:val="center"/>
                </w:tcPr>
                <w:p w14:paraId="618E070E">
                  <w:pPr>
                    <w:adjustRightInd w:val="0"/>
                    <w:snapToGrid w:val="0"/>
                    <w:jc w:val="center"/>
                    <w:rPr>
                      <w:rFonts w:hint="default" w:eastAsia="宋体"/>
                      <w:color w:val="auto"/>
                      <w:szCs w:val="21"/>
                      <w:highlight w:val="none"/>
                      <w:lang w:val="en-US" w:eastAsia="zh-CN"/>
                    </w:rPr>
                  </w:pPr>
                  <w:r>
                    <w:rPr>
                      <w:rFonts w:hint="eastAsia"/>
                      <w:color w:val="auto"/>
                      <w:sz w:val="21"/>
                      <w:szCs w:val="21"/>
                      <w:highlight w:val="none"/>
                      <w:lang w:val="en-US" w:eastAsia="zh-CN"/>
                    </w:rPr>
                    <w:t>15</w:t>
                  </w:r>
                </w:p>
              </w:tc>
              <w:tc>
                <w:tcPr>
                  <w:tcW w:w="606" w:type="pct"/>
                  <w:vMerge w:val="continue"/>
                  <w:tcBorders>
                    <w:tl2br w:val="nil"/>
                    <w:tr2bl w:val="nil"/>
                  </w:tcBorders>
                  <w:noWrap w:val="0"/>
                  <w:vAlign w:val="center"/>
                </w:tcPr>
                <w:p w14:paraId="5C1F857F">
                  <w:pPr>
                    <w:adjustRightInd w:val="0"/>
                    <w:snapToGrid w:val="0"/>
                    <w:jc w:val="center"/>
                    <w:rPr>
                      <w:color w:val="auto"/>
                      <w:szCs w:val="21"/>
                      <w:highlight w:val="none"/>
                    </w:rPr>
                  </w:pPr>
                </w:p>
              </w:tc>
            </w:tr>
            <w:bookmarkEnd w:id="23"/>
          </w:tbl>
          <w:p w14:paraId="2D6E4270">
            <w:pPr>
              <w:adjustRightInd w:val="0"/>
              <w:snapToGrid w:val="0"/>
              <w:spacing w:line="360" w:lineRule="auto"/>
              <w:ind w:firstLine="482" w:firstLineChars="200"/>
              <w:jc w:val="left"/>
              <w:rPr>
                <w:b/>
                <w:bCs/>
                <w:color w:val="auto"/>
                <w:sz w:val="24"/>
                <w:highlight w:val="none"/>
              </w:rPr>
            </w:pPr>
            <w:r>
              <w:rPr>
                <w:rFonts w:hint="eastAsia"/>
                <w:b/>
                <w:bCs/>
                <w:color w:val="auto"/>
                <w:sz w:val="24"/>
                <w:highlight w:val="none"/>
              </w:rPr>
              <w:t>2、</w:t>
            </w:r>
            <w:r>
              <w:rPr>
                <w:b/>
                <w:bCs/>
                <w:color w:val="auto"/>
                <w:sz w:val="24"/>
                <w:highlight w:val="none"/>
              </w:rPr>
              <w:t>废水污染防治措施可行性分析</w:t>
            </w:r>
          </w:p>
          <w:p w14:paraId="2CA12937">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工艺可行性分析</w:t>
            </w:r>
          </w:p>
          <w:p w14:paraId="6C81987A">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ascii="Times New Roman" w:hAnsi="Times New Roman" w:cs="Times New Roman"/>
                <w:color w:val="auto"/>
                <w:sz w:val="24"/>
                <w:szCs w:val="24"/>
                <w:highlight w:val="none"/>
                <w:lang w:eastAsia="zh-CN"/>
              </w:rPr>
              <w:t>本项目设计处理规模</w:t>
            </w:r>
            <w:r>
              <w:rPr>
                <w:rFonts w:hint="eastAsia"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highlight w:val="none"/>
              </w:rPr>
              <w:t>处理工艺</w:t>
            </w:r>
            <w:r>
              <w:rPr>
                <w:rFonts w:hint="default" w:ascii="Times New Roman" w:hAnsi="Times New Roman" w:cs="Times New Roman"/>
                <w:color w:val="auto"/>
                <w:sz w:val="24"/>
                <w:highlight w:val="none"/>
                <w:lang w:val="en-US" w:eastAsia="zh-CN"/>
              </w:rPr>
              <w:t>“预处理+两级DTRO+低温真空蒸发+固化”</w:t>
            </w:r>
            <w:r>
              <w:rPr>
                <w:rFonts w:hint="default" w:ascii="Times New Roman" w:hAnsi="Times New Roman" w:cs="Times New Roman"/>
                <w:color w:val="auto"/>
                <w:sz w:val="24"/>
                <w:highlight w:val="none"/>
              </w:rPr>
              <w:t xml:space="preserve">。根据《排污许可证申请与核发技术规范 </w:t>
            </w:r>
            <w:r>
              <w:rPr>
                <w:rFonts w:hint="eastAsia" w:cs="Times New Roman"/>
                <w:color w:val="auto"/>
                <w:sz w:val="24"/>
                <w:highlight w:val="none"/>
                <w:lang w:val="en-US" w:eastAsia="zh-CN"/>
              </w:rPr>
              <w:t>环境卫生管理业</w:t>
            </w:r>
            <w:r>
              <w:rPr>
                <w:rFonts w:hint="default" w:ascii="Times New Roman" w:hAnsi="Times New Roman" w:cs="Times New Roman"/>
                <w:color w:val="auto"/>
                <w:sz w:val="24"/>
                <w:highlight w:val="none"/>
              </w:rPr>
              <w:t>》（HJ</w:t>
            </w:r>
            <w:r>
              <w:rPr>
                <w:rFonts w:hint="eastAsia" w:cs="Times New Roman"/>
                <w:color w:val="auto"/>
                <w:sz w:val="24"/>
                <w:highlight w:val="none"/>
                <w:lang w:val="en-US" w:eastAsia="zh-CN"/>
              </w:rPr>
              <w:t>1106</w:t>
            </w:r>
            <w:r>
              <w:rPr>
                <w:rFonts w:hint="default" w:ascii="Times New Roman" w:hAnsi="Times New Roman" w:cs="Times New Roman"/>
                <w:color w:val="auto"/>
                <w:sz w:val="24"/>
                <w:highlight w:val="none"/>
                <w:lang w:val="en-US" w:eastAsia="zh-CN"/>
              </w:rPr>
              <w:t>-20</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附录A中表A.2</w:t>
            </w:r>
            <w:r>
              <w:rPr>
                <w:rFonts w:hint="default" w:ascii="Times New Roman" w:hAnsi="Times New Roman" w:cs="Times New Roman"/>
                <w:color w:val="auto"/>
                <w:sz w:val="24"/>
                <w:highlight w:val="none"/>
              </w:rPr>
              <w:t>，项目废水治理可行技术见下表</w:t>
            </w:r>
            <w:r>
              <w:rPr>
                <w:rFonts w:hint="default" w:ascii="Times New Roman" w:hAnsi="Times New Roman" w:cs="Times New Roman"/>
                <w:color w:val="auto"/>
                <w:sz w:val="24"/>
                <w:highlight w:val="none"/>
                <w:lang w:eastAsia="zh-CN"/>
              </w:rPr>
              <w:t>。</w:t>
            </w:r>
          </w:p>
          <w:p w14:paraId="59E89D5F">
            <w:pPr>
              <w:spacing w:line="360" w:lineRule="auto"/>
              <w:jc w:val="center"/>
              <w:rPr>
                <w:b/>
                <w:bCs/>
                <w:color w:val="auto"/>
                <w:sz w:val="24"/>
                <w:szCs w:val="24"/>
                <w:highlight w:val="none"/>
              </w:rPr>
            </w:pPr>
            <w:r>
              <w:rPr>
                <w:rFonts w:hint="eastAsia"/>
                <w:b/>
                <w:bCs/>
                <w:color w:val="auto"/>
                <w:sz w:val="24"/>
                <w:szCs w:val="24"/>
                <w:highlight w:val="none"/>
              </w:rPr>
              <w:t>表4</w:t>
            </w:r>
            <w:r>
              <w:rPr>
                <w:b/>
                <w:bCs/>
                <w:color w:val="auto"/>
                <w:sz w:val="24"/>
                <w:szCs w:val="24"/>
                <w:highlight w:val="none"/>
              </w:rPr>
              <w:t>-</w:t>
            </w:r>
            <w:r>
              <w:rPr>
                <w:rFonts w:hint="eastAsia"/>
                <w:b/>
                <w:bCs/>
                <w:color w:val="auto"/>
                <w:sz w:val="24"/>
                <w:szCs w:val="24"/>
                <w:highlight w:val="none"/>
                <w:lang w:val="en-US" w:eastAsia="zh-CN"/>
              </w:rPr>
              <w:t xml:space="preserve">15  </w:t>
            </w:r>
            <w:r>
              <w:rPr>
                <w:b/>
                <w:bCs/>
                <w:color w:val="auto"/>
                <w:sz w:val="24"/>
                <w:szCs w:val="24"/>
                <w:highlight w:val="none"/>
              </w:rPr>
              <w:t xml:space="preserve"> </w:t>
            </w:r>
            <w:r>
              <w:rPr>
                <w:rFonts w:hint="eastAsia"/>
                <w:b/>
                <w:bCs/>
                <w:color w:val="auto"/>
                <w:sz w:val="24"/>
                <w:szCs w:val="24"/>
                <w:highlight w:val="none"/>
              </w:rPr>
              <w:t>废水</w:t>
            </w:r>
            <w:r>
              <w:rPr>
                <w:b/>
                <w:bCs/>
                <w:color w:val="auto"/>
                <w:sz w:val="24"/>
                <w:szCs w:val="24"/>
                <w:highlight w:val="none"/>
              </w:rPr>
              <w:t>污染防治可行技术分析一览表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3"/>
              <w:gridCol w:w="2669"/>
              <w:gridCol w:w="2716"/>
              <w:gridCol w:w="2716"/>
            </w:tblGrid>
            <w:tr w14:paraId="77FCF0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420" w:type="pct"/>
                  <w:tcBorders>
                    <w:tl2br w:val="nil"/>
                    <w:tr2bl w:val="nil"/>
                  </w:tcBorders>
                  <w:noWrap w:val="0"/>
                  <w:vAlign w:val="center"/>
                </w:tcPr>
                <w:p w14:paraId="233F0692">
                  <w:pPr>
                    <w:jc w:val="center"/>
                    <w:rPr>
                      <w:color w:val="auto"/>
                      <w:szCs w:val="21"/>
                      <w:highlight w:val="none"/>
                    </w:rPr>
                  </w:pPr>
                  <w:r>
                    <w:rPr>
                      <w:rFonts w:hint="eastAsia"/>
                      <w:color w:val="auto"/>
                      <w:szCs w:val="21"/>
                      <w:highlight w:val="none"/>
                    </w:rPr>
                    <w:t>废水类别</w:t>
                  </w:r>
                </w:p>
              </w:tc>
              <w:tc>
                <w:tcPr>
                  <w:tcW w:w="3044" w:type="pct"/>
                  <w:gridSpan w:val="2"/>
                  <w:tcBorders>
                    <w:tl2br w:val="nil"/>
                    <w:tr2bl w:val="nil"/>
                  </w:tcBorders>
                  <w:noWrap w:val="0"/>
                  <w:vAlign w:val="center"/>
                </w:tcPr>
                <w:p w14:paraId="5CA1D8F0">
                  <w:pPr>
                    <w:jc w:val="center"/>
                    <w:rPr>
                      <w:rFonts w:hint="eastAsia"/>
                      <w:color w:val="auto"/>
                      <w:szCs w:val="21"/>
                      <w:highlight w:val="none"/>
                    </w:rPr>
                  </w:pPr>
                  <w:r>
                    <w:rPr>
                      <w:rFonts w:hint="eastAsia"/>
                      <w:color w:val="auto"/>
                      <w:szCs w:val="21"/>
                      <w:highlight w:val="none"/>
                      <w:lang w:val="en-US" w:eastAsia="zh-CN"/>
                    </w:rPr>
                    <w:t>可行技术参考</w:t>
                  </w:r>
                </w:p>
              </w:tc>
              <w:tc>
                <w:tcPr>
                  <w:tcW w:w="1535" w:type="pct"/>
                  <w:tcBorders>
                    <w:tl2br w:val="nil"/>
                    <w:tr2bl w:val="nil"/>
                  </w:tcBorders>
                  <w:noWrap w:val="0"/>
                  <w:vAlign w:val="center"/>
                </w:tcPr>
                <w:p w14:paraId="6F07FB57">
                  <w:pPr>
                    <w:jc w:val="center"/>
                    <w:rPr>
                      <w:color w:val="auto"/>
                      <w:szCs w:val="21"/>
                      <w:highlight w:val="none"/>
                    </w:rPr>
                  </w:pPr>
                  <w:r>
                    <w:rPr>
                      <w:rFonts w:hint="eastAsia"/>
                      <w:color w:val="auto"/>
                      <w:szCs w:val="21"/>
                      <w:highlight w:val="none"/>
                    </w:rPr>
                    <w:t>本项目</w:t>
                  </w:r>
                </w:p>
              </w:tc>
            </w:tr>
            <w:tr w14:paraId="5EC9E7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5" w:hRule="atLeast"/>
              </w:trPr>
              <w:tc>
                <w:tcPr>
                  <w:tcW w:w="420" w:type="pct"/>
                  <w:tcBorders>
                    <w:tl2br w:val="nil"/>
                    <w:tr2bl w:val="nil"/>
                  </w:tcBorders>
                  <w:noWrap w:val="0"/>
                  <w:vAlign w:val="center"/>
                </w:tcPr>
                <w:p w14:paraId="225B3FDC">
                  <w:pPr>
                    <w:jc w:val="center"/>
                    <w:rPr>
                      <w:rFonts w:hint="eastAsia" w:eastAsia="宋体"/>
                      <w:color w:val="auto"/>
                      <w:szCs w:val="21"/>
                      <w:highlight w:val="none"/>
                      <w:lang w:eastAsia="zh-CN"/>
                    </w:rPr>
                  </w:pPr>
                  <w:r>
                    <w:rPr>
                      <w:rFonts w:hint="eastAsia"/>
                      <w:color w:val="auto"/>
                      <w:szCs w:val="21"/>
                      <w:highlight w:val="none"/>
                      <w:lang w:val="en-US" w:eastAsia="zh-CN"/>
                    </w:rPr>
                    <w:t>渗滤液</w:t>
                  </w:r>
                </w:p>
              </w:tc>
              <w:tc>
                <w:tcPr>
                  <w:tcW w:w="1508" w:type="pct"/>
                  <w:tcBorders>
                    <w:tl2br w:val="nil"/>
                    <w:tr2bl w:val="nil"/>
                  </w:tcBorders>
                  <w:noWrap w:val="0"/>
                  <w:vAlign w:val="center"/>
                </w:tcPr>
                <w:p w14:paraId="216008C0">
                  <w:pPr>
                    <w:pStyle w:val="17"/>
                    <w:ind w:left="0" w:leftChars="0" w:firstLine="0" w:firstLineChars="0"/>
                    <w:rPr>
                      <w:rFonts w:hint="default"/>
                      <w:color w:val="auto"/>
                      <w:highlight w:val="none"/>
                      <w:lang w:val="en-US" w:eastAsia="zh-CN"/>
                    </w:rPr>
                  </w:pPr>
                  <w:r>
                    <w:rPr>
                      <w:rFonts w:hint="default"/>
                      <w:color w:val="auto"/>
                      <w:highlight w:val="none"/>
                      <w:lang w:val="en-US" w:eastAsia="zh-CN"/>
                    </w:rPr>
                    <w:t xml:space="preserve">预处理+生物处理+深度处理；预处理+深度处理； </w:t>
                  </w:r>
                </w:p>
                <w:p w14:paraId="39ADB34E">
                  <w:pPr>
                    <w:pStyle w:val="17"/>
                    <w:ind w:left="0" w:leftChars="0" w:firstLine="0" w:firstLineChars="0"/>
                    <w:rPr>
                      <w:rFonts w:hint="default"/>
                      <w:color w:val="auto"/>
                      <w:highlight w:val="none"/>
                      <w:lang w:val="en-US" w:eastAsia="zh-CN"/>
                    </w:rPr>
                  </w:pPr>
                  <w:r>
                    <w:rPr>
                      <w:rFonts w:hint="default"/>
                      <w:color w:val="auto"/>
                      <w:highlight w:val="none"/>
                      <w:lang w:val="en-US" w:eastAsia="zh-CN"/>
                    </w:rPr>
                    <w:t>生物处理+深度处</w:t>
                  </w:r>
                  <w:r>
                    <w:rPr>
                      <w:rFonts w:hint="eastAsia"/>
                      <w:color w:val="auto"/>
                      <w:highlight w:val="none"/>
                      <w:lang w:val="en-US" w:eastAsia="zh-CN"/>
                    </w:rPr>
                    <w:t>理</w:t>
                  </w:r>
                </w:p>
              </w:tc>
              <w:tc>
                <w:tcPr>
                  <w:tcW w:w="1535" w:type="pct"/>
                  <w:tcBorders>
                    <w:tl2br w:val="nil"/>
                    <w:tr2bl w:val="nil"/>
                  </w:tcBorders>
                  <w:noWrap w:val="0"/>
                  <w:vAlign w:val="center"/>
                </w:tcPr>
                <w:p w14:paraId="15A37E33">
                  <w:pPr>
                    <w:pStyle w:val="7"/>
                    <w:rPr>
                      <w:color w:val="auto"/>
                      <w:highlight w:val="none"/>
                    </w:rPr>
                  </w:pPr>
                  <w:r>
                    <w:rPr>
                      <w:rFonts w:hint="eastAsia"/>
                      <w:b/>
                      <w:bCs/>
                      <w:color w:val="auto"/>
                      <w:highlight w:val="none"/>
                    </w:rPr>
                    <w:t>预处理：</w:t>
                  </w:r>
                  <w:r>
                    <w:rPr>
                      <w:rFonts w:hint="eastAsia"/>
                      <w:color w:val="auto"/>
                      <w:highlight w:val="none"/>
                    </w:rPr>
                    <w:t>水解酸化、混凝沉淀、砂滤等</w:t>
                  </w:r>
                </w:p>
                <w:p w14:paraId="3ABC31DD">
                  <w:pPr>
                    <w:pStyle w:val="7"/>
                    <w:rPr>
                      <w:color w:val="auto"/>
                      <w:highlight w:val="none"/>
                    </w:rPr>
                  </w:pPr>
                  <w:r>
                    <w:rPr>
                      <w:rFonts w:hint="eastAsia"/>
                      <w:b/>
                      <w:bCs/>
                      <w:color w:val="auto"/>
                      <w:highlight w:val="none"/>
                    </w:rPr>
                    <w:t>生物处理：</w:t>
                  </w:r>
                  <w:r>
                    <w:rPr>
                      <w:rFonts w:hint="eastAsia"/>
                      <w:color w:val="auto"/>
                      <w:highlight w:val="none"/>
                    </w:rPr>
                    <w:t>氧化沟、纯氧曝气反应器、膜生物反应器、序批式生物反应器、生物滤池、接触氧化法、生物转盘法、上流式厌氧污泥床法等</w:t>
                  </w:r>
                </w:p>
                <w:p w14:paraId="731835DE">
                  <w:pPr>
                    <w:jc w:val="center"/>
                    <w:rPr>
                      <w:rFonts w:hint="default"/>
                      <w:color w:val="auto"/>
                      <w:szCs w:val="21"/>
                      <w:highlight w:val="none"/>
                      <w:lang w:val="en-US" w:eastAsia="zh-CN"/>
                    </w:rPr>
                  </w:pPr>
                  <w:r>
                    <w:rPr>
                      <w:rFonts w:hint="eastAsia"/>
                      <w:b/>
                      <w:bCs/>
                      <w:color w:val="auto"/>
                      <w:highlight w:val="none"/>
                    </w:rPr>
                    <w:t>深度处理：</w:t>
                  </w:r>
                  <w:r>
                    <w:rPr>
                      <w:rFonts w:hint="eastAsia"/>
                      <w:color w:val="auto"/>
                      <w:highlight w:val="none"/>
                    </w:rPr>
                    <w:t>纳滤、反渗透等膜分离法，吸附过滤，混凝沉淀，高级化学氧化等消毒：加氯法、紫外线消毒法</w:t>
                  </w:r>
                </w:p>
              </w:tc>
              <w:tc>
                <w:tcPr>
                  <w:tcW w:w="1535" w:type="pct"/>
                  <w:tcBorders>
                    <w:tl2br w:val="nil"/>
                    <w:tr2bl w:val="nil"/>
                  </w:tcBorders>
                  <w:noWrap w:val="0"/>
                  <w:vAlign w:val="center"/>
                </w:tcPr>
                <w:p w14:paraId="4A5A6CBC">
                  <w:pPr>
                    <w:jc w:val="center"/>
                    <w:rPr>
                      <w:color w:val="auto"/>
                      <w:szCs w:val="21"/>
                      <w:highlight w:val="none"/>
                    </w:rPr>
                  </w:pPr>
                  <w:r>
                    <w:rPr>
                      <w:rFonts w:hint="default"/>
                      <w:color w:val="auto"/>
                      <w:szCs w:val="21"/>
                      <w:highlight w:val="none"/>
                      <w:lang w:val="en-US" w:eastAsia="zh-CN"/>
                    </w:rPr>
                    <w:t>预处理</w:t>
                  </w:r>
                  <w:r>
                    <w:rPr>
                      <w:rFonts w:hint="eastAsia"/>
                      <w:color w:val="auto"/>
                      <w:szCs w:val="21"/>
                      <w:highlight w:val="none"/>
                      <w:lang w:val="en-US" w:eastAsia="zh-CN"/>
                    </w:rPr>
                    <w:t>（砂滤）</w:t>
                  </w:r>
                  <w:r>
                    <w:rPr>
                      <w:rFonts w:hint="default"/>
                      <w:color w:val="auto"/>
                      <w:szCs w:val="21"/>
                      <w:highlight w:val="none"/>
                      <w:lang w:val="en-US" w:eastAsia="zh-CN"/>
                    </w:rPr>
                    <w:t>+两级DTRO+低温真空蒸发+固化</w:t>
                  </w:r>
                </w:p>
              </w:tc>
            </w:tr>
          </w:tbl>
          <w:p w14:paraId="0E560924">
            <w:pPr>
              <w:spacing w:line="360" w:lineRule="auto"/>
              <w:ind w:firstLine="480" w:firstLineChars="200"/>
              <w:rPr>
                <w:rFonts w:hint="eastAsia" w:ascii="Times New Roman" w:hAnsi="Times New Roman"/>
                <w:b/>
                <w:color w:val="auto"/>
                <w:sz w:val="24"/>
                <w:highlight w:val="none"/>
              </w:rPr>
            </w:pPr>
            <w:r>
              <w:rPr>
                <w:rFonts w:hint="eastAsia"/>
                <w:bCs/>
                <w:color w:val="auto"/>
                <w:sz w:val="24"/>
                <w:highlight w:val="none"/>
              </w:rPr>
              <w:t>通过与</w:t>
            </w:r>
            <w:r>
              <w:rPr>
                <w:rFonts w:hint="eastAsia"/>
                <w:color w:val="auto"/>
                <w:sz w:val="24"/>
                <w:highlight w:val="none"/>
              </w:rPr>
              <w:t xml:space="preserve">《排污许可证申请与核发技术规范 </w:t>
            </w:r>
            <w:r>
              <w:rPr>
                <w:rFonts w:hint="eastAsia"/>
                <w:color w:val="auto"/>
                <w:sz w:val="24"/>
                <w:highlight w:val="none"/>
                <w:lang w:val="en-US" w:eastAsia="zh-CN"/>
              </w:rPr>
              <w:t>环境卫生管理业</w:t>
            </w:r>
            <w:r>
              <w:rPr>
                <w:rFonts w:hint="eastAsia"/>
                <w:color w:val="auto"/>
                <w:sz w:val="24"/>
                <w:highlight w:val="none"/>
              </w:rPr>
              <w:t>》</w:t>
            </w:r>
            <w:r>
              <w:rPr>
                <w:rFonts w:hint="default" w:ascii="Times New Roman" w:hAnsi="Times New Roman" w:cs="Times New Roman"/>
                <w:color w:val="auto"/>
                <w:sz w:val="24"/>
                <w:highlight w:val="none"/>
              </w:rPr>
              <w:t>（HJ</w:t>
            </w:r>
            <w:r>
              <w:rPr>
                <w:rFonts w:hint="eastAsia" w:cs="Times New Roman"/>
                <w:color w:val="auto"/>
                <w:sz w:val="24"/>
                <w:highlight w:val="none"/>
                <w:lang w:val="en-US" w:eastAsia="zh-CN"/>
              </w:rPr>
              <w:t>1106</w:t>
            </w:r>
            <w:r>
              <w:rPr>
                <w:rFonts w:hint="default" w:ascii="Times New Roman" w:hAnsi="Times New Roman" w:cs="Times New Roman"/>
                <w:color w:val="auto"/>
                <w:sz w:val="24"/>
                <w:highlight w:val="none"/>
                <w:lang w:val="en-US" w:eastAsia="zh-CN"/>
              </w:rPr>
              <w:t>-20</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附录A中表A.2废水</w:t>
            </w:r>
            <w:r>
              <w:rPr>
                <w:rFonts w:hint="eastAsia"/>
                <w:color w:val="auto"/>
                <w:sz w:val="24"/>
                <w:highlight w:val="none"/>
                <w:lang w:val="en-US" w:eastAsia="zh-CN"/>
              </w:rPr>
              <w:t>处理可行技术</w:t>
            </w:r>
            <w:r>
              <w:rPr>
                <w:color w:val="auto"/>
                <w:sz w:val="24"/>
                <w:highlight w:val="none"/>
              </w:rPr>
              <w:t>对照，</w:t>
            </w:r>
            <w:r>
              <w:rPr>
                <w:rFonts w:hint="eastAsia"/>
                <w:color w:val="auto"/>
                <w:sz w:val="24"/>
                <w:highlight w:val="none"/>
              </w:rPr>
              <w:t>本项目</w:t>
            </w:r>
            <w:r>
              <w:rPr>
                <w:rFonts w:hint="eastAsia"/>
                <w:color w:val="auto"/>
                <w:sz w:val="24"/>
                <w:highlight w:val="none"/>
                <w:lang w:val="en-US" w:eastAsia="zh-CN"/>
              </w:rPr>
              <w:t>渗滤液处理站</w:t>
            </w:r>
            <w:r>
              <w:rPr>
                <w:rFonts w:hint="eastAsia"/>
                <w:color w:val="auto"/>
                <w:sz w:val="24"/>
                <w:highlight w:val="none"/>
              </w:rPr>
              <w:t>采用的工艺</w:t>
            </w:r>
            <w:r>
              <w:rPr>
                <w:rFonts w:hint="eastAsia"/>
                <w:color w:val="auto"/>
                <w:sz w:val="24"/>
                <w:highlight w:val="none"/>
                <w:lang w:eastAsia="zh-CN"/>
              </w:rPr>
              <w:t>属于可行技术</w:t>
            </w:r>
            <w:r>
              <w:rPr>
                <w:rFonts w:hint="eastAsia"/>
                <w:color w:val="auto"/>
                <w:sz w:val="24"/>
                <w:highlight w:val="none"/>
              </w:rPr>
              <w:t>。</w:t>
            </w:r>
          </w:p>
          <w:p w14:paraId="76ED7E10">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（2）污水达标可行性分析</w:t>
            </w:r>
          </w:p>
          <w:p w14:paraId="0469AA21">
            <w:pPr>
              <w:spacing w:line="360" w:lineRule="auto"/>
              <w:ind w:firstLine="482"/>
              <w:rPr>
                <w:color w:val="auto"/>
                <w:sz w:val="24"/>
                <w:highlight w:val="none"/>
              </w:rPr>
            </w:pPr>
            <w:r>
              <w:rPr>
                <w:rFonts w:hint="eastAsia"/>
                <w:color w:val="auto"/>
                <w:sz w:val="24"/>
                <w:highlight w:val="none"/>
              </w:rPr>
              <w:t>本项目渗滤液全量化处理站采用的工艺与现状两级DTRO设备处理工艺一致，本次新增了对浓缩液的蒸发、固化处理。现有项目两级DTRO设备出水水质稳定，能达到设计出水要求。类比现有项目出水现有渗滤液处理站出口水质监测结果，本项目全量化处理站也能达到出水水质要求。</w:t>
            </w:r>
          </w:p>
          <w:p w14:paraId="4F5D9E70">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cs="Times New Roman"/>
                <w:b w:val="0"/>
                <w:bCs w:val="0"/>
                <w:color w:val="auto"/>
                <w:sz w:val="24"/>
                <w:highlight w:val="none"/>
                <w:lang w:val="en-US" w:eastAsia="zh-CN"/>
              </w:rPr>
            </w:pPr>
            <w:r>
              <w:rPr>
                <w:rFonts w:hint="eastAsia"/>
                <w:color w:val="auto"/>
                <w:sz w:val="24"/>
                <w:highlight w:val="none"/>
              </w:rPr>
              <w:t>综上，本项目渗滤液全量化处理站出水水质浓度能够达到《城镇污水处理厂污染物排放标准》（GB18918-2002）表1 中一级A标准及《城市污水再生利用 城市杂用水水质》（GB/T18920-2020）中城市绿化水质标准限值要求。</w:t>
            </w:r>
          </w:p>
          <w:p w14:paraId="6894A393">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（3）尾水不外排可行性分析</w:t>
            </w:r>
          </w:p>
          <w:p w14:paraId="3A31CA92">
            <w:pPr>
              <w:keepNext w:val="0"/>
              <w:keepLines w:val="0"/>
              <w:suppressLineNumbers w:val="0"/>
              <w:spacing w:before="0" w:beforeAutospacing="0" w:after="0" w:afterAutospacing="0" w:line="360" w:lineRule="auto"/>
              <w:ind w:left="0" w:right="0" w:firstLine="482"/>
              <w:rPr>
                <w:rFonts w:hint="eastAsia" w:eastAsia="宋体"/>
                <w:b w:val="0"/>
                <w:bCs w:val="0"/>
                <w:color w:val="auto"/>
                <w:sz w:val="24"/>
                <w:highlight w:val="none"/>
                <w:lang w:val="en-US" w:eastAsia="zh-CN"/>
              </w:rPr>
            </w:pPr>
            <w:r>
              <w:rPr>
                <w:rFonts w:hint="eastAsia"/>
                <w:color w:val="auto"/>
                <w:sz w:val="24"/>
                <w:highlight w:val="none"/>
              </w:rPr>
              <w:t>根据项目水平衡分析，</w:t>
            </w:r>
            <w:r>
              <w:rPr>
                <w:rFonts w:hint="eastAsia"/>
                <w:color w:val="auto"/>
                <w:kern w:val="24"/>
                <w:sz w:val="24"/>
                <w:highlight w:val="none"/>
              </w:rPr>
              <w:t>经</w:t>
            </w:r>
            <w:r>
              <w:rPr>
                <w:rFonts w:hint="eastAsia"/>
                <w:color w:val="auto"/>
                <w:sz w:val="24"/>
                <w:highlight w:val="none"/>
              </w:rPr>
              <w:t>全量化处理站处理后排入产水收集池的水量为4</w:t>
            </w:r>
            <w:r>
              <w:rPr>
                <w:color w:val="auto"/>
                <w:sz w:val="24"/>
                <w:highlight w:val="none"/>
              </w:rPr>
              <w:t>5m</w:t>
            </w:r>
            <w:r>
              <w:rPr>
                <w:color w:val="auto"/>
                <w:sz w:val="24"/>
                <w:highlight w:val="none"/>
                <w:vertAlign w:val="superscript"/>
              </w:rPr>
              <w:t>3</w:t>
            </w:r>
            <w:r>
              <w:rPr>
                <w:color w:val="auto"/>
                <w:sz w:val="24"/>
                <w:highlight w:val="none"/>
              </w:rPr>
              <w:t>/d</w:t>
            </w:r>
            <w:r>
              <w:rPr>
                <w:rFonts w:hint="eastAsia"/>
                <w:color w:val="auto"/>
                <w:sz w:val="24"/>
                <w:highlight w:val="none"/>
              </w:rPr>
              <w:t>。项目</w:t>
            </w:r>
            <w:r>
              <w:rPr>
                <w:color w:val="auto"/>
                <w:kern w:val="24"/>
                <w:sz w:val="24"/>
                <w:highlight w:val="none"/>
              </w:rPr>
              <w:t>绿化</w:t>
            </w:r>
            <w:r>
              <w:rPr>
                <w:rFonts w:hint="eastAsia"/>
                <w:color w:val="auto"/>
                <w:kern w:val="24"/>
                <w:sz w:val="24"/>
                <w:highlight w:val="none"/>
              </w:rPr>
              <w:t>总</w:t>
            </w:r>
            <w:r>
              <w:rPr>
                <w:color w:val="auto"/>
                <w:kern w:val="24"/>
                <w:sz w:val="24"/>
                <w:highlight w:val="none"/>
              </w:rPr>
              <w:t>用水量</w:t>
            </w:r>
            <w:r>
              <w:rPr>
                <w:rFonts w:hint="eastAsia"/>
                <w:color w:val="auto"/>
                <w:kern w:val="24"/>
                <w:sz w:val="24"/>
                <w:highlight w:val="none"/>
              </w:rPr>
              <w:t>为54.09</w:t>
            </w:r>
            <w:r>
              <w:rPr>
                <w:color w:val="auto"/>
                <w:kern w:val="24"/>
                <w:sz w:val="24"/>
                <w:highlight w:val="none"/>
              </w:rPr>
              <w:t>m³/d</w:t>
            </w:r>
            <w:r>
              <w:rPr>
                <w:rFonts w:hint="eastAsia"/>
                <w:color w:val="auto"/>
                <w:kern w:val="24"/>
                <w:sz w:val="24"/>
                <w:highlight w:val="none"/>
              </w:rPr>
              <w:t>。</w:t>
            </w:r>
            <w:r>
              <w:rPr>
                <w:rFonts w:hint="eastAsia"/>
                <w:color w:val="auto"/>
                <w:sz w:val="24"/>
                <w:highlight w:val="none"/>
              </w:rPr>
              <w:t>因此，</w:t>
            </w:r>
            <w:r>
              <w:rPr>
                <w:rFonts w:hint="eastAsia"/>
                <w:color w:val="auto"/>
                <w:kern w:val="24"/>
                <w:sz w:val="24"/>
                <w:highlight w:val="none"/>
              </w:rPr>
              <w:t>晴天绿化用水量能够完全消纳本项目产生的尾水。</w:t>
            </w:r>
            <w:r>
              <w:rPr>
                <w:rFonts w:hint="eastAsia"/>
                <w:color w:val="auto"/>
                <w:kern w:val="0"/>
                <w:sz w:val="24"/>
                <w:highlight w:val="none"/>
              </w:rPr>
              <w:t>考虑雨季绿化不浇灌的情况下，</w:t>
            </w:r>
            <w:r>
              <w:rPr>
                <w:rFonts w:hint="eastAsia"/>
                <w:color w:val="auto"/>
                <w:kern w:val="24"/>
                <w:sz w:val="24"/>
                <w:highlight w:val="none"/>
              </w:rPr>
              <w:t>雨天尾水暂存于产水收集池，产水收集池容积400m</w:t>
            </w:r>
            <w:r>
              <w:rPr>
                <w:rFonts w:hint="eastAsia"/>
                <w:color w:val="auto"/>
                <w:kern w:val="24"/>
                <w:sz w:val="24"/>
                <w:highlight w:val="none"/>
                <w:vertAlign w:val="superscript"/>
              </w:rPr>
              <w:t>3</w:t>
            </w:r>
            <w:r>
              <w:rPr>
                <w:rFonts w:hint="eastAsia"/>
                <w:color w:val="auto"/>
                <w:kern w:val="24"/>
                <w:sz w:val="24"/>
                <w:highlight w:val="none"/>
              </w:rPr>
              <w:t>，能够容纳至少8天的尾水，</w:t>
            </w:r>
            <w:r>
              <w:rPr>
                <w:rFonts w:hint="eastAsia"/>
                <w:color w:val="auto"/>
                <w:kern w:val="0"/>
                <w:sz w:val="24"/>
                <w:highlight w:val="none"/>
              </w:rPr>
              <w:t>可满足雨天的存水要求。因此，项目尾水不外排是可行的</w:t>
            </w:r>
            <w:r>
              <w:rPr>
                <w:rFonts w:hint="eastAsia"/>
                <w:color w:val="auto"/>
                <w:sz w:val="24"/>
                <w:highlight w:val="none"/>
              </w:rPr>
              <w:t>。</w:t>
            </w:r>
          </w:p>
          <w:p w14:paraId="067FA16A">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Times New Roman" w:hAnsi="Times New Roman" w:cs="Times New Roman"/>
                <w:b/>
                <w:bCs/>
                <w:color w:val="auto"/>
                <w:sz w:val="24"/>
                <w:highlight w:val="none"/>
              </w:rPr>
            </w:pPr>
            <w:r>
              <w:rPr>
                <w:rFonts w:hint="eastAsia" w:cs="Times New Roman"/>
                <w:b/>
                <w:bCs/>
                <w:color w:val="auto"/>
                <w:sz w:val="24"/>
                <w:highlight w:val="none"/>
                <w:lang w:val="en-US" w:eastAsia="zh-CN"/>
              </w:rPr>
              <w:t>3、</w:t>
            </w:r>
            <w:r>
              <w:rPr>
                <w:rFonts w:hint="eastAsia" w:ascii="Times New Roman" w:hAnsi="Times New Roman" w:cs="Times New Roman"/>
                <w:b/>
                <w:bCs/>
                <w:color w:val="auto"/>
                <w:sz w:val="24"/>
                <w:highlight w:val="none"/>
              </w:rPr>
              <w:t>地表水环境影响分析</w:t>
            </w:r>
          </w:p>
          <w:p w14:paraId="57829D60">
            <w:pPr>
              <w:adjustRightInd w:val="0"/>
              <w:snapToGrid w:val="0"/>
              <w:spacing w:line="360" w:lineRule="auto"/>
              <w:ind w:firstLine="480" w:firstLineChars="200"/>
              <w:jc w:val="left"/>
              <w:rPr>
                <w:color w:val="auto"/>
                <w:sz w:val="24"/>
                <w:szCs w:val="36"/>
                <w:highlight w:val="none"/>
              </w:rPr>
            </w:pPr>
            <w:r>
              <w:rPr>
                <w:rFonts w:hint="eastAsia"/>
                <w:bCs/>
                <w:color w:val="auto"/>
                <w:sz w:val="24"/>
                <w:highlight w:val="none"/>
              </w:rPr>
              <w:t>本项目主要</w:t>
            </w:r>
            <w:r>
              <w:rPr>
                <w:rFonts w:hint="eastAsia"/>
                <w:color w:val="auto"/>
                <w:sz w:val="24"/>
                <w:highlight w:val="none"/>
              </w:rPr>
              <w:t>对大山生活垃圾填埋场</w:t>
            </w:r>
            <w:r>
              <w:rPr>
                <w:color w:val="auto"/>
                <w:kern w:val="24"/>
                <w:sz w:val="24"/>
                <w:highlight w:val="none"/>
              </w:rPr>
              <w:t>一期封场区和应急填埋区及二期填埋区日常产生</w:t>
            </w:r>
            <w:r>
              <w:rPr>
                <w:rFonts w:hint="eastAsia"/>
                <w:color w:val="auto"/>
                <w:kern w:val="24"/>
                <w:sz w:val="24"/>
                <w:highlight w:val="none"/>
              </w:rPr>
              <w:t>的</w:t>
            </w:r>
            <w:r>
              <w:rPr>
                <w:color w:val="auto"/>
                <w:kern w:val="24"/>
                <w:sz w:val="24"/>
                <w:highlight w:val="none"/>
              </w:rPr>
              <w:t>渗滤液</w:t>
            </w:r>
            <w:r>
              <w:rPr>
                <w:rFonts w:hint="eastAsia"/>
                <w:color w:val="auto"/>
                <w:kern w:val="24"/>
                <w:sz w:val="24"/>
                <w:highlight w:val="none"/>
              </w:rPr>
              <w:t>进行处理。</w:t>
            </w:r>
            <w:r>
              <w:rPr>
                <w:rFonts w:hint="eastAsia"/>
                <w:color w:val="auto"/>
                <w:sz w:val="24"/>
                <w:highlight w:val="none"/>
              </w:rPr>
              <w:t>项目全量化处理站设计处理规模50</w:t>
            </w:r>
            <w:r>
              <w:rPr>
                <w:color w:val="auto"/>
                <w:sz w:val="24"/>
                <w:highlight w:val="none"/>
              </w:rPr>
              <w:t>m</w:t>
            </w:r>
            <w:r>
              <w:rPr>
                <w:color w:val="auto"/>
                <w:sz w:val="24"/>
                <w:highlight w:val="none"/>
                <w:vertAlign w:val="superscript"/>
              </w:rPr>
              <w:t>3</w:t>
            </w:r>
            <w:r>
              <w:rPr>
                <w:color w:val="auto"/>
                <w:sz w:val="24"/>
                <w:highlight w:val="none"/>
              </w:rPr>
              <w:t>/d，处理工艺“预处理+两级DTRO+低温真空蒸发+固化”</w:t>
            </w:r>
            <w:r>
              <w:rPr>
                <w:rFonts w:hint="eastAsia"/>
                <w:color w:val="auto"/>
                <w:sz w:val="24"/>
                <w:highlight w:val="none"/>
              </w:rPr>
              <w:t>，</w:t>
            </w:r>
            <w:r>
              <w:rPr>
                <w:rFonts w:hint="eastAsia"/>
                <w:color w:val="auto"/>
                <w:sz w:val="24"/>
                <w:szCs w:val="36"/>
                <w:highlight w:val="none"/>
              </w:rPr>
              <w:t>处理达到标后</w:t>
            </w:r>
            <w:r>
              <w:rPr>
                <w:rFonts w:hint="eastAsia"/>
                <w:color w:val="auto"/>
                <w:sz w:val="24"/>
                <w:szCs w:val="36"/>
                <w:highlight w:val="none"/>
                <w:lang w:val="en-US" w:eastAsia="zh-CN"/>
              </w:rPr>
              <w:t>回用于</w:t>
            </w:r>
            <w:r>
              <w:rPr>
                <w:rFonts w:hint="eastAsia"/>
                <w:color w:val="auto"/>
                <w:sz w:val="24"/>
                <w:szCs w:val="36"/>
                <w:highlight w:val="none"/>
              </w:rPr>
              <w:t>填埋场区绿化灌溉，不外排。</w:t>
            </w:r>
          </w:p>
          <w:p w14:paraId="266F240E">
            <w:pPr>
              <w:adjustRightInd w:val="0"/>
              <w:snapToGrid w:val="0"/>
              <w:spacing w:line="360" w:lineRule="auto"/>
              <w:ind w:firstLine="480" w:firstLineChars="200"/>
              <w:jc w:val="left"/>
              <w:rPr>
                <w:color w:val="auto"/>
                <w:highlight w:val="none"/>
              </w:rPr>
            </w:pPr>
            <w:r>
              <w:rPr>
                <w:rFonts w:hint="eastAsia"/>
                <w:color w:val="auto"/>
                <w:sz w:val="24"/>
                <w:highlight w:val="none"/>
              </w:rPr>
              <w:t>经分析评价，本项目全量化处理站</w:t>
            </w:r>
            <w:r>
              <w:rPr>
                <w:color w:val="auto"/>
                <w:sz w:val="24"/>
                <w:highlight w:val="none"/>
              </w:rPr>
              <w:t>处理工艺</w:t>
            </w:r>
            <w:r>
              <w:rPr>
                <w:rFonts w:hint="eastAsia"/>
                <w:color w:val="auto"/>
                <w:sz w:val="24"/>
                <w:highlight w:val="none"/>
              </w:rPr>
              <w:t>属于《排污许可证申请与核发技术规范 环境卫生管理业》</w:t>
            </w:r>
            <w:r>
              <w:rPr>
                <w:color w:val="auto"/>
                <w:sz w:val="24"/>
                <w:highlight w:val="none"/>
              </w:rPr>
              <w:t>（HJ</w:t>
            </w:r>
            <w:r>
              <w:rPr>
                <w:rFonts w:hint="eastAsia"/>
                <w:color w:val="auto"/>
                <w:sz w:val="24"/>
                <w:highlight w:val="none"/>
              </w:rPr>
              <w:t>1106</w:t>
            </w:r>
            <w:r>
              <w:rPr>
                <w:color w:val="auto"/>
                <w:sz w:val="24"/>
                <w:highlight w:val="none"/>
              </w:rPr>
              <w:t>-20</w:t>
            </w:r>
            <w:r>
              <w:rPr>
                <w:rFonts w:hint="eastAsia"/>
                <w:color w:val="auto"/>
                <w:sz w:val="24"/>
                <w:highlight w:val="none"/>
              </w:rPr>
              <w:t>20</w:t>
            </w:r>
            <w:r>
              <w:rPr>
                <w:color w:val="auto"/>
                <w:sz w:val="24"/>
                <w:highlight w:val="none"/>
              </w:rPr>
              <w:t>）</w:t>
            </w:r>
            <w:r>
              <w:rPr>
                <w:rFonts w:hint="eastAsia"/>
                <w:color w:val="auto"/>
                <w:sz w:val="24"/>
                <w:highlight w:val="none"/>
              </w:rPr>
              <w:t>中推荐可行技术，项目废水处理工艺可行。项目出水水质满足《城镇污水处理厂污染物排放标准》（GB18918-2002）表1 中一级A标准及《城市污水再生利用 城市杂用水水质》（GB/T18920-2020）中城市绿化水质标准限值要求，处理后尾水</w:t>
            </w:r>
            <w:r>
              <w:rPr>
                <w:rFonts w:hint="eastAsia"/>
                <w:color w:val="auto"/>
                <w:sz w:val="24"/>
                <w:szCs w:val="36"/>
                <w:highlight w:val="none"/>
              </w:rPr>
              <w:t>回用</w:t>
            </w:r>
            <w:r>
              <w:rPr>
                <w:rFonts w:hint="eastAsia"/>
                <w:color w:val="auto"/>
                <w:sz w:val="24"/>
                <w:szCs w:val="36"/>
                <w:highlight w:val="none"/>
                <w:lang w:val="en-US" w:eastAsia="zh-CN"/>
              </w:rPr>
              <w:t>于</w:t>
            </w:r>
            <w:r>
              <w:rPr>
                <w:rFonts w:hint="eastAsia"/>
                <w:color w:val="auto"/>
                <w:sz w:val="24"/>
                <w:szCs w:val="36"/>
                <w:highlight w:val="none"/>
              </w:rPr>
              <w:t>填埋场区绿化灌溉，项目废水回用不外排可行。</w:t>
            </w:r>
          </w:p>
          <w:p w14:paraId="42D7E3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highlight w:val="none"/>
                <w:lang w:val="en-US"/>
              </w:rPr>
            </w:pPr>
            <w:r>
              <w:rPr>
                <w:rFonts w:hint="eastAsia"/>
                <w:color w:val="auto"/>
                <w:sz w:val="24"/>
                <w:highlight w:val="none"/>
              </w:rPr>
              <w:t>综上所述，本项目废水对地表水环境影响较小，</w:t>
            </w:r>
            <w:r>
              <w:rPr>
                <w:color w:val="auto"/>
                <w:sz w:val="24"/>
                <w:highlight w:val="none"/>
              </w:rPr>
              <w:t>地表水</w:t>
            </w:r>
            <w:r>
              <w:rPr>
                <w:rFonts w:hint="eastAsia"/>
                <w:color w:val="auto"/>
                <w:sz w:val="24"/>
                <w:highlight w:val="none"/>
              </w:rPr>
              <w:t>环境</w:t>
            </w:r>
            <w:r>
              <w:rPr>
                <w:color w:val="auto"/>
                <w:sz w:val="24"/>
                <w:highlight w:val="none"/>
              </w:rPr>
              <w:t>影响</w:t>
            </w:r>
            <w:r>
              <w:rPr>
                <w:rFonts w:hint="eastAsia"/>
                <w:color w:val="auto"/>
                <w:sz w:val="24"/>
                <w:highlight w:val="none"/>
              </w:rPr>
              <w:t>可接受</w:t>
            </w:r>
            <w:r>
              <w:rPr>
                <w:color w:val="auto"/>
                <w:sz w:val="24"/>
                <w:highlight w:val="none"/>
              </w:rPr>
              <w:t>。</w:t>
            </w:r>
          </w:p>
          <w:p w14:paraId="7492C109">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Ansi="宋体"/>
                <w:b/>
                <w:bCs/>
                <w:color w:val="auto"/>
                <w:sz w:val="24"/>
                <w:szCs w:val="24"/>
                <w:highlight w:val="none"/>
              </w:rPr>
              <w:t>处理</w:t>
            </w:r>
            <w:r>
              <w:rPr>
                <w:rFonts w:hint="eastAsia" w:hAnsi="宋体"/>
                <w:b/>
                <w:bCs/>
                <w:color w:val="auto"/>
                <w:sz w:val="24"/>
                <w:szCs w:val="24"/>
                <w:highlight w:val="none"/>
                <w:lang w:eastAsia="zh-CN"/>
              </w:rPr>
              <w:t>站</w:t>
            </w:r>
            <w:r>
              <w:rPr>
                <w:rFonts w:hAnsi="宋体"/>
                <w:b/>
                <w:bCs/>
                <w:color w:val="auto"/>
                <w:sz w:val="24"/>
                <w:szCs w:val="24"/>
                <w:highlight w:val="none"/>
              </w:rPr>
              <w:t>事故排放影响分析</w:t>
            </w:r>
          </w:p>
          <w:p w14:paraId="5C0214A7">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一般情况下项目</w:t>
            </w:r>
            <w:r>
              <w:rPr>
                <w:rFonts w:hint="eastAsia" w:cs="Times New Roman"/>
                <w:color w:val="auto"/>
                <w:sz w:val="24"/>
                <w:szCs w:val="24"/>
                <w:highlight w:val="none"/>
                <w:lang w:val="en-US" w:eastAsia="zh-CN"/>
              </w:rPr>
              <w:t>全量化</w:t>
            </w:r>
            <w:r>
              <w:rPr>
                <w:rFonts w:hint="default" w:ascii="Times New Roman" w:hAnsi="Times New Roman" w:cs="Times New Roman"/>
                <w:color w:val="auto"/>
                <w:sz w:val="24"/>
                <w:szCs w:val="24"/>
                <w:highlight w:val="none"/>
                <w:lang w:eastAsia="zh-CN"/>
              </w:rPr>
              <w:t>处理站发生事故的情况很少，若由于某些不可预知因素导致项目处理站发生事故排放，处理站出水水质难以达到</w:t>
            </w:r>
            <w:r>
              <w:rPr>
                <w:rFonts w:hint="default" w:ascii="Times New Roman" w:hAnsi="Times New Roman" w:cs="Times New Roman"/>
                <w:color w:val="auto"/>
                <w:sz w:val="24"/>
                <w:szCs w:val="24"/>
                <w:highlight w:val="none"/>
                <w:lang w:val="en-US" w:eastAsia="zh-CN"/>
              </w:rPr>
              <w:t>《城镇污水处理厂污染物排放标准》（GB18918-2002）表1 中一级A标准及《城市污水再生利用 城市杂用水水质》（GB/T18920-2020）中城市绿化水质标准限值要求，造成废水不能回用，超标排放的废水将对周边环境造成污染影响。</w:t>
            </w:r>
          </w:p>
          <w:p w14:paraId="67C85511">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根据建设单位提供的</w:t>
            </w:r>
            <w:r>
              <w:rPr>
                <w:rFonts w:hint="eastAsia" w:cs="Times New Roman"/>
                <w:color w:val="auto"/>
                <w:sz w:val="24"/>
                <w:szCs w:val="24"/>
                <w:highlight w:val="none"/>
                <w:lang w:val="en-US" w:eastAsia="zh-CN"/>
              </w:rPr>
              <w:t>可行性研究报告及</w:t>
            </w:r>
            <w:r>
              <w:rPr>
                <w:rFonts w:hint="default" w:ascii="Times New Roman" w:hAnsi="Times New Roman" w:cs="Times New Roman"/>
                <w:color w:val="auto"/>
                <w:sz w:val="24"/>
                <w:szCs w:val="24"/>
                <w:highlight w:val="none"/>
                <w:lang w:val="en-US" w:eastAsia="zh-CN"/>
              </w:rPr>
              <w:t>设计方案，</w:t>
            </w:r>
            <w:r>
              <w:rPr>
                <w:rFonts w:hint="default" w:ascii="Times New Roman" w:hAnsi="Times New Roman" w:cs="Times New Roman"/>
                <w:color w:val="auto"/>
                <w:sz w:val="24"/>
                <w:szCs w:val="24"/>
                <w:highlight w:val="none"/>
                <w:lang w:eastAsia="zh-CN"/>
              </w:rPr>
              <w:t>项目</w:t>
            </w:r>
            <w:r>
              <w:rPr>
                <w:rFonts w:hint="eastAsia" w:cs="Times New Roman"/>
                <w:color w:val="auto"/>
                <w:sz w:val="24"/>
                <w:szCs w:val="24"/>
                <w:highlight w:val="none"/>
                <w:lang w:val="en-US" w:eastAsia="zh-CN"/>
              </w:rPr>
              <w:t>填埋场已</w:t>
            </w:r>
            <w:r>
              <w:rPr>
                <w:rFonts w:hint="default" w:ascii="Times New Roman" w:hAnsi="Times New Roman" w:cs="Times New Roman"/>
                <w:color w:val="auto"/>
                <w:sz w:val="24"/>
                <w:szCs w:val="24"/>
                <w:highlight w:val="none"/>
                <w:lang w:eastAsia="zh-CN"/>
              </w:rPr>
              <w:t>设有</w:t>
            </w:r>
            <w:r>
              <w:rPr>
                <w:rFonts w:hint="default" w:ascii="Times New Roman" w:hAnsi="Times New Roman" w:cs="Times New Roman"/>
                <w:color w:val="auto"/>
                <w:sz w:val="24"/>
                <w:szCs w:val="24"/>
                <w:highlight w:val="none"/>
                <w:lang w:val="en-US" w:eastAsia="zh-CN"/>
              </w:rPr>
              <w:t>1个</w:t>
            </w:r>
            <w:r>
              <w:rPr>
                <w:rFonts w:hint="eastAsia" w:cs="Times New Roman"/>
                <w:color w:val="auto"/>
                <w:sz w:val="24"/>
                <w:szCs w:val="24"/>
                <w:highlight w:val="none"/>
                <w:lang w:val="en-US" w:eastAsia="zh-CN"/>
              </w:rPr>
              <w:t>容积1000m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的渗滤液收集池，</w:t>
            </w:r>
            <w:r>
              <w:rPr>
                <w:rFonts w:hint="default" w:ascii="Times New Roman" w:hAnsi="Times New Roman" w:cs="Times New Roman"/>
                <w:color w:val="auto"/>
                <w:sz w:val="24"/>
                <w:szCs w:val="24"/>
                <w:highlight w:val="none"/>
                <w:lang w:val="en-US" w:eastAsia="zh-CN"/>
              </w:rPr>
              <w:t>1个</w:t>
            </w:r>
            <w:r>
              <w:rPr>
                <w:rFonts w:hint="eastAsia" w:cs="Times New Roman"/>
                <w:color w:val="auto"/>
                <w:sz w:val="24"/>
                <w:szCs w:val="24"/>
                <w:highlight w:val="none"/>
                <w:lang w:val="en-US" w:eastAsia="zh-CN"/>
              </w:rPr>
              <w:t>容积1000m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的调节池</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各水池总容积约</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本项目全量化处理站配套建有在线监测水质设备，</w:t>
            </w:r>
            <w:r>
              <w:rPr>
                <w:rFonts w:hint="default" w:ascii="Times New Roman" w:hAnsi="Times New Roman" w:cs="Times New Roman"/>
                <w:color w:val="auto"/>
                <w:sz w:val="24"/>
                <w:szCs w:val="24"/>
                <w:highlight w:val="none"/>
                <w:lang w:eastAsia="zh-CN"/>
              </w:rPr>
              <w:t>若项目</w:t>
            </w:r>
            <w:r>
              <w:rPr>
                <w:rFonts w:hint="eastAsia" w:cs="Times New Roman"/>
                <w:color w:val="auto"/>
                <w:sz w:val="24"/>
                <w:szCs w:val="24"/>
                <w:highlight w:val="none"/>
                <w:lang w:val="en-US" w:eastAsia="zh-CN"/>
              </w:rPr>
              <w:t>全量化</w:t>
            </w:r>
            <w:r>
              <w:rPr>
                <w:rFonts w:hint="default" w:ascii="Times New Roman" w:hAnsi="Times New Roman" w:cs="Times New Roman"/>
                <w:color w:val="auto"/>
                <w:sz w:val="24"/>
                <w:szCs w:val="24"/>
                <w:highlight w:val="none"/>
                <w:lang w:eastAsia="zh-CN"/>
              </w:rPr>
              <w:t>处理站发生事故，</w:t>
            </w:r>
            <w:r>
              <w:rPr>
                <w:rFonts w:hint="eastAsia" w:cs="Times New Roman"/>
                <w:color w:val="auto"/>
                <w:sz w:val="24"/>
                <w:szCs w:val="24"/>
                <w:highlight w:val="none"/>
                <w:lang w:val="en-US" w:eastAsia="zh-CN"/>
              </w:rPr>
              <w:t>渗滤液将</w:t>
            </w:r>
            <w:r>
              <w:rPr>
                <w:rFonts w:hint="default" w:ascii="Times New Roman" w:hAnsi="Times New Roman" w:cs="Times New Roman"/>
                <w:color w:val="auto"/>
                <w:sz w:val="24"/>
                <w:szCs w:val="24"/>
                <w:highlight w:val="none"/>
                <w:lang w:eastAsia="zh-CN"/>
              </w:rPr>
              <w:t>暂存于</w:t>
            </w:r>
            <w:r>
              <w:rPr>
                <w:rFonts w:hint="eastAsia" w:cs="Times New Roman"/>
                <w:color w:val="auto"/>
                <w:sz w:val="24"/>
                <w:szCs w:val="24"/>
                <w:highlight w:val="none"/>
                <w:lang w:val="en-US" w:eastAsia="zh-CN"/>
              </w:rPr>
              <w:t>渗滤液收集池及调节池</w:t>
            </w:r>
            <w:r>
              <w:rPr>
                <w:rFonts w:hint="default" w:ascii="Times New Roman" w:hAnsi="Times New Roman" w:cs="Times New Roman"/>
                <w:color w:val="auto"/>
                <w:sz w:val="24"/>
                <w:szCs w:val="24"/>
                <w:highlight w:val="none"/>
                <w:lang w:eastAsia="zh-CN"/>
              </w:rPr>
              <w:t>中，待项目处理站的正常运行时将</w:t>
            </w:r>
            <w:r>
              <w:rPr>
                <w:rFonts w:hint="eastAsia" w:cs="Times New Roman"/>
                <w:color w:val="auto"/>
                <w:sz w:val="24"/>
                <w:szCs w:val="24"/>
                <w:highlight w:val="none"/>
                <w:lang w:val="en-US" w:eastAsia="zh-CN"/>
              </w:rPr>
              <w:t>渗滤液</w:t>
            </w:r>
            <w:r>
              <w:rPr>
                <w:rFonts w:hint="default" w:ascii="Times New Roman" w:hAnsi="Times New Roman" w:cs="Times New Roman"/>
                <w:color w:val="auto"/>
                <w:sz w:val="24"/>
                <w:szCs w:val="24"/>
                <w:highlight w:val="none"/>
                <w:lang w:eastAsia="zh-CN"/>
              </w:rPr>
              <w:t>抽入处理站处理</w:t>
            </w:r>
            <w:r>
              <w:rPr>
                <w:rFonts w:hint="eastAsia" w:cs="Times New Roman"/>
                <w:color w:val="auto"/>
                <w:sz w:val="24"/>
                <w:szCs w:val="24"/>
                <w:highlight w:val="none"/>
                <w:lang w:val="en-US" w:eastAsia="zh-CN"/>
              </w:rPr>
              <w:t>即可，一般情况下不会发生事故外排的可能，</w:t>
            </w:r>
            <w:r>
              <w:rPr>
                <w:rFonts w:hint="default" w:ascii="Times New Roman" w:hAnsi="Times New Roman" w:cs="Times New Roman"/>
                <w:color w:val="auto"/>
                <w:sz w:val="24"/>
                <w:szCs w:val="24"/>
                <w:highlight w:val="none"/>
                <w:lang w:eastAsia="zh-CN"/>
              </w:rPr>
              <w:t>此外为进一步减小处理站非正常工况排放情况，本环评建议建设单位采取如下措施</w:t>
            </w:r>
            <w:r>
              <w:rPr>
                <w:rFonts w:hint="default" w:ascii="Times New Roman" w:hAnsi="Times New Roman" w:cs="Times New Roman"/>
                <w:color w:val="auto"/>
                <w:sz w:val="24"/>
                <w:szCs w:val="24"/>
                <w:highlight w:val="none"/>
              </w:rPr>
              <w:t>：</w:t>
            </w:r>
          </w:p>
          <w:p w14:paraId="3F102A28">
            <w:pPr>
              <w:spacing w:line="360" w:lineRule="auto"/>
              <w:ind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当污水处理设施出现故障时，应及时检修或更换，</w:t>
            </w:r>
            <w:r>
              <w:rPr>
                <w:rFonts w:hint="default" w:ascii="Times New Roman" w:hAnsi="Times New Roman" w:cs="Times New Roman"/>
                <w:color w:val="auto"/>
                <w:sz w:val="24"/>
                <w:szCs w:val="24"/>
                <w:highlight w:val="none"/>
              </w:rPr>
              <w:t>加强</w:t>
            </w:r>
            <w:r>
              <w:rPr>
                <w:rFonts w:hint="default" w:ascii="Times New Roman" w:hAnsi="Times New Roman" w:cs="Times New Roman"/>
                <w:color w:val="auto"/>
                <w:sz w:val="24"/>
                <w:szCs w:val="24"/>
                <w:highlight w:val="none"/>
                <w:lang w:eastAsia="zh-CN"/>
              </w:rPr>
              <w:t>对污水处理设施</w:t>
            </w:r>
            <w:r>
              <w:rPr>
                <w:rFonts w:hint="default" w:ascii="Times New Roman" w:hAnsi="Times New Roman" w:cs="Times New Roman"/>
                <w:color w:val="auto"/>
                <w:sz w:val="24"/>
                <w:szCs w:val="24"/>
                <w:highlight w:val="none"/>
              </w:rPr>
              <w:t>管理和维护，</w:t>
            </w:r>
            <w:r>
              <w:rPr>
                <w:rFonts w:hint="default" w:ascii="Times New Roman" w:hAnsi="Times New Roman" w:cs="Times New Roman"/>
                <w:color w:val="auto"/>
                <w:sz w:val="24"/>
                <w:szCs w:val="24"/>
                <w:highlight w:val="none"/>
                <w:lang w:eastAsia="zh-CN"/>
              </w:rPr>
              <w:t>确保</w:t>
            </w:r>
            <w:r>
              <w:rPr>
                <w:rFonts w:hint="default" w:ascii="Times New Roman" w:hAnsi="Times New Roman" w:cs="Times New Roman"/>
                <w:color w:val="auto"/>
                <w:sz w:val="24"/>
                <w:szCs w:val="24"/>
                <w:highlight w:val="none"/>
              </w:rPr>
              <w:t>污水处理</w:t>
            </w:r>
            <w:r>
              <w:rPr>
                <w:rFonts w:hint="default" w:ascii="Times New Roman" w:hAnsi="Times New Roman" w:cs="Times New Roman"/>
                <w:color w:val="auto"/>
                <w:sz w:val="24"/>
                <w:szCs w:val="24"/>
                <w:highlight w:val="none"/>
                <w:lang w:eastAsia="zh-CN"/>
              </w:rPr>
              <w:t>站</w:t>
            </w:r>
            <w:r>
              <w:rPr>
                <w:rFonts w:hint="default" w:ascii="Times New Roman" w:hAnsi="Times New Roman" w:cs="Times New Roman"/>
                <w:color w:val="auto"/>
                <w:sz w:val="24"/>
                <w:szCs w:val="24"/>
                <w:highlight w:val="none"/>
              </w:rPr>
              <w:t>达到稳定运行状态。</w:t>
            </w:r>
          </w:p>
          <w:p w14:paraId="7F2FBBBC">
            <w:pPr>
              <w:spacing w:line="360" w:lineRule="auto"/>
              <w:ind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加强污水处理</w:t>
            </w:r>
            <w:r>
              <w:rPr>
                <w:rFonts w:hint="default" w:ascii="Times New Roman" w:hAnsi="Times New Roman" w:cs="Times New Roman"/>
                <w:color w:val="auto"/>
                <w:sz w:val="24"/>
                <w:szCs w:val="24"/>
                <w:highlight w:val="none"/>
                <w:lang w:eastAsia="zh-CN"/>
              </w:rPr>
              <w:t>站</w:t>
            </w:r>
            <w:r>
              <w:rPr>
                <w:rFonts w:hint="default" w:ascii="Times New Roman" w:hAnsi="Times New Roman" w:cs="Times New Roman"/>
                <w:color w:val="auto"/>
                <w:sz w:val="24"/>
                <w:szCs w:val="24"/>
                <w:highlight w:val="none"/>
              </w:rPr>
              <w:t>的日常管理工作；</w:t>
            </w:r>
          </w:p>
          <w:p w14:paraId="409E30E1">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加强污水厂管理人员的技术培训，并严格按照操作规程进行操作，避免操作失误造成的非正常排放</w:t>
            </w:r>
            <w:r>
              <w:rPr>
                <w:rFonts w:hint="eastAsia" w:cs="Times New Roman"/>
                <w:color w:val="auto"/>
                <w:sz w:val="24"/>
                <w:szCs w:val="24"/>
                <w:highlight w:val="none"/>
                <w:lang w:eastAsia="zh-CN"/>
              </w:rPr>
              <w:t>。</w:t>
            </w:r>
          </w:p>
          <w:p w14:paraId="29621A56">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认真做好每日的进出水质监测，建立相关档案数据</w:t>
            </w:r>
            <w:r>
              <w:rPr>
                <w:rFonts w:hint="eastAsia" w:cs="Times New Roman"/>
                <w:color w:val="auto"/>
                <w:sz w:val="24"/>
                <w:szCs w:val="24"/>
                <w:highlight w:val="none"/>
                <w:lang w:eastAsia="zh-CN"/>
              </w:rPr>
              <w:t>。</w:t>
            </w:r>
          </w:p>
          <w:p w14:paraId="433A529A">
            <w:pPr>
              <w:tabs>
                <w:tab w:val="left" w:pos="6300"/>
              </w:tabs>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5</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及时合理的调节运行工况，严禁超负荷运行</w:t>
            </w:r>
            <w:r>
              <w:rPr>
                <w:rFonts w:hint="eastAsia" w:cs="Times New Roman"/>
                <w:color w:val="auto"/>
                <w:sz w:val="24"/>
                <w:szCs w:val="24"/>
                <w:highlight w:val="none"/>
                <w:lang w:eastAsia="zh-CN"/>
              </w:rPr>
              <w:t>。</w:t>
            </w:r>
          </w:p>
          <w:p w14:paraId="41E58FFE">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6</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在汛期加强各进出泵、反应池进出水闸门和变配电所等关键设备和部位的巡视和监控，做好设备运转状况记录；发现故障和其它异常情况及时处理</w:t>
            </w:r>
            <w:r>
              <w:rPr>
                <w:rFonts w:hint="eastAsia" w:cs="Times New Roman"/>
                <w:color w:val="auto"/>
                <w:sz w:val="24"/>
                <w:szCs w:val="24"/>
                <w:highlight w:val="none"/>
                <w:lang w:eastAsia="zh-CN"/>
              </w:rPr>
              <w:t>。</w:t>
            </w:r>
          </w:p>
          <w:p w14:paraId="06A69EE0">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7</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当主要设备出现故障时，操作人员应立即启动备用设备，保证工艺运行顺畅</w:t>
            </w:r>
            <w:r>
              <w:rPr>
                <w:rFonts w:hint="eastAsia" w:cs="Times New Roman"/>
                <w:color w:val="auto"/>
                <w:sz w:val="24"/>
                <w:szCs w:val="24"/>
                <w:highlight w:val="none"/>
                <w:lang w:eastAsia="zh-CN"/>
              </w:rPr>
              <w:t>。</w:t>
            </w:r>
          </w:p>
          <w:p w14:paraId="35340FFC">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8</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及时维修问题设备，更新补充备用设备。</w:t>
            </w:r>
          </w:p>
          <w:p w14:paraId="0F159D3A">
            <w:pPr>
              <w:adjustRightInd w:val="0"/>
              <w:snapToGri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9</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配置应急发电机，发生</w:t>
            </w:r>
            <w:r>
              <w:rPr>
                <w:rFonts w:hint="eastAsia" w:cs="Times New Roman"/>
                <w:color w:val="auto"/>
                <w:sz w:val="24"/>
                <w:szCs w:val="24"/>
                <w:highlight w:val="none"/>
                <w:lang w:eastAsia="zh-CN"/>
              </w:rPr>
              <w:t>停电时，</w:t>
            </w:r>
            <w:r>
              <w:rPr>
                <w:rFonts w:hint="eastAsia" w:cs="Times New Roman"/>
                <w:color w:val="auto"/>
                <w:sz w:val="24"/>
                <w:szCs w:val="24"/>
                <w:highlight w:val="none"/>
                <w:lang w:val="en-US" w:eastAsia="zh-CN"/>
              </w:rPr>
              <w:t>应急</w:t>
            </w:r>
            <w:r>
              <w:rPr>
                <w:rFonts w:hint="eastAsia" w:cs="Times New Roman"/>
                <w:color w:val="auto"/>
                <w:sz w:val="24"/>
                <w:szCs w:val="24"/>
                <w:highlight w:val="none"/>
                <w:lang w:eastAsia="zh-CN"/>
              </w:rPr>
              <w:t>发电机及时运营，以防范停电造成的事故排放。</w:t>
            </w:r>
          </w:p>
          <w:p w14:paraId="30F0CC59">
            <w:pPr>
              <w:adjustRightInd w:val="0"/>
              <w:snapToGrid w:val="0"/>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5、监测要求</w:t>
            </w:r>
          </w:p>
          <w:p w14:paraId="30AADDC2">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w:t>
            </w:r>
            <w:r>
              <w:rPr>
                <w:rFonts w:hint="eastAsia" w:cs="Times New Roman"/>
                <w:b w:val="0"/>
                <w:bCs w:val="0"/>
                <w:color w:val="auto"/>
                <w:sz w:val="24"/>
                <w:szCs w:val="24"/>
                <w:highlight w:val="none"/>
                <w:lang w:val="en-US" w:eastAsia="zh-CN"/>
              </w:rPr>
              <w:t>《排污许可证申请与核发技术规范</w:t>
            </w:r>
            <w:r>
              <w:rPr>
                <w:rFonts w:hint="eastAsia"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环境卫生管理业</w:t>
            </w:r>
            <w:r>
              <w:rPr>
                <w:rFonts w:hint="eastAsia" w:ascii="Times New Roman" w:hAnsi="Times New Roman" w:eastAsia="宋体" w:cs="Times New Roman"/>
                <w:b w:val="0"/>
                <w:bCs w:val="0"/>
                <w:color w:val="auto"/>
                <w:sz w:val="24"/>
                <w:szCs w:val="24"/>
                <w:highlight w:val="none"/>
                <w:lang w:val="en-US" w:eastAsia="zh-CN"/>
              </w:rPr>
              <w:t xml:space="preserve">》（HJ </w:t>
            </w:r>
            <w:r>
              <w:rPr>
                <w:rFonts w:hint="eastAsia" w:cs="Times New Roman"/>
                <w:b w:val="0"/>
                <w:bCs w:val="0"/>
                <w:color w:val="auto"/>
                <w:sz w:val="24"/>
                <w:szCs w:val="24"/>
                <w:highlight w:val="none"/>
                <w:lang w:val="en-US" w:eastAsia="zh-CN"/>
              </w:rPr>
              <w:t>1106</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2020</w:t>
            </w:r>
            <w:r>
              <w:rPr>
                <w:rFonts w:hint="eastAsia" w:ascii="Times New Roman" w:hAnsi="Times New Roman" w:eastAsia="宋体" w:cs="Times New Roman"/>
                <w:b w:val="0"/>
                <w:bCs w:val="0"/>
                <w:color w:val="auto"/>
                <w:sz w:val="24"/>
                <w:szCs w:val="24"/>
                <w:highlight w:val="none"/>
                <w:lang w:val="en-US" w:eastAsia="zh-CN"/>
              </w:rPr>
              <w:t>）表</w:t>
            </w:r>
            <w:r>
              <w:rPr>
                <w:rFonts w:hint="eastAsia" w:cs="Times New Roman"/>
                <w:b w:val="0"/>
                <w:bCs w:val="0"/>
                <w:color w:val="auto"/>
                <w:sz w:val="24"/>
                <w:szCs w:val="24"/>
                <w:highlight w:val="none"/>
                <w:lang w:val="en-US" w:eastAsia="zh-CN"/>
              </w:rPr>
              <w:t>7</w:t>
            </w:r>
            <w:r>
              <w:rPr>
                <w:rFonts w:hint="eastAsia" w:ascii="Times New Roman" w:hAnsi="Times New Roman" w:eastAsia="宋体" w:cs="Times New Roman"/>
                <w:b w:val="0"/>
                <w:bCs w:val="0"/>
                <w:color w:val="auto"/>
                <w:sz w:val="24"/>
                <w:szCs w:val="24"/>
                <w:highlight w:val="none"/>
                <w:lang w:val="en-US" w:eastAsia="zh-CN"/>
              </w:rPr>
              <w:t>中的相关要求，</w:t>
            </w:r>
            <w:r>
              <w:rPr>
                <w:rFonts w:hint="default" w:ascii="Times New Roman" w:hAnsi="Times New Roman" w:eastAsia="宋体" w:cs="Times New Roman"/>
                <w:b w:val="0"/>
                <w:bCs w:val="0"/>
                <w:color w:val="auto"/>
                <w:sz w:val="24"/>
                <w:szCs w:val="24"/>
                <w:highlight w:val="none"/>
                <w:lang w:val="en-US" w:eastAsia="zh-CN"/>
              </w:rPr>
              <w:t>具体监测要求见下表。</w:t>
            </w:r>
          </w:p>
          <w:p w14:paraId="7294E5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表4-</w:t>
            </w:r>
            <w:r>
              <w:rPr>
                <w:rFonts w:hint="eastAsia" w:cs="Times New Roman"/>
                <w:b/>
                <w:bCs w:val="0"/>
                <w:color w:val="auto"/>
                <w:sz w:val="24"/>
                <w:szCs w:val="24"/>
                <w:highlight w:val="none"/>
                <w:lang w:val="en-US" w:eastAsia="zh-CN"/>
              </w:rPr>
              <w:t xml:space="preserve">16 </w:t>
            </w:r>
            <w:r>
              <w:rPr>
                <w:rFonts w:hint="default" w:ascii="Times New Roman" w:hAnsi="Times New Roman" w:cs="Times New Roman"/>
                <w:b/>
                <w:bCs w:val="0"/>
                <w:color w:val="auto"/>
                <w:sz w:val="24"/>
                <w:szCs w:val="24"/>
                <w:highlight w:val="none"/>
                <w:lang w:val="en-US" w:eastAsia="zh-CN"/>
              </w:rPr>
              <w:t xml:space="preserve"> </w:t>
            </w:r>
            <w:r>
              <w:rPr>
                <w:rFonts w:hint="eastAsia" w:cs="Times New Roman"/>
                <w:b/>
                <w:bCs w:val="0"/>
                <w:color w:val="auto"/>
                <w:sz w:val="24"/>
                <w:szCs w:val="24"/>
                <w:highlight w:val="none"/>
                <w:lang w:val="en-US" w:eastAsia="zh-CN"/>
              </w:rPr>
              <w:t>废水监测指标及最低监测频次</w:t>
            </w:r>
            <w:r>
              <w:rPr>
                <w:rFonts w:hint="default" w:ascii="Times New Roman" w:hAnsi="Times New Roman" w:cs="Times New Roman"/>
                <w:b/>
                <w:bCs w:val="0"/>
                <w:color w:val="auto"/>
                <w:sz w:val="24"/>
                <w:szCs w:val="24"/>
                <w:highlight w:val="none"/>
                <w:lang w:val="en-US" w:eastAsia="zh-CN"/>
              </w:rPr>
              <w:t>要求</w:t>
            </w:r>
          </w:p>
          <w:tbl>
            <w:tblPr>
              <w:tblStyle w:val="31"/>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318"/>
              <w:gridCol w:w="1665"/>
              <w:gridCol w:w="2788"/>
            </w:tblGrid>
            <w:tr w14:paraId="4E5E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83" w:type="pct"/>
                  <w:noWrap w:val="0"/>
                  <w:vAlign w:val="center"/>
                </w:tcPr>
                <w:p w14:paraId="62DB917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监测点位</w:t>
                  </w:r>
                </w:p>
              </w:tc>
              <w:tc>
                <w:tcPr>
                  <w:tcW w:w="1885" w:type="pct"/>
                  <w:noWrap w:val="0"/>
                  <w:vAlign w:val="center"/>
                </w:tcPr>
                <w:p w14:paraId="035D4AB7">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监测因子</w:t>
                  </w:r>
                </w:p>
              </w:tc>
              <w:tc>
                <w:tcPr>
                  <w:tcW w:w="946" w:type="pct"/>
                  <w:noWrap w:val="0"/>
                  <w:vAlign w:val="center"/>
                </w:tcPr>
                <w:p w14:paraId="0426666E">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监测频次</w:t>
                  </w:r>
                </w:p>
              </w:tc>
              <w:tc>
                <w:tcPr>
                  <w:tcW w:w="1584" w:type="pct"/>
                  <w:noWrap w:val="0"/>
                  <w:vAlign w:val="center"/>
                </w:tcPr>
                <w:p w14:paraId="5E7D93CA">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执行标准</w:t>
                  </w:r>
                </w:p>
              </w:tc>
            </w:tr>
            <w:tr w14:paraId="7563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83" w:type="pct"/>
                  <w:vMerge w:val="restart"/>
                  <w:noWrap w:val="0"/>
                  <w:vAlign w:val="center"/>
                </w:tcPr>
                <w:p w14:paraId="05062351">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全量化处理站出水口</w:t>
                  </w:r>
                </w:p>
              </w:tc>
              <w:tc>
                <w:tcPr>
                  <w:tcW w:w="1885" w:type="pct"/>
                  <w:noWrap w:val="0"/>
                  <w:vAlign w:val="center"/>
                </w:tcPr>
                <w:p w14:paraId="683E6EFE">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pH值、流量、</w:t>
                  </w:r>
                  <w:r>
                    <w:rPr>
                      <w:rFonts w:hint="default" w:cs="Times New Roman"/>
                      <w:color w:val="auto"/>
                      <w:sz w:val="21"/>
                      <w:szCs w:val="21"/>
                      <w:highlight w:val="none"/>
                      <w:vertAlign w:val="baseline"/>
                      <w:lang w:val="en-US" w:eastAsia="zh-CN"/>
                    </w:rPr>
                    <w:t>化学需氧量、氨氮</w:t>
                  </w:r>
                </w:p>
              </w:tc>
              <w:tc>
                <w:tcPr>
                  <w:tcW w:w="946" w:type="pct"/>
                  <w:noWrap w:val="0"/>
                  <w:vAlign w:val="center"/>
                </w:tcPr>
                <w:p w14:paraId="1A032DC1">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自动监测</w:t>
                  </w:r>
                </w:p>
              </w:tc>
              <w:tc>
                <w:tcPr>
                  <w:tcW w:w="1584" w:type="pct"/>
                  <w:vMerge w:val="restart"/>
                  <w:noWrap w:val="0"/>
                  <w:vAlign w:val="center"/>
                </w:tcPr>
                <w:p w14:paraId="321D60DB">
                  <w:pPr>
                    <w:spacing w:line="240" w:lineRule="auto"/>
                    <w:jc w:val="center"/>
                    <w:rPr>
                      <w:rFonts w:hint="eastAsia" w:cs="Times New Roman"/>
                      <w:color w:val="auto"/>
                      <w:sz w:val="21"/>
                      <w:szCs w:val="21"/>
                      <w:highlight w:val="none"/>
                      <w:vertAlign w:val="baseline"/>
                      <w:lang w:val="en-US" w:eastAsia="zh-CN"/>
                    </w:rPr>
                  </w:pPr>
                  <w:r>
                    <w:rPr>
                      <w:rFonts w:hint="eastAsia"/>
                      <w:color w:val="auto"/>
                      <w:szCs w:val="21"/>
                      <w:highlight w:val="none"/>
                    </w:rPr>
                    <w:t>《城镇污水处理厂污染物排放标准》（GB18918-2002）表1 中一级A标准及《城市污水再生利用 城市杂用水水质》（GB/T18920-2020）中城市绿化水质标准限值</w:t>
                  </w:r>
                </w:p>
              </w:tc>
            </w:tr>
            <w:tr w14:paraId="1FEC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83" w:type="pct"/>
                  <w:vMerge w:val="continue"/>
                  <w:noWrap w:val="0"/>
                  <w:vAlign w:val="center"/>
                </w:tcPr>
                <w:p w14:paraId="344FA3F1">
                  <w:pPr>
                    <w:spacing w:line="240" w:lineRule="auto"/>
                    <w:jc w:val="center"/>
                    <w:rPr>
                      <w:rFonts w:hint="eastAsia" w:cs="Times New Roman"/>
                      <w:color w:val="auto"/>
                      <w:sz w:val="21"/>
                      <w:szCs w:val="21"/>
                      <w:highlight w:val="none"/>
                      <w:vertAlign w:val="baseline"/>
                      <w:lang w:val="en-US" w:eastAsia="zh-CN"/>
                    </w:rPr>
                  </w:pPr>
                </w:p>
              </w:tc>
              <w:tc>
                <w:tcPr>
                  <w:tcW w:w="1885" w:type="pct"/>
                  <w:noWrap w:val="0"/>
                  <w:vAlign w:val="center"/>
                </w:tcPr>
                <w:p w14:paraId="28F5A713">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色度、悬浮物、</w:t>
                  </w:r>
                  <w:r>
                    <w:rPr>
                      <w:rFonts w:hint="default" w:cs="Times New Roman"/>
                      <w:color w:val="auto"/>
                      <w:sz w:val="21"/>
                      <w:szCs w:val="21"/>
                      <w:highlight w:val="none"/>
                      <w:vertAlign w:val="baseline"/>
                      <w:lang w:val="en-US" w:eastAsia="zh-CN"/>
                    </w:rPr>
                    <w:t>五日生化需氧量、总氮、</w:t>
                  </w:r>
                  <w:r>
                    <w:rPr>
                      <w:rFonts w:hint="eastAsia" w:cs="Times New Roman"/>
                      <w:color w:val="auto"/>
                      <w:sz w:val="21"/>
                      <w:szCs w:val="21"/>
                      <w:highlight w:val="none"/>
                      <w:vertAlign w:val="baseline"/>
                      <w:lang w:val="en-US" w:eastAsia="zh-CN"/>
                    </w:rPr>
                    <w:t>总磷、粪大肠菌群数、总汞、总镉、总铬、六价铬、总砷、总铅</w:t>
                  </w:r>
                </w:p>
              </w:tc>
              <w:tc>
                <w:tcPr>
                  <w:tcW w:w="946" w:type="pct"/>
                  <w:noWrap w:val="0"/>
                  <w:vAlign w:val="center"/>
                </w:tcPr>
                <w:p w14:paraId="68D81FD4">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季度</w:t>
                  </w:r>
                </w:p>
              </w:tc>
              <w:tc>
                <w:tcPr>
                  <w:tcW w:w="1584" w:type="pct"/>
                  <w:vMerge w:val="continue"/>
                  <w:noWrap w:val="0"/>
                  <w:vAlign w:val="center"/>
                </w:tcPr>
                <w:p w14:paraId="6EBCDAD0">
                  <w:pPr>
                    <w:spacing w:line="240" w:lineRule="auto"/>
                    <w:jc w:val="center"/>
                    <w:rPr>
                      <w:rFonts w:hint="eastAsia" w:cs="Times New Roman"/>
                      <w:color w:val="auto"/>
                      <w:sz w:val="21"/>
                      <w:szCs w:val="21"/>
                      <w:highlight w:val="none"/>
                      <w:vertAlign w:val="baseline"/>
                      <w:lang w:val="en-US" w:eastAsia="zh-CN"/>
                    </w:rPr>
                  </w:pPr>
                </w:p>
              </w:tc>
            </w:tr>
          </w:tbl>
          <w:p w14:paraId="3970557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sz w:val="24"/>
                <w:highlight w:val="none"/>
                <w:lang w:eastAsia="zh-CN"/>
              </w:rPr>
            </w:pPr>
          </w:p>
          <w:p w14:paraId="617CC64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bCs/>
                <w:color w:val="auto"/>
                <w:sz w:val="24"/>
                <w:highlight w:val="none"/>
              </w:rPr>
            </w:pPr>
            <w:r>
              <w:rPr>
                <w:rFonts w:hint="eastAsia"/>
                <w:b/>
                <w:bCs/>
                <w:color w:val="auto"/>
                <w:sz w:val="24"/>
                <w:highlight w:val="none"/>
                <w:lang w:eastAsia="zh-CN"/>
              </w:rPr>
              <w:t>三</w:t>
            </w:r>
            <w:r>
              <w:rPr>
                <w:rFonts w:hint="eastAsia"/>
                <w:b/>
                <w:bCs/>
                <w:color w:val="auto"/>
                <w:sz w:val="24"/>
                <w:highlight w:val="none"/>
              </w:rPr>
              <w:t>、运营期</w:t>
            </w:r>
            <w:r>
              <w:rPr>
                <w:rFonts w:hint="eastAsia"/>
                <w:b/>
                <w:color w:val="auto"/>
                <w:kern w:val="24"/>
                <w:sz w:val="24"/>
                <w:highlight w:val="none"/>
              </w:rPr>
              <w:t>噪声</w:t>
            </w:r>
            <w:r>
              <w:rPr>
                <w:rFonts w:hint="eastAsia"/>
                <w:b/>
                <w:bCs/>
                <w:color w:val="auto"/>
                <w:sz w:val="24"/>
                <w:highlight w:val="none"/>
              </w:rPr>
              <w:t>环境影响和保护措施</w:t>
            </w:r>
          </w:p>
          <w:p w14:paraId="43806428">
            <w:pPr>
              <w:spacing w:line="360" w:lineRule="auto"/>
              <w:ind w:firstLine="482" w:firstLineChars="200"/>
              <w:rPr>
                <w:rFonts w:hint="eastAsia" w:ascii="Times New Roman" w:eastAsia="宋体"/>
                <w:b/>
                <w:color w:val="auto"/>
                <w:sz w:val="24"/>
                <w:highlight w:val="none"/>
                <w:lang w:val="en-US" w:eastAsia="zh-CN"/>
              </w:rPr>
            </w:pPr>
            <w:r>
              <w:rPr>
                <w:rFonts w:hint="eastAsia"/>
                <w:b/>
                <w:color w:val="auto"/>
                <w:sz w:val="24"/>
                <w:highlight w:val="none"/>
                <w:lang w:val="en-US" w:eastAsia="zh-CN"/>
              </w:rPr>
              <w:t>（一）</w:t>
            </w:r>
            <w:r>
              <w:rPr>
                <w:rFonts w:hint="eastAsia" w:ascii="Times New Roman"/>
                <w:b/>
                <w:color w:val="auto"/>
                <w:sz w:val="24"/>
                <w:highlight w:val="none"/>
                <w:lang w:val="en-US" w:eastAsia="zh-CN"/>
              </w:rPr>
              <w:t>噪声源分析</w:t>
            </w:r>
          </w:p>
          <w:p w14:paraId="0010B4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eastAsia"/>
                <w:color w:val="auto"/>
                <w:kern w:val="24"/>
                <w:sz w:val="24"/>
                <w:highlight w:val="none"/>
              </w:rPr>
              <w:t>本项目营运期噪声主要为</w:t>
            </w:r>
            <w:r>
              <w:rPr>
                <w:rFonts w:hint="eastAsia"/>
                <w:color w:val="auto"/>
                <w:kern w:val="24"/>
                <w:sz w:val="24"/>
                <w:highlight w:val="none"/>
                <w:lang w:eastAsia="zh-CN"/>
              </w:rPr>
              <w:t>水泵、空压机、风机、</w:t>
            </w:r>
            <w:r>
              <w:rPr>
                <w:rFonts w:hint="eastAsia"/>
                <w:color w:val="auto"/>
                <w:kern w:val="24"/>
                <w:sz w:val="24"/>
                <w:highlight w:val="none"/>
                <w:lang w:val="en-US" w:eastAsia="zh-CN"/>
              </w:rPr>
              <w:t>搅拌机</w:t>
            </w:r>
            <w:r>
              <w:rPr>
                <w:color w:val="auto"/>
                <w:kern w:val="24"/>
                <w:sz w:val="24"/>
                <w:highlight w:val="none"/>
              </w:rPr>
              <w:t>等设备运行时产生的噪声，</w:t>
            </w:r>
            <w:r>
              <w:rPr>
                <w:rFonts w:hint="eastAsia"/>
                <w:color w:val="auto"/>
                <w:kern w:val="24"/>
                <w:sz w:val="24"/>
                <w:highlight w:val="none"/>
              </w:rPr>
              <w:t>类比同类项目，生产车间各生产设备噪声值</w:t>
            </w:r>
            <w:r>
              <w:rPr>
                <w:rFonts w:hint="eastAsia"/>
                <w:color w:val="auto"/>
                <w:kern w:val="24"/>
                <w:sz w:val="24"/>
                <w:highlight w:val="none"/>
                <w:lang w:eastAsia="zh-CN"/>
              </w:rPr>
              <w:t>详见下表</w:t>
            </w:r>
            <w:r>
              <w:rPr>
                <w:rFonts w:hint="eastAsia"/>
                <w:color w:val="auto"/>
                <w:kern w:val="24"/>
                <w:sz w:val="24"/>
                <w:highlight w:val="none"/>
              </w:rPr>
              <w:t>。</w:t>
            </w:r>
            <w:r>
              <w:rPr>
                <w:rFonts w:hint="default" w:ascii="Times New Roman" w:hAnsi="Times New Roman" w:cs="Times New Roman"/>
                <w:color w:val="auto"/>
                <w:sz w:val="24"/>
                <w:highlight w:val="none"/>
              </w:rPr>
              <w:t>本项目噪声源强为</w:t>
            </w:r>
            <w:r>
              <w:rPr>
                <w:rFonts w:hint="eastAsia" w:cs="Times New Roman"/>
                <w:color w:val="auto"/>
                <w:sz w:val="24"/>
                <w:highlight w:val="none"/>
                <w:lang w:val="en-US" w:eastAsia="zh-CN"/>
              </w:rPr>
              <w:t>65~80</w:t>
            </w:r>
            <w:r>
              <w:rPr>
                <w:rFonts w:hint="default" w:ascii="Times New Roman" w:hAnsi="Times New Roman" w:cs="Times New Roman"/>
                <w:color w:val="auto"/>
                <w:sz w:val="24"/>
                <w:highlight w:val="none"/>
              </w:rPr>
              <w:t>dB（A）。</w:t>
            </w:r>
          </w:p>
          <w:p w14:paraId="466A1112">
            <w:pPr>
              <w:adjustRightInd w:val="0"/>
              <w:snapToGrid w:val="0"/>
              <w:spacing w:line="360" w:lineRule="auto"/>
              <w:jc w:val="center"/>
              <w:rPr>
                <w:rFonts w:hint="eastAsia"/>
                <w:b/>
                <w:bCs/>
                <w:color w:val="auto"/>
                <w:kern w:val="24"/>
                <w:sz w:val="24"/>
                <w:szCs w:val="24"/>
                <w:highlight w:val="none"/>
              </w:rPr>
            </w:pPr>
            <w:r>
              <w:rPr>
                <w:rFonts w:hint="eastAsia"/>
                <w:b/>
                <w:bCs/>
                <w:color w:val="auto"/>
                <w:kern w:val="24"/>
                <w:sz w:val="24"/>
                <w:szCs w:val="24"/>
                <w:highlight w:val="none"/>
                <w:lang w:eastAsia="zh-CN"/>
              </w:rPr>
              <w:t>表</w:t>
            </w:r>
            <w:r>
              <w:rPr>
                <w:rFonts w:hint="eastAsia"/>
                <w:b/>
                <w:bCs/>
                <w:color w:val="auto"/>
                <w:kern w:val="24"/>
                <w:sz w:val="24"/>
                <w:szCs w:val="24"/>
                <w:highlight w:val="none"/>
                <w:lang w:val="en-US" w:eastAsia="zh-CN"/>
              </w:rPr>
              <w:t xml:space="preserve">4-17  </w:t>
            </w:r>
            <w:r>
              <w:rPr>
                <w:b/>
                <w:bCs/>
                <w:color w:val="auto"/>
                <w:kern w:val="24"/>
                <w:sz w:val="24"/>
                <w:szCs w:val="24"/>
                <w:highlight w:val="none"/>
              </w:rPr>
              <w:t xml:space="preserve"> </w:t>
            </w:r>
            <w:r>
              <w:rPr>
                <w:rFonts w:hint="eastAsia"/>
                <w:b/>
                <w:bCs/>
                <w:color w:val="auto"/>
                <w:kern w:val="24"/>
                <w:sz w:val="24"/>
                <w:szCs w:val="24"/>
                <w:highlight w:val="none"/>
              </w:rPr>
              <w:t>项目运营期各</w:t>
            </w:r>
            <w:r>
              <w:rPr>
                <w:rFonts w:hint="eastAsia"/>
                <w:b/>
                <w:bCs/>
                <w:color w:val="auto"/>
                <w:kern w:val="24"/>
                <w:sz w:val="24"/>
                <w:szCs w:val="24"/>
                <w:highlight w:val="none"/>
                <w:lang w:eastAsia="zh-CN"/>
              </w:rPr>
              <w:t>生产</w:t>
            </w:r>
            <w:r>
              <w:rPr>
                <w:rFonts w:hint="eastAsia"/>
                <w:b/>
                <w:bCs/>
                <w:color w:val="auto"/>
                <w:kern w:val="24"/>
                <w:sz w:val="24"/>
                <w:szCs w:val="24"/>
                <w:highlight w:val="none"/>
              </w:rPr>
              <w:t>设备源强值表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7"/>
              <w:gridCol w:w="1239"/>
              <w:gridCol w:w="777"/>
              <w:gridCol w:w="1014"/>
              <w:gridCol w:w="859"/>
              <w:gridCol w:w="1432"/>
              <w:gridCol w:w="820"/>
              <w:gridCol w:w="1375"/>
            </w:tblGrid>
            <w:tr w14:paraId="2BB5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9" w:type="pct"/>
                  <w:vMerge w:val="restart"/>
                  <w:tcBorders>
                    <w:tl2br w:val="nil"/>
                    <w:tr2bl w:val="nil"/>
                  </w:tcBorders>
                  <w:shd w:val="clear" w:color="auto" w:fill="auto"/>
                  <w:vAlign w:val="center"/>
                </w:tcPr>
                <w:p w14:paraId="106E6D53">
                  <w:pPr>
                    <w:adjustRightInd w:val="0"/>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rPr>
                    <w:t>工序</w:t>
                  </w:r>
                  <w:r>
                    <w:rPr>
                      <w:rFonts w:hint="eastAsia" w:cs="Times New Roman"/>
                      <w:color w:val="auto"/>
                      <w:sz w:val="21"/>
                      <w:szCs w:val="21"/>
                      <w:highlight w:val="none"/>
                      <w:lang w:eastAsia="zh-CN"/>
                    </w:rPr>
                    <w:t>及位置</w:t>
                  </w:r>
                </w:p>
              </w:tc>
              <w:tc>
                <w:tcPr>
                  <w:tcW w:w="700" w:type="pct"/>
                  <w:vMerge w:val="restart"/>
                  <w:tcBorders>
                    <w:tl2br w:val="nil"/>
                    <w:tr2bl w:val="nil"/>
                  </w:tcBorders>
                  <w:shd w:val="clear" w:color="auto" w:fill="auto"/>
                  <w:vAlign w:val="center"/>
                </w:tcPr>
                <w:p w14:paraId="72546380">
                  <w:pPr>
                    <w:adjustRightInd w:val="0"/>
                    <w:spacing w:line="240" w:lineRule="auto"/>
                    <w:jc w:val="center"/>
                    <w:rPr>
                      <w:rFonts w:cs="Times New Roman"/>
                      <w:color w:val="auto"/>
                      <w:sz w:val="21"/>
                      <w:szCs w:val="21"/>
                      <w:highlight w:val="none"/>
                    </w:rPr>
                  </w:pPr>
                  <w:r>
                    <w:rPr>
                      <w:rFonts w:cs="Times New Roman"/>
                      <w:color w:val="auto"/>
                      <w:sz w:val="21"/>
                      <w:szCs w:val="21"/>
                      <w:highlight w:val="none"/>
                    </w:rPr>
                    <w:t>噪声源</w:t>
                  </w:r>
                </w:p>
              </w:tc>
              <w:tc>
                <w:tcPr>
                  <w:tcW w:w="439" w:type="pct"/>
                  <w:vMerge w:val="restart"/>
                  <w:tcBorders>
                    <w:tl2br w:val="nil"/>
                    <w:tr2bl w:val="nil"/>
                  </w:tcBorders>
                  <w:vAlign w:val="center"/>
                </w:tcPr>
                <w:p w14:paraId="07FEE73E">
                  <w:pPr>
                    <w:adjustRightInd w:val="0"/>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rPr>
                    <w:t>数量</w:t>
                  </w:r>
                  <w:r>
                    <w:rPr>
                      <w:rFonts w:hint="eastAsia" w:cs="Times New Roman"/>
                      <w:color w:val="auto"/>
                      <w:sz w:val="21"/>
                      <w:szCs w:val="21"/>
                      <w:highlight w:val="none"/>
                      <w:lang w:eastAsia="zh-CN"/>
                    </w:rPr>
                    <w:t>（台）</w:t>
                  </w:r>
                </w:p>
              </w:tc>
              <w:tc>
                <w:tcPr>
                  <w:tcW w:w="573" w:type="pct"/>
                  <w:vMerge w:val="restart"/>
                  <w:tcBorders>
                    <w:tl2br w:val="nil"/>
                    <w:tr2bl w:val="nil"/>
                  </w:tcBorders>
                  <w:shd w:val="clear" w:color="auto" w:fill="auto"/>
                  <w:vAlign w:val="center"/>
                </w:tcPr>
                <w:p w14:paraId="77E5A24A">
                  <w:pPr>
                    <w:adjustRightInd w:val="0"/>
                    <w:spacing w:line="240" w:lineRule="auto"/>
                    <w:jc w:val="center"/>
                    <w:rPr>
                      <w:rFonts w:cs="Times New Roman"/>
                      <w:color w:val="auto"/>
                      <w:sz w:val="21"/>
                      <w:szCs w:val="21"/>
                      <w:highlight w:val="none"/>
                    </w:rPr>
                  </w:pPr>
                  <w:r>
                    <w:rPr>
                      <w:rFonts w:hint="eastAsia" w:cs="Times New Roman"/>
                      <w:color w:val="auto"/>
                      <w:sz w:val="21"/>
                      <w:szCs w:val="21"/>
                      <w:highlight w:val="none"/>
                    </w:rPr>
                    <w:t>声源位置</w:t>
                  </w:r>
                </w:p>
              </w:tc>
              <w:tc>
                <w:tcPr>
                  <w:tcW w:w="485" w:type="pct"/>
                  <w:vMerge w:val="restart"/>
                  <w:tcBorders>
                    <w:tl2br w:val="nil"/>
                    <w:tr2bl w:val="nil"/>
                  </w:tcBorders>
                  <w:vAlign w:val="center"/>
                </w:tcPr>
                <w:p w14:paraId="48E42671">
                  <w:pPr>
                    <w:adjustRightInd w:val="0"/>
                    <w:spacing w:line="240" w:lineRule="auto"/>
                    <w:jc w:val="center"/>
                    <w:rPr>
                      <w:rFonts w:cs="Times New Roman"/>
                      <w:color w:val="auto"/>
                      <w:sz w:val="21"/>
                      <w:szCs w:val="21"/>
                      <w:highlight w:val="none"/>
                    </w:rPr>
                  </w:pPr>
                  <w:r>
                    <w:rPr>
                      <w:rFonts w:cs="Times New Roman"/>
                      <w:color w:val="auto"/>
                      <w:sz w:val="21"/>
                      <w:szCs w:val="21"/>
                      <w:highlight w:val="none"/>
                    </w:rPr>
                    <w:t>声源类型</w:t>
                  </w:r>
                </w:p>
              </w:tc>
              <w:tc>
                <w:tcPr>
                  <w:tcW w:w="809" w:type="pct"/>
                  <w:tcBorders>
                    <w:tl2br w:val="nil"/>
                    <w:tr2bl w:val="nil"/>
                  </w:tcBorders>
                  <w:shd w:val="clear" w:color="auto" w:fill="auto"/>
                  <w:vAlign w:val="center"/>
                </w:tcPr>
                <w:p w14:paraId="3D7DA59E">
                  <w:pPr>
                    <w:adjustRightInd w:val="0"/>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声源源强</w:t>
                  </w:r>
                </w:p>
              </w:tc>
              <w:tc>
                <w:tcPr>
                  <w:tcW w:w="463" w:type="pct"/>
                  <w:vMerge w:val="restart"/>
                  <w:tcBorders>
                    <w:tl2br w:val="nil"/>
                    <w:tr2bl w:val="nil"/>
                  </w:tcBorders>
                  <w:shd w:val="clear" w:color="auto" w:fill="auto"/>
                  <w:vAlign w:val="center"/>
                </w:tcPr>
                <w:p w14:paraId="4A2A02A8">
                  <w:pPr>
                    <w:adjustRightInd w:val="0"/>
                    <w:spacing w:line="240" w:lineRule="auto"/>
                    <w:jc w:val="center"/>
                    <w:rPr>
                      <w:rFonts w:cs="Times New Roman"/>
                      <w:color w:val="auto"/>
                      <w:sz w:val="21"/>
                      <w:szCs w:val="21"/>
                      <w:highlight w:val="none"/>
                    </w:rPr>
                  </w:pPr>
                  <w:r>
                    <w:rPr>
                      <w:rFonts w:hint="eastAsia" w:cs="Times New Roman"/>
                      <w:color w:val="auto"/>
                      <w:sz w:val="21"/>
                      <w:szCs w:val="21"/>
                      <w:highlight w:val="none"/>
                    </w:rPr>
                    <w:t>源强数据来源</w:t>
                  </w:r>
                </w:p>
              </w:tc>
              <w:tc>
                <w:tcPr>
                  <w:tcW w:w="777" w:type="pct"/>
                  <w:vMerge w:val="restart"/>
                  <w:tcBorders>
                    <w:tl2br w:val="nil"/>
                    <w:tr2bl w:val="nil"/>
                  </w:tcBorders>
                  <w:shd w:val="clear" w:color="auto" w:fill="auto"/>
                  <w:vAlign w:val="center"/>
                </w:tcPr>
                <w:p w14:paraId="3F4C0BA1">
                  <w:pPr>
                    <w:adjustRightInd w:val="0"/>
                    <w:spacing w:line="240" w:lineRule="auto"/>
                    <w:jc w:val="center"/>
                    <w:rPr>
                      <w:rFonts w:cs="Times New Roman"/>
                      <w:color w:val="auto"/>
                      <w:sz w:val="21"/>
                      <w:szCs w:val="21"/>
                      <w:highlight w:val="none"/>
                    </w:rPr>
                  </w:pPr>
                  <w:r>
                    <w:rPr>
                      <w:rFonts w:hint="eastAsia" w:cs="Times New Roman"/>
                      <w:color w:val="auto"/>
                      <w:sz w:val="21"/>
                      <w:szCs w:val="21"/>
                      <w:highlight w:val="none"/>
                    </w:rPr>
                    <w:t>运行时间</w:t>
                  </w:r>
                  <w:r>
                    <w:rPr>
                      <w:rFonts w:cs="Times New Roman"/>
                      <w:color w:val="auto"/>
                      <w:sz w:val="21"/>
                      <w:szCs w:val="21"/>
                      <w:highlight w:val="none"/>
                    </w:rPr>
                    <w:t>/h</w:t>
                  </w:r>
                </w:p>
              </w:tc>
            </w:tr>
            <w:tr w14:paraId="323C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9" w:type="pct"/>
                  <w:vMerge w:val="continue"/>
                  <w:tcBorders>
                    <w:tl2br w:val="nil"/>
                    <w:tr2bl w:val="nil"/>
                  </w:tcBorders>
                  <w:shd w:val="clear" w:color="auto" w:fill="auto"/>
                  <w:vAlign w:val="center"/>
                </w:tcPr>
                <w:p w14:paraId="68258225">
                  <w:pPr>
                    <w:adjustRightInd w:val="0"/>
                    <w:spacing w:line="240" w:lineRule="auto"/>
                    <w:jc w:val="center"/>
                    <w:rPr>
                      <w:rFonts w:cs="Times New Roman"/>
                      <w:color w:val="auto"/>
                      <w:sz w:val="21"/>
                      <w:szCs w:val="21"/>
                      <w:highlight w:val="none"/>
                    </w:rPr>
                  </w:pPr>
                </w:p>
              </w:tc>
              <w:tc>
                <w:tcPr>
                  <w:tcW w:w="700" w:type="pct"/>
                  <w:vMerge w:val="continue"/>
                  <w:tcBorders>
                    <w:tl2br w:val="nil"/>
                    <w:tr2bl w:val="nil"/>
                  </w:tcBorders>
                  <w:shd w:val="clear" w:color="auto" w:fill="auto"/>
                  <w:vAlign w:val="center"/>
                </w:tcPr>
                <w:p w14:paraId="02DACE9D">
                  <w:pPr>
                    <w:adjustRightInd w:val="0"/>
                    <w:spacing w:line="240" w:lineRule="auto"/>
                    <w:jc w:val="center"/>
                    <w:rPr>
                      <w:rFonts w:cs="Times New Roman"/>
                      <w:color w:val="auto"/>
                      <w:sz w:val="21"/>
                      <w:szCs w:val="21"/>
                      <w:highlight w:val="none"/>
                    </w:rPr>
                  </w:pPr>
                </w:p>
              </w:tc>
              <w:tc>
                <w:tcPr>
                  <w:tcW w:w="439" w:type="pct"/>
                  <w:vMerge w:val="continue"/>
                  <w:tcBorders>
                    <w:tl2br w:val="nil"/>
                    <w:tr2bl w:val="nil"/>
                  </w:tcBorders>
                  <w:vAlign w:val="center"/>
                </w:tcPr>
                <w:p w14:paraId="1E6C749D">
                  <w:pPr>
                    <w:adjustRightInd w:val="0"/>
                    <w:spacing w:line="240" w:lineRule="auto"/>
                    <w:jc w:val="center"/>
                    <w:rPr>
                      <w:rFonts w:cs="Times New Roman"/>
                      <w:color w:val="auto"/>
                      <w:sz w:val="21"/>
                      <w:szCs w:val="21"/>
                      <w:highlight w:val="none"/>
                    </w:rPr>
                  </w:pPr>
                </w:p>
              </w:tc>
              <w:tc>
                <w:tcPr>
                  <w:tcW w:w="573" w:type="pct"/>
                  <w:vMerge w:val="continue"/>
                  <w:tcBorders>
                    <w:tl2br w:val="nil"/>
                    <w:tr2bl w:val="nil"/>
                  </w:tcBorders>
                  <w:shd w:val="clear" w:color="auto" w:fill="auto"/>
                  <w:vAlign w:val="center"/>
                </w:tcPr>
                <w:p w14:paraId="420EB266">
                  <w:pPr>
                    <w:adjustRightInd w:val="0"/>
                    <w:spacing w:line="240" w:lineRule="auto"/>
                    <w:jc w:val="center"/>
                    <w:rPr>
                      <w:rFonts w:cs="Times New Roman"/>
                      <w:color w:val="auto"/>
                      <w:sz w:val="21"/>
                      <w:szCs w:val="21"/>
                      <w:highlight w:val="none"/>
                    </w:rPr>
                  </w:pPr>
                </w:p>
              </w:tc>
              <w:tc>
                <w:tcPr>
                  <w:tcW w:w="485" w:type="pct"/>
                  <w:vMerge w:val="continue"/>
                  <w:tcBorders>
                    <w:tl2br w:val="nil"/>
                    <w:tr2bl w:val="nil"/>
                  </w:tcBorders>
                  <w:vAlign w:val="center"/>
                </w:tcPr>
                <w:p w14:paraId="15E5E3BA">
                  <w:pPr>
                    <w:adjustRightInd w:val="0"/>
                    <w:spacing w:line="240" w:lineRule="auto"/>
                    <w:jc w:val="center"/>
                    <w:rPr>
                      <w:rFonts w:cs="Times New Roman"/>
                      <w:color w:val="auto"/>
                      <w:sz w:val="21"/>
                      <w:szCs w:val="21"/>
                      <w:highlight w:val="none"/>
                    </w:rPr>
                  </w:pPr>
                </w:p>
              </w:tc>
              <w:tc>
                <w:tcPr>
                  <w:tcW w:w="809" w:type="pct"/>
                  <w:tcBorders>
                    <w:tl2br w:val="nil"/>
                    <w:tr2bl w:val="nil"/>
                  </w:tcBorders>
                  <w:shd w:val="clear" w:color="auto" w:fill="auto"/>
                  <w:vAlign w:val="center"/>
                </w:tcPr>
                <w:p w14:paraId="1B9F1320">
                  <w:pPr>
                    <w:adjustRightInd w:val="0"/>
                    <w:spacing w:line="240" w:lineRule="auto"/>
                    <w:jc w:val="center"/>
                    <w:rPr>
                      <w:rFonts w:hint="eastAsia" w:cs="Times New Roman"/>
                      <w:color w:val="auto"/>
                      <w:sz w:val="21"/>
                      <w:szCs w:val="21"/>
                      <w:highlight w:val="none"/>
                    </w:rPr>
                  </w:pPr>
                  <w:r>
                    <w:rPr>
                      <w:rFonts w:hint="eastAsia" w:cs="Times New Roman"/>
                      <w:color w:val="auto"/>
                      <w:sz w:val="21"/>
                      <w:szCs w:val="21"/>
                      <w:highlight w:val="none"/>
                    </w:rPr>
                    <w:t>(声压级/距声源距)/(dB(A)/1m)</w:t>
                  </w:r>
                </w:p>
              </w:tc>
              <w:tc>
                <w:tcPr>
                  <w:tcW w:w="463" w:type="pct"/>
                  <w:vMerge w:val="continue"/>
                  <w:tcBorders>
                    <w:tl2br w:val="nil"/>
                    <w:tr2bl w:val="nil"/>
                  </w:tcBorders>
                  <w:shd w:val="clear" w:color="auto" w:fill="auto"/>
                  <w:vAlign w:val="center"/>
                </w:tcPr>
                <w:p w14:paraId="31A47DD2">
                  <w:pPr>
                    <w:adjustRightInd w:val="0"/>
                    <w:spacing w:line="240" w:lineRule="auto"/>
                    <w:jc w:val="center"/>
                    <w:rPr>
                      <w:rFonts w:cs="Times New Roman"/>
                      <w:color w:val="auto"/>
                      <w:sz w:val="21"/>
                      <w:szCs w:val="21"/>
                      <w:highlight w:val="none"/>
                    </w:rPr>
                  </w:pPr>
                </w:p>
              </w:tc>
              <w:tc>
                <w:tcPr>
                  <w:tcW w:w="777" w:type="pct"/>
                  <w:vMerge w:val="continue"/>
                  <w:tcBorders>
                    <w:tl2br w:val="nil"/>
                    <w:tr2bl w:val="nil"/>
                  </w:tcBorders>
                  <w:shd w:val="clear" w:color="auto" w:fill="auto"/>
                  <w:vAlign w:val="center"/>
                </w:tcPr>
                <w:p w14:paraId="12B6E0A0">
                  <w:pPr>
                    <w:adjustRightInd w:val="0"/>
                    <w:spacing w:line="240" w:lineRule="auto"/>
                    <w:jc w:val="center"/>
                    <w:rPr>
                      <w:rFonts w:cs="Times New Roman"/>
                      <w:color w:val="auto"/>
                      <w:sz w:val="21"/>
                      <w:szCs w:val="21"/>
                      <w:highlight w:val="none"/>
                    </w:rPr>
                  </w:pPr>
                </w:p>
              </w:tc>
            </w:tr>
            <w:tr w14:paraId="18EC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749" w:type="pct"/>
                  <w:tcBorders>
                    <w:tl2br w:val="nil"/>
                    <w:tr2bl w:val="nil"/>
                  </w:tcBorders>
                  <w:shd w:val="clear" w:color="auto" w:fill="auto"/>
                  <w:vAlign w:val="center"/>
                </w:tcPr>
                <w:p w14:paraId="65E81219">
                  <w:pPr>
                    <w:adjustRightInd w:val="0"/>
                    <w:spacing w:line="240" w:lineRule="auto"/>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调节池</w:t>
                  </w:r>
                </w:p>
              </w:tc>
              <w:tc>
                <w:tcPr>
                  <w:tcW w:w="700" w:type="pct"/>
                  <w:tcBorders>
                    <w:tl2br w:val="nil"/>
                    <w:tr2bl w:val="nil"/>
                  </w:tcBorders>
                  <w:shd w:val="clear" w:color="auto" w:fill="auto"/>
                  <w:vAlign w:val="center"/>
                </w:tcPr>
                <w:p w14:paraId="0DB2CAD8">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cs="Times New Roman"/>
                      <w:color w:val="auto"/>
                      <w:sz w:val="21"/>
                      <w:szCs w:val="21"/>
                      <w:highlight w:val="none"/>
                      <w:lang w:val="en-US"/>
                    </w:rPr>
                  </w:pPr>
                  <w:r>
                    <w:rPr>
                      <w:rFonts w:hint="eastAsia"/>
                      <w:color w:val="auto"/>
                      <w:spacing w:val="0"/>
                      <w:kern w:val="0"/>
                      <w:sz w:val="21"/>
                      <w:szCs w:val="21"/>
                      <w:highlight w:val="none"/>
                      <w:shd w:val="clear" w:color="auto" w:fill="auto"/>
                      <w:lang w:val="en-US" w:eastAsia="zh-CN"/>
                    </w:rPr>
                    <w:t>提升泵</w:t>
                  </w:r>
                </w:p>
              </w:tc>
              <w:tc>
                <w:tcPr>
                  <w:tcW w:w="439" w:type="pct"/>
                  <w:tcBorders>
                    <w:tl2br w:val="nil"/>
                    <w:tr2bl w:val="nil"/>
                  </w:tcBorders>
                  <w:vAlign w:val="center"/>
                </w:tcPr>
                <w:p w14:paraId="1827692B">
                  <w:pPr>
                    <w:pStyle w:val="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cs="Times New Roman"/>
                      <w:color w:val="auto"/>
                      <w:sz w:val="21"/>
                      <w:szCs w:val="21"/>
                      <w:highlight w:val="none"/>
                    </w:rPr>
                  </w:pPr>
                  <w:r>
                    <w:rPr>
                      <w:rFonts w:hint="eastAsia"/>
                      <w:color w:val="auto"/>
                      <w:sz w:val="21"/>
                      <w:szCs w:val="21"/>
                      <w:highlight w:val="none"/>
                      <w:lang w:val="en-US" w:eastAsia="zh-CN"/>
                    </w:rPr>
                    <w:t>1</w:t>
                  </w:r>
                </w:p>
              </w:tc>
              <w:tc>
                <w:tcPr>
                  <w:tcW w:w="573" w:type="pct"/>
                  <w:tcBorders>
                    <w:tl2br w:val="nil"/>
                    <w:tr2bl w:val="nil"/>
                  </w:tcBorders>
                  <w:shd w:val="clear" w:color="auto" w:fill="auto"/>
                  <w:vAlign w:val="center"/>
                </w:tcPr>
                <w:p w14:paraId="62E6F8C4">
                  <w:pPr>
                    <w:adjustRightInd w:val="0"/>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水下</w:t>
                  </w:r>
                </w:p>
              </w:tc>
              <w:tc>
                <w:tcPr>
                  <w:tcW w:w="485" w:type="pct"/>
                  <w:tcBorders>
                    <w:tl2br w:val="nil"/>
                    <w:tr2bl w:val="nil"/>
                  </w:tcBorders>
                  <w:vAlign w:val="center"/>
                </w:tcPr>
                <w:p w14:paraId="1F1C013A">
                  <w:pPr>
                    <w:adjustRightInd w:val="0"/>
                    <w:spacing w:line="240" w:lineRule="auto"/>
                    <w:jc w:val="center"/>
                    <w:rPr>
                      <w:rFonts w:cs="Times New Roman"/>
                      <w:color w:val="auto"/>
                      <w:sz w:val="21"/>
                      <w:szCs w:val="21"/>
                      <w:highlight w:val="none"/>
                    </w:rPr>
                  </w:pPr>
                  <w:r>
                    <w:rPr>
                      <w:rFonts w:cs="Times New Roman"/>
                      <w:color w:val="auto"/>
                      <w:sz w:val="21"/>
                      <w:szCs w:val="21"/>
                      <w:highlight w:val="none"/>
                    </w:rPr>
                    <w:t>频发</w:t>
                  </w:r>
                </w:p>
              </w:tc>
              <w:tc>
                <w:tcPr>
                  <w:tcW w:w="809" w:type="pct"/>
                  <w:tcBorders>
                    <w:tl2br w:val="nil"/>
                    <w:tr2bl w:val="nil"/>
                  </w:tcBorders>
                  <w:shd w:val="clear" w:color="auto" w:fill="auto"/>
                  <w:vAlign w:val="center"/>
                </w:tcPr>
                <w:p w14:paraId="1275D47F">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65</w:t>
                  </w:r>
                </w:p>
              </w:tc>
              <w:tc>
                <w:tcPr>
                  <w:tcW w:w="463" w:type="pct"/>
                  <w:vMerge w:val="restart"/>
                  <w:tcBorders>
                    <w:tl2br w:val="nil"/>
                    <w:tr2bl w:val="nil"/>
                  </w:tcBorders>
                  <w:shd w:val="clear" w:color="auto" w:fill="auto"/>
                  <w:vAlign w:val="center"/>
                </w:tcPr>
                <w:p w14:paraId="068867E8">
                  <w:pPr>
                    <w:adjustRightInd w:val="0"/>
                    <w:spacing w:line="240" w:lineRule="auto"/>
                    <w:jc w:val="center"/>
                    <w:rPr>
                      <w:rFonts w:cs="Times New Roman"/>
                      <w:color w:val="auto"/>
                      <w:sz w:val="21"/>
                      <w:szCs w:val="21"/>
                      <w:highlight w:val="none"/>
                    </w:rPr>
                  </w:pPr>
                  <w:r>
                    <w:rPr>
                      <w:rFonts w:hint="eastAsia" w:cs="Times New Roman"/>
                      <w:color w:val="auto"/>
                      <w:sz w:val="21"/>
                      <w:szCs w:val="21"/>
                      <w:highlight w:val="none"/>
                    </w:rPr>
                    <w:t>参考《污染源源强核算技术指南》各行业技术指南附录中相关设备声源源强资料</w:t>
                  </w:r>
                </w:p>
              </w:tc>
              <w:tc>
                <w:tcPr>
                  <w:tcW w:w="777" w:type="pct"/>
                  <w:tcBorders>
                    <w:tl2br w:val="nil"/>
                    <w:tr2bl w:val="nil"/>
                  </w:tcBorders>
                  <w:shd w:val="clear" w:color="auto" w:fill="auto"/>
                  <w:vAlign w:val="center"/>
                </w:tcPr>
                <w:p w14:paraId="3DF67232">
                  <w:pPr>
                    <w:adjustRightInd w:val="0"/>
                    <w:spacing w:line="240" w:lineRule="auto"/>
                    <w:jc w:val="center"/>
                    <w:rPr>
                      <w:rFonts w:cs="Times New Roman"/>
                      <w:color w:val="auto"/>
                      <w:sz w:val="21"/>
                      <w:szCs w:val="21"/>
                      <w:highlight w:val="none"/>
                    </w:rPr>
                  </w:pPr>
                  <w:r>
                    <w:rPr>
                      <w:rFonts w:hint="eastAsia" w:cs="Times New Roman"/>
                      <w:color w:val="auto"/>
                      <w:sz w:val="21"/>
                      <w:szCs w:val="21"/>
                      <w:highlight w:val="none"/>
                      <w:lang w:val="en-US" w:eastAsia="zh-CN"/>
                    </w:rPr>
                    <w:t>8760</w:t>
                  </w:r>
                </w:p>
              </w:tc>
            </w:tr>
            <w:tr w14:paraId="5C44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749" w:type="pct"/>
                  <w:tcBorders>
                    <w:tl2br w:val="nil"/>
                    <w:tr2bl w:val="nil"/>
                  </w:tcBorders>
                  <w:shd w:val="clear" w:color="auto" w:fill="auto"/>
                  <w:vAlign w:val="center"/>
                </w:tcPr>
                <w:p w14:paraId="556631DC">
                  <w:pPr>
                    <w:adjustRightInd w:val="0"/>
                    <w:spacing w:line="240" w:lineRule="auto"/>
                    <w:jc w:val="center"/>
                    <w:rPr>
                      <w:rFonts w:cs="Times New Roman"/>
                      <w:color w:val="auto"/>
                      <w:sz w:val="21"/>
                      <w:szCs w:val="21"/>
                      <w:highlight w:val="none"/>
                    </w:rPr>
                  </w:pPr>
                  <w:r>
                    <w:rPr>
                      <w:rFonts w:hint="eastAsia" w:cs="Times New Roman"/>
                      <w:color w:val="auto"/>
                      <w:sz w:val="21"/>
                      <w:szCs w:val="21"/>
                      <w:highlight w:val="none"/>
                      <w:lang w:val="en-US" w:eastAsia="zh-CN"/>
                    </w:rPr>
                    <w:t>原水罐</w:t>
                  </w:r>
                </w:p>
              </w:tc>
              <w:tc>
                <w:tcPr>
                  <w:tcW w:w="700" w:type="pct"/>
                  <w:tcBorders>
                    <w:tl2br w:val="nil"/>
                    <w:tr2bl w:val="nil"/>
                  </w:tcBorders>
                  <w:shd w:val="clear" w:color="auto" w:fill="auto"/>
                  <w:vAlign w:val="center"/>
                </w:tcPr>
                <w:p w14:paraId="4C1EBD87">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color w:val="auto"/>
                      <w:sz w:val="21"/>
                      <w:szCs w:val="21"/>
                      <w:highlight w:val="none"/>
                    </w:rPr>
                  </w:pPr>
                  <w:r>
                    <w:rPr>
                      <w:rFonts w:hint="eastAsia"/>
                      <w:color w:val="auto"/>
                      <w:spacing w:val="0"/>
                      <w:kern w:val="0"/>
                      <w:sz w:val="21"/>
                      <w:szCs w:val="21"/>
                      <w:highlight w:val="none"/>
                      <w:shd w:val="clear" w:color="auto" w:fill="auto"/>
                      <w:lang w:val="en-US" w:eastAsia="zh-CN"/>
                    </w:rPr>
                    <w:t>离心泵</w:t>
                  </w:r>
                </w:p>
              </w:tc>
              <w:tc>
                <w:tcPr>
                  <w:tcW w:w="439" w:type="pct"/>
                  <w:tcBorders>
                    <w:tl2br w:val="nil"/>
                    <w:tr2bl w:val="nil"/>
                  </w:tcBorders>
                  <w:vAlign w:val="center"/>
                </w:tcPr>
                <w:p w14:paraId="3611E3CC">
                  <w:pPr>
                    <w:pStyle w:val="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cs="Times New Roman"/>
                      <w:color w:val="auto"/>
                      <w:sz w:val="21"/>
                      <w:szCs w:val="21"/>
                      <w:highlight w:val="none"/>
                    </w:rPr>
                  </w:pPr>
                  <w:r>
                    <w:rPr>
                      <w:rFonts w:hint="eastAsia"/>
                      <w:color w:val="auto"/>
                      <w:sz w:val="21"/>
                      <w:szCs w:val="21"/>
                      <w:highlight w:val="none"/>
                      <w:lang w:val="en-US" w:eastAsia="zh-CN"/>
                    </w:rPr>
                    <w:t>1</w:t>
                  </w:r>
                </w:p>
              </w:tc>
              <w:tc>
                <w:tcPr>
                  <w:tcW w:w="573" w:type="pct"/>
                  <w:tcBorders>
                    <w:tl2br w:val="nil"/>
                    <w:tr2bl w:val="nil"/>
                  </w:tcBorders>
                  <w:shd w:val="clear" w:color="auto" w:fill="auto"/>
                  <w:vAlign w:val="center"/>
                </w:tcPr>
                <w:p w14:paraId="79049B1D">
                  <w:pPr>
                    <w:adjustRightInd w:val="0"/>
                    <w:spacing w:line="240" w:lineRule="auto"/>
                    <w:jc w:val="center"/>
                    <w:rPr>
                      <w:rFonts w:hint="eastAsia"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水下</w:t>
                  </w:r>
                </w:p>
              </w:tc>
              <w:tc>
                <w:tcPr>
                  <w:tcW w:w="485" w:type="pct"/>
                  <w:tcBorders>
                    <w:tl2br w:val="nil"/>
                    <w:tr2bl w:val="nil"/>
                  </w:tcBorders>
                  <w:vAlign w:val="center"/>
                </w:tcPr>
                <w:p w14:paraId="3FFBFF9F">
                  <w:pPr>
                    <w:adjustRightInd w:val="0"/>
                    <w:spacing w:line="240" w:lineRule="auto"/>
                    <w:jc w:val="center"/>
                    <w:rPr>
                      <w:rFonts w:cs="Times New Roman"/>
                      <w:color w:val="auto"/>
                      <w:sz w:val="21"/>
                      <w:szCs w:val="21"/>
                      <w:highlight w:val="none"/>
                    </w:rPr>
                  </w:pPr>
                  <w:r>
                    <w:rPr>
                      <w:rFonts w:cs="Times New Roman"/>
                      <w:color w:val="auto"/>
                      <w:sz w:val="21"/>
                      <w:szCs w:val="21"/>
                      <w:highlight w:val="none"/>
                    </w:rPr>
                    <w:t>频发</w:t>
                  </w:r>
                </w:p>
              </w:tc>
              <w:tc>
                <w:tcPr>
                  <w:tcW w:w="809" w:type="pct"/>
                  <w:tcBorders>
                    <w:tl2br w:val="nil"/>
                    <w:tr2bl w:val="nil"/>
                  </w:tcBorders>
                  <w:shd w:val="clear" w:color="auto" w:fill="auto"/>
                  <w:vAlign w:val="center"/>
                </w:tcPr>
                <w:p w14:paraId="7BD3FA9F">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65</w:t>
                  </w:r>
                </w:p>
              </w:tc>
              <w:tc>
                <w:tcPr>
                  <w:tcW w:w="463" w:type="pct"/>
                  <w:vMerge w:val="continue"/>
                  <w:tcBorders>
                    <w:tl2br w:val="nil"/>
                    <w:tr2bl w:val="nil"/>
                  </w:tcBorders>
                  <w:shd w:val="clear" w:color="auto" w:fill="auto"/>
                  <w:vAlign w:val="center"/>
                </w:tcPr>
                <w:p w14:paraId="5DC5C0AC">
                  <w:pPr>
                    <w:adjustRightInd w:val="0"/>
                    <w:spacing w:line="240" w:lineRule="auto"/>
                    <w:jc w:val="center"/>
                    <w:rPr>
                      <w:rFonts w:cs="Times New Roman"/>
                      <w:color w:val="auto"/>
                      <w:sz w:val="21"/>
                      <w:szCs w:val="21"/>
                      <w:highlight w:val="none"/>
                    </w:rPr>
                  </w:pPr>
                </w:p>
              </w:tc>
              <w:tc>
                <w:tcPr>
                  <w:tcW w:w="777" w:type="pct"/>
                  <w:tcBorders>
                    <w:tl2br w:val="nil"/>
                    <w:tr2bl w:val="nil"/>
                  </w:tcBorders>
                  <w:shd w:val="clear" w:color="auto" w:fill="auto"/>
                  <w:vAlign w:val="center"/>
                </w:tcPr>
                <w:p w14:paraId="5134D0F3">
                  <w:pPr>
                    <w:adjustRightInd w:val="0"/>
                    <w:spacing w:line="240" w:lineRule="auto"/>
                    <w:jc w:val="center"/>
                    <w:rPr>
                      <w:rFonts w:cs="Times New Roman"/>
                      <w:color w:val="auto"/>
                      <w:sz w:val="21"/>
                      <w:szCs w:val="21"/>
                      <w:highlight w:val="none"/>
                    </w:rPr>
                  </w:pPr>
                  <w:r>
                    <w:rPr>
                      <w:rFonts w:hint="eastAsia" w:cs="Times New Roman"/>
                      <w:color w:val="auto"/>
                      <w:sz w:val="21"/>
                      <w:szCs w:val="21"/>
                      <w:highlight w:val="none"/>
                      <w:lang w:val="en-US" w:eastAsia="zh-CN"/>
                    </w:rPr>
                    <w:t>8760</w:t>
                  </w:r>
                </w:p>
              </w:tc>
            </w:tr>
            <w:tr w14:paraId="7F90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9" w:type="pct"/>
                  <w:tcBorders>
                    <w:tl2br w:val="nil"/>
                    <w:tr2bl w:val="nil"/>
                  </w:tcBorders>
                  <w:shd w:val="clear" w:color="auto" w:fill="auto"/>
                  <w:vAlign w:val="center"/>
                </w:tcPr>
                <w:p w14:paraId="0AC132A6">
                  <w:pPr>
                    <w:adjustRightInd w:val="0"/>
                    <w:spacing w:line="240" w:lineRule="auto"/>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砂滤</w:t>
                  </w:r>
                </w:p>
              </w:tc>
              <w:tc>
                <w:tcPr>
                  <w:tcW w:w="700" w:type="pct"/>
                  <w:tcBorders>
                    <w:tl2br w:val="nil"/>
                    <w:tr2bl w:val="nil"/>
                  </w:tcBorders>
                  <w:shd w:val="clear" w:color="auto" w:fill="auto"/>
                  <w:vAlign w:val="center"/>
                </w:tcPr>
                <w:p w14:paraId="59867B4B">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color w:val="auto"/>
                      <w:spacing w:val="0"/>
                      <w:kern w:val="0"/>
                      <w:sz w:val="21"/>
                      <w:szCs w:val="21"/>
                      <w:highlight w:val="none"/>
                      <w:shd w:val="clear" w:color="auto" w:fill="auto"/>
                      <w:lang w:val="en-US" w:eastAsia="zh-CN"/>
                    </w:rPr>
                  </w:pPr>
                  <w:r>
                    <w:rPr>
                      <w:rFonts w:hint="eastAsia"/>
                      <w:color w:val="auto"/>
                      <w:spacing w:val="0"/>
                      <w:kern w:val="0"/>
                      <w:sz w:val="21"/>
                      <w:szCs w:val="21"/>
                      <w:highlight w:val="none"/>
                      <w:shd w:val="clear" w:color="auto" w:fill="auto"/>
                      <w:lang w:val="en-US" w:eastAsia="zh-CN"/>
                    </w:rPr>
                    <w:t>进水泵</w:t>
                  </w:r>
                </w:p>
              </w:tc>
              <w:tc>
                <w:tcPr>
                  <w:tcW w:w="439" w:type="pct"/>
                  <w:tcBorders>
                    <w:tl2br w:val="nil"/>
                    <w:tr2bl w:val="nil"/>
                  </w:tcBorders>
                  <w:vAlign w:val="center"/>
                </w:tcPr>
                <w:p w14:paraId="3AD6D053">
                  <w:pPr>
                    <w:pStyle w:val="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573" w:type="pct"/>
                  <w:tcBorders>
                    <w:tl2br w:val="nil"/>
                    <w:tr2bl w:val="nil"/>
                  </w:tcBorders>
                  <w:shd w:val="clear" w:color="auto" w:fill="auto"/>
                  <w:vAlign w:val="center"/>
                </w:tcPr>
                <w:p w14:paraId="40539035">
                  <w:pPr>
                    <w:adjustRightInd w:val="0"/>
                    <w:spacing w:line="240" w:lineRule="auto"/>
                    <w:jc w:val="center"/>
                    <w:rPr>
                      <w:rFonts w:hint="eastAsia" w:cs="Times New Roman"/>
                      <w:color w:val="auto"/>
                      <w:sz w:val="21"/>
                      <w:szCs w:val="21"/>
                      <w:highlight w:val="none"/>
                    </w:rPr>
                  </w:pPr>
                  <w:r>
                    <w:rPr>
                      <w:rFonts w:hint="eastAsia" w:cs="Times New Roman"/>
                      <w:color w:val="auto"/>
                      <w:sz w:val="21"/>
                      <w:szCs w:val="21"/>
                      <w:highlight w:val="none"/>
                      <w:lang w:eastAsia="zh-CN"/>
                    </w:rPr>
                    <w:t>水下</w:t>
                  </w:r>
                </w:p>
              </w:tc>
              <w:tc>
                <w:tcPr>
                  <w:tcW w:w="485" w:type="pct"/>
                  <w:tcBorders>
                    <w:tl2br w:val="nil"/>
                    <w:tr2bl w:val="nil"/>
                  </w:tcBorders>
                  <w:vAlign w:val="center"/>
                </w:tcPr>
                <w:p w14:paraId="7A58B06A">
                  <w:pPr>
                    <w:adjustRightInd w:val="0"/>
                    <w:spacing w:line="240" w:lineRule="auto"/>
                    <w:jc w:val="center"/>
                    <w:rPr>
                      <w:rFonts w:cs="Times New Roman"/>
                      <w:color w:val="auto"/>
                      <w:sz w:val="21"/>
                      <w:szCs w:val="21"/>
                      <w:highlight w:val="none"/>
                    </w:rPr>
                  </w:pPr>
                  <w:r>
                    <w:rPr>
                      <w:rFonts w:cs="Times New Roman"/>
                      <w:color w:val="auto"/>
                      <w:sz w:val="21"/>
                      <w:szCs w:val="21"/>
                      <w:highlight w:val="none"/>
                    </w:rPr>
                    <w:t>频发</w:t>
                  </w:r>
                </w:p>
              </w:tc>
              <w:tc>
                <w:tcPr>
                  <w:tcW w:w="809" w:type="pct"/>
                  <w:tcBorders>
                    <w:tl2br w:val="nil"/>
                    <w:tr2bl w:val="nil"/>
                  </w:tcBorders>
                  <w:shd w:val="clear" w:color="auto" w:fill="auto"/>
                  <w:vAlign w:val="center"/>
                </w:tcPr>
                <w:p w14:paraId="104514B4">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65</w:t>
                  </w:r>
                </w:p>
              </w:tc>
              <w:tc>
                <w:tcPr>
                  <w:tcW w:w="463" w:type="pct"/>
                  <w:vMerge w:val="continue"/>
                  <w:tcBorders>
                    <w:tl2br w:val="nil"/>
                    <w:tr2bl w:val="nil"/>
                  </w:tcBorders>
                  <w:shd w:val="clear" w:color="auto" w:fill="auto"/>
                  <w:vAlign w:val="center"/>
                </w:tcPr>
                <w:p w14:paraId="6460EBA0">
                  <w:pPr>
                    <w:adjustRightInd w:val="0"/>
                    <w:spacing w:line="240" w:lineRule="auto"/>
                    <w:jc w:val="center"/>
                    <w:rPr>
                      <w:rFonts w:cs="Times New Roman"/>
                      <w:color w:val="auto"/>
                      <w:sz w:val="21"/>
                      <w:szCs w:val="21"/>
                      <w:highlight w:val="none"/>
                    </w:rPr>
                  </w:pPr>
                </w:p>
              </w:tc>
              <w:tc>
                <w:tcPr>
                  <w:tcW w:w="777" w:type="pct"/>
                  <w:tcBorders>
                    <w:tl2br w:val="nil"/>
                    <w:tr2bl w:val="nil"/>
                  </w:tcBorders>
                  <w:shd w:val="clear" w:color="auto" w:fill="auto"/>
                  <w:vAlign w:val="center"/>
                </w:tcPr>
                <w:p w14:paraId="4E800CD7">
                  <w:pPr>
                    <w:adjustRightIn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8760</w:t>
                  </w:r>
                </w:p>
              </w:tc>
            </w:tr>
            <w:tr w14:paraId="2958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49" w:type="pct"/>
                  <w:tcBorders>
                    <w:tl2br w:val="nil"/>
                    <w:tr2bl w:val="nil"/>
                  </w:tcBorders>
                  <w:shd w:val="clear" w:color="auto" w:fill="auto"/>
                  <w:vAlign w:val="center"/>
                </w:tcPr>
                <w:p w14:paraId="28C4D448">
                  <w:pPr>
                    <w:adjustRightInd w:val="0"/>
                    <w:spacing w:line="240" w:lineRule="auto"/>
                    <w:jc w:val="center"/>
                    <w:rPr>
                      <w:rFonts w:hint="default" w:cs="Times New Roman"/>
                      <w:color w:val="auto"/>
                      <w:sz w:val="21"/>
                      <w:szCs w:val="21"/>
                      <w:highlight w:val="none"/>
                      <w:lang w:val="en-US"/>
                    </w:rPr>
                  </w:pPr>
                  <w:r>
                    <w:rPr>
                      <w:rFonts w:hint="eastAsia" w:cs="Times New Roman"/>
                      <w:color w:val="auto"/>
                      <w:sz w:val="21"/>
                      <w:szCs w:val="21"/>
                      <w:highlight w:val="none"/>
                      <w:lang w:val="en-US" w:eastAsia="zh-CN"/>
                    </w:rPr>
                    <w:t>脱气塔</w:t>
                  </w:r>
                </w:p>
              </w:tc>
              <w:tc>
                <w:tcPr>
                  <w:tcW w:w="700" w:type="pct"/>
                  <w:tcBorders>
                    <w:tl2br w:val="nil"/>
                    <w:tr2bl w:val="nil"/>
                  </w:tcBorders>
                  <w:shd w:val="clear" w:color="auto" w:fill="auto"/>
                  <w:vAlign w:val="center"/>
                </w:tcPr>
                <w:p w14:paraId="2B733F1A">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风机</w:t>
                  </w:r>
                </w:p>
              </w:tc>
              <w:tc>
                <w:tcPr>
                  <w:tcW w:w="439" w:type="pct"/>
                  <w:tcBorders>
                    <w:tl2br w:val="nil"/>
                    <w:tr2bl w:val="nil"/>
                  </w:tcBorders>
                  <w:vAlign w:val="center"/>
                </w:tcPr>
                <w:p w14:paraId="338070BD">
                  <w:pPr>
                    <w:pStyle w:val="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73" w:type="pct"/>
                  <w:tcBorders>
                    <w:tl2br w:val="nil"/>
                    <w:tr2bl w:val="nil"/>
                  </w:tcBorders>
                  <w:shd w:val="clear" w:color="auto" w:fill="auto"/>
                  <w:vAlign w:val="center"/>
                </w:tcPr>
                <w:p w14:paraId="7ED2F5EF">
                  <w:pPr>
                    <w:adjustRightInd w:val="0"/>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rPr>
                    <w:t>室</w:t>
                  </w:r>
                  <w:r>
                    <w:rPr>
                      <w:rFonts w:hint="eastAsia" w:cs="Times New Roman"/>
                      <w:color w:val="auto"/>
                      <w:sz w:val="21"/>
                      <w:szCs w:val="21"/>
                      <w:highlight w:val="none"/>
                      <w:lang w:eastAsia="zh-CN"/>
                    </w:rPr>
                    <w:t>内</w:t>
                  </w:r>
                </w:p>
              </w:tc>
              <w:tc>
                <w:tcPr>
                  <w:tcW w:w="485" w:type="pct"/>
                  <w:tcBorders>
                    <w:tl2br w:val="nil"/>
                    <w:tr2bl w:val="nil"/>
                  </w:tcBorders>
                  <w:vAlign w:val="center"/>
                </w:tcPr>
                <w:p w14:paraId="178DACFC">
                  <w:pPr>
                    <w:adjustRightInd w:val="0"/>
                    <w:spacing w:line="240" w:lineRule="auto"/>
                    <w:jc w:val="center"/>
                    <w:rPr>
                      <w:rFonts w:cs="Times New Roman"/>
                      <w:color w:val="auto"/>
                      <w:sz w:val="21"/>
                      <w:szCs w:val="21"/>
                      <w:highlight w:val="none"/>
                    </w:rPr>
                  </w:pPr>
                  <w:r>
                    <w:rPr>
                      <w:rFonts w:cs="Times New Roman"/>
                      <w:color w:val="auto"/>
                      <w:sz w:val="21"/>
                      <w:szCs w:val="21"/>
                      <w:highlight w:val="none"/>
                    </w:rPr>
                    <w:t>频发</w:t>
                  </w:r>
                </w:p>
              </w:tc>
              <w:tc>
                <w:tcPr>
                  <w:tcW w:w="809" w:type="pct"/>
                  <w:tcBorders>
                    <w:tl2br w:val="nil"/>
                    <w:tr2bl w:val="nil"/>
                  </w:tcBorders>
                  <w:shd w:val="clear" w:color="auto" w:fill="auto"/>
                  <w:vAlign w:val="center"/>
                </w:tcPr>
                <w:p w14:paraId="26246703">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pacing w:val="0"/>
                      <w:kern w:val="0"/>
                      <w:sz w:val="21"/>
                      <w:szCs w:val="21"/>
                      <w:highlight w:val="none"/>
                      <w:shd w:val="clear" w:color="auto" w:fill="auto"/>
                      <w:lang w:val="en-US" w:eastAsia="zh-CN" w:bidi="ar-SA"/>
                    </w:rPr>
                  </w:pPr>
                  <w:r>
                    <w:rPr>
                      <w:rFonts w:hint="eastAsia" w:cs="Times New Roman"/>
                      <w:color w:val="auto"/>
                      <w:spacing w:val="0"/>
                      <w:kern w:val="0"/>
                      <w:sz w:val="21"/>
                      <w:szCs w:val="21"/>
                      <w:highlight w:val="none"/>
                      <w:shd w:val="clear" w:color="auto" w:fill="auto"/>
                      <w:lang w:val="en-US" w:eastAsia="zh-CN" w:bidi="ar-SA"/>
                    </w:rPr>
                    <w:t>80</w:t>
                  </w:r>
                </w:p>
              </w:tc>
              <w:tc>
                <w:tcPr>
                  <w:tcW w:w="463" w:type="pct"/>
                  <w:vMerge w:val="continue"/>
                  <w:tcBorders>
                    <w:tl2br w:val="nil"/>
                    <w:tr2bl w:val="nil"/>
                  </w:tcBorders>
                  <w:shd w:val="clear" w:color="auto" w:fill="auto"/>
                  <w:vAlign w:val="center"/>
                </w:tcPr>
                <w:p w14:paraId="49B48D78">
                  <w:pPr>
                    <w:adjustRightInd w:val="0"/>
                    <w:spacing w:line="240" w:lineRule="auto"/>
                    <w:jc w:val="center"/>
                    <w:rPr>
                      <w:rFonts w:cs="Times New Roman"/>
                      <w:color w:val="auto"/>
                      <w:sz w:val="21"/>
                      <w:szCs w:val="21"/>
                      <w:highlight w:val="none"/>
                    </w:rPr>
                  </w:pPr>
                </w:p>
              </w:tc>
              <w:tc>
                <w:tcPr>
                  <w:tcW w:w="777" w:type="pct"/>
                  <w:tcBorders>
                    <w:tl2br w:val="nil"/>
                    <w:tr2bl w:val="nil"/>
                  </w:tcBorders>
                  <w:shd w:val="clear" w:color="auto" w:fill="auto"/>
                  <w:vAlign w:val="center"/>
                </w:tcPr>
                <w:p w14:paraId="4D996F03">
                  <w:pPr>
                    <w:adjustRightInd w:val="0"/>
                    <w:spacing w:line="240" w:lineRule="auto"/>
                    <w:jc w:val="center"/>
                    <w:rPr>
                      <w:rFonts w:cs="Times New Roman"/>
                      <w:color w:val="auto"/>
                      <w:sz w:val="21"/>
                      <w:szCs w:val="21"/>
                      <w:highlight w:val="none"/>
                    </w:rPr>
                  </w:pPr>
                  <w:r>
                    <w:rPr>
                      <w:rFonts w:hint="eastAsia" w:cs="Times New Roman"/>
                      <w:color w:val="auto"/>
                      <w:sz w:val="21"/>
                      <w:szCs w:val="21"/>
                      <w:highlight w:val="none"/>
                      <w:lang w:val="en-US" w:eastAsia="zh-CN"/>
                    </w:rPr>
                    <w:t>8760</w:t>
                  </w:r>
                </w:p>
              </w:tc>
            </w:tr>
            <w:tr w14:paraId="6B9F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49" w:type="pct"/>
                  <w:tcBorders>
                    <w:tl2br w:val="nil"/>
                    <w:tr2bl w:val="nil"/>
                  </w:tcBorders>
                  <w:shd w:val="clear" w:color="auto" w:fill="auto"/>
                  <w:vAlign w:val="center"/>
                </w:tcPr>
                <w:p w14:paraId="57125BB0">
                  <w:pPr>
                    <w:adjustRightIn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浓缩液处理</w:t>
                  </w:r>
                </w:p>
              </w:tc>
              <w:tc>
                <w:tcPr>
                  <w:tcW w:w="700" w:type="pct"/>
                  <w:tcBorders>
                    <w:tl2br w:val="nil"/>
                    <w:tr2bl w:val="nil"/>
                  </w:tcBorders>
                  <w:shd w:val="clear" w:color="auto" w:fill="auto"/>
                  <w:vAlign w:val="center"/>
                </w:tcPr>
                <w:p w14:paraId="6BDFE882">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低温蒸发一体化设备</w:t>
                  </w:r>
                </w:p>
              </w:tc>
              <w:tc>
                <w:tcPr>
                  <w:tcW w:w="439" w:type="pct"/>
                  <w:tcBorders>
                    <w:tl2br w:val="nil"/>
                    <w:tr2bl w:val="nil"/>
                  </w:tcBorders>
                  <w:vAlign w:val="center"/>
                </w:tcPr>
                <w:p w14:paraId="42475FC6">
                  <w:pPr>
                    <w:pStyle w:val="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73" w:type="pct"/>
                  <w:tcBorders>
                    <w:tl2br w:val="nil"/>
                    <w:tr2bl w:val="nil"/>
                  </w:tcBorders>
                  <w:shd w:val="clear" w:color="auto" w:fill="auto"/>
                  <w:vAlign w:val="center"/>
                </w:tcPr>
                <w:p w14:paraId="42AA19FB">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室</w:t>
                  </w:r>
                  <w:r>
                    <w:rPr>
                      <w:rFonts w:hint="eastAsia" w:cs="Times New Roman"/>
                      <w:color w:val="auto"/>
                      <w:sz w:val="21"/>
                      <w:szCs w:val="21"/>
                      <w:highlight w:val="none"/>
                      <w:lang w:eastAsia="zh-CN"/>
                    </w:rPr>
                    <w:t>内</w:t>
                  </w:r>
                </w:p>
              </w:tc>
              <w:tc>
                <w:tcPr>
                  <w:tcW w:w="485" w:type="pct"/>
                  <w:tcBorders>
                    <w:tl2br w:val="nil"/>
                    <w:tr2bl w:val="nil"/>
                  </w:tcBorders>
                  <w:shd w:val="clear" w:color="auto" w:fill="auto"/>
                  <w:vAlign w:val="center"/>
                </w:tcPr>
                <w:p w14:paraId="670745EC">
                  <w:pPr>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rPr>
                    <w:t>频发</w:t>
                  </w:r>
                </w:p>
              </w:tc>
              <w:tc>
                <w:tcPr>
                  <w:tcW w:w="809" w:type="pct"/>
                  <w:tcBorders>
                    <w:tl2br w:val="nil"/>
                    <w:tr2bl w:val="nil"/>
                  </w:tcBorders>
                  <w:shd w:val="clear" w:color="auto" w:fill="auto"/>
                  <w:vAlign w:val="center"/>
                </w:tcPr>
                <w:p w14:paraId="2AD73AFE">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pacing w:val="0"/>
                      <w:kern w:val="0"/>
                      <w:sz w:val="21"/>
                      <w:szCs w:val="21"/>
                      <w:highlight w:val="none"/>
                      <w:shd w:val="clear" w:color="auto" w:fill="auto"/>
                      <w:lang w:val="en-US" w:eastAsia="zh-CN" w:bidi="ar-SA"/>
                    </w:rPr>
                  </w:pPr>
                  <w:r>
                    <w:rPr>
                      <w:rFonts w:hint="eastAsia" w:cs="Times New Roman"/>
                      <w:color w:val="auto"/>
                      <w:spacing w:val="0"/>
                      <w:kern w:val="0"/>
                      <w:sz w:val="21"/>
                      <w:szCs w:val="21"/>
                      <w:highlight w:val="none"/>
                      <w:shd w:val="clear" w:color="auto" w:fill="auto"/>
                      <w:lang w:val="en-US" w:eastAsia="zh-CN" w:bidi="ar-SA"/>
                    </w:rPr>
                    <w:t>70</w:t>
                  </w:r>
                </w:p>
              </w:tc>
              <w:tc>
                <w:tcPr>
                  <w:tcW w:w="463" w:type="pct"/>
                  <w:vMerge w:val="continue"/>
                  <w:tcBorders>
                    <w:tl2br w:val="nil"/>
                    <w:tr2bl w:val="nil"/>
                  </w:tcBorders>
                  <w:shd w:val="clear" w:color="auto" w:fill="auto"/>
                  <w:vAlign w:val="center"/>
                </w:tcPr>
                <w:p w14:paraId="3B312CAE">
                  <w:pPr>
                    <w:adjustRightInd w:val="0"/>
                    <w:spacing w:line="240" w:lineRule="auto"/>
                    <w:jc w:val="center"/>
                    <w:rPr>
                      <w:rFonts w:cs="Times New Roman"/>
                      <w:color w:val="auto"/>
                      <w:sz w:val="21"/>
                      <w:szCs w:val="21"/>
                      <w:highlight w:val="none"/>
                    </w:rPr>
                  </w:pPr>
                </w:p>
              </w:tc>
              <w:tc>
                <w:tcPr>
                  <w:tcW w:w="777" w:type="pct"/>
                  <w:tcBorders>
                    <w:tl2br w:val="nil"/>
                    <w:tr2bl w:val="nil"/>
                  </w:tcBorders>
                  <w:shd w:val="clear" w:color="auto" w:fill="auto"/>
                  <w:vAlign w:val="center"/>
                </w:tcPr>
                <w:p w14:paraId="2F5ABEAE">
                  <w:pPr>
                    <w:adjustRightIn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8760</w:t>
                  </w:r>
                </w:p>
              </w:tc>
            </w:tr>
            <w:tr w14:paraId="2C2F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749" w:type="pct"/>
                  <w:tcBorders>
                    <w:tl2br w:val="nil"/>
                    <w:tr2bl w:val="nil"/>
                  </w:tcBorders>
                  <w:shd w:val="clear" w:color="auto" w:fill="auto"/>
                  <w:vAlign w:val="center"/>
                </w:tcPr>
                <w:p w14:paraId="0835634E">
                  <w:pPr>
                    <w:adjustRightInd w:val="0"/>
                    <w:spacing w:line="240" w:lineRule="auto"/>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空压机房</w:t>
                  </w:r>
                </w:p>
              </w:tc>
              <w:tc>
                <w:tcPr>
                  <w:tcW w:w="700" w:type="pct"/>
                  <w:tcBorders>
                    <w:tl2br w:val="nil"/>
                    <w:tr2bl w:val="nil"/>
                  </w:tcBorders>
                  <w:shd w:val="clear" w:color="auto" w:fill="auto"/>
                  <w:vAlign w:val="center"/>
                </w:tcPr>
                <w:p w14:paraId="635B04D8">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cs="Times New Roman"/>
                      <w:color w:val="auto"/>
                      <w:kern w:val="0"/>
                      <w:sz w:val="21"/>
                      <w:szCs w:val="21"/>
                      <w:highlight w:val="none"/>
                      <w:lang w:bidi="ar"/>
                    </w:rPr>
                  </w:pPr>
                  <w:r>
                    <w:rPr>
                      <w:rFonts w:hint="eastAsia"/>
                      <w:color w:val="auto"/>
                      <w:spacing w:val="0"/>
                      <w:kern w:val="0"/>
                      <w:sz w:val="21"/>
                      <w:szCs w:val="21"/>
                      <w:highlight w:val="none"/>
                      <w:shd w:val="clear" w:color="auto" w:fill="auto"/>
                      <w:lang w:val="en-US" w:eastAsia="zh-CN"/>
                    </w:rPr>
                    <w:t>空压机</w:t>
                  </w:r>
                </w:p>
              </w:tc>
              <w:tc>
                <w:tcPr>
                  <w:tcW w:w="439" w:type="pct"/>
                  <w:tcBorders>
                    <w:tl2br w:val="nil"/>
                    <w:tr2bl w:val="nil"/>
                  </w:tcBorders>
                  <w:vAlign w:val="center"/>
                </w:tcPr>
                <w:p w14:paraId="39A7A066">
                  <w:pPr>
                    <w:pStyle w:val="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73" w:type="pct"/>
                  <w:tcBorders>
                    <w:tl2br w:val="nil"/>
                    <w:tr2bl w:val="nil"/>
                  </w:tcBorders>
                  <w:shd w:val="clear" w:color="auto" w:fill="auto"/>
                  <w:vAlign w:val="center"/>
                </w:tcPr>
                <w:p w14:paraId="57E0FFDE">
                  <w:pPr>
                    <w:adjustRightInd w:val="0"/>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室内</w:t>
                  </w:r>
                </w:p>
              </w:tc>
              <w:tc>
                <w:tcPr>
                  <w:tcW w:w="485" w:type="pct"/>
                  <w:tcBorders>
                    <w:tl2br w:val="nil"/>
                    <w:tr2bl w:val="nil"/>
                  </w:tcBorders>
                  <w:vAlign w:val="center"/>
                </w:tcPr>
                <w:p w14:paraId="15630CD9">
                  <w:pPr>
                    <w:adjustRightInd w:val="0"/>
                    <w:spacing w:line="240" w:lineRule="auto"/>
                    <w:jc w:val="center"/>
                    <w:rPr>
                      <w:rFonts w:cs="Times New Roman"/>
                      <w:color w:val="auto"/>
                      <w:sz w:val="21"/>
                      <w:szCs w:val="21"/>
                      <w:highlight w:val="none"/>
                    </w:rPr>
                  </w:pPr>
                  <w:r>
                    <w:rPr>
                      <w:rFonts w:cs="Times New Roman"/>
                      <w:color w:val="auto"/>
                      <w:sz w:val="21"/>
                      <w:szCs w:val="21"/>
                      <w:highlight w:val="none"/>
                    </w:rPr>
                    <w:t>频发</w:t>
                  </w:r>
                </w:p>
              </w:tc>
              <w:tc>
                <w:tcPr>
                  <w:tcW w:w="809" w:type="pct"/>
                  <w:tcBorders>
                    <w:tl2br w:val="nil"/>
                    <w:tr2bl w:val="nil"/>
                  </w:tcBorders>
                  <w:shd w:val="clear" w:color="auto" w:fill="auto"/>
                  <w:vAlign w:val="center"/>
                </w:tcPr>
                <w:p w14:paraId="1B5514C3">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pacing w:val="0"/>
                      <w:kern w:val="0"/>
                      <w:sz w:val="21"/>
                      <w:szCs w:val="21"/>
                      <w:highlight w:val="none"/>
                      <w:shd w:val="clear" w:color="auto" w:fill="auto"/>
                      <w:lang w:val="en-US" w:eastAsia="zh-CN" w:bidi="ar-SA"/>
                    </w:rPr>
                  </w:pPr>
                  <w:r>
                    <w:rPr>
                      <w:rFonts w:hint="eastAsia" w:cs="Times New Roman"/>
                      <w:color w:val="auto"/>
                      <w:spacing w:val="0"/>
                      <w:kern w:val="0"/>
                      <w:sz w:val="21"/>
                      <w:szCs w:val="21"/>
                      <w:highlight w:val="none"/>
                      <w:shd w:val="clear" w:color="auto" w:fill="auto"/>
                      <w:lang w:val="en-US" w:eastAsia="zh-CN" w:bidi="ar-SA"/>
                    </w:rPr>
                    <w:t>80</w:t>
                  </w:r>
                </w:p>
              </w:tc>
              <w:tc>
                <w:tcPr>
                  <w:tcW w:w="463" w:type="pct"/>
                  <w:vMerge w:val="continue"/>
                  <w:tcBorders>
                    <w:tl2br w:val="nil"/>
                    <w:tr2bl w:val="nil"/>
                  </w:tcBorders>
                  <w:shd w:val="clear" w:color="auto" w:fill="auto"/>
                  <w:vAlign w:val="center"/>
                </w:tcPr>
                <w:p w14:paraId="0D411BEE">
                  <w:pPr>
                    <w:adjustRightInd w:val="0"/>
                    <w:spacing w:line="240" w:lineRule="auto"/>
                    <w:jc w:val="center"/>
                    <w:rPr>
                      <w:rFonts w:cs="Times New Roman"/>
                      <w:color w:val="auto"/>
                      <w:sz w:val="21"/>
                      <w:szCs w:val="21"/>
                      <w:highlight w:val="none"/>
                    </w:rPr>
                  </w:pPr>
                </w:p>
              </w:tc>
              <w:tc>
                <w:tcPr>
                  <w:tcW w:w="777" w:type="pct"/>
                  <w:tcBorders>
                    <w:tl2br w:val="nil"/>
                    <w:tr2bl w:val="nil"/>
                  </w:tcBorders>
                  <w:shd w:val="clear" w:color="auto" w:fill="auto"/>
                  <w:vAlign w:val="center"/>
                </w:tcPr>
                <w:p w14:paraId="00313FF4">
                  <w:pPr>
                    <w:adjustRightInd w:val="0"/>
                    <w:spacing w:line="240" w:lineRule="auto"/>
                    <w:jc w:val="center"/>
                    <w:rPr>
                      <w:rFonts w:cs="Times New Roman"/>
                      <w:color w:val="auto"/>
                      <w:sz w:val="21"/>
                      <w:szCs w:val="21"/>
                      <w:highlight w:val="none"/>
                    </w:rPr>
                  </w:pPr>
                  <w:r>
                    <w:rPr>
                      <w:rFonts w:hint="eastAsia" w:cs="Times New Roman"/>
                      <w:color w:val="auto"/>
                      <w:sz w:val="21"/>
                      <w:szCs w:val="21"/>
                      <w:highlight w:val="none"/>
                      <w:lang w:val="en-US" w:eastAsia="zh-CN"/>
                    </w:rPr>
                    <w:t>8760</w:t>
                  </w:r>
                </w:p>
              </w:tc>
            </w:tr>
            <w:tr w14:paraId="5F20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749" w:type="pct"/>
                  <w:tcBorders>
                    <w:tl2br w:val="nil"/>
                    <w:tr2bl w:val="nil"/>
                  </w:tcBorders>
                  <w:shd w:val="clear" w:color="auto" w:fill="auto"/>
                  <w:vAlign w:val="center"/>
                </w:tcPr>
                <w:p w14:paraId="5D1B89BF">
                  <w:pPr>
                    <w:adjustRightInd w:val="0"/>
                    <w:spacing w:line="240" w:lineRule="auto"/>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固化设备</w:t>
                  </w:r>
                </w:p>
              </w:tc>
              <w:tc>
                <w:tcPr>
                  <w:tcW w:w="700" w:type="pct"/>
                  <w:tcBorders>
                    <w:tl2br w:val="nil"/>
                    <w:tr2bl w:val="nil"/>
                  </w:tcBorders>
                  <w:shd w:val="clear" w:color="auto" w:fill="auto"/>
                  <w:vAlign w:val="center"/>
                </w:tcPr>
                <w:p w14:paraId="2E5EB818">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eastAsia="zh-CN" w:bidi="ar"/>
                    </w:rPr>
                    <w:t>搅拌</w:t>
                  </w:r>
                  <w:r>
                    <w:rPr>
                      <w:rFonts w:hint="eastAsia" w:cs="Times New Roman"/>
                      <w:color w:val="auto"/>
                      <w:kern w:val="0"/>
                      <w:sz w:val="21"/>
                      <w:szCs w:val="21"/>
                      <w:highlight w:val="none"/>
                      <w:lang w:val="en-US" w:eastAsia="zh-CN" w:bidi="ar"/>
                    </w:rPr>
                    <w:t>机</w:t>
                  </w:r>
                </w:p>
              </w:tc>
              <w:tc>
                <w:tcPr>
                  <w:tcW w:w="439" w:type="pct"/>
                  <w:tcBorders>
                    <w:tl2br w:val="nil"/>
                    <w:tr2bl w:val="nil"/>
                  </w:tcBorders>
                  <w:vAlign w:val="center"/>
                </w:tcPr>
                <w:p w14:paraId="2FB94AF1">
                  <w:pPr>
                    <w:pStyle w:val="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73" w:type="pct"/>
                  <w:tcBorders>
                    <w:tl2br w:val="nil"/>
                    <w:tr2bl w:val="nil"/>
                  </w:tcBorders>
                  <w:shd w:val="clear" w:color="auto" w:fill="auto"/>
                  <w:vAlign w:val="center"/>
                </w:tcPr>
                <w:p w14:paraId="0971ADA8">
                  <w:pPr>
                    <w:adjustRightInd w:val="0"/>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室外</w:t>
                  </w:r>
                </w:p>
              </w:tc>
              <w:tc>
                <w:tcPr>
                  <w:tcW w:w="485" w:type="pct"/>
                  <w:tcBorders>
                    <w:tl2br w:val="nil"/>
                    <w:tr2bl w:val="nil"/>
                  </w:tcBorders>
                  <w:vAlign w:val="center"/>
                </w:tcPr>
                <w:p w14:paraId="7498783E">
                  <w:pPr>
                    <w:adjustRightInd w:val="0"/>
                    <w:spacing w:line="240" w:lineRule="auto"/>
                    <w:jc w:val="center"/>
                    <w:rPr>
                      <w:rFonts w:cs="Times New Roman"/>
                      <w:color w:val="auto"/>
                      <w:sz w:val="21"/>
                      <w:szCs w:val="21"/>
                      <w:highlight w:val="none"/>
                    </w:rPr>
                  </w:pPr>
                  <w:r>
                    <w:rPr>
                      <w:rFonts w:cs="Times New Roman"/>
                      <w:color w:val="auto"/>
                      <w:sz w:val="21"/>
                      <w:szCs w:val="21"/>
                      <w:highlight w:val="none"/>
                    </w:rPr>
                    <w:t>频发</w:t>
                  </w:r>
                </w:p>
              </w:tc>
              <w:tc>
                <w:tcPr>
                  <w:tcW w:w="809" w:type="pct"/>
                  <w:tcBorders>
                    <w:tl2br w:val="nil"/>
                    <w:tr2bl w:val="nil"/>
                  </w:tcBorders>
                  <w:shd w:val="clear" w:color="auto" w:fill="auto"/>
                  <w:vAlign w:val="center"/>
                </w:tcPr>
                <w:p w14:paraId="14F252FC">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pacing w:val="0"/>
                      <w:kern w:val="0"/>
                      <w:sz w:val="21"/>
                      <w:szCs w:val="21"/>
                      <w:highlight w:val="none"/>
                      <w:shd w:val="clear" w:color="auto" w:fill="auto"/>
                      <w:lang w:val="en-US" w:eastAsia="zh-CN" w:bidi="ar-SA"/>
                    </w:rPr>
                  </w:pPr>
                  <w:r>
                    <w:rPr>
                      <w:rFonts w:hint="eastAsia" w:cs="Times New Roman"/>
                      <w:color w:val="auto"/>
                      <w:spacing w:val="0"/>
                      <w:kern w:val="0"/>
                      <w:sz w:val="21"/>
                      <w:szCs w:val="21"/>
                      <w:highlight w:val="none"/>
                      <w:shd w:val="clear" w:color="auto" w:fill="auto"/>
                      <w:lang w:val="en-US" w:eastAsia="zh-CN" w:bidi="ar-SA"/>
                    </w:rPr>
                    <w:t>80</w:t>
                  </w:r>
                </w:p>
              </w:tc>
              <w:tc>
                <w:tcPr>
                  <w:tcW w:w="463" w:type="pct"/>
                  <w:vMerge w:val="continue"/>
                  <w:tcBorders>
                    <w:tl2br w:val="nil"/>
                    <w:tr2bl w:val="nil"/>
                  </w:tcBorders>
                  <w:shd w:val="clear" w:color="auto" w:fill="auto"/>
                  <w:vAlign w:val="center"/>
                </w:tcPr>
                <w:p w14:paraId="22AB6942">
                  <w:pPr>
                    <w:adjustRightInd w:val="0"/>
                    <w:spacing w:line="240" w:lineRule="auto"/>
                    <w:jc w:val="center"/>
                    <w:rPr>
                      <w:rFonts w:cs="Times New Roman"/>
                      <w:color w:val="auto"/>
                      <w:sz w:val="21"/>
                      <w:szCs w:val="21"/>
                      <w:highlight w:val="none"/>
                    </w:rPr>
                  </w:pPr>
                </w:p>
              </w:tc>
              <w:tc>
                <w:tcPr>
                  <w:tcW w:w="777" w:type="pct"/>
                  <w:tcBorders>
                    <w:tl2br w:val="nil"/>
                    <w:tr2bl w:val="nil"/>
                  </w:tcBorders>
                  <w:shd w:val="clear" w:color="auto" w:fill="auto"/>
                  <w:vAlign w:val="center"/>
                </w:tcPr>
                <w:p w14:paraId="0BDE63C1">
                  <w:pPr>
                    <w:adjustRightInd w:val="0"/>
                    <w:spacing w:line="240" w:lineRule="auto"/>
                    <w:jc w:val="center"/>
                    <w:rPr>
                      <w:rFonts w:hint="eastAsia" w:cs="Times New Roman"/>
                      <w:color w:val="auto"/>
                      <w:sz w:val="21"/>
                      <w:szCs w:val="21"/>
                      <w:highlight w:val="none"/>
                    </w:rPr>
                  </w:pPr>
                  <w:r>
                    <w:rPr>
                      <w:rFonts w:hint="eastAsia" w:cs="Times New Roman"/>
                      <w:color w:val="auto"/>
                      <w:sz w:val="21"/>
                      <w:szCs w:val="21"/>
                      <w:highlight w:val="none"/>
                      <w:lang w:val="en-US" w:eastAsia="zh-CN"/>
                    </w:rPr>
                    <w:t>8760</w:t>
                  </w:r>
                </w:p>
              </w:tc>
            </w:tr>
            <w:tr w14:paraId="4D13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9" w:type="pct"/>
                  <w:tcBorders>
                    <w:tl2br w:val="nil"/>
                    <w:tr2bl w:val="nil"/>
                  </w:tcBorders>
                  <w:shd w:val="clear" w:color="auto" w:fill="auto"/>
                  <w:vAlign w:val="center"/>
                </w:tcPr>
                <w:p w14:paraId="2811B3B9">
                  <w:pPr>
                    <w:adjustRightInd w:val="0"/>
                    <w:spacing w:line="240" w:lineRule="auto"/>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化学洗涤塔</w:t>
                  </w:r>
                </w:p>
              </w:tc>
              <w:tc>
                <w:tcPr>
                  <w:tcW w:w="700" w:type="pct"/>
                  <w:tcBorders>
                    <w:tl2br w:val="nil"/>
                    <w:tr2bl w:val="nil"/>
                  </w:tcBorders>
                  <w:shd w:val="clear" w:color="auto" w:fill="auto"/>
                  <w:vAlign w:val="center"/>
                </w:tcPr>
                <w:p w14:paraId="2A107D73">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eastAsia" w:eastAsia="宋体" w:cs="Times New Roman"/>
                      <w:color w:val="auto"/>
                      <w:kern w:val="0"/>
                      <w:sz w:val="21"/>
                      <w:szCs w:val="21"/>
                      <w:highlight w:val="none"/>
                      <w:lang w:eastAsia="zh-CN" w:bidi="ar"/>
                    </w:rPr>
                  </w:pPr>
                  <w:r>
                    <w:rPr>
                      <w:rFonts w:hint="eastAsia" w:cs="Times New Roman"/>
                      <w:color w:val="auto"/>
                      <w:kern w:val="0"/>
                      <w:sz w:val="21"/>
                      <w:szCs w:val="21"/>
                      <w:highlight w:val="none"/>
                      <w:lang w:val="en-US" w:eastAsia="zh-CN" w:bidi="ar"/>
                    </w:rPr>
                    <w:t>风机</w:t>
                  </w:r>
                </w:p>
              </w:tc>
              <w:tc>
                <w:tcPr>
                  <w:tcW w:w="439" w:type="pct"/>
                  <w:tcBorders>
                    <w:tl2br w:val="nil"/>
                    <w:tr2bl w:val="nil"/>
                  </w:tcBorders>
                  <w:vAlign w:val="center"/>
                </w:tcPr>
                <w:p w14:paraId="35586005">
                  <w:pPr>
                    <w:pStyle w:val="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73" w:type="pct"/>
                  <w:tcBorders>
                    <w:tl2br w:val="nil"/>
                    <w:tr2bl w:val="nil"/>
                  </w:tcBorders>
                  <w:shd w:val="clear" w:color="auto" w:fill="auto"/>
                  <w:vAlign w:val="center"/>
                </w:tcPr>
                <w:p w14:paraId="0DF31B6B">
                  <w:pPr>
                    <w:adjustRightInd w:val="0"/>
                    <w:spacing w:line="240" w:lineRule="auto"/>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室外</w:t>
                  </w:r>
                </w:p>
              </w:tc>
              <w:tc>
                <w:tcPr>
                  <w:tcW w:w="485" w:type="pct"/>
                  <w:tcBorders>
                    <w:tl2br w:val="nil"/>
                    <w:tr2bl w:val="nil"/>
                  </w:tcBorders>
                  <w:vAlign w:val="center"/>
                </w:tcPr>
                <w:p w14:paraId="656CA2C9">
                  <w:pPr>
                    <w:adjustRightInd w:val="0"/>
                    <w:spacing w:line="240" w:lineRule="auto"/>
                    <w:jc w:val="center"/>
                    <w:rPr>
                      <w:rFonts w:cs="Times New Roman"/>
                      <w:color w:val="auto"/>
                      <w:sz w:val="21"/>
                      <w:szCs w:val="21"/>
                      <w:highlight w:val="none"/>
                    </w:rPr>
                  </w:pPr>
                  <w:r>
                    <w:rPr>
                      <w:rFonts w:cs="Times New Roman"/>
                      <w:color w:val="auto"/>
                      <w:sz w:val="21"/>
                      <w:szCs w:val="21"/>
                      <w:highlight w:val="none"/>
                    </w:rPr>
                    <w:t>频发</w:t>
                  </w:r>
                </w:p>
              </w:tc>
              <w:tc>
                <w:tcPr>
                  <w:tcW w:w="809" w:type="pct"/>
                  <w:tcBorders>
                    <w:tl2br w:val="nil"/>
                    <w:tr2bl w:val="nil"/>
                  </w:tcBorders>
                  <w:shd w:val="clear" w:color="auto" w:fill="auto"/>
                  <w:vAlign w:val="center"/>
                </w:tcPr>
                <w:p w14:paraId="788D43EE">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pacing w:val="0"/>
                      <w:kern w:val="0"/>
                      <w:sz w:val="21"/>
                      <w:szCs w:val="21"/>
                      <w:highlight w:val="none"/>
                      <w:shd w:val="clear" w:color="auto" w:fill="auto"/>
                      <w:lang w:val="en-US" w:eastAsia="zh-CN" w:bidi="ar-SA"/>
                    </w:rPr>
                  </w:pPr>
                  <w:r>
                    <w:rPr>
                      <w:rFonts w:hint="eastAsia" w:ascii="Times New Roman" w:hAnsi="Times New Roman" w:eastAsia="宋体" w:cs="Times New Roman"/>
                      <w:color w:val="auto"/>
                      <w:spacing w:val="0"/>
                      <w:kern w:val="0"/>
                      <w:sz w:val="21"/>
                      <w:szCs w:val="21"/>
                      <w:highlight w:val="none"/>
                      <w:shd w:val="clear" w:color="auto" w:fill="auto"/>
                      <w:lang w:val="en-US" w:eastAsia="zh-CN" w:bidi="ar-SA"/>
                    </w:rPr>
                    <w:t>80</w:t>
                  </w:r>
                </w:p>
              </w:tc>
              <w:tc>
                <w:tcPr>
                  <w:tcW w:w="463" w:type="pct"/>
                  <w:vMerge w:val="continue"/>
                  <w:tcBorders>
                    <w:tl2br w:val="nil"/>
                    <w:tr2bl w:val="nil"/>
                  </w:tcBorders>
                  <w:shd w:val="clear" w:color="auto" w:fill="auto"/>
                  <w:vAlign w:val="center"/>
                </w:tcPr>
                <w:p w14:paraId="186B59A4">
                  <w:pPr>
                    <w:adjustRightInd w:val="0"/>
                    <w:spacing w:line="240" w:lineRule="auto"/>
                    <w:jc w:val="center"/>
                    <w:rPr>
                      <w:rFonts w:cs="Times New Roman"/>
                      <w:color w:val="auto"/>
                      <w:sz w:val="21"/>
                      <w:szCs w:val="21"/>
                      <w:highlight w:val="none"/>
                    </w:rPr>
                  </w:pPr>
                </w:p>
              </w:tc>
              <w:tc>
                <w:tcPr>
                  <w:tcW w:w="777" w:type="pct"/>
                  <w:tcBorders>
                    <w:tl2br w:val="nil"/>
                    <w:tr2bl w:val="nil"/>
                  </w:tcBorders>
                  <w:shd w:val="clear" w:color="auto" w:fill="auto"/>
                  <w:vAlign w:val="center"/>
                </w:tcPr>
                <w:p w14:paraId="4F3D4B15">
                  <w:pPr>
                    <w:adjustRightInd w:val="0"/>
                    <w:spacing w:line="240" w:lineRule="auto"/>
                    <w:jc w:val="center"/>
                    <w:rPr>
                      <w:rFonts w:hint="eastAsia" w:cs="Times New Roman"/>
                      <w:color w:val="auto"/>
                      <w:sz w:val="21"/>
                      <w:szCs w:val="21"/>
                      <w:highlight w:val="none"/>
                    </w:rPr>
                  </w:pPr>
                  <w:r>
                    <w:rPr>
                      <w:rFonts w:hint="eastAsia" w:cs="Times New Roman"/>
                      <w:color w:val="auto"/>
                      <w:sz w:val="21"/>
                      <w:szCs w:val="21"/>
                      <w:highlight w:val="none"/>
                      <w:lang w:val="en-US" w:eastAsia="zh-CN"/>
                    </w:rPr>
                    <w:t>8760</w:t>
                  </w:r>
                </w:p>
              </w:tc>
            </w:tr>
          </w:tbl>
          <w:p w14:paraId="11452941">
            <w:pPr>
              <w:pStyle w:val="37"/>
              <w:rPr>
                <w:rFonts w:hint="eastAsia"/>
                <w:b/>
                <w:bCs/>
                <w:color w:val="auto"/>
                <w:kern w:val="24"/>
                <w:sz w:val="24"/>
                <w:szCs w:val="24"/>
                <w:highlight w:val="none"/>
              </w:rPr>
            </w:pPr>
          </w:p>
          <w:p w14:paraId="5314557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cs="Times New Roman"/>
                <w:b/>
                <w:bCs/>
                <w:color w:val="auto"/>
                <w:sz w:val="24"/>
                <w:highlight w:val="none"/>
              </w:rPr>
            </w:pPr>
            <w:r>
              <w:rPr>
                <w:rFonts w:hint="eastAsia"/>
                <w:b/>
                <w:bCs/>
                <w:color w:val="auto"/>
                <w:sz w:val="24"/>
                <w:szCs w:val="24"/>
                <w:highlight w:val="none"/>
                <w:lang w:val="en-US" w:eastAsia="zh-CN"/>
              </w:rPr>
              <w:t>（二）</w:t>
            </w:r>
            <w:r>
              <w:rPr>
                <w:rFonts w:hint="eastAsia" w:ascii="Times New Roman" w:hAnsi="Times New Roman" w:cs="Times New Roman"/>
                <w:b/>
                <w:bCs/>
                <w:color w:val="auto"/>
                <w:sz w:val="24"/>
                <w:highlight w:val="none"/>
              </w:rPr>
              <w:t>声环境影响分析</w:t>
            </w:r>
          </w:p>
          <w:p w14:paraId="5F466617">
            <w:pPr>
              <w:pStyle w:val="5"/>
              <w:pageBreakBefore w:val="0"/>
              <w:widowControl w:val="0"/>
              <w:kinsoku/>
              <w:wordWrap/>
              <w:overflowPunct/>
              <w:topLinePunct w:val="0"/>
              <w:autoSpaceDE/>
              <w:autoSpaceDN/>
              <w:bidi w:val="0"/>
              <w:adjustRightInd/>
              <w:spacing w:before="0" w:after="0" w:line="360" w:lineRule="auto"/>
              <w:ind w:firstLine="482"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rPr>
              <w:t>预测模型</w:t>
            </w:r>
          </w:p>
          <w:p w14:paraId="661F4196">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cs="Times New Roman" w:eastAsiaTheme="minorEastAsia"/>
                <w:color w:val="auto"/>
                <w:sz w:val="24"/>
                <w:szCs w:val="24"/>
                <w:highlight w:val="none"/>
              </w:rPr>
            </w:pPr>
            <w:r>
              <w:rPr>
                <w:rFonts w:hint="default" w:eastAsiaTheme="minorEastAsia"/>
                <w:color w:val="auto"/>
                <w:sz w:val="24"/>
                <w:highlight w:val="none"/>
              </w:rPr>
              <w:t>根据项目建设内容及《环境影响评价技术导则</w:t>
            </w:r>
            <w:r>
              <w:rPr>
                <w:rFonts w:hint="eastAsia" w:eastAsiaTheme="minorEastAsia"/>
                <w:color w:val="auto"/>
                <w:sz w:val="24"/>
                <w:highlight w:val="none"/>
              </w:rPr>
              <w:t xml:space="preserve"> </w:t>
            </w:r>
            <w:r>
              <w:rPr>
                <w:rFonts w:hint="default" w:eastAsiaTheme="minorEastAsia"/>
                <w:color w:val="auto"/>
                <w:sz w:val="24"/>
                <w:highlight w:val="none"/>
              </w:rPr>
              <w:t>声环境》（HJ2.4-2021）的要求，项目</w:t>
            </w:r>
            <w:r>
              <w:rPr>
                <w:rFonts w:hint="eastAsia" w:eastAsiaTheme="minorEastAsia"/>
                <w:color w:val="auto"/>
                <w:sz w:val="24"/>
                <w:highlight w:val="none"/>
              </w:rPr>
              <w:t>声环境预测</w:t>
            </w:r>
            <w:r>
              <w:rPr>
                <w:rFonts w:hint="default" w:eastAsiaTheme="minorEastAsia"/>
                <w:color w:val="auto"/>
                <w:sz w:val="24"/>
                <w:highlight w:val="none"/>
              </w:rPr>
              <w:t>采用的模型为《环境影响评价技术导则 声环境》(HJ2.4.2021)附录A（规范性附录）户外声传播的衰减和附录B（规范性附录）中</w:t>
            </w:r>
            <w:r>
              <w:rPr>
                <w:rFonts w:hint="default" w:asciiTheme="minorEastAsia" w:hAnsiTheme="minorEastAsia" w:eastAsiaTheme="minorEastAsia"/>
                <w:color w:val="auto"/>
                <w:sz w:val="24"/>
                <w:highlight w:val="none"/>
              </w:rPr>
              <w:t>“</w:t>
            </w:r>
            <w:r>
              <w:rPr>
                <w:rFonts w:hint="default" w:eastAsiaTheme="minorEastAsia"/>
                <w:color w:val="auto"/>
                <w:sz w:val="24"/>
                <w:highlight w:val="none"/>
              </w:rPr>
              <w:t>B.1工业噪声预测计算模型</w:t>
            </w:r>
            <w:r>
              <w:rPr>
                <w:rFonts w:hint="default" w:asciiTheme="minorEastAsia" w:hAnsiTheme="minorEastAsia" w:eastAsiaTheme="minorEastAsia"/>
                <w:color w:val="auto"/>
                <w:sz w:val="24"/>
                <w:highlight w:val="none"/>
              </w:rPr>
              <w:t>”</w:t>
            </w:r>
            <w:r>
              <w:rPr>
                <w:rFonts w:hint="default" w:eastAsiaTheme="minorEastAsia"/>
                <w:color w:val="auto"/>
                <w:sz w:val="24"/>
                <w:highlight w:val="none"/>
              </w:rPr>
              <w:t>。</w:t>
            </w:r>
          </w:p>
          <w:p w14:paraId="11249C5B">
            <w:pPr>
              <w:pStyle w:val="5"/>
              <w:pageBreakBefore w:val="0"/>
              <w:widowControl w:val="0"/>
              <w:kinsoku/>
              <w:wordWrap/>
              <w:overflowPunct/>
              <w:topLinePunct w:val="0"/>
              <w:autoSpaceDE/>
              <w:autoSpaceDN/>
              <w:bidi w:val="0"/>
              <w:adjustRightInd/>
              <w:spacing w:before="0" w:after="0" w:line="360" w:lineRule="auto"/>
              <w:ind w:firstLine="482"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rPr>
              <w:t>预测基础数据</w:t>
            </w:r>
          </w:p>
          <w:p w14:paraId="7D727385">
            <w:pPr>
              <w:pageBreakBefore w:val="0"/>
              <w:widowControl w:val="0"/>
              <w:kinsoku/>
              <w:wordWrap/>
              <w:overflowPunct/>
              <w:topLinePunct w:val="0"/>
              <w:autoSpaceDE/>
              <w:autoSpaceDN/>
              <w:bidi w:val="0"/>
              <w:adjustRightInd/>
              <w:snapToGrid w:val="0"/>
              <w:spacing w:line="360" w:lineRule="auto"/>
              <w:ind w:firstLine="482" w:firstLineChars="200"/>
              <w:textAlignment w:val="auto"/>
              <w:rPr>
                <w:rFonts w:cs="Times New Roman" w:eastAsiaTheme="minorEastAsia"/>
                <w:color w:val="auto"/>
                <w:sz w:val="24"/>
                <w:szCs w:val="24"/>
                <w:highlight w:val="none"/>
              </w:rPr>
            </w:pPr>
            <w:r>
              <w:rPr>
                <w:rFonts w:cs="Times New Roman"/>
                <w:b/>
                <w:bCs/>
                <w:color w:val="auto"/>
                <w:sz w:val="24"/>
                <w:szCs w:val="24"/>
                <w:highlight w:val="none"/>
              </w:rPr>
              <w:t>（1）</w:t>
            </w:r>
            <w:r>
              <w:rPr>
                <w:rFonts w:hint="eastAsia" w:cs="Times New Roman"/>
                <w:b/>
                <w:bCs/>
                <w:color w:val="auto"/>
                <w:sz w:val="24"/>
                <w:szCs w:val="24"/>
                <w:highlight w:val="none"/>
              </w:rPr>
              <w:t>声源数据</w:t>
            </w:r>
          </w:p>
          <w:p w14:paraId="429D3F80">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cs="Times New Roman" w:eastAsiaTheme="minorEastAsia"/>
                <w:color w:val="auto"/>
                <w:sz w:val="24"/>
                <w:szCs w:val="24"/>
                <w:highlight w:val="none"/>
              </w:rPr>
            </w:pPr>
            <w:r>
              <w:rPr>
                <w:rFonts w:hint="eastAsia"/>
                <w:color w:val="auto"/>
                <w:sz w:val="24"/>
                <w:szCs w:val="24"/>
                <w:highlight w:val="none"/>
              </w:rPr>
              <w:t>本项目</w:t>
            </w:r>
            <w:r>
              <w:rPr>
                <w:color w:val="auto"/>
                <w:sz w:val="24"/>
                <w:szCs w:val="24"/>
                <w:highlight w:val="none"/>
              </w:rPr>
              <w:t>噪声源</w:t>
            </w:r>
            <w:r>
              <w:rPr>
                <w:rFonts w:hint="eastAsia"/>
                <w:color w:val="auto"/>
                <w:sz w:val="24"/>
                <w:szCs w:val="24"/>
                <w:highlight w:val="none"/>
              </w:rPr>
              <w:t>主要为各类风机、空压机、水泵等</w:t>
            </w:r>
            <w:r>
              <w:rPr>
                <w:rFonts w:hint="eastAsia"/>
                <w:color w:val="auto"/>
                <w:sz w:val="24"/>
                <w:szCs w:val="24"/>
                <w:highlight w:val="none"/>
                <w:lang w:eastAsia="zh-CN"/>
              </w:rPr>
              <w:t>设备产生的噪声，</w:t>
            </w:r>
            <w:r>
              <w:rPr>
                <w:rFonts w:cs="Times New Roman" w:eastAsiaTheme="minorEastAsia"/>
                <w:color w:val="auto"/>
                <w:sz w:val="24"/>
                <w:szCs w:val="24"/>
                <w:highlight w:val="none"/>
              </w:rPr>
              <w:t>噪声声级</w:t>
            </w:r>
            <w:r>
              <w:rPr>
                <w:color w:val="auto"/>
                <w:sz w:val="24"/>
                <w:szCs w:val="24"/>
                <w:highlight w:val="none"/>
              </w:rPr>
              <w:t>一般在</w:t>
            </w:r>
            <w:r>
              <w:rPr>
                <w:rFonts w:hint="eastAsia"/>
                <w:color w:val="auto"/>
                <w:sz w:val="24"/>
                <w:szCs w:val="24"/>
                <w:highlight w:val="none"/>
              </w:rPr>
              <w:t>6</w:t>
            </w:r>
            <w:r>
              <w:rPr>
                <w:rFonts w:hint="eastAsia"/>
                <w:color w:val="auto"/>
                <w:sz w:val="24"/>
                <w:szCs w:val="24"/>
                <w:highlight w:val="none"/>
                <w:lang w:val="en-US" w:eastAsia="zh-CN"/>
              </w:rPr>
              <w:t>5</w:t>
            </w:r>
            <w:r>
              <w:rPr>
                <w:color w:val="auto"/>
                <w:sz w:val="24"/>
                <w:szCs w:val="24"/>
                <w:highlight w:val="none"/>
              </w:rPr>
              <w:t>～</w:t>
            </w:r>
            <w:r>
              <w:rPr>
                <w:rFonts w:hint="eastAsia"/>
                <w:color w:val="auto"/>
                <w:sz w:val="24"/>
                <w:szCs w:val="24"/>
                <w:highlight w:val="none"/>
                <w:lang w:val="en-US" w:eastAsia="zh-CN"/>
              </w:rPr>
              <w:t>8</w:t>
            </w:r>
            <w:r>
              <w:rPr>
                <w:rFonts w:hint="eastAsia"/>
                <w:color w:val="auto"/>
                <w:sz w:val="24"/>
                <w:szCs w:val="24"/>
                <w:highlight w:val="none"/>
              </w:rPr>
              <w:t>0</w:t>
            </w:r>
            <w:r>
              <w:rPr>
                <w:color w:val="auto"/>
                <w:sz w:val="24"/>
                <w:szCs w:val="24"/>
                <w:highlight w:val="none"/>
              </w:rPr>
              <w:t>dB</w:t>
            </w:r>
            <w:r>
              <w:rPr>
                <w:rFonts w:hint="eastAsia"/>
                <w:color w:val="auto"/>
                <w:sz w:val="24"/>
                <w:szCs w:val="24"/>
                <w:highlight w:val="none"/>
              </w:rPr>
              <w:t>（A）</w:t>
            </w:r>
            <w:r>
              <w:rPr>
                <w:color w:val="auto"/>
                <w:sz w:val="24"/>
                <w:szCs w:val="24"/>
                <w:highlight w:val="none"/>
              </w:rPr>
              <w:t>之间。</w:t>
            </w:r>
          </w:p>
          <w:p w14:paraId="4B5C68CC">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cs="Times New Roman" w:eastAsiaTheme="minorEastAsia"/>
                <w:color w:val="auto"/>
                <w:sz w:val="24"/>
                <w:szCs w:val="24"/>
                <w:highlight w:val="none"/>
              </w:rPr>
            </w:pPr>
            <w:r>
              <w:rPr>
                <w:rFonts w:cs="Times New Roman" w:eastAsiaTheme="minorEastAsia"/>
                <w:color w:val="auto"/>
                <w:sz w:val="24"/>
                <w:szCs w:val="24"/>
                <w:highlight w:val="none"/>
              </w:rPr>
              <w:t>项目产生噪声的噪声源强调查清单见表</w:t>
            </w:r>
            <w:r>
              <w:rPr>
                <w:rFonts w:hint="eastAsia" w:cs="Times New Roman" w:eastAsiaTheme="minorEastAsia"/>
                <w:color w:val="auto"/>
                <w:sz w:val="24"/>
                <w:szCs w:val="24"/>
                <w:highlight w:val="none"/>
                <w:lang w:val="en-US" w:eastAsia="zh-CN"/>
              </w:rPr>
              <w:t>4-19、表4-20</w:t>
            </w:r>
            <w:r>
              <w:rPr>
                <w:rFonts w:cs="Times New Roman" w:eastAsiaTheme="minorEastAsia"/>
                <w:color w:val="auto"/>
                <w:sz w:val="24"/>
                <w:szCs w:val="24"/>
                <w:highlight w:val="none"/>
              </w:rPr>
              <w:t>。</w:t>
            </w:r>
          </w:p>
          <w:p w14:paraId="56C868EB">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cs="Times New Roman" w:eastAsiaTheme="minorEastAsia"/>
                <w:color w:val="auto"/>
                <w:sz w:val="24"/>
                <w:szCs w:val="24"/>
                <w:highlight w:val="none"/>
              </w:rPr>
            </w:pPr>
            <w:r>
              <w:rPr>
                <w:rFonts w:cs="Times New Roman" w:eastAsiaTheme="minorEastAsia"/>
                <w:color w:val="auto"/>
                <w:sz w:val="24"/>
                <w:szCs w:val="24"/>
                <w:highlight w:val="none"/>
              </w:rPr>
              <w:t>本项目取总平面图中西厂界与</w:t>
            </w:r>
            <w:r>
              <w:rPr>
                <w:rFonts w:hint="eastAsia" w:cs="Times New Roman" w:eastAsiaTheme="minorEastAsia"/>
                <w:color w:val="auto"/>
                <w:sz w:val="24"/>
                <w:szCs w:val="24"/>
                <w:highlight w:val="none"/>
                <w:lang w:eastAsia="zh-CN"/>
              </w:rPr>
              <w:t>南</w:t>
            </w:r>
            <w:r>
              <w:rPr>
                <w:rFonts w:cs="Times New Roman" w:eastAsiaTheme="minorEastAsia"/>
                <w:color w:val="auto"/>
                <w:sz w:val="24"/>
                <w:szCs w:val="24"/>
                <w:highlight w:val="none"/>
              </w:rPr>
              <w:t>厂界交点作为坐标原点（</w:t>
            </w:r>
            <w:r>
              <w:rPr>
                <w:rFonts w:hint="eastAsia" w:cs="Times New Roman" w:eastAsiaTheme="minorEastAsia"/>
                <w:color w:val="auto"/>
                <w:sz w:val="24"/>
                <w:szCs w:val="24"/>
                <w:highlight w:val="none"/>
              </w:rPr>
              <w:t>0，0，0</w:t>
            </w:r>
            <w:r>
              <w:rPr>
                <w:rFonts w:cs="Times New Roman" w:eastAsiaTheme="minorEastAsia"/>
                <w:color w:val="auto"/>
                <w:sz w:val="24"/>
                <w:szCs w:val="24"/>
                <w:highlight w:val="none"/>
              </w:rPr>
              <w:t>）。</w:t>
            </w:r>
          </w:p>
          <w:p w14:paraId="33E3BD41">
            <w:pPr>
              <w:pageBreakBefore w:val="0"/>
              <w:widowControl w:val="0"/>
              <w:numPr>
                <w:ilvl w:val="0"/>
                <w:numId w:val="3"/>
              </w:numPr>
              <w:kinsoku/>
              <w:wordWrap/>
              <w:overflowPunct/>
              <w:topLinePunct w:val="0"/>
              <w:autoSpaceDE/>
              <w:autoSpaceDN/>
              <w:bidi w:val="0"/>
              <w:adjustRightInd/>
              <w:spacing w:line="360" w:lineRule="auto"/>
              <w:ind w:firstLine="482" w:firstLineChars="200"/>
              <w:textAlignment w:val="auto"/>
              <w:rPr>
                <w:rFonts w:cs="Times New Roman"/>
                <w:b/>
                <w:bCs/>
                <w:color w:val="auto"/>
                <w:sz w:val="24"/>
                <w:szCs w:val="24"/>
                <w:highlight w:val="none"/>
              </w:rPr>
            </w:pPr>
            <w:r>
              <w:rPr>
                <w:rFonts w:hint="eastAsia" w:cs="Times New Roman"/>
                <w:b/>
                <w:bCs/>
                <w:color w:val="auto"/>
                <w:sz w:val="24"/>
                <w:szCs w:val="24"/>
                <w:highlight w:val="none"/>
              </w:rPr>
              <w:t>环境</w:t>
            </w:r>
            <w:r>
              <w:rPr>
                <w:rFonts w:cs="Times New Roman"/>
                <w:b/>
                <w:bCs/>
                <w:color w:val="auto"/>
                <w:sz w:val="24"/>
                <w:szCs w:val="24"/>
                <w:highlight w:val="none"/>
              </w:rPr>
              <w:t>数据</w:t>
            </w:r>
          </w:p>
          <w:p w14:paraId="5D761A1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项目噪声环境影响预测基础数据见表4-</w:t>
            </w:r>
            <w:r>
              <w:rPr>
                <w:rFonts w:hint="eastAsia"/>
                <w:color w:val="auto"/>
                <w:sz w:val="24"/>
                <w:highlight w:val="none"/>
                <w:lang w:val="en-US" w:eastAsia="zh-CN"/>
              </w:rPr>
              <w:t>18</w:t>
            </w:r>
            <w:r>
              <w:rPr>
                <w:rFonts w:hint="default"/>
                <w:color w:val="auto"/>
                <w:sz w:val="24"/>
                <w:highlight w:val="none"/>
              </w:rPr>
              <w:t>。</w:t>
            </w:r>
          </w:p>
          <w:p w14:paraId="1FCC07BC">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default"/>
                <w:b/>
                <w:bCs/>
                <w:color w:val="auto"/>
                <w:kern w:val="24"/>
                <w:sz w:val="24"/>
                <w:highlight w:val="none"/>
              </w:rPr>
            </w:pPr>
            <w:r>
              <w:rPr>
                <w:rFonts w:hint="default"/>
                <w:b/>
                <w:bCs/>
                <w:color w:val="auto"/>
                <w:kern w:val="24"/>
                <w:sz w:val="24"/>
                <w:highlight w:val="none"/>
              </w:rPr>
              <w:t>表4-</w:t>
            </w:r>
            <w:r>
              <w:rPr>
                <w:rFonts w:hint="eastAsia"/>
                <w:b/>
                <w:bCs/>
                <w:color w:val="auto"/>
                <w:kern w:val="24"/>
                <w:sz w:val="24"/>
                <w:highlight w:val="none"/>
                <w:lang w:val="en-US" w:eastAsia="zh-CN"/>
              </w:rPr>
              <w:t xml:space="preserve">18  </w:t>
            </w:r>
            <w:r>
              <w:rPr>
                <w:rFonts w:hint="eastAsia"/>
                <w:b/>
                <w:bCs/>
                <w:color w:val="auto"/>
                <w:kern w:val="24"/>
                <w:sz w:val="24"/>
                <w:highlight w:val="none"/>
              </w:rPr>
              <w:t xml:space="preserve">  </w:t>
            </w:r>
            <w:r>
              <w:rPr>
                <w:rFonts w:hint="default"/>
                <w:b/>
                <w:bCs/>
                <w:color w:val="auto"/>
                <w:kern w:val="24"/>
                <w:sz w:val="24"/>
                <w:highlight w:val="none"/>
              </w:rPr>
              <w:t>项目噪声环境影响预测基础数据表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211"/>
              <w:gridCol w:w="2211"/>
              <w:gridCol w:w="2213"/>
            </w:tblGrid>
            <w:tr w14:paraId="4491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844" w:type="dxa"/>
                  <w:vAlign w:val="center"/>
                </w:tcPr>
                <w:p w14:paraId="2EE0CCE3">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序号</w:t>
                  </w:r>
                </w:p>
              </w:tc>
              <w:tc>
                <w:tcPr>
                  <w:tcW w:w="2843" w:type="dxa"/>
                  <w:vAlign w:val="center"/>
                </w:tcPr>
                <w:p w14:paraId="196EDE84">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名称</w:t>
                  </w:r>
                </w:p>
              </w:tc>
              <w:tc>
                <w:tcPr>
                  <w:tcW w:w="2843" w:type="dxa"/>
                  <w:vAlign w:val="center"/>
                </w:tcPr>
                <w:p w14:paraId="6EB7948A">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单位</w:t>
                  </w:r>
                </w:p>
              </w:tc>
              <w:tc>
                <w:tcPr>
                  <w:tcW w:w="2843" w:type="dxa"/>
                  <w:vAlign w:val="center"/>
                </w:tcPr>
                <w:p w14:paraId="6D62DDF3">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数据</w:t>
                  </w:r>
                </w:p>
              </w:tc>
            </w:tr>
            <w:tr w14:paraId="3052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844" w:type="dxa"/>
                  <w:vAlign w:val="center"/>
                </w:tcPr>
                <w:p w14:paraId="28E293A7">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1</w:t>
                  </w:r>
                </w:p>
              </w:tc>
              <w:tc>
                <w:tcPr>
                  <w:tcW w:w="2843" w:type="dxa"/>
                  <w:vAlign w:val="center"/>
                </w:tcPr>
                <w:p w14:paraId="01AC168C">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年平均风速</w:t>
                  </w:r>
                </w:p>
              </w:tc>
              <w:tc>
                <w:tcPr>
                  <w:tcW w:w="2843" w:type="dxa"/>
                  <w:vAlign w:val="center"/>
                </w:tcPr>
                <w:p w14:paraId="7ED73077">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m/s</w:t>
                  </w:r>
                </w:p>
              </w:tc>
              <w:tc>
                <w:tcPr>
                  <w:tcW w:w="2843" w:type="dxa"/>
                  <w:vAlign w:val="center"/>
                </w:tcPr>
                <w:p w14:paraId="182F8495">
                  <w:pPr>
                    <w:pStyle w:val="29"/>
                    <w:adjustRightInd w:val="0"/>
                    <w:spacing w:after="0" w:line="240" w:lineRule="auto"/>
                    <w:ind w:right="0" w:rightChars="0" w:firstLine="0" w:firstLineChars="0"/>
                    <w:jc w:val="center"/>
                    <w:rPr>
                      <w:rFonts w:hint="default"/>
                      <w:color w:val="auto"/>
                      <w:szCs w:val="21"/>
                      <w:highlight w:val="none"/>
                    </w:rPr>
                  </w:pPr>
                  <w:r>
                    <w:rPr>
                      <w:rFonts w:hint="default" w:ascii="Times New Roman" w:hAnsi="Times New Roman" w:eastAsia="宋体" w:cs="Times New Roman"/>
                      <w:color w:val="auto"/>
                      <w:kern w:val="0"/>
                      <w:sz w:val="21"/>
                      <w:szCs w:val="21"/>
                      <w:highlight w:val="none"/>
                      <w:lang w:val="en-US" w:eastAsia="zh-CN"/>
                    </w:rPr>
                    <w:t>2.46</w:t>
                  </w:r>
                </w:p>
              </w:tc>
            </w:tr>
            <w:tr w14:paraId="6B54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844" w:type="dxa"/>
                  <w:vAlign w:val="center"/>
                </w:tcPr>
                <w:p w14:paraId="2B2EC61E">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2</w:t>
                  </w:r>
                </w:p>
              </w:tc>
              <w:tc>
                <w:tcPr>
                  <w:tcW w:w="2843" w:type="dxa"/>
                  <w:vAlign w:val="center"/>
                </w:tcPr>
                <w:p w14:paraId="68FA771E">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主导风向</w:t>
                  </w:r>
                </w:p>
              </w:tc>
              <w:tc>
                <w:tcPr>
                  <w:tcW w:w="2843" w:type="dxa"/>
                  <w:vAlign w:val="center"/>
                </w:tcPr>
                <w:p w14:paraId="36DC1510">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w:t>
                  </w:r>
                </w:p>
              </w:tc>
              <w:tc>
                <w:tcPr>
                  <w:tcW w:w="2843" w:type="dxa"/>
                  <w:vAlign w:val="center"/>
                </w:tcPr>
                <w:p w14:paraId="7D360BD3">
                  <w:pPr>
                    <w:pStyle w:val="29"/>
                    <w:adjustRightInd w:val="0"/>
                    <w:spacing w:after="0" w:line="240" w:lineRule="auto"/>
                    <w:ind w:right="0" w:rightChars="0" w:firstLine="0" w:firstLineChars="0"/>
                    <w:jc w:val="center"/>
                    <w:rPr>
                      <w:rFonts w:hint="default"/>
                      <w:color w:val="auto"/>
                      <w:szCs w:val="21"/>
                      <w:highlight w:val="none"/>
                    </w:rPr>
                  </w:pPr>
                  <w:r>
                    <w:rPr>
                      <w:rFonts w:hint="default" w:ascii="Times New Roman" w:hAnsi="Times New Roman" w:cs="Times New Roman"/>
                      <w:color w:val="auto"/>
                      <w:kern w:val="0"/>
                      <w:sz w:val="21"/>
                      <w:szCs w:val="21"/>
                      <w:highlight w:val="none"/>
                    </w:rPr>
                    <w:t>西南风</w:t>
                  </w:r>
                </w:p>
              </w:tc>
            </w:tr>
            <w:tr w14:paraId="5C62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844" w:type="dxa"/>
                  <w:vAlign w:val="center"/>
                </w:tcPr>
                <w:p w14:paraId="75A91B8A">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3</w:t>
                  </w:r>
                </w:p>
              </w:tc>
              <w:tc>
                <w:tcPr>
                  <w:tcW w:w="2843" w:type="dxa"/>
                  <w:vAlign w:val="center"/>
                </w:tcPr>
                <w:p w14:paraId="32B5B359">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年平均气温</w:t>
                  </w:r>
                </w:p>
              </w:tc>
              <w:tc>
                <w:tcPr>
                  <w:tcW w:w="2843" w:type="dxa"/>
                  <w:vAlign w:val="center"/>
                </w:tcPr>
                <w:p w14:paraId="1354ACFA">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w:t>
                  </w:r>
                </w:p>
              </w:tc>
              <w:tc>
                <w:tcPr>
                  <w:tcW w:w="2843" w:type="dxa"/>
                  <w:vAlign w:val="center"/>
                </w:tcPr>
                <w:p w14:paraId="48FEBAF0">
                  <w:pPr>
                    <w:pStyle w:val="29"/>
                    <w:adjustRightInd w:val="0"/>
                    <w:spacing w:after="0" w:line="240" w:lineRule="auto"/>
                    <w:ind w:right="0" w:rightChars="0" w:firstLine="0" w:firstLineChars="0"/>
                    <w:jc w:val="center"/>
                    <w:rPr>
                      <w:rFonts w:hint="default"/>
                      <w:color w:val="auto"/>
                      <w:szCs w:val="21"/>
                      <w:highlight w:val="none"/>
                    </w:rPr>
                  </w:pPr>
                  <w:r>
                    <w:rPr>
                      <w:rFonts w:hint="default" w:ascii="Times New Roman" w:hAnsi="Times New Roman" w:cs="Times New Roman"/>
                      <w:color w:val="auto"/>
                      <w:kern w:val="0"/>
                      <w:sz w:val="21"/>
                      <w:szCs w:val="21"/>
                      <w:highlight w:val="none"/>
                      <w:lang w:val="en-US" w:eastAsia="zh-CN"/>
                    </w:rPr>
                    <w:t>16.8</w:t>
                  </w:r>
                </w:p>
              </w:tc>
            </w:tr>
            <w:tr w14:paraId="4DCC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844" w:type="dxa"/>
                  <w:vAlign w:val="center"/>
                </w:tcPr>
                <w:p w14:paraId="081DFACE">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4</w:t>
                  </w:r>
                </w:p>
              </w:tc>
              <w:tc>
                <w:tcPr>
                  <w:tcW w:w="2843" w:type="dxa"/>
                  <w:vAlign w:val="center"/>
                </w:tcPr>
                <w:p w14:paraId="56DAC412">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年平均相对湿度</w:t>
                  </w:r>
                </w:p>
              </w:tc>
              <w:tc>
                <w:tcPr>
                  <w:tcW w:w="2843" w:type="dxa"/>
                  <w:vAlign w:val="center"/>
                </w:tcPr>
                <w:p w14:paraId="0AC673EC">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w:t>
                  </w:r>
                </w:p>
              </w:tc>
              <w:tc>
                <w:tcPr>
                  <w:tcW w:w="2843" w:type="dxa"/>
                  <w:vAlign w:val="center"/>
                </w:tcPr>
                <w:p w14:paraId="3E5DF4B4">
                  <w:pPr>
                    <w:pStyle w:val="29"/>
                    <w:adjustRightInd w:val="0"/>
                    <w:spacing w:after="0" w:line="240" w:lineRule="auto"/>
                    <w:ind w:right="0" w:rightChars="0" w:firstLine="0" w:firstLineChars="0"/>
                    <w:jc w:val="center"/>
                    <w:rPr>
                      <w:rFonts w:hint="default"/>
                      <w:color w:val="auto"/>
                      <w:szCs w:val="21"/>
                      <w:highlight w:val="none"/>
                    </w:rPr>
                  </w:pPr>
                  <w:r>
                    <w:rPr>
                      <w:rFonts w:hint="default" w:ascii="Times New Roman" w:hAnsi="Times New Roman" w:cs="Times New Roman"/>
                      <w:color w:val="auto"/>
                      <w:kern w:val="0"/>
                      <w:sz w:val="21"/>
                      <w:szCs w:val="21"/>
                      <w:highlight w:val="none"/>
                      <w:lang w:val="en-US" w:eastAsia="zh-CN"/>
                    </w:rPr>
                    <w:t>76</w:t>
                  </w:r>
                </w:p>
              </w:tc>
            </w:tr>
            <w:tr w14:paraId="2084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844" w:type="dxa"/>
                  <w:vAlign w:val="center"/>
                </w:tcPr>
                <w:p w14:paraId="5B1DCE16">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5</w:t>
                  </w:r>
                </w:p>
              </w:tc>
              <w:tc>
                <w:tcPr>
                  <w:tcW w:w="2843" w:type="dxa"/>
                  <w:vAlign w:val="center"/>
                </w:tcPr>
                <w:p w14:paraId="29DCF5DB">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大气压强</w:t>
                  </w:r>
                </w:p>
              </w:tc>
              <w:tc>
                <w:tcPr>
                  <w:tcW w:w="2843" w:type="dxa"/>
                  <w:vAlign w:val="center"/>
                </w:tcPr>
                <w:p w14:paraId="727A631F">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rPr>
                    <w:t>hPa</w:t>
                  </w:r>
                </w:p>
              </w:tc>
              <w:tc>
                <w:tcPr>
                  <w:tcW w:w="2843" w:type="dxa"/>
                  <w:vAlign w:val="center"/>
                </w:tcPr>
                <w:p w14:paraId="7BBFBDB7">
                  <w:pPr>
                    <w:pStyle w:val="29"/>
                    <w:adjustRightInd w:val="0"/>
                    <w:spacing w:after="0" w:line="240" w:lineRule="auto"/>
                    <w:ind w:right="0" w:rightChars="0" w:firstLine="0" w:firstLineChars="0"/>
                    <w:jc w:val="center"/>
                    <w:rPr>
                      <w:rFonts w:hint="default"/>
                      <w:color w:val="auto"/>
                      <w:szCs w:val="21"/>
                      <w:highlight w:val="none"/>
                    </w:rPr>
                  </w:pPr>
                  <w:r>
                    <w:rPr>
                      <w:rFonts w:hint="default" w:ascii="Times New Roman" w:hAnsi="Times New Roman" w:eastAsia="宋体" w:cs="Times New Roman"/>
                      <w:color w:val="auto"/>
                      <w:kern w:val="0"/>
                      <w:sz w:val="21"/>
                      <w:szCs w:val="21"/>
                      <w:highlight w:val="none"/>
                      <w:lang w:val="en-US" w:eastAsia="zh-CN"/>
                    </w:rPr>
                    <w:t>81100</w:t>
                  </w:r>
                </w:p>
              </w:tc>
            </w:tr>
          </w:tbl>
          <w:p w14:paraId="1D648867">
            <w:pPr>
              <w:spacing w:line="360" w:lineRule="auto"/>
              <w:jc w:val="center"/>
              <w:rPr>
                <w:b/>
                <w:color w:val="auto"/>
                <w:sz w:val="24"/>
                <w:szCs w:val="24"/>
                <w:highlight w:val="none"/>
              </w:rPr>
            </w:pPr>
            <w:r>
              <w:rPr>
                <w:rFonts w:hint="eastAsia"/>
                <w:b/>
                <w:color w:val="auto"/>
                <w:sz w:val="24"/>
                <w:szCs w:val="24"/>
                <w:highlight w:val="none"/>
                <w:lang w:val="en-US" w:eastAsia="zh-CN"/>
              </w:rPr>
              <w:t xml:space="preserve">表4-19   </w:t>
            </w:r>
            <w:r>
              <w:rPr>
                <w:rFonts w:hint="eastAsia"/>
                <w:b/>
                <w:color w:val="auto"/>
                <w:sz w:val="24"/>
                <w:szCs w:val="24"/>
                <w:highlight w:val="none"/>
              </w:rPr>
              <w:t>工业企业噪声源强调查清单（室外声源）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
              <w:gridCol w:w="1255"/>
              <w:gridCol w:w="536"/>
              <w:gridCol w:w="875"/>
              <w:gridCol w:w="617"/>
              <w:gridCol w:w="530"/>
              <w:gridCol w:w="1292"/>
              <w:gridCol w:w="1355"/>
              <w:gridCol w:w="1223"/>
              <w:gridCol w:w="853"/>
            </w:tblGrid>
            <w:tr w14:paraId="7D0B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dxa"/>
                  <w:vMerge w:val="restart"/>
                  <w:tcBorders>
                    <w:tl2br w:val="nil"/>
                    <w:tr2bl w:val="nil"/>
                  </w:tcBorders>
                  <w:vAlign w:val="center"/>
                </w:tcPr>
                <w:p w14:paraId="7C33D522">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cs="Times New Roman" w:eastAsiaTheme="minorEastAsia"/>
                      <w:color w:val="auto"/>
                      <w:sz w:val="21"/>
                      <w:szCs w:val="21"/>
                      <w:highlight w:val="none"/>
                    </w:rPr>
                    <w:t>序号</w:t>
                  </w:r>
                </w:p>
              </w:tc>
              <w:tc>
                <w:tcPr>
                  <w:tcW w:w="1267" w:type="dxa"/>
                  <w:vMerge w:val="restart"/>
                  <w:tcBorders>
                    <w:tl2br w:val="nil"/>
                    <w:tr2bl w:val="nil"/>
                  </w:tcBorders>
                  <w:vAlign w:val="center"/>
                </w:tcPr>
                <w:p w14:paraId="4E567C11">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cs="Times New Roman" w:eastAsiaTheme="minorEastAsia"/>
                      <w:color w:val="auto"/>
                      <w:sz w:val="21"/>
                      <w:szCs w:val="21"/>
                      <w:highlight w:val="none"/>
                    </w:rPr>
                    <w:t>声源名称</w:t>
                  </w:r>
                </w:p>
              </w:tc>
              <w:tc>
                <w:tcPr>
                  <w:tcW w:w="541" w:type="dxa"/>
                  <w:vMerge w:val="restart"/>
                  <w:tcBorders>
                    <w:tl2br w:val="nil"/>
                    <w:tr2bl w:val="nil"/>
                  </w:tcBorders>
                  <w:vAlign w:val="center"/>
                </w:tcPr>
                <w:p w14:paraId="5483470E">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cs="Times New Roman" w:eastAsiaTheme="minorEastAsia"/>
                      <w:color w:val="auto"/>
                      <w:sz w:val="21"/>
                      <w:szCs w:val="21"/>
                      <w:highlight w:val="none"/>
                    </w:rPr>
                    <w:t>型号</w:t>
                  </w:r>
                </w:p>
              </w:tc>
              <w:tc>
                <w:tcPr>
                  <w:tcW w:w="2042" w:type="dxa"/>
                  <w:gridSpan w:val="3"/>
                  <w:tcBorders>
                    <w:tl2br w:val="nil"/>
                    <w:tr2bl w:val="nil"/>
                  </w:tcBorders>
                  <w:vAlign w:val="center"/>
                </w:tcPr>
                <w:p w14:paraId="269C2A67">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cs="Times New Roman" w:eastAsiaTheme="minorEastAsia"/>
                      <w:color w:val="auto"/>
                      <w:sz w:val="21"/>
                      <w:szCs w:val="21"/>
                      <w:highlight w:val="none"/>
                    </w:rPr>
                    <w:t>空间相对位置/m</w:t>
                  </w:r>
                </w:p>
              </w:tc>
              <w:tc>
                <w:tcPr>
                  <w:tcW w:w="1304" w:type="dxa"/>
                  <w:tcBorders>
                    <w:tl2br w:val="nil"/>
                    <w:tr2bl w:val="nil"/>
                  </w:tcBorders>
                  <w:vAlign w:val="center"/>
                </w:tcPr>
                <w:p w14:paraId="2B405BD0">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cs="Times New Roman" w:eastAsiaTheme="minorEastAsia"/>
                      <w:color w:val="auto"/>
                      <w:sz w:val="21"/>
                      <w:szCs w:val="21"/>
                      <w:highlight w:val="none"/>
                    </w:rPr>
                    <w:t>声源源强</w:t>
                  </w:r>
                </w:p>
              </w:tc>
              <w:tc>
                <w:tcPr>
                  <w:tcW w:w="1368" w:type="dxa"/>
                  <w:vMerge w:val="restart"/>
                  <w:tcBorders>
                    <w:tl2br w:val="nil"/>
                    <w:tr2bl w:val="nil"/>
                  </w:tcBorders>
                  <w:vAlign w:val="center"/>
                </w:tcPr>
                <w:p w14:paraId="0B299EB9">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hint="eastAsia" w:cs="Times New Roman" w:eastAsiaTheme="minorEastAsia"/>
                      <w:color w:val="auto"/>
                      <w:sz w:val="21"/>
                      <w:szCs w:val="21"/>
                      <w:highlight w:val="none"/>
                    </w:rPr>
                    <w:t>声源控制措施</w:t>
                  </w:r>
                </w:p>
              </w:tc>
              <w:tc>
                <w:tcPr>
                  <w:tcW w:w="1235" w:type="dxa"/>
                  <w:tcBorders>
                    <w:tl2br w:val="nil"/>
                    <w:tr2bl w:val="nil"/>
                  </w:tcBorders>
                  <w:vAlign w:val="center"/>
                </w:tcPr>
                <w:p w14:paraId="28B43D07">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hint="eastAsia"/>
                      <w:color w:val="auto"/>
                      <w:sz w:val="21"/>
                      <w:highlight w:val="none"/>
                    </w:rPr>
                    <w:t>降噪后</w:t>
                  </w:r>
                  <w:r>
                    <w:rPr>
                      <w:rFonts w:cs="Times New Roman" w:eastAsiaTheme="minorEastAsia"/>
                      <w:color w:val="auto"/>
                      <w:sz w:val="21"/>
                      <w:szCs w:val="21"/>
                      <w:highlight w:val="none"/>
                    </w:rPr>
                    <w:t>源强</w:t>
                  </w:r>
                </w:p>
              </w:tc>
              <w:tc>
                <w:tcPr>
                  <w:tcW w:w="861" w:type="dxa"/>
                  <w:vMerge w:val="restart"/>
                  <w:tcBorders>
                    <w:tl2br w:val="nil"/>
                    <w:tr2bl w:val="nil"/>
                  </w:tcBorders>
                  <w:vAlign w:val="center"/>
                </w:tcPr>
                <w:p w14:paraId="01AA1F10">
                  <w:pPr>
                    <w:pStyle w:val="11"/>
                    <w:adjustRightInd w:val="0"/>
                    <w:spacing w:after="0" w:line="240"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运行时段</w:t>
                  </w:r>
                </w:p>
              </w:tc>
            </w:tr>
            <w:tr w14:paraId="6D0C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dxa"/>
                  <w:vMerge w:val="continue"/>
                  <w:tcBorders>
                    <w:tl2br w:val="nil"/>
                    <w:tr2bl w:val="nil"/>
                  </w:tcBorders>
                  <w:vAlign w:val="center"/>
                </w:tcPr>
                <w:p w14:paraId="6B84C6EB">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p>
              </w:tc>
              <w:tc>
                <w:tcPr>
                  <w:tcW w:w="1267" w:type="dxa"/>
                  <w:vMerge w:val="continue"/>
                  <w:tcBorders>
                    <w:tl2br w:val="nil"/>
                    <w:tr2bl w:val="nil"/>
                  </w:tcBorders>
                  <w:vAlign w:val="center"/>
                </w:tcPr>
                <w:p w14:paraId="45F4934A">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p>
              </w:tc>
              <w:tc>
                <w:tcPr>
                  <w:tcW w:w="541" w:type="dxa"/>
                  <w:vMerge w:val="continue"/>
                  <w:tcBorders>
                    <w:tl2br w:val="nil"/>
                    <w:tr2bl w:val="nil"/>
                  </w:tcBorders>
                  <w:vAlign w:val="center"/>
                </w:tcPr>
                <w:p w14:paraId="1201D5A6">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p>
              </w:tc>
              <w:tc>
                <w:tcPr>
                  <w:tcW w:w="884" w:type="dxa"/>
                  <w:tcBorders>
                    <w:tl2br w:val="nil"/>
                    <w:tr2bl w:val="nil"/>
                  </w:tcBorders>
                  <w:vAlign w:val="center"/>
                </w:tcPr>
                <w:p w14:paraId="147F0ACF">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hint="eastAsia" w:cs="Times New Roman" w:eastAsiaTheme="minorEastAsia"/>
                      <w:color w:val="auto"/>
                      <w:sz w:val="21"/>
                      <w:szCs w:val="21"/>
                      <w:highlight w:val="none"/>
                    </w:rPr>
                    <w:t>X</w:t>
                  </w:r>
                </w:p>
              </w:tc>
              <w:tc>
                <w:tcPr>
                  <w:tcW w:w="623" w:type="dxa"/>
                  <w:tcBorders>
                    <w:tl2br w:val="nil"/>
                    <w:tr2bl w:val="nil"/>
                  </w:tcBorders>
                  <w:vAlign w:val="center"/>
                </w:tcPr>
                <w:p w14:paraId="42E630C0">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hint="eastAsia" w:cs="Times New Roman" w:eastAsiaTheme="minorEastAsia"/>
                      <w:color w:val="auto"/>
                      <w:sz w:val="21"/>
                      <w:szCs w:val="21"/>
                      <w:highlight w:val="none"/>
                    </w:rPr>
                    <w:t>Y</w:t>
                  </w:r>
                </w:p>
              </w:tc>
              <w:tc>
                <w:tcPr>
                  <w:tcW w:w="535" w:type="dxa"/>
                  <w:tcBorders>
                    <w:tl2br w:val="nil"/>
                    <w:tr2bl w:val="nil"/>
                  </w:tcBorders>
                  <w:vAlign w:val="center"/>
                </w:tcPr>
                <w:p w14:paraId="35A258A5">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hint="eastAsia" w:cs="Times New Roman" w:eastAsiaTheme="minorEastAsia"/>
                      <w:color w:val="auto"/>
                      <w:sz w:val="21"/>
                      <w:szCs w:val="21"/>
                      <w:highlight w:val="none"/>
                    </w:rPr>
                    <w:t>Z</w:t>
                  </w:r>
                </w:p>
              </w:tc>
              <w:tc>
                <w:tcPr>
                  <w:tcW w:w="1304" w:type="dxa"/>
                  <w:tcBorders>
                    <w:tl2br w:val="nil"/>
                    <w:tr2bl w:val="nil"/>
                  </w:tcBorders>
                  <w:vAlign w:val="center"/>
                </w:tcPr>
                <w:p w14:paraId="79AE4406">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cs="Times New Roman" w:eastAsiaTheme="minorEastAsia"/>
                      <w:color w:val="auto"/>
                      <w:sz w:val="21"/>
                      <w:szCs w:val="21"/>
                      <w:highlight w:val="none"/>
                    </w:rPr>
                    <w:t>（声压级/距声源距离）/（dB(A)/</w:t>
                  </w:r>
                  <w:r>
                    <w:rPr>
                      <w:rFonts w:hint="eastAsia" w:cs="Times New Roman" w:eastAsiaTheme="minorEastAsia"/>
                      <w:color w:val="auto"/>
                      <w:sz w:val="21"/>
                      <w:szCs w:val="21"/>
                      <w:highlight w:val="none"/>
                    </w:rPr>
                    <w:t>1</w:t>
                  </w:r>
                  <w:r>
                    <w:rPr>
                      <w:rFonts w:cs="Times New Roman" w:eastAsiaTheme="minorEastAsia"/>
                      <w:color w:val="auto"/>
                      <w:sz w:val="21"/>
                      <w:szCs w:val="21"/>
                      <w:highlight w:val="none"/>
                    </w:rPr>
                    <w:t>m）</w:t>
                  </w:r>
                </w:p>
              </w:tc>
              <w:tc>
                <w:tcPr>
                  <w:tcW w:w="1368" w:type="dxa"/>
                  <w:vMerge w:val="continue"/>
                  <w:tcBorders>
                    <w:tl2br w:val="nil"/>
                    <w:tr2bl w:val="nil"/>
                  </w:tcBorders>
                  <w:vAlign w:val="center"/>
                </w:tcPr>
                <w:p w14:paraId="1640F807">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p>
              </w:tc>
              <w:tc>
                <w:tcPr>
                  <w:tcW w:w="1235" w:type="dxa"/>
                  <w:tcBorders>
                    <w:tl2br w:val="nil"/>
                    <w:tr2bl w:val="nil"/>
                  </w:tcBorders>
                  <w:vAlign w:val="center"/>
                </w:tcPr>
                <w:p w14:paraId="7857B780">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cs="Times New Roman" w:eastAsiaTheme="minorEastAsia"/>
                      <w:color w:val="auto"/>
                      <w:sz w:val="21"/>
                      <w:szCs w:val="21"/>
                      <w:highlight w:val="none"/>
                    </w:rPr>
                    <w:t>（声压级/距声源距离）/（dB(A)/</w:t>
                  </w:r>
                  <w:r>
                    <w:rPr>
                      <w:rFonts w:hint="eastAsia" w:cs="Times New Roman" w:eastAsiaTheme="minorEastAsia"/>
                      <w:color w:val="auto"/>
                      <w:sz w:val="21"/>
                      <w:szCs w:val="21"/>
                      <w:highlight w:val="none"/>
                    </w:rPr>
                    <w:t>1</w:t>
                  </w:r>
                  <w:r>
                    <w:rPr>
                      <w:rFonts w:cs="Times New Roman" w:eastAsiaTheme="minorEastAsia"/>
                      <w:color w:val="auto"/>
                      <w:sz w:val="21"/>
                      <w:szCs w:val="21"/>
                      <w:highlight w:val="none"/>
                    </w:rPr>
                    <w:t>m）</w:t>
                  </w:r>
                </w:p>
              </w:tc>
              <w:tc>
                <w:tcPr>
                  <w:tcW w:w="861" w:type="dxa"/>
                  <w:vMerge w:val="continue"/>
                  <w:tcBorders>
                    <w:tl2br w:val="nil"/>
                    <w:tr2bl w:val="nil"/>
                  </w:tcBorders>
                  <w:vAlign w:val="center"/>
                </w:tcPr>
                <w:p w14:paraId="64C4E5F4">
                  <w:pPr>
                    <w:pStyle w:val="11"/>
                    <w:adjustRightInd w:val="0"/>
                    <w:spacing w:after="0" w:line="240" w:lineRule="auto"/>
                    <w:jc w:val="center"/>
                    <w:rPr>
                      <w:rFonts w:cs="Times New Roman" w:eastAsiaTheme="minorEastAsia"/>
                      <w:color w:val="auto"/>
                      <w:sz w:val="21"/>
                      <w:szCs w:val="21"/>
                      <w:highlight w:val="none"/>
                    </w:rPr>
                  </w:pPr>
                </w:p>
              </w:tc>
            </w:tr>
            <w:tr w14:paraId="0AFC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dxa"/>
                  <w:tcBorders>
                    <w:tl2br w:val="nil"/>
                    <w:tr2bl w:val="nil"/>
                  </w:tcBorders>
                  <w:vAlign w:val="center"/>
                </w:tcPr>
                <w:p w14:paraId="2EEA0895">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hint="eastAsia" w:cs="Times New Roman" w:eastAsiaTheme="minorEastAsia"/>
                      <w:color w:val="auto"/>
                      <w:sz w:val="21"/>
                      <w:szCs w:val="21"/>
                      <w:highlight w:val="none"/>
                    </w:rPr>
                    <w:t>1</w:t>
                  </w:r>
                </w:p>
              </w:tc>
              <w:tc>
                <w:tcPr>
                  <w:tcW w:w="1267" w:type="dxa"/>
                  <w:tcBorders>
                    <w:tl2br w:val="nil"/>
                    <w:tr2bl w:val="nil"/>
                  </w:tcBorders>
                  <w:vAlign w:val="center"/>
                </w:tcPr>
                <w:p w14:paraId="365D7CDF">
                  <w:pPr>
                    <w:keepNext w:val="0"/>
                    <w:keepLines w:val="0"/>
                    <w:pageBreakBefore w:val="0"/>
                    <w:widowControl/>
                    <w:shd w:val="clear" w:color="auto" w:fill="auto"/>
                    <w:kinsoku/>
                    <w:wordWrap/>
                    <w:overflowPunct/>
                    <w:topLinePunct w:val="0"/>
                    <w:autoSpaceDE/>
                    <w:autoSpaceDN/>
                    <w:bidi w:val="0"/>
                    <w:adjustRightInd w:val="0"/>
                    <w:snapToGrid/>
                    <w:spacing w:line="240" w:lineRule="auto"/>
                    <w:ind w:right="0"/>
                    <w:jc w:val="center"/>
                    <w:textAlignment w:val="auto"/>
                    <w:outlineLvl w:val="9"/>
                    <w:rPr>
                      <w:rFonts w:cs="Times New Roman" w:eastAsiaTheme="minorEastAsia"/>
                      <w:color w:val="auto"/>
                      <w:sz w:val="21"/>
                      <w:szCs w:val="21"/>
                      <w:highlight w:val="none"/>
                    </w:rPr>
                  </w:pPr>
                  <w:r>
                    <w:rPr>
                      <w:rFonts w:hint="eastAsia" w:cs="Times New Roman"/>
                      <w:color w:val="auto"/>
                      <w:kern w:val="0"/>
                      <w:sz w:val="21"/>
                      <w:szCs w:val="21"/>
                      <w:highlight w:val="none"/>
                      <w:lang w:eastAsia="zh-CN" w:bidi="ar"/>
                    </w:rPr>
                    <w:t>搅拌</w:t>
                  </w:r>
                  <w:r>
                    <w:rPr>
                      <w:rFonts w:hint="eastAsia" w:cs="Times New Roman"/>
                      <w:color w:val="auto"/>
                      <w:kern w:val="0"/>
                      <w:sz w:val="21"/>
                      <w:szCs w:val="21"/>
                      <w:highlight w:val="none"/>
                      <w:lang w:val="en-US" w:eastAsia="zh-CN" w:bidi="ar"/>
                    </w:rPr>
                    <w:t>机</w:t>
                  </w:r>
                </w:p>
              </w:tc>
              <w:tc>
                <w:tcPr>
                  <w:tcW w:w="541" w:type="dxa"/>
                  <w:tcBorders>
                    <w:tl2br w:val="nil"/>
                    <w:tr2bl w:val="nil"/>
                  </w:tcBorders>
                  <w:vAlign w:val="center"/>
                </w:tcPr>
                <w:p w14:paraId="3D23C068">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eastAsia" w:cs="Times New Roman" w:eastAsiaTheme="minorEastAsia"/>
                      <w:color w:val="auto"/>
                      <w:sz w:val="21"/>
                      <w:szCs w:val="21"/>
                      <w:highlight w:val="none"/>
                      <w:lang w:eastAsia="zh-CN"/>
                    </w:rPr>
                  </w:pPr>
                  <w:r>
                    <w:rPr>
                      <w:rFonts w:hint="eastAsia" w:cs="Times New Roman" w:eastAsiaTheme="minorEastAsia"/>
                      <w:color w:val="auto"/>
                      <w:sz w:val="21"/>
                      <w:szCs w:val="21"/>
                      <w:highlight w:val="none"/>
                      <w:lang w:val="en-US" w:eastAsia="zh-CN"/>
                    </w:rPr>
                    <w:t>/</w:t>
                  </w:r>
                </w:p>
              </w:tc>
              <w:tc>
                <w:tcPr>
                  <w:tcW w:w="884" w:type="dxa"/>
                  <w:tcBorders>
                    <w:tl2br w:val="nil"/>
                    <w:tr2bl w:val="nil"/>
                  </w:tcBorders>
                  <w:vAlign w:val="center"/>
                </w:tcPr>
                <w:p w14:paraId="014315AB">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5.52</w:t>
                  </w:r>
                </w:p>
              </w:tc>
              <w:tc>
                <w:tcPr>
                  <w:tcW w:w="623" w:type="dxa"/>
                  <w:tcBorders>
                    <w:tl2br w:val="nil"/>
                    <w:tr2bl w:val="nil"/>
                  </w:tcBorders>
                  <w:vAlign w:val="center"/>
                </w:tcPr>
                <w:p w14:paraId="611E6F97">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22.03</w:t>
                  </w:r>
                </w:p>
              </w:tc>
              <w:tc>
                <w:tcPr>
                  <w:tcW w:w="535" w:type="dxa"/>
                  <w:tcBorders>
                    <w:tl2br w:val="nil"/>
                    <w:tr2bl w:val="nil"/>
                  </w:tcBorders>
                  <w:vAlign w:val="center"/>
                </w:tcPr>
                <w:p w14:paraId="28E31540">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1304" w:type="dxa"/>
                  <w:tcBorders>
                    <w:tl2br w:val="nil"/>
                    <w:tr2bl w:val="nil"/>
                  </w:tcBorders>
                  <w:vAlign w:val="center"/>
                </w:tcPr>
                <w:p w14:paraId="5E4AE641">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80</w:t>
                  </w:r>
                </w:p>
              </w:tc>
              <w:tc>
                <w:tcPr>
                  <w:tcW w:w="1368" w:type="dxa"/>
                  <w:tcBorders>
                    <w:tl2br w:val="nil"/>
                    <w:tr2bl w:val="nil"/>
                  </w:tcBorders>
                  <w:vAlign w:val="center"/>
                </w:tcPr>
                <w:p w14:paraId="0FB529D7">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cs="Times New Roman" w:eastAsiaTheme="minorEastAsia"/>
                      <w:color w:val="auto"/>
                      <w:sz w:val="21"/>
                      <w:szCs w:val="21"/>
                      <w:highlight w:val="none"/>
                    </w:rPr>
                    <w:t>基础</w:t>
                  </w:r>
                  <w:r>
                    <w:rPr>
                      <w:rFonts w:hint="eastAsia" w:cs="Times New Roman" w:eastAsiaTheme="minorEastAsia"/>
                      <w:color w:val="auto"/>
                      <w:sz w:val="21"/>
                      <w:szCs w:val="21"/>
                      <w:highlight w:val="none"/>
                    </w:rPr>
                    <w:t>减振</w:t>
                  </w:r>
                  <w:r>
                    <w:rPr>
                      <w:rFonts w:cs="Times New Roman" w:eastAsiaTheme="minorEastAsia"/>
                      <w:color w:val="auto"/>
                      <w:sz w:val="21"/>
                      <w:szCs w:val="21"/>
                      <w:highlight w:val="none"/>
                    </w:rPr>
                    <w:t>、距离衰减</w:t>
                  </w:r>
                </w:p>
              </w:tc>
              <w:tc>
                <w:tcPr>
                  <w:tcW w:w="1235" w:type="dxa"/>
                  <w:tcBorders>
                    <w:tl2br w:val="nil"/>
                    <w:tr2bl w:val="nil"/>
                  </w:tcBorders>
                  <w:vAlign w:val="center"/>
                </w:tcPr>
                <w:p w14:paraId="4174E711">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70</w:t>
                  </w:r>
                </w:p>
              </w:tc>
              <w:tc>
                <w:tcPr>
                  <w:tcW w:w="861" w:type="dxa"/>
                  <w:vMerge w:val="restart"/>
                  <w:tcBorders>
                    <w:tl2br w:val="nil"/>
                    <w:tr2bl w:val="nil"/>
                  </w:tcBorders>
                  <w:vAlign w:val="center"/>
                </w:tcPr>
                <w:p w14:paraId="032D24B2">
                  <w:pPr>
                    <w:pStyle w:val="11"/>
                    <w:adjustRightInd w:val="0"/>
                    <w:spacing w:after="0" w:line="240" w:lineRule="auto"/>
                    <w:jc w:val="center"/>
                    <w:rPr>
                      <w:rFonts w:cs="Times New Roman" w:eastAsiaTheme="minorEastAsia"/>
                      <w:color w:val="auto"/>
                      <w:sz w:val="21"/>
                      <w:szCs w:val="21"/>
                      <w:highlight w:val="none"/>
                    </w:rPr>
                  </w:pPr>
                  <w:r>
                    <w:rPr>
                      <w:rFonts w:hint="eastAsia" w:cs="Times New Roman" w:eastAsiaTheme="minorEastAsia"/>
                      <w:color w:val="auto"/>
                      <w:sz w:val="21"/>
                      <w:szCs w:val="21"/>
                      <w:highlight w:val="none"/>
                    </w:rPr>
                    <w:t>0:00~24:00</w:t>
                  </w:r>
                </w:p>
              </w:tc>
            </w:tr>
            <w:tr w14:paraId="1A46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dxa"/>
                  <w:tcBorders>
                    <w:tl2br w:val="nil"/>
                    <w:tr2bl w:val="nil"/>
                  </w:tcBorders>
                  <w:vAlign w:val="center"/>
                </w:tcPr>
                <w:p w14:paraId="0B4969E6">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1267" w:type="dxa"/>
                  <w:tcBorders>
                    <w:tl2br w:val="nil"/>
                    <w:tr2bl w:val="nil"/>
                  </w:tcBorders>
                  <w:vAlign w:val="center"/>
                </w:tcPr>
                <w:p w14:paraId="6EDF8365">
                  <w:pPr>
                    <w:keepNext w:val="0"/>
                    <w:keepLines w:val="0"/>
                    <w:pageBreakBefore w:val="0"/>
                    <w:widowControl/>
                    <w:shd w:val="clear" w:color="auto" w:fill="auto"/>
                    <w:kinsoku/>
                    <w:wordWrap/>
                    <w:overflowPunct/>
                    <w:topLinePunct w:val="0"/>
                    <w:autoSpaceDE/>
                    <w:autoSpaceDN/>
                    <w:bidi w:val="0"/>
                    <w:adjustRightInd w:val="0"/>
                    <w:snapToGrid/>
                    <w:spacing w:line="240" w:lineRule="auto"/>
                    <w:ind w:right="0"/>
                    <w:jc w:val="center"/>
                    <w:textAlignment w:val="auto"/>
                    <w:outlineLvl w:val="9"/>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化学洗涤塔风机</w:t>
                  </w:r>
                </w:p>
              </w:tc>
              <w:tc>
                <w:tcPr>
                  <w:tcW w:w="541" w:type="dxa"/>
                  <w:tcBorders>
                    <w:tl2br w:val="nil"/>
                    <w:tr2bl w:val="nil"/>
                  </w:tcBorders>
                  <w:vAlign w:val="center"/>
                </w:tcPr>
                <w:p w14:paraId="4ED4DF66">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c>
                <w:tcPr>
                  <w:tcW w:w="884" w:type="dxa"/>
                  <w:tcBorders>
                    <w:tl2br w:val="nil"/>
                    <w:tr2bl w:val="nil"/>
                  </w:tcBorders>
                  <w:vAlign w:val="center"/>
                </w:tcPr>
                <w:p w14:paraId="4BA0AB4A">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8.7</w:t>
                  </w:r>
                </w:p>
              </w:tc>
              <w:tc>
                <w:tcPr>
                  <w:tcW w:w="623" w:type="dxa"/>
                  <w:tcBorders>
                    <w:tl2br w:val="nil"/>
                    <w:tr2bl w:val="nil"/>
                  </w:tcBorders>
                  <w:vAlign w:val="center"/>
                </w:tcPr>
                <w:p w14:paraId="4FB4CE7D">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23.82</w:t>
                  </w:r>
                </w:p>
              </w:tc>
              <w:tc>
                <w:tcPr>
                  <w:tcW w:w="535" w:type="dxa"/>
                  <w:tcBorders>
                    <w:tl2br w:val="nil"/>
                    <w:tr2bl w:val="nil"/>
                  </w:tcBorders>
                  <w:vAlign w:val="center"/>
                </w:tcPr>
                <w:p w14:paraId="36A9AF66">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1304" w:type="dxa"/>
                  <w:tcBorders>
                    <w:tl2br w:val="nil"/>
                    <w:tr2bl w:val="nil"/>
                  </w:tcBorders>
                  <w:vAlign w:val="center"/>
                </w:tcPr>
                <w:p w14:paraId="4DCF954D">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80</w:t>
                  </w:r>
                </w:p>
              </w:tc>
              <w:tc>
                <w:tcPr>
                  <w:tcW w:w="1368" w:type="dxa"/>
                  <w:tcBorders>
                    <w:tl2br w:val="nil"/>
                    <w:tr2bl w:val="nil"/>
                  </w:tcBorders>
                  <w:vAlign w:val="center"/>
                </w:tcPr>
                <w:p w14:paraId="37677640">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cs="Times New Roman" w:eastAsiaTheme="minorEastAsia"/>
                      <w:color w:val="auto"/>
                      <w:sz w:val="21"/>
                      <w:szCs w:val="21"/>
                      <w:highlight w:val="none"/>
                    </w:rPr>
                  </w:pPr>
                  <w:r>
                    <w:rPr>
                      <w:rFonts w:cs="Times New Roman" w:eastAsiaTheme="minorEastAsia"/>
                      <w:color w:val="auto"/>
                      <w:sz w:val="21"/>
                      <w:szCs w:val="21"/>
                      <w:highlight w:val="none"/>
                    </w:rPr>
                    <w:t>基础</w:t>
                  </w:r>
                  <w:r>
                    <w:rPr>
                      <w:rFonts w:hint="eastAsia" w:cs="Times New Roman" w:eastAsiaTheme="minorEastAsia"/>
                      <w:color w:val="auto"/>
                      <w:sz w:val="21"/>
                      <w:szCs w:val="21"/>
                      <w:highlight w:val="none"/>
                    </w:rPr>
                    <w:t>减振</w:t>
                  </w:r>
                  <w:r>
                    <w:rPr>
                      <w:rFonts w:cs="Times New Roman" w:eastAsiaTheme="minorEastAsia"/>
                      <w:color w:val="auto"/>
                      <w:sz w:val="21"/>
                      <w:szCs w:val="21"/>
                      <w:highlight w:val="none"/>
                    </w:rPr>
                    <w:t>、距离衰减</w:t>
                  </w:r>
                </w:p>
              </w:tc>
              <w:tc>
                <w:tcPr>
                  <w:tcW w:w="1235" w:type="dxa"/>
                  <w:tcBorders>
                    <w:tl2br w:val="nil"/>
                    <w:tr2bl w:val="nil"/>
                  </w:tcBorders>
                  <w:vAlign w:val="center"/>
                </w:tcPr>
                <w:p w14:paraId="593BBE5E">
                  <w:pPr>
                    <w:pStyle w:val="11"/>
                    <w:keepNext w:val="0"/>
                    <w:keepLines w:val="0"/>
                    <w:pageBreakBefore w:val="0"/>
                    <w:widowControl/>
                    <w:kinsoku/>
                    <w:wordWrap/>
                    <w:overflowPunct/>
                    <w:topLinePunct w:val="0"/>
                    <w:autoSpaceDE/>
                    <w:autoSpaceDN/>
                    <w:bidi w:val="0"/>
                    <w:adjustRightInd w:val="0"/>
                    <w:spacing w:before="0" w:after="0" w:line="240" w:lineRule="auto"/>
                    <w:ind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70</w:t>
                  </w:r>
                </w:p>
              </w:tc>
              <w:tc>
                <w:tcPr>
                  <w:tcW w:w="861" w:type="dxa"/>
                  <w:vMerge w:val="continue"/>
                  <w:tcBorders>
                    <w:tl2br w:val="nil"/>
                    <w:tr2bl w:val="nil"/>
                  </w:tcBorders>
                  <w:vAlign w:val="center"/>
                </w:tcPr>
                <w:p w14:paraId="7703C17F">
                  <w:pPr>
                    <w:pStyle w:val="11"/>
                    <w:adjustRightInd w:val="0"/>
                    <w:spacing w:after="0" w:line="240" w:lineRule="auto"/>
                    <w:jc w:val="center"/>
                    <w:rPr>
                      <w:rFonts w:hint="eastAsia" w:cs="Times New Roman" w:eastAsiaTheme="minorEastAsia"/>
                      <w:color w:val="auto"/>
                      <w:sz w:val="21"/>
                      <w:szCs w:val="21"/>
                      <w:highlight w:val="none"/>
                    </w:rPr>
                  </w:pPr>
                </w:p>
              </w:tc>
            </w:tr>
          </w:tbl>
          <w:p w14:paraId="39C82F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 w:val="24"/>
                <w:szCs w:val="24"/>
                <w:highlight w:val="none"/>
              </w:rPr>
            </w:pPr>
            <w:r>
              <w:rPr>
                <w:rFonts w:hint="eastAsia"/>
                <w:b/>
                <w:color w:val="auto"/>
                <w:sz w:val="24"/>
                <w:szCs w:val="24"/>
                <w:highlight w:val="none"/>
              </w:rPr>
              <w:t>表</w:t>
            </w:r>
            <w:r>
              <w:rPr>
                <w:rFonts w:hint="eastAsia"/>
                <w:b/>
                <w:color w:val="auto"/>
                <w:sz w:val="24"/>
                <w:szCs w:val="24"/>
                <w:highlight w:val="none"/>
                <w:lang w:val="en-US" w:eastAsia="zh-CN"/>
              </w:rPr>
              <w:t>4-20</w:t>
            </w:r>
            <w:r>
              <w:rPr>
                <w:rFonts w:hint="eastAsia"/>
                <w:b/>
                <w:color w:val="auto"/>
                <w:sz w:val="24"/>
                <w:szCs w:val="24"/>
                <w:highlight w:val="none"/>
              </w:rPr>
              <w:t xml:space="preserve">  工业企业噪声源强调查清单（室内声源）</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620"/>
              <w:gridCol w:w="867"/>
              <w:gridCol w:w="793"/>
              <w:gridCol w:w="578"/>
              <w:gridCol w:w="537"/>
              <w:gridCol w:w="417"/>
              <w:gridCol w:w="545"/>
              <w:gridCol w:w="778"/>
              <w:gridCol w:w="1106"/>
              <w:gridCol w:w="713"/>
              <w:gridCol w:w="778"/>
              <w:gridCol w:w="532"/>
            </w:tblGrid>
            <w:tr w14:paraId="5ED6F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restart"/>
                  <w:tcBorders>
                    <w:tl2br w:val="nil"/>
                    <w:tr2bl w:val="nil"/>
                  </w:tcBorders>
                  <w:vAlign w:val="center"/>
                </w:tcPr>
                <w:p w14:paraId="357599BC">
                  <w:pPr>
                    <w:pStyle w:val="11"/>
                    <w:adjustRightInd w:val="0"/>
                    <w:spacing w:after="0" w:line="240" w:lineRule="auto"/>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建筑物名称</w:t>
                  </w:r>
                </w:p>
              </w:tc>
              <w:tc>
                <w:tcPr>
                  <w:tcW w:w="350" w:type="pct"/>
                  <w:vMerge w:val="restart"/>
                  <w:tcBorders>
                    <w:tl2br w:val="nil"/>
                    <w:tr2bl w:val="nil"/>
                  </w:tcBorders>
                  <w:vAlign w:val="center"/>
                </w:tcPr>
                <w:p w14:paraId="23C3148C">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声源名称</w:t>
                  </w:r>
                </w:p>
              </w:tc>
              <w:tc>
                <w:tcPr>
                  <w:tcW w:w="489" w:type="pct"/>
                  <w:tcBorders>
                    <w:tl2br w:val="nil"/>
                    <w:tr2bl w:val="nil"/>
                  </w:tcBorders>
                  <w:vAlign w:val="center"/>
                </w:tcPr>
                <w:p w14:paraId="721F2319">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声源源强</w:t>
                  </w:r>
                </w:p>
              </w:tc>
              <w:tc>
                <w:tcPr>
                  <w:tcW w:w="447" w:type="pct"/>
                  <w:vMerge w:val="restart"/>
                  <w:tcBorders>
                    <w:tl2br w:val="nil"/>
                    <w:tr2bl w:val="nil"/>
                  </w:tcBorders>
                  <w:vAlign w:val="center"/>
                </w:tcPr>
                <w:p w14:paraId="1E368A24">
                  <w:pPr>
                    <w:pStyle w:val="11"/>
                    <w:adjustRightInd w:val="0"/>
                    <w:spacing w:after="0" w:line="240" w:lineRule="auto"/>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声源控制措施</w:t>
                  </w:r>
                </w:p>
              </w:tc>
              <w:tc>
                <w:tcPr>
                  <w:tcW w:w="865" w:type="pct"/>
                  <w:gridSpan w:val="3"/>
                  <w:tcBorders>
                    <w:tl2br w:val="nil"/>
                    <w:tr2bl w:val="nil"/>
                  </w:tcBorders>
                  <w:vAlign w:val="center"/>
                </w:tcPr>
                <w:p w14:paraId="38C429D8">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空间相对位置/m</w:t>
                  </w:r>
                </w:p>
              </w:tc>
              <w:tc>
                <w:tcPr>
                  <w:tcW w:w="307" w:type="pct"/>
                  <w:vMerge w:val="restart"/>
                  <w:tcBorders>
                    <w:tl2br w:val="nil"/>
                    <w:tr2bl w:val="nil"/>
                  </w:tcBorders>
                  <w:vAlign w:val="center"/>
                </w:tcPr>
                <w:p w14:paraId="3123E3D6">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距室内边界距离/m</w:t>
                  </w:r>
                </w:p>
              </w:tc>
              <w:tc>
                <w:tcPr>
                  <w:tcW w:w="440" w:type="pct"/>
                  <w:vMerge w:val="restart"/>
                  <w:tcBorders>
                    <w:tl2br w:val="nil"/>
                    <w:tr2bl w:val="nil"/>
                  </w:tcBorders>
                  <w:vAlign w:val="center"/>
                </w:tcPr>
                <w:p w14:paraId="32D8E7E4">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室内边界声级/dB(A)</w:t>
                  </w:r>
                </w:p>
              </w:tc>
              <w:tc>
                <w:tcPr>
                  <w:tcW w:w="625" w:type="pct"/>
                  <w:vMerge w:val="restart"/>
                  <w:tcBorders>
                    <w:tl2br w:val="nil"/>
                    <w:tr2bl w:val="nil"/>
                  </w:tcBorders>
                  <w:vAlign w:val="center"/>
                </w:tcPr>
                <w:p w14:paraId="74FE11F7">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运行时段</w:t>
                  </w:r>
                </w:p>
              </w:tc>
              <w:tc>
                <w:tcPr>
                  <w:tcW w:w="403" w:type="pct"/>
                  <w:vMerge w:val="restart"/>
                  <w:tcBorders>
                    <w:tl2br w:val="nil"/>
                    <w:tr2bl w:val="nil"/>
                  </w:tcBorders>
                  <w:vAlign w:val="center"/>
                </w:tcPr>
                <w:p w14:paraId="66D84769">
                  <w:pPr>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建筑物插入损失/ dB(A)</w:t>
                  </w:r>
                </w:p>
              </w:tc>
              <w:tc>
                <w:tcPr>
                  <w:tcW w:w="740" w:type="pct"/>
                  <w:gridSpan w:val="2"/>
                  <w:tcBorders>
                    <w:tl2br w:val="nil"/>
                    <w:tr2bl w:val="nil"/>
                  </w:tcBorders>
                  <w:vAlign w:val="center"/>
                </w:tcPr>
                <w:p w14:paraId="104F90F5">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建筑物外噪声</w:t>
                  </w:r>
                </w:p>
              </w:tc>
            </w:tr>
            <w:tr w14:paraId="215A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tcBorders>
                    <w:tl2br w:val="nil"/>
                    <w:tr2bl w:val="nil"/>
                  </w:tcBorders>
                  <w:vAlign w:val="center"/>
                </w:tcPr>
                <w:p w14:paraId="68EE5356">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350" w:type="pct"/>
                  <w:vMerge w:val="continue"/>
                  <w:tcBorders>
                    <w:tl2br w:val="nil"/>
                    <w:tr2bl w:val="nil"/>
                  </w:tcBorders>
                  <w:vAlign w:val="center"/>
                </w:tcPr>
                <w:p w14:paraId="73A4EFCC">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489" w:type="pct"/>
                  <w:tcBorders>
                    <w:tl2br w:val="nil"/>
                    <w:tr2bl w:val="nil"/>
                  </w:tcBorders>
                  <w:vAlign w:val="center"/>
                </w:tcPr>
                <w:p w14:paraId="67CF6608">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（声压级/距声源距离m）</w:t>
                  </w:r>
                </w:p>
              </w:tc>
              <w:tc>
                <w:tcPr>
                  <w:tcW w:w="447" w:type="pct"/>
                  <w:vMerge w:val="continue"/>
                  <w:tcBorders>
                    <w:tl2br w:val="nil"/>
                    <w:tr2bl w:val="nil"/>
                  </w:tcBorders>
                  <w:vAlign w:val="center"/>
                </w:tcPr>
                <w:p w14:paraId="2AD5ABEA">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326" w:type="pct"/>
                  <w:tcBorders>
                    <w:tl2br w:val="nil"/>
                    <w:tr2bl w:val="nil"/>
                  </w:tcBorders>
                  <w:vAlign w:val="center"/>
                </w:tcPr>
                <w:p w14:paraId="1ED8A1E4">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X</w:t>
                  </w:r>
                </w:p>
              </w:tc>
              <w:tc>
                <w:tcPr>
                  <w:tcW w:w="303" w:type="pct"/>
                  <w:tcBorders>
                    <w:tl2br w:val="nil"/>
                    <w:tr2bl w:val="nil"/>
                  </w:tcBorders>
                  <w:vAlign w:val="center"/>
                </w:tcPr>
                <w:p w14:paraId="5F5D6F55">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Y</w:t>
                  </w:r>
                </w:p>
              </w:tc>
              <w:tc>
                <w:tcPr>
                  <w:tcW w:w="235" w:type="pct"/>
                  <w:tcBorders>
                    <w:tl2br w:val="nil"/>
                    <w:tr2bl w:val="nil"/>
                  </w:tcBorders>
                  <w:vAlign w:val="center"/>
                </w:tcPr>
                <w:p w14:paraId="593B67A6">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Z</w:t>
                  </w:r>
                </w:p>
              </w:tc>
              <w:tc>
                <w:tcPr>
                  <w:tcW w:w="307" w:type="pct"/>
                  <w:vMerge w:val="continue"/>
                  <w:tcBorders>
                    <w:tl2br w:val="nil"/>
                    <w:tr2bl w:val="nil"/>
                  </w:tcBorders>
                  <w:vAlign w:val="center"/>
                </w:tcPr>
                <w:p w14:paraId="50169A28">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440" w:type="pct"/>
                  <w:vMerge w:val="continue"/>
                  <w:tcBorders>
                    <w:tl2br w:val="nil"/>
                    <w:tr2bl w:val="nil"/>
                  </w:tcBorders>
                  <w:vAlign w:val="center"/>
                </w:tcPr>
                <w:p w14:paraId="3307CD3B">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625" w:type="pct"/>
                  <w:vMerge w:val="continue"/>
                  <w:tcBorders>
                    <w:tl2br w:val="nil"/>
                    <w:tr2bl w:val="nil"/>
                  </w:tcBorders>
                  <w:vAlign w:val="center"/>
                </w:tcPr>
                <w:p w14:paraId="7D6F9204">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403" w:type="pct"/>
                  <w:vMerge w:val="continue"/>
                  <w:tcBorders>
                    <w:tl2br w:val="nil"/>
                    <w:tr2bl w:val="nil"/>
                  </w:tcBorders>
                  <w:vAlign w:val="center"/>
                </w:tcPr>
                <w:p w14:paraId="3087ED2B">
                  <w:pPr>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p>
              </w:tc>
              <w:tc>
                <w:tcPr>
                  <w:tcW w:w="440" w:type="pct"/>
                  <w:tcBorders>
                    <w:tl2br w:val="nil"/>
                    <w:tr2bl w:val="nil"/>
                  </w:tcBorders>
                  <w:vAlign w:val="center"/>
                </w:tcPr>
                <w:p w14:paraId="081CF36E">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声压级/dB(A)</w:t>
                  </w:r>
                </w:p>
              </w:tc>
              <w:tc>
                <w:tcPr>
                  <w:tcW w:w="300" w:type="pct"/>
                  <w:tcBorders>
                    <w:tl2br w:val="nil"/>
                    <w:tr2bl w:val="nil"/>
                  </w:tcBorders>
                  <w:vAlign w:val="center"/>
                </w:tcPr>
                <w:p w14:paraId="0EC08629">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建筑物外距离/m</w:t>
                  </w:r>
                </w:p>
              </w:tc>
            </w:tr>
            <w:tr w14:paraId="6A9B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l2br w:val="nil"/>
                    <w:tr2bl w:val="nil"/>
                  </w:tcBorders>
                  <w:vAlign w:val="center"/>
                </w:tcPr>
                <w:p w14:paraId="07B159C2">
                  <w:pPr>
                    <w:adjustRightInd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调节池</w:t>
                  </w:r>
                </w:p>
              </w:tc>
              <w:tc>
                <w:tcPr>
                  <w:tcW w:w="350" w:type="pct"/>
                  <w:tcBorders>
                    <w:tl2br w:val="nil"/>
                    <w:tr2bl w:val="nil"/>
                  </w:tcBorders>
                  <w:vAlign w:val="center"/>
                </w:tcPr>
                <w:p w14:paraId="1B9E8562">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eastAsia"/>
                      <w:color w:val="auto"/>
                      <w:spacing w:val="0"/>
                      <w:kern w:val="0"/>
                      <w:sz w:val="18"/>
                      <w:szCs w:val="18"/>
                      <w:highlight w:val="none"/>
                      <w:shd w:val="clear" w:color="auto" w:fill="auto"/>
                      <w:lang w:val="en-US" w:eastAsia="zh-CN"/>
                    </w:rPr>
                    <w:t>提升泵</w:t>
                  </w:r>
                </w:p>
              </w:tc>
              <w:tc>
                <w:tcPr>
                  <w:tcW w:w="489" w:type="pct"/>
                  <w:tcBorders>
                    <w:tl2br w:val="nil"/>
                    <w:tr2bl w:val="nil"/>
                  </w:tcBorders>
                  <w:vAlign w:val="center"/>
                </w:tcPr>
                <w:p w14:paraId="77C86315">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65</w:t>
                  </w:r>
                </w:p>
              </w:tc>
              <w:tc>
                <w:tcPr>
                  <w:tcW w:w="447" w:type="pct"/>
                  <w:tcBorders>
                    <w:tl2br w:val="nil"/>
                    <w:tr2bl w:val="nil"/>
                  </w:tcBorders>
                  <w:vAlign w:val="center"/>
                </w:tcPr>
                <w:p w14:paraId="583877A3">
                  <w:pPr>
                    <w:pStyle w:val="11"/>
                    <w:adjustRightInd w:val="0"/>
                    <w:spacing w:after="0" w:line="240" w:lineRule="auto"/>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水下隔音</w:t>
                  </w:r>
                </w:p>
              </w:tc>
              <w:tc>
                <w:tcPr>
                  <w:tcW w:w="326" w:type="pct"/>
                  <w:tcBorders>
                    <w:tl2br w:val="nil"/>
                    <w:tr2bl w:val="nil"/>
                  </w:tcBorders>
                  <w:vAlign w:val="center"/>
                </w:tcPr>
                <w:p w14:paraId="1AD81484">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29.24</w:t>
                  </w:r>
                </w:p>
              </w:tc>
              <w:tc>
                <w:tcPr>
                  <w:tcW w:w="303" w:type="pct"/>
                  <w:tcBorders>
                    <w:tl2br w:val="nil"/>
                    <w:tr2bl w:val="nil"/>
                  </w:tcBorders>
                  <w:vAlign w:val="center"/>
                </w:tcPr>
                <w:p w14:paraId="0B4E0726">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38.91</w:t>
                  </w:r>
                </w:p>
              </w:tc>
              <w:tc>
                <w:tcPr>
                  <w:tcW w:w="235" w:type="pct"/>
                  <w:tcBorders>
                    <w:tl2br w:val="nil"/>
                    <w:tr2bl w:val="nil"/>
                  </w:tcBorders>
                  <w:vAlign w:val="center"/>
                </w:tcPr>
                <w:p w14:paraId="073F4683">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1</w:t>
                  </w:r>
                </w:p>
              </w:tc>
              <w:tc>
                <w:tcPr>
                  <w:tcW w:w="307" w:type="pct"/>
                  <w:tcBorders>
                    <w:tl2br w:val="nil"/>
                    <w:tr2bl w:val="nil"/>
                  </w:tcBorders>
                  <w:vAlign w:val="center"/>
                </w:tcPr>
                <w:p w14:paraId="6A131C61">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5.44</w:t>
                  </w:r>
                </w:p>
              </w:tc>
              <w:tc>
                <w:tcPr>
                  <w:tcW w:w="440" w:type="pct"/>
                  <w:tcBorders>
                    <w:tl2br w:val="nil"/>
                    <w:tr2bl w:val="nil"/>
                  </w:tcBorders>
                  <w:vAlign w:val="center"/>
                </w:tcPr>
                <w:p w14:paraId="749E4EB4">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50.28</w:t>
                  </w:r>
                </w:p>
              </w:tc>
              <w:tc>
                <w:tcPr>
                  <w:tcW w:w="625" w:type="pct"/>
                  <w:vMerge w:val="restart"/>
                  <w:tcBorders>
                    <w:tl2br w:val="nil"/>
                    <w:tr2bl w:val="nil"/>
                  </w:tcBorders>
                  <w:vAlign w:val="center"/>
                </w:tcPr>
                <w:p w14:paraId="7099E36F">
                  <w:pPr>
                    <w:pStyle w:val="11"/>
                    <w:adjustRightInd w:val="0"/>
                    <w:spacing w:after="0" w:line="240" w:lineRule="auto"/>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rPr>
                    <w:t>0:</w:t>
                  </w:r>
                  <w:r>
                    <w:rPr>
                      <w:rFonts w:hint="default" w:ascii="Times New Roman" w:hAnsi="Times New Roman" w:cs="Times New Roman" w:eastAsiaTheme="minorEastAsia"/>
                      <w:color w:val="auto"/>
                      <w:sz w:val="18"/>
                      <w:szCs w:val="18"/>
                      <w:highlight w:val="none"/>
                      <w:lang w:val="en-US" w:eastAsia="zh-CN"/>
                    </w:rPr>
                    <w:t>0</w:t>
                  </w:r>
                  <w:r>
                    <w:rPr>
                      <w:rFonts w:hint="default" w:ascii="Times New Roman" w:hAnsi="Times New Roman" w:cs="Times New Roman" w:eastAsiaTheme="minorEastAsia"/>
                      <w:color w:val="auto"/>
                      <w:sz w:val="18"/>
                      <w:szCs w:val="18"/>
                      <w:highlight w:val="none"/>
                    </w:rPr>
                    <w:t>0~</w:t>
                  </w:r>
                  <w:r>
                    <w:rPr>
                      <w:rFonts w:hint="default" w:ascii="Times New Roman" w:hAnsi="Times New Roman" w:cs="Times New Roman" w:eastAsiaTheme="minorEastAsia"/>
                      <w:color w:val="auto"/>
                      <w:sz w:val="18"/>
                      <w:szCs w:val="18"/>
                      <w:highlight w:val="none"/>
                      <w:lang w:val="en-US" w:eastAsia="zh-CN"/>
                    </w:rPr>
                    <w:t>24</w:t>
                  </w:r>
                  <w:r>
                    <w:rPr>
                      <w:rFonts w:hint="default" w:ascii="Times New Roman" w:hAnsi="Times New Roman" w:cs="Times New Roman" w:eastAsiaTheme="minorEastAsia"/>
                      <w:color w:val="auto"/>
                      <w:sz w:val="18"/>
                      <w:szCs w:val="18"/>
                      <w:highlight w:val="none"/>
                    </w:rPr>
                    <w:t>:00</w:t>
                  </w:r>
                </w:p>
              </w:tc>
              <w:tc>
                <w:tcPr>
                  <w:tcW w:w="403" w:type="pct"/>
                  <w:tcBorders>
                    <w:tl2br w:val="nil"/>
                    <w:tr2bl w:val="nil"/>
                  </w:tcBorders>
                  <w:vAlign w:val="center"/>
                </w:tcPr>
                <w:p w14:paraId="078F1B70">
                  <w:pPr>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w:t>
                  </w:r>
                  <w:r>
                    <w:rPr>
                      <w:rFonts w:hint="eastAsia" w:cs="Times New Roman" w:eastAsiaTheme="minorEastAsia"/>
                      <w:color w:val="auto"/>
                      <w:sz w:val="18"/>
                      <w:szCs w:val="18"/>
                      <w:highlight w:val="none"/>
                      <w:lang w:val="en-US" w:eastAsia="zh-CN"/>
                    </w:rPr>
                    <w:t>6</w:t>
                  </w:r>
                </w:p>
              </w:tc>
              <w:tc>
                <w:tcPr>
                  <w:tcW w:w="440" w:type="pct"/>
                  <w:tcBorders>
                    <w:tl2br w:val="nil"/>
                    <w:tr2bl w:val="nil"/>
                  </w:tcBorders>
                  <w:vAlign w:val="center"/>
                </w:tcPr>
                <w:p w14:paraId="4DD53DF7">
                  <w:pPr>
                    <w:pStyle w:val="11"/>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24.28</w:t>
                  </w:r>
                </w:p>
              </w:tc>
              <w:tc>
                <w:tcPr>
                  <w:tcW w:w="300" w:type="pct"/>
                  <w:tcBorders>
                    <w:tl2br w:val="nil"/>
                    <w:tr2bl w:val="nil"/>
                  </w:tcBorders>
                  <w:vAlign w:val="center"/>
                </w:tcPr>
                <w:p w14:paraId="2A6B92E1">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w:t>
                  </w:r>
                </w:p>
              </w:tc>
            </w:tr>
            <w:tr w14:paraId="4E10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l2br w:val="nil"/>
                    <w:tr2bl w:val="nil"/>
                  </w:tcBorders>
                  <w:vAlign w:val="center"/>
                </w:tcPr>
                <w:p w14:paraId="78C74B0E">
                  <w:pPr>
                    <w:adjustRightInd w:val="0"/>
                    <w:spacing w:line="240" w:lineRule="auto"/>
                    <w:jc w:val="center"/>
                    <w:rPr>
                      <w:rFonts w:hint="default" w:ascii="Times New Roman" w:hAnsi="Times New Roman" w:cs="Times New Roman" w:eastAsiaTheme="minorEastAsia"/>
                      <w:color w:val="auto"/>
                      <w:sz w:val="18"/>
                      <w:szCs w:val="18"/>
                      <w:highlight w:val="none"/>
                    </w:rPr>
                  </w:pPr>
                  <w:r>
                    <w:rPr>
                      <w:rFonts w:hint="eastAsia" w:cs="Times New Roman"/>
                      <w:color w:val="auto"/>
                      <w:sz w:val="18"/>
                      <w:szCs w:val="18"/>
                      <w:highlight w:val="none"/>
                      <w:lang w:val="en-US" w:eastAsia="zh-CN"/>
                    </w:rPr>
                    <w:t>原水罐</w:t>
                  </w:r>
                </w:p>
              </w:tc>
              <w:tc>
                <w:tcPr>
                  <w:tcW w:w="350" w:type="pct"/>
                  <w:tcBorders>
                    <w:tl2br w:val="nil"/>
                    <w:tr2bl w:val="nil"/>
                  </w:tcBorders>
                  <w:vAlign w:val="center"/>
                </w:tcPr>
                <w:p w14:paraId="18CEBD48">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eastAsia"/>
                      <w:color w:val="auto"/>
                      <w:spacing w:val="0"/>
                      <w:kern w:val="0"/>
                      <w:sz w:val="18"/>
                      <w:szCs w:val="18"/>
                      <w:highlight w:val="none"/>
                      <w:shd w:val="clear" w:color="auto" w:fill="auto"/>
                      <w:lang w:val="en-US" w:eastAsia="zh-CN"/>
                    </w:rPr>
                    <w:t>离心泵</w:t>
                  </w:r>
                </w:p>
              </w:tc>
              <w:tc>
                <w:tcPr>
                  <w:tcW w:w="489" w:type="pct"/>
                  <w:tcBorders>
                    <w:tl2br w:val="nil"/>
                    <w:tr2bl w:val="nil"/>
                  </w:tcBorders>
                  <w:vAlign w:val="center"/>
                </w:tcPr>
                <w:p w14:paraId="678333D8">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65</w:t>
                  </w:r>
                </w:p>
              </w:tc>
              <w:tc>
                <w:tcPr>
                  <w:tcW w:w="447" w:type="pct"/>
                  <w:tcBorders>
                    <w:tl2br w:val="nil"/>
                    <w:tr2bl w:val="nil"/>
                  </w:tcBorders>
                  <w:vAlign w:val="center"/>
                </w:tcPr>
                <w:p w14:paraId="1F4E26CC">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eastAsia="zh-CN"/>
                    </w:rPr>
                    <w:t>水下隔音</w:t>
                  </w:r>
                </w:p>
              </w:tc>
              <w:tc>
                <w:tcPr>
                  <w:tcW w:w="326" w:type="pct"/>
                  <w:tcBorders>
                    <w:tl2br w:val="nil"/>
                    <w:tr2bl w:val="nil"/>
                  </w:tcBorders>
                  <w:vAlign w:val="center"/>
                </w:tcPr>
                <w:p w14:paraId="068C7CE9">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56.19</w:t>
                  </w:r>
                </w:p>
              </w:tc>
              <w:tc>
                <w:tcPr>
                  <w:tcW w:w="303" w:type="pct"/>
                  <w:tcBorders>
                    <w:tl2br w:val="nil"/>
                    <w:tr2bl w:val="nil"/>
                  </w:tcBorders>
                  <w:vAlign w:val="center"/>
                </w:tcPr>
                <w:p w14:paraId="6308FC10">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60.56</w:t>
                  </w:r>
                </w:p>
              </w:tc>
              <w:tc>
                <w:tcPr>
                  <w:tcW w:w="235" w:type="pct"/>
                  <w:tcBorders>
                    <w:tl2br w:val="nil"/>
                    <w:tr2bl w:val="nil"/>
                  </w:tcBorders>
                  <w:vAlign w:val="center"/>
                </w:tcPr>
                <w:p w14:paraId="1B64CEAF">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w:t>
                  </w:r>
                </w:p>
              </w:tc>
              <w:tc>
                <w:tcPr>
                  <w:tcW w:w="307" w:type="pct"/>
                  <w:tcBorders>
                    <w:tl2br w:val="nil"/>
                    <w:tr2bl w:val="nil"/>
                  </w:tcBorders>
                  <w:vAlign w:val="center"/>
                </w:tcPr>
                <w:p w14:paraId="515A1AE0">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6.44</w:t>
                  </w:r>
                </w:p>
              </w:tc>
              <w:tc>
                <w:tcPr>
                  <w:tcW w:w="440" w:type="pct"/>
                  <w:tcBorders>
                    <w:tl2br w:val="nil"/>
                    <w:tr2bl w:val="nil"/>
                  </w:tcBorders>
                  <w:vAlign w:val="center"/>
                </w:tcPr>
                <w:p w14:paraId="6CCE1A30">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48.82</w:t>
                  </w:r>
                </w:p>
              </w:tc>
              <w:tc>
                <w:tcPr>
                  <w:tcW w:w="625" w:type="pct"/>
                  <w:vMerge w:val="continue"/>
                  <w:tcBorders>
                    <w:tl2br w:val="nil"/>
                    <w:tr2bl w:val="nil"/>
                  </w:tcBorders>
                  <w:vAlign w:val="center"/>
                </w:tcPr>
                <w:p w14:paraId="3573C644">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403" w:type="pct"/>
                  <w:tcBorders>
                    <w:tl2br w:val="nil"/>
                    <w:tr2bl w:val="nil"/>
                  </w:tcBorders>
                  <w:vAlign w:val="center"/>
                </w:tcPr>
                <w:p w14:paraId="18F67297">
                  <w:pPr>
                    <w:adjustRightInd w:val="0"/>
                    <w:spacing w:after="0" w:line="240" w:lineRule="auto"/>
                    <w:jc w:val="center"/>
                    <w:rPr>
                      <w:rFonts w:hint="default" w:ascii="Times New Roman" w:hAnsi="Times New Roman" w:cs="Times New Roman" w:eastAsiaTheme="minorEastAsia"/>
                      <w:color w:val="auto"/>
                      <w:sz w:val="18"/>
                      <w:szCs w:val="18"/>
                      <w:highlight w:val="none"/>
                      <w:lang w:val="en-US"/>
                    </w:rPr>
                  </w:pPr>
                  <w:r>
                    <w:rPr>
                      <w:rFonts w:hint="eastAsia" w:ascii="Times New Roman" w:hAnsi="Times New Roman" w:cs="Times New Roman" w:eastAsiaTheme="minorEastAsia"/>
                      <w:color w:val="auto"/>
                      <w:sz w:val="18"/>
                      <w:szCs w:val="18"/>
                      <w:highlight w:val="none"/>
                      <w:lang w:val="en-US" w:eastAsia="zh-CN"/>
                    </w:rPr>
                    <w:t>2</w:t>
                  </w:r>
                  <w:r>
                    <w:rPr>
                      <w:rFonts w:hint="eastAsia" w:cs="Times New Roman" w:eastAsiaTheme="minorEastAsia"/>
                      <w:color w:val="auto"/>
                      <w:sz w:val="18"/>
                      <w:szCs w:val="18"/>
                      <w:highlight w:val="none"/>
                      <w:lang w:val="en-US" w:eastAsia="zh-CN"/>
                    </w:rPr>
                    <w:t>6</w:t>
                  </w:r>
                </w:p>
              </w:tc>
              <w:tc>
                <w:tcPr>
                  <w:tcW w:w="440" w:type="pct"/>
                  <w:tcBorders>
                    <w:tl2br w:val="nil"/>
                    <w:tr2bl w:val="nil"/>
                  </w:tcBorders>
                  <w:vAlign w:val="center"/>
                </w:tcPr>
                <w:p w14:paraId="2131DA26">
                  <w:pPr>
                    <w:pStyle w:val="11"/>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22.82</w:t>
                  </w:r>
                </w:p>
              </w:tc>
              <w:tc>
                <w:tcPr>
                  <w:tcW w:w="300" w:type="pct"/>
                  <w:tcBorders>
                    <w:tl2br w:val="nil"/>
                    <w:tr2bl w:val="nil"/>
                  </w:tcBorders>
                  <w:vAlign w:val="center"/>
                </w:tcPr>
                <w:p w14:paraId="152F17F1">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w:t>
                  </w:r>
                </w:p>
              </w:tc>
            </w:tr>
            <w:tr w14:paraId="22F7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l2br w:val="nil"/>
                    <w:tr2bl w:val="nil"/>
                  </w:tcBorders>
                  <w:vAlign w:val="center"/>
                </w:tcPr>
                <w:p w14:paraId="3A1B2749">
                  <w:pPr>
                    <w:adjustRightInd w:val="0"/>
                    <w:spacing w:line="240" w:lineRule="auto"/>
                    <w:jc w:val="center"/>
                    <w:rPr>
                      <w:rFonts w:hint="default" w:ascii="Times New Roman" w:hAnsi="Times New Roman" w:cs="Times New Roman"/>
                      <w:color w:val="auto"/>
                      <w:spacing w:val="0"/>
                      <w:kern w:val="0"/>
                      <w:sz w:val="18"/>
                      <w:szCs w:val="18"/>
                      <w:highlight w:val="none"/>
                      <w:shd w:val="clear" w:color="auto" w:fill="auto"/>
                      <w:lang w:eastAsia="zh-CN"/>
                    </w:rPr>
                  </w:pPr>
                  <w:r>
                    <w:rPr>
                      <w:rFonts w:hint="eastAsia" w:cs="Times New Roman"/>
                      <w:color w:val="auto"/>
                      <w:sz w:val="18"/>
                      <w:szCs w:val="18"/>
                      <w:highlight w:val="none"/>
                      <w:lang w:val="en-US" w:eastAsia="zh-CN"/>
                    </w:rPr>
                    <w:t>砂滤</w:t>
                  </w:r>
                </w:p>
              </w:tc>
              <w:tc>
                <w:tcPr>
                  <w:tcW w:w="350" w:type="pct"/>
                  <w:tcBorders>
                    <w:tl2br w:val="nil"/>
                    <w:tr2bl w:val="nil"/>
                  </w:tcBorders>
                  <w:vAlign w:val="center"/>
                </w:tcPr>
                <w:p w14:paraId="6E3EF0D9">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pacing w:val="0"/>
                      <w:kern w:val="0"/>
                      <w:sz w:val="18"/>
                      <w:szCs w:val="18"/>
                      <w:highlight w:val="none"/>
                      <w:shd w:val="clear" w:color="auto" w:fill="auto"/>
                      <w:lang w:val="en-US" w:eastAsia="zh-CN" w:bidi="ar-SA"/>
                    </w:rPr>
                  </w:pPr>
                  <w:r>
                    <w:rPr>
                      <w:rFonts w:hint="eastAsia"/>
                      <w:color w:val="auto"/>
                      <w:spacing w:val="0"/>
                      <w:kern w:val="0"/>
                      <w:sz w:val="18"/>
                      <w:szCs w:val="18"/>
                      <w:highlight w:val="none"/>
                      <w:shd w:val="clear" w:color="auto" w:fill="auto"/>
                      <w:lang w:val="en-US" w:eastAsia="zh-CN"/>
                    </w:rPr>
                    <w:t>进水泵</w:t>
                  </w:r>
                </w:p>
              </w:tc>
              <w:tc>
                <w:tcPr>
                  <w:tcW w:w="489" w:type="pct"/>
                  <w:tcBorders>
                    <w:tl2br w:val="nil"/>
                    <w:tr2bl w:val="nil"/>
                  </w:tcBorders>
                  <w:vAlign w:val="center"/>
                </w:tcPr>
                <w:p w14:paraId="5EC8BC08">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65</w:t>
                  </w:r>
                </w:p>
              </w:tc>
              <w:tc>
                <w:tcPr>
                  <w:tcW w:w="447" w:type="pct"/>
                  <w:tcBorders>
                    <w:tl2br w:val="nil"/>
                    <w:tr2bl w:val="nil"/>
                  </w:tcBorders>
                  <w:vAlign w:val="center"/>
                </w:tcPr>
                <w:p w14:paraId="38EF761D">
                  <w:pPr>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eastAsia="zh-CN"/>
                    </w:rPr>
                    <w:t>水下隔音</w:t>
                  </w:r>
                </w:p>
              </w:tc>
              <w:tc>
                <w:tcPr>
                  <w:tcW w:w="326" w:type="pct"/>
                  <w:tcBorders>
                    <w:tl2br w:val="nil"/>
                    <w:tr2bl w:val="nil"/>
                  </w:tcBorders>
                  <w:vAlign w:val="center"/>
                </w:tcPr>
                <w:p w14:paraId="7BF167FE">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45</w:t>
                  </w:r>
                </w:p>
              </w:tc>
              <w:tc>
                <w:tcPr>
                  <w:tcW w:w="303" w:type="pct"/>
                  <w:tcBorders>
                    <w:tl2br w:val="nil"/>
                    <w:tr2bl w:val="nil"/>
                  </w:tcBorders>
                  <w:vAlign w:val="center"/>
                </w:tcPr>
                <w:p w14:paraId="5956A993">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60.56</w:t>
                  </w:r>
                </w:p>
              </w:tc>
              <w:tc>
                <w:tcPr>
                  <w:tcW w:w="235" w:type="pct"/>
                  <w:tcBorders>
                    <w:tl2br w:val="nil"/>
                    <w:tr2bl w:val="nil"/>
                  </w:tcBorders>
                  <w:vAlign w:val="center"/>
                </w:tcPr>
                <w:p w14:paraId="21447632">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w:t>
                  </w:r>
                </w:p>
              </w:tc>
              <w:tc>
                <w:tcPr>
                  <w:tcW w:w="307" w:type="pct"/>
                  <w:tcBorders>
                    <w:tl2br w:val="nil"/>
                    <w:tr2bl w:val="nil"/>
                  </w:tcBorders>
                  <w:vAlign w:val="center"/>
                </w:tcPr>
                <w:p w14:paraId="115F7F6D">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13.5</w:t>
                  </w:r>
                </w:p>
              </w:tc>
              <w:tc>
                <w:tcPr>
                  <w:tcW w:w="440" w:type="pct"/>
                  <w:tcBorders>
                    <w:tl2br w:val="nil"/>
                    <w:tr2bl w:val="nil"/>
                  </w:tcBorders>
                  <w:vAlign w:val="center"/>
                </w:tcPr>
                <w:p w14:paraId="1C0EEDFC">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42.39</w:t>
                  </w:r>
                </w:p>
              </w:tc>
              <w:tc>
                <w:tcPr>
                  <w:tcW w:w="625" w:type="pct"/>
                  <w:vMerge w:val="continue"/>
                  <w:tcBorders>
                    <w:tl2br w:val="nil"/>
                    <w:tr2bl w:val="nil"/>
                  </w:tcBorders>
                  <w:vAlign w:val="center"/>
                </w:tcPr>
                <w:p w14:paraId="25644B8F">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403" w:type="pct"/>
                  <w:tcBorders>
                    <w:tl2br w:val="nil"/>
                    <w:tr2bl w:val="nil"/>
                  </w:tcBorders>
                  <w:vAlign w:val="center"/>
                </w:tcPr>
                <w:p w14:paraId="75C6DAB5">
                  <w:pPr>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w:t>
                  </w:r>
                  <w:r>
                    <w:rPr>
                      <w:rFonts w:hint="eastAsia" w:cs="Times New Roman" w:eastAsiaTheme="minorEastAsia"/>
                      <w:color w:val="auto"/>
                      <w:sz w:val="18"/>
                      <w:szCs w:val="18"/>
                      <w:highlight w:val="none"/>
                      <w:lang w:val="en-US" w:eastAsia="zh-CN"/>
                    </w:rPr>
                    <w:t>6</w:t>
                  </w:r>
                </w:p>
              </w:tc>
              <w:tc>
                <w:tcPr>
                  <w:tcW w:w="440" w:type="pct"/>
                  <w:tcBorders>
                    <w:tl2br w:val="nil"/>
                    <w:tr2bl w:val="nil"/>
                  </w:tcBorders>
                  <w:vAlign w:val="center"/>
                </w:tcPr>
                <w:p w14:paraId="139845A9">
                  <w:pPr>
                    <w:pStyle w:val="11"/>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16.39</w:t>
                  </w:r>
                </w:p>
              </w:tc>
              <w:tc>
                <w:tcPr>
                  <w:tcW w:w="300" w:type="pct"/>
                  <w:tcBorders>
                    <w:tl2br w:val="nil"/>
                    <w:tr2bl w:val="nil"/>
                  </w:tcBorders>
                  <w:vAlign w:val="center"/>
                </w:tcPr>
                <w:p w14:paraId="6F242C75">
                  <w:pPr>
                    <w:pStyle w:val="11"/>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w:t>
                  </w:r>
                </w:p>
              </w:tc>
            </w:tr>
            <w:tr w14:paraId="4D8D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l2br w:val="nil"/>
                    <w:tr2bl w:val="nil"/>
                  </w:tcBorders>
                  <w:vAlign w:val="center"/>
                </w:tcPr>
                <w:p w14:paraId="7F6C58DF">
                  <w:pPr>
                    <w:adjustRightInd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脱气塔</w:t>
                  </w:r>
                </w:p>
              </w:tc>
              <w:tc>
                <w:tcPr>
                  <w:tcW w:w="350" w:type="pct"/>
                  <w:tcBorders>
                    <w:tl2br w:val="nil"/>
                    <w:tr2bl w:val="nil"/>
                  </w:tcBorders>
                  <w:vAlign w:val="center"/>
                </w:tcPr>
                <w:p w14:paraId="3E91FD28">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风机</w:t>
                  </w:r>
                </w:p>
              </w:tc>
              <w:tc>
                <w:tcPr>
                  <w:tcW w:w="489" w:type="pct"/>
                  <w:tcBorders>
                    <w:tl2br w:val="nil"/>
                    <w:tr2bl w:val="nil"/>
                  </w:tcBorders>
                  <w:vAlign w:val="center"/>
                </w:tcPr>
                <w:p w14:paraId="5FC73754">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80</w:t>
                  </w:r>
                </w:p>
              </w:tc>
              <w:tc>
                <w:tcPr>
                  <w:tcW w:w="447" w:type="pct"/>
                  <w:tcBorders>
                    <w:tl2br w:val="nil"/>
                    <w:tr2bl w:val="nil"/>
                  </w:tcBorders>
                  <w:vAlign w:val="center"/>
                </w:tcPr>
                <w:p w14:paraId="41763FCF">
                  <w:pPr>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基础减震、厂房隔声</w:t>
                  </w:r>
                </w:p>
              </w:tc>
              <w:tc>
                <w:tcPr>
                  <w:tcW w:w="326" w:type="pct"/>
                  <w:tcBorders>
                    <w:tl2br w:val="nil"/>
                    <w:tr2bl w:val="nil"/>
                  </w:tcBorders>
                  <w:vAlign w:val="center"/>
                </w:tcPr>
                <w:p w14:paraId="34DBAE60">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37.9</w:t>
                  </w:r>
                </w:p>
              </w:tc>
              <w:tc>
                <w:tcPr>
                  <w:tcW w:w="303" w:type="pct"/>
                  <w:tcBorders>
                    <w:tl2br w:val="nil"/>
                    <w:tr2bl w:val="nil"/>
                  </w:tcBorders>
                  <w:vAlign w:val="center"/>
                </w:tcPr>
                <w:p w14:paraId="752C6978">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55.6</w:t>
                  </w:r>
                </w:p>
              </w:tc>
              <w:tc>
                <w:tcPr>
                  <w:tcW w:w="235" w:type="pct"/>
                  <w:tcBorders>
                    <w:tl2br w:val="nil"/>
                    <w:tr2bl w:val="nil"/>
                  </w:tcBorders>
                  <w:vAlign w:val="center"/>
                </w:tcPr>
                <w:p w14:paraId="5377A53B">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w:t>
                  </w:r>
                </w:p>
              </w:tc>
              <w:tc>
                <w:tcPr>
                  <w:tcW w:w="307" w:type="pct"/>
                  <w:tcBorders>
                    <w:tl2br w:val="nil"/>
                    <w:tr2bl w:val="nil"/>
                  </w:tcBorders>
                  <w:vAlign w:val="center"/>
                </w:tcPr>
                <w:p w14:paraId="1F39FE17">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6.86</w:t>
                  </w:r>
                </w:p>
              </w:tc>
              <w:tc>
                <w:tcPr>
                  <w:tcW w:w="440" w:type="pct"/>
                  <w:tcBorders>
                    <w:tl2br w:val="nil"/>
                    <w:tr2bl w:val="nil"/>
                  </w:tcBorders>
                  <w:vAlign w:val="center"/>
                </w:tcPr>
                <w:p w14:paraId="1FB46E15">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63.27</w:t>
                  </w:r>
                </w:p>
              </w:tc>
              <w:tc>
                <w:tcPr>
                  <w:tcW w:w="625" w:type="pct"/>
                  <w:vMerge w:val="continue"/>
                  <w:tcBorders>
                    <w:tl2br w:val="nil"/>
                    <w:tr2bl w:val="nil"/>
                  </w:tcBorders>
                  <w:vAlign w:val="center"/>
                </w:tcPr>
                <w:p w14:paraId="36D5DFA3">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403" w:type="pct"/>
                  <w:tcBorders>
                    <w:tl2br w:val="nil"/>
                    <w:tr2bl w:val="nil"/>
                  </w:tcBorders>
                  <w:vAlign w:val="center"/>
                </w:tcPr>
                <w:p w14:paraId="0B0ACD24">
                  <w:pPr>
                    <w:adjustRightInd w:val="0"/>
                    <w:spacing w:after="0" w:line="240" w:lineRule="auto"/>
                    <w:jc w:val="center"/>
                    <w:rPr>
                      <w:rFonts w:hint="default" w:ascii="Times New Roman" w:hAnsi="Times New Roman" w:cs="Times New Roman" w:eastAsiaTheme="minorEastAsia"/>
                      <w:color w:val="auto"/>
                      <w:sz w:val="18"/>
                      <w:szCs w:val="18"/>
                      <w:highlight w:val="none"/>
                      <w:lang w:val="en-US"/>
                    </w:rPr>
                  </w:pPr>
                  <w:r>
                    <w:rPr>
                      <w:rFonts w:hint="eastAsia" w:ascii="Times New Roman" w:hAnsi="Times New Roman" w:cs="Times New Roman" w:eastAsiaTheme="minorEastAsia"/>
                      <w:color w:val="auto"/>
                      <w:sz w:val="18"/>
                      <w:szCs w:val="18"/>
                      <w:highlight w:val="none"/>
                      <w:lang w:val="en-US" w:eastAsia="zh-CN"/>
                    </w:rPr>
                    <w:t>2</w:t>
                  </w:r>
                  <w:r>
                    <w:rPr>
                      <w:rFonts w:hint="eastAsia" w:cs="Times New Roman" w:eastAsiaTheme="minorEastAsia"/>
                      <w:color w:val="auto"/>
                      <w:sz w:val="18"/>
                      <w:szCs w:val="18"/>
                      <w:highlight w:val="none"/>
                      <w:lang w:val="en-US" w:eastAsia="zh-CN"/>
                    </w:rPr>
                    <w:t>6</w:t>
                  </w:r>
                </w:p>
              </w:tc>
              <w:tc>
                <w:tcPr>
                  <w:tcW w:w="440" w:type="pct"/>
                  <w:tcBorders>
                    <w:tl2br w:val="nil"/>
                    <w:tr2bl w:val="nil"/>
                  </w:tcBorders>
                  <w:vAlign w:val="center"/>
                </w:tcPr>
                <w:p w14:paraId="3DBB28A3">
                  <w:pPr>
                    <w:pStyle w:val="11"/>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37.27</w:t>
                  </w:r>
                </w:p>
              </w:tc>
              <w:tc>
                <w:tcPr>
                  <w:tcW w:w="300" w:type="pct"/>
                  <w:tcBorders>
                    <w:tl2br w:val="nil"/>
                    <w:tr2bl w:val="nil"/>
                  </w:tcBorders>
                  <w:vAlign w:val="center"/>
                </w:tcPr>
                <w:p w14:paraId="6C995092">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w:t>
                  </w:r>
                </w:p>
              </w:tc>
            </w:tr>
            <w:tr w14:paraId="41E1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l2br w:val="nil"/>
                    <w:tr2bl w:val="nil"/>
                  </w:tcBorders>
                  <w:vAlign w:val="center"/>
                </w:tcPr>
                <w:p w14:paraId="6F16C065">
                  <w:pPr>
                    <w:adjustRightInd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浓缩液处理</w:t>
                  </w:r>
                </w:p>
              </w:tc>
              <w:tc>
                <w:tcPr>
                  <w:tcW w:w="350" w:type="pct"/>
                  <w:tcBorders>
                    <w:tl2br w:val="nil"/>
                    <w:tr2bl w:val="nil"/>
                  </w:tcBorders>
                  <w:vAlign w:val="center"/>
                </w:tcPr>
                <w:p w14:paraId="31D4754E">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sz w:val="18"/>
                      <w:szCs w:val="18"/>
                      <w:highlight w:val="none"/>
                      <w:lang w:val="en-US" w:eastAsia="zh-CN"/>
                    </w:rPr>
                    <w:t>低温蒸发一体化设备</w:t>
                  </w:r>
                </w:p>
              </w:tc>
              <w:tc>
                <w:tcPr>
                  <w:tcW w:w="489" w:type="pct"/>
                  <w:tcBorders>
                    <w:tl2br w:val="nil"/>
                    <w:tr2bl w:val="nil"/>
                  </w:tcBorders>
                  <w:vAlign w:val="center"/>
                </w:tcPr>
                <w:p w14:paraId="092AE20A">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70</w:t>
                  </w:r>
                </w:p>
              </w:tc>
              <w:tc>
                <w:tcPr>
                  <w:tcW w:w="447" w:type="pct"/>
                  <w:tcBorders>
                    <w:tl2br w:val="nil"/>
                    <w:tr2bl w:val="nil"/>
                  </w:tcBorders>
                  <w:vAlign w:val="center"/>
                </w:tcPr>
                <w:p w14:paraId="362A292D">
                  <w:pPr>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基础减震、厂房隔声</w:t>
                  </w:r>
                </w:p>
              </w:tc>
              <w:tc>
                <w:tcPr>
                  <w:tcW w:w="326" w:type="pct"/>
                  <w:tcBorders>
                    <w:tl2br w:val="nil"/>
                    <w:tr2bl w:val="nil"/>
                  </w:tcBorders>
                  <w:vAlign w:val="center"/>
                </w:tcPr>
                <w:p w14:paraId="7768402D">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49.22</w:t>
                  </w:r>
                </w:p>
              </w:tc>
              <w:tc>
                <w:tcPr>
                  <w:tcW w:w="303" w:type="pct"/>
                  <w:tcBorders>
                    <w:tl2br w:val="nil"/>
                    <w:tr2bl w:val="nil"/>
                  </w:tcBorders>
                  <w:vAlign w:val="center"/>
                </w:tcPr>
                <w:p w14:paraId="2750CAC7">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64.74</w:t>
                  </w:r>
                </w:p>
              </w:tc>
              <w:tc>
                <w:tcPr>
                  <w:tcW w:w="235" w:type="pct"/>
                  <w:tcBorders>
                    <w:tl2br w:val="nil"/>
                    <w:tr2bl w:val="nil"/>
                  </w:tcBorders>
                  <w:vAlign w:val="center"/>
                </w:tcPr>
                <w:p w14:paraId="3548DBCE">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w:t>
                  </w:r>
                </w:p>
              </w:tc>
              <w:tc>
                <w:tcPr>
                  <w:tcW w:w="307" w:type="pct"/>
                  <w:tcBorders>
                    <w:tl2br w:val="nil"/>
                    <w:tr2bl w:val="nil"/>
                  </w:tcBorders>
                  <w:vAlign w:val="center"/>
                </w:tcPr>
                <w:p w14:paraId="5288B7B6">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11.29</w:t>
                  </w:r>
                </w:p>
              </w:tc>
              <w:tc>
                <w:tcPr>
                  <w:tcW w:w="440" w:type="pct"/>
                  <w:tcBorders>
                    <w:tl2br w:val="nil"/>
                    <w:tr2bl w:val="nil"/>
                  </w:tcBorders>
                  <w:vAlign w:val="center"/>
                </w:tcPr>
                <w:p w14:paraId="2378EE40">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48.95</w:t>
                  </w:r>
                </w:p>
              </w:tc>
              <w:tc>
                <w:tcPr>
                  <w:tcW w:w="625" w:type="pct"/>
                  <w:vMerge w:val="continue"/>
                  <w:tcBorders>
                    <w:tl2br w:val="nil"/>
                    <w:tr2bl w:val="nil"/>
                  </w:tcBorders>
                  <w:vAlign w:val="center"/>
                </w:tcPr>
                <w:p w14:paraId="1FA16206">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403" w:type="pct"/>
                  <w:tcBorders>
                    <w:tl2br w:val="nil"/>
                    <w:tr2bl w:val="nil"/>
                  </w:tcBorders>
                  <w:vAlign w:val="center"/>
                </w:tcPr>
                <w:p w14:paraId="36F7F4A8">
                  <w:pPr>
                    <w:adjustRightInd w:val="0"/>
                    <w:spacing w:after="0" w:line="240" w:lineRule="auto"/>
                    <w:jc w:val="center"/>
                    <w:rPr>
                      <w:rFonts w:hint="default" w:ascii="Times New Roman" w:hAnsi="Times New Roman" w:cs="Times New Roman" w:eastAsiaTheme="minorEastAsia"/>
                      <w:color w:val="auto"/>
                      <w:sz w:val="18"/>
                      <w:szCs w:val="18"/>
                      <w:highlight w:val="none"/>
                      <w:lang w:val="en-US"/>
                    </w:rPr>
                  </w:pPr>
                  <w:r>
                    <w:rPr>
                      <w:rFonts w:hint="eastAsia" w:ascii="Times New Roman" w:hAnsi="Times New Roman" w:cs="Times New Roman" w:eastAsiaTheme="minorEastAsia"/>
                      <w:color w:val="auto"/>
                      <w:sz w:val="18"/>
                      <w:szCs w:val="18"/>
                      <w:highlight w:val="none"/>
                      <w:lang w:val="en-US" w:eastAsia="zh-CN"/>
                    </w:rPr>
                    <w:t>2</w:t>
                  </w:r>
                  <w:r>
                    <w:rPr>
                      <w:rFonts w:hint="eastAsia" w:cs="Times New Roman" w:eastAsiaTheme="minorEastAsia"/>
                      <w:color w:val="auto"/>
                      <w:sz w:val="18"/>
                      <w:szCs w:val="18"/>
                      <w:highlight w:val="none"/>
                      <w:lang w:val="en-US" w:eastAsia="zh-CN"/>
                    </w:rPr>
                    <w:t>6</w:t>
                  </w:r>
                </w:p>
              </w:tc>
              <w:tc>
                <w:tcPr>
                  <w:tcW w:w="440" w:type="pct"/>
                  <w:tcBorders>
                    <w:tl2br w:val="nil"/>
                    <w:tr2bl w:val="nil"/>
                  </w:tcBorders>
                  <w:vAlign w:val="center"/>
                </w:tcPr>
                <w:p w14:paraId="56A85FB2">
                  <w:pPr>
                    <w:pStyle w:val="11"/>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22.95</w:t>
                  </w:r>
                </w:p>
              </w:tc>
              <w:tc>
                <w:tcPr>
                  <w:tcW w:w="300" w:type="pct"/>
                  <w:tcBorders>
                    <w:tl2br w:val="nil"/>
                    <w:tr2bl w:val="nil"/>
                  </w:tcBorders>
                  <w:vAlign w:val="center"/>
                </w:tcPr>
                <w:p w14:paraId="275F07D3">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w:t>
                  </w:r>
                </w:p>
              </w:tc>
            </w:tr>
            <w:tr w14:paraId="670B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l2br w:val="nil"/>
                    <w:tr2bl w:val="nil"/>
                  </w:tcBorders>
                  <w:vAlign w:val="center"/>
                </w:tcPr>
                <w:p w14:paraId="7D7D2E08">
                  <w:pPr>
                    <w:adjustRightInd w:val="0"/>
                    <w:spacing w:line="240" w:lineRule="auto"/>
                    <w:jc w:val="center"/>
                    <w:rPr>
                      <w:rFonts w:hint="default" w:ascii="Times New Roman" w:hAnsi="Times New Roman" w:cs="Times New Roman" w:eastAsiaTheme="minorEastAsia"/>
                      <w:color w:val="auto"/>
                      <w:sz w:val="18"/>
                      <w:szCs w:val="18"/>
                      <w:highlight w:val="none"/>
                    </w:rPr>
                  </w:pPr>
                  <w:r>
                    <w:rPr>
                      <w:rFonts w:hint="eastAsia" w:cs="Times New Roman"/>
                      <w:color w:val="auto"/>
                      <w:sz w:val="18"/>
                      <w:szCs w:val="18"/>
                      <w:highlight w:val="none"/>
                      <w:lang w:val="en-US" w:eastAsia="zh-CN"/>
                    </w:rPr>
                    <w:t>空压机房</w:t>
                  </w:r>
                </w:p>
              </w:tc>
              <w:tc>
                <w:tcPr>
                  <w:tcW w:w="350" w:type="pct"/>
                  <w:tcBorders>
                    <w:tl2br w:val="nil"/>
                    <w:tr2bl w:val="nil"/>
                  </w:tcBorders>
                  <w:vAlign w:val="center"/>
                </w:tcPr>
                <w:p w14:paraId="57C4DB5C">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kern w:val="0"/>
                      <w:sz w:val="18"/>
                      <w:szCs w:val="18"/>
                      <w:highlight w:val="none"/>
                      <w:lang w:val="en-US" w:eastAsia="zh-CN" w:bidi="ar"/>
                    </w:rPr>
                  </w:pPr>
                  <w:r>
                    <w:rPr>
                      <w:rFonts w:hint="eastAsia"/>
                      <w:color w:val="auto"/>
                      <w:spacing w:val="0"/>
                      <w:kern w:val="0"/>
                      <w:sz w:val="18"/>
                      <w:szCs w:val="18"/>
                      <w:highlight w:val="none"/>
                      <w:shd w:val="clear" w:color="auto" w:fill="auto"/>
                      <w:lang w:val="en-US" w:eastAsia="zh-CN"/>
                    </w:rPr>
                    <w:t>空压机</w:t>
                  </w:r>
                </w:p>
              </w:tc>
              <w:tc>
                <w:tcPr>
                  <w:tcW w:w="489" w:type="pct"/>
                  <w:tcBorders>
                    <w:tl2br w:val="nil"/>
                    <w:tr2bl w:val="nil"/>
                  </w:tcBorders>
                  <w:vAlign w:val="center"/>
                </w:tcPr>
                <w:p w14:paraId="351513A9">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80</w:t>
                  </w:r>
                </w:p>
              </w:tc>
              <w:tc>
                <w:tcPr>
                  <w:tcW w:w="447" w:type="pct"/>
                  <w:tcBorders>
                    <w:tl2br w:val="nil"/>
                    <w:tr2bl w:val="nil"/>
                  </w:tcBorders>
                  <w:vAlign w:val="center"/>
                </w:tcPr>
                <w:p w14:paraId="3B7360AD">
                  <w:pPr>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基础减震、厂房隔声</w:t>
                  </w:r>
                </w:p>
              </w:tc>
              <w:tc>
                <w:tcPr>
                  <w:tcW w:w="326" w:type="pct"/>
                  <w:tcBorders>
                    <w:tl2br w:val="nil"/>
                    <w:tr2bl w:val="nil"/>
                  </w:tcBorders>
                  <w:vAlign w:val="center"/>
                </w:tcPr>
                <w:p w14:paraId="3A453CC7">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57.56</w:t>
                  </w:r>
                </w:p>
              </w:tc>
              <w:tc>
                <w:tcPr>
                  <w:tcW w:w="303" w:type="pct"/>
                  <w:tcBorders>
                    <w:tl2br w:val="nil"/>
                    <w:tr2bl w:val="nil"/>
                  </w:tcBorders>
                  <w:vAlign w:val="center"/>
                </w:tcPr>
                <w:p w14:paraId="24A2F05B">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66.13</w:t>
                  </w:r>
                </w:p>
              </w:tc>
              <w:tc>
                <w:tcPr>
                  <w:tcW w:w="235" w:type="pct"/>
                  <w:tcBorders>
                    <w:tl2br w:val="nil"/>
                    <w:tr2bl w:val="nil"/>
                  </w:tcBorders>
                  <w:vAlign w:val="center"/>
                </w:tcPr>
                <w:p w14:paraId="19515DBC">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w:t>
                  </w:r>
                </w:p>
              </w:tc>
              <w:tc>
                <w:tcPr>
                  <w:tcW w:w="307" w:type="pct"/>
                  <w:tcBorders>
                    <w:tl2br w:val="nil"/>
                    <w:tr2bl w:val="nil"/>
                  </w:tcBorders>
                  <w:vAlign w:val="center"/>
                </w:tcPr>
                <w:p w14:paraId="2EC773E4">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3.87</w:t>
                  </w:r>
                </w:p>
              </w:tc>
              <w:tc>
                <w:tcPr>
                  <w:tcW w:w="440" w:type="pct"/>
                  <w:tcBorders>
                    <w:tl2br w:val="nil"/>
                    <w:tr2bl w:val="nil"/>
                  </w:tcBorders>
                  <w:vAlign w:val="center"/>
                </w:tcPr>
                <w:p w14:paraId="6A5EB5DF">
                  <w:pPr>
                    <w:pStyle w:val="11"/>
                    <w:adjustRightInd w:val="0"/>
                    <w:spacing w:after="0" w:line="240" w:lineRule="auto"/>
                    <w:ind w:right="113" w:right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68.24</w:t>
                  </w:r>
                </w:p>
              </w:tc>
              <w:tc>
                <w:tcPr>
                  <w:tcW w:w="625" w:type="pct"/>
                  <w:vMerge w:val="continue"/>
                  <w:tcBorders>
                    <w:tl2br w:val="nil"/>
                    <w:tr2bl w:val="nil"/>
                  </w:tcBorders>
                  <w:vAlign w:val="center"/>
                </w:tcPr>
                <w:p w14:paraId="6AC35CBB">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p>
              </w:tc>
              <w:tc>
                <w:tcPr>
                  <w:tcW w:w="403" w:type="pct"/>
                  <w:tcBorders>
                    <w:tl2br w:val="nil"/>
                    <w:tr2bl w:val="nil"/>
                  </w:tcBorders>
                  <w:vAlign w:val="center"/>
                </w:tcPr>
                <w:p w14:paraId="0906DDD0">
                  <w:pPr>
                    <w:adjustRightInd w:val="0"/>
                    <w:spacing w:after="0" w:line="240" w:lineRule="auto"/>
                    <w:jc w:val="center"/>
                    <w:rPr>
                      <w:rFonts w:hint="default" w:ascii="Times New Roman" w:hAnsi="Times New Roman" w:cs="Times New Roman" w:eastAsiaTheme="minorEastAsia"/>
                      <w:color w:val="auto"/>
                      <w:sz w:val="18"/>
                      <w:szCs w:val="18"/>
                      <w:highlight w:val="none"/>
                      <w:lang w:val="en-US"/>
                    </w:rPr>
                  </w:pPr>
                  <w:r>
                    <w:rPr>
                      <w:rFonts w:hint="eastAsia" w:ascii="Times New Roman" w:hAnsi="Times New Roman" w:cs="Times New Roman" w:eastAsiaTheme="minorEastAsia"/>
                      <w:color w:val="auto"/>
                      <w:sz w:val="18"/>
                      <w:szCs w:val="18"/>
                      <w:highlight w:val="none"/>
                      <w:lang w:val="en-US" w:eastAsia="zh-CN"/>
                    </w:rPr>
                    <w:t>2</w:t>
                  </w:r>
                  <w:r>
                    <w:rPr>
                      <w:rFonts w:hint="eastAsia" w:cs="Times New Roman" w:eastAsiaTheme="minorEastAsia"/>
                      <w:color w:val="auto"/>
                      <w:sz w:val="18"/>
                      <w:szCs w:val="18"/>
                      <w:highlight w:val="none"/>
                      <w:lang w:val="en-US" w:eastAsia="zh-CN"/>
                    </w:rPr>
                    <w:t>6</w:t>
                  </w:r>
                </w:p>
              </w:tc>
              <w:tc>
                <w:tcPr>
                  <w:tcW w:w="440" w:type="pct"/>
                  <w:tcBorders>
                    <w:tl2br w:val="nil"/>
                    <w:tr2bl w:val="nil"/>
                  </w:tcBorders>
                  <w:vAlign w:val="center"/>
                </w:tcPr>
                <w:p w14:paraId="07BDDBD6">
                  <w:pPr>
                    <w:pStyle w:val="11"/>
                    <w:adjustRightInd w:val="0"/>
                    <w:spacing w:after="0" w:line="240" w:lineRule="auto"/>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color w:val="auto"/>
                      <w:sz w:val="18"/>
                      <w:szCs w:val="18"/>
                      <w:highlight w:val="none"/>
                      <w:lang w:val="en-US" w:eastAsia="zh-CN"/>
                    </w:rPr>
                    <w:t>42.24</w:t>
                  </w:r>
                </w:p>
              </w:tc>
              <w:tc>
                <w:tcPr>
                  <w:tcW w:w="300" w:type="pct"/>
                  <w:tcBorders>
                    <w:tl2br w:val="nil"/>
                    <w:tr2bl w:val="nil"/>
                  </w:tcBorders>
                  <w:vAlign w:val="center"/>
                </w:tcPr>
                <w:p w14:paraId="7064A6B4">
                  <w:pPr>
                    <w:pStyle w:val="11"/>
                    <w:adjustRightInd w:val="0"/>
                    <w:spacing w:after="0"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w:t>
                  </w:r>
                </w:p>
              </w:tc>
            </w:tr>
          </w:tbl>
          <w:p w14:paraId="14E77FEC">
            <w:pPr>
              <w:pStyle w:val="5"/>
              <w:pageBreakBefore w:val="0"/>
              <w:widowControl w:val="0"/>
              <w:kinsoku/>
              <w:wordWrap/>
              <w:overflowPunct/>
              <w:topLinePunct w:val="0"/>
              <w:autoSpaceDE/>
              <w:autoSpaceDN/>
              <w:bidi w:val="0"/>
              <w:spacing w:before="0" w:after="0" w:line="360" w:lineRule="auto"/>
              <w:ind w:firstLine="482"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预测结果</w:t>
            </w:r>
          </w:p>
          <w:p w14:paraId="26F4B9CB">
            <w:pPr>
              <w:pStyle w:val="37"/>
              <w:spacing w:line="360" w:lineRule="auto"/>
              <w:ind w:firstLine="480" w:firstLineChars="200"/>
              <w:rPr>
                <w:rFonts w:ascii="Times New Roman" w:cs="Times New Roman"/>
                <w:color w:val="auto"/>
                <w:highlight w:val="none"/>
              </w:rPr>
            </w:pPr>
            <w:r>
              <w:rPr>
                <w:rFonts w:ascii="Times New Roman" w:cs="Times New Roman"/>
                <w:color w:val="auto"/>
                <w:highlight w:val="none"/>
              </w:rPr>
              <w:t>本项目预测结果如下：</w:t>
            </w:r>
          </w:p>
          <w:p w14:paraId="5CC784B3">
            <w:pPr>
              <w:snapToGrid w:val="0"/>
              <w:spacing w:line="360" w:lineRule="auto"/>
              <w:jc w:val="center"/>
              <w:rPr>
                <w:color w:val="auto"/>
                <w:highlight w:val="none"/>
              </w:rPr>
            </w:pPr>
            <w:r>
              <w:rPr>
                <w:color w:val="auto"/>
                <w:highlight w:val="none"/>
              </w:rPr>
              <w:drawing>
                <wp:inline distT="0" distB="0" distL="114300" distR="114300">
                  <wp:extent cx="4786630" cy="3438525"/>
                  <wp:effectExtent l="0" t="0" r="13970"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8"/>
                          <a:stretch>
                            <a:fillRect/>
                          </a:stretch>
                        </pic:blipFill>
                        <pic:spPr>
                          <a:xfrm>
                            <a:off x="0" y="0"/>
                            <a:ext cx="4786630" cy="3438525"/>
                          </a:xfrm>
                          <a:prstGeom prst="rect">
                            <a:avLst/>
                          </a:prstGeom>
                          <a:noFill/>
                          <a:ln>
                            <a:noFill/>
                          </a:ln>
                        </pic:spPr>
                      </pic:pic>
                    </a:graphicData>
                  </a:graphic>
                </wp:inline>
              </w:drawing>
            </w:r>
          </w:p>
          <w:p w14:paraId="7575CA02">
            <w:pPr>
              <w:pStyle w:val="37"/>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图4-</w:t>
            </w:r>
            <w:r>
              <w:rPr>
                <w:rFonts w:hint="eastAsia" w:ascii="Times New Roman"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rPr>
              <w:t xml:space="preserve">   项目厂界噪声贡献值预测结果图</w:t>
            </w:r>
          </w:p>
          <w:p w14:paraId="7FFE2E79">
            <w:pPr>
              <w:pageBreakBefore w:val="0"/>
              <w:widowControl w:val="0"/>
              <w:kinsoku/>
              <w:wordWrap/>
              <w:overflowPunct/>
              <w:topLinePunct w:val="0"/>
              <w:autoSpaceDE/>
              <w:autoSpaceDN/>
              <w:bidi w:val="0"/>
              <w:snapToGrid w:val="0"/>
              <w:spacing w:line="360" w:lineRule="auto"/>
              <w:ind w:firstLine="480" w:firstLineChars="200"/>
              <w:textAlignment w:val="auto"/>
              <w:rPr>
                <w:rFonts w:cs="Times New Roman" w:eastAsiaTheme="minorEastAsia"/>
                <w:color w:val="auto"/>
                <w:sz w:val="24"/>
                <w:szCs w:val="24"/>
                <w:highlight w:val="none"/>
              </w:rPr>
            </w:pPr>
            <w:r>
              <w:rPr>
                <w:rFonts w:cs="Times New Roman" w:eastAsiaTheme="minorEastAsia"/>
                <w:color w:val="auto"/>
                <w:sz w:val="24"/>
                <w:szCs w:val="24"/>
                <w:highlight w:val="none"/>
              </w:rPr>
              <w:t>通过预测模型计算，项目厂界噪声的最大值预测结果与达标分析见表</w:t>
            </w:r>
            <w:r>
              <w:rPr>
                <w:rFonts w:hint="eastAsia" w:cs="Times New Roman" w:eastAsiaTheme="minorEastAsia"/>
                <w:color w:val="auto"/>
                <w:sz w:val="24"/>
                <w:szCs w:val="24"/>
                <w:highlight w:val="none"/>
                <w:lang w:val="en-US" w:eastAsia="zh-CN"/>
              </w:rPr>
              <w:t>4-21</w:t>
            </w:r>
            <w:r>
              <w:rPr>
                <w:rFonts w:cs="Times New Roman" w:eastAsiaTheme="minorEastAsia"/>
                <w:color w:val="auto"/>
                <w:sz w:val="24"/>
                <w:szCs w:val="24"/>
                <w:highlight w:val="none"/>
              </w:rPr>
              <w:t>。</w:t>
            </w:r>
          </w:p>
          <w:p w14:paraId="0BA1C717">
            <w:pPr>
              <w:adjustRightInd w:val="0"/>
              <w:snapToGrid w:val="0"/>
              <w:spacing w:line="360" w:lineRule="auto"/>
              <w:ind w:firstLine="482" w:firstLineChars="200"/>
              <w:jc w:val="center"/>
              <w:rPr>
                <w:b/>
                <w:color w:val="auto"/>
                <w:sz w:val="24"/>
                <w:highlight w:val="none"/>
              </w:rPr>
            </w:pPr>
            <w:r>
              <w:rPr>
                <w:b/>
                <w:color w:val="auto"/>
                <w:sz w:val="24"/>
                <w:highlight w:val="none"/>
              </w:rPr>
              <w:t>表</w:t>
            </w:r>
            <w:r>
              <w:rPr>
                <w:rFonts w:hint="eastAsia"/>
                <w:b/>
                <w:color w:val="auto"/>
                <w:sz w:val="24"/>
                <w:highlight w:val="none"/>
              </w:rPr>
              <w:t>4-</w:t>
            </w:r>
            <w:r>
              <w:rPr>
                <w:rFonts w:hint="eastAsia"/>
                <w:b/>
                <w:color w:val="auto"/>
                <w:sz w:val="24"/>
                <w:highlight w:val="none"/>
                <w:lang w:val="en-US" w:eastAsia="zh-CN"/>
              </w:rPr>
              <w:t xml:space="preserve">21  </w:t>
            </w:r>
            <w:r>
              <w:rPr>
                <w:b/>
                <w:color w:val="auto"/>
                <w:sz w:val="24"/>
                <w:highlight w:val="none"/>
              </w:rPr>
              <w:t xml:space="preserve"> </w:t>
            </w:r>
            <w:r>
              <w:rPr>
                <w:rFonts w:hint="eastAsia"/>
                <w:b/>
                <w:color w:val="auto"/>
                <w:sz w:val="24"/>
                <w:highlight w:val="none"/>
              </w:rPr>
              <w:t xml:space="preserve"> </w:t>
            </w:r>
            <w:r>
              <w:rPr>
                <w:b/>
                <w:color w:val="auto"/>
                <w:sz w:val="24"/>
                <w:highlight w:val="none"/>
              </w:rPr>
              <w:t>厂界噪声预测结果与达标分析表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697"/>
              <w:gridCol w:w="759"/>
              <w:gridCol w:w="592"/>
              <w:gridCol w:w="727"/>
              <w:gridCol w:w="1864"/>
              <w:gridCol w:w="1864"/>
              <w:gridCol w:w="1104"/>
            </w:tblGrid>
            <w:tr w14:paraId="06DC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restart"/>
                  <w:tcBorders>
                    <w:tl2br w:val="nil"/>
                    <w:tr2bl w:val="nil"/>
                  </w:tcBorders>
                  <w:vAlign w:val="center"/>
                </w:tcPr>
                <w:p w14:paraId="7C567A48">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预测点</w:t>
                  </w:r>
                </w:p>
              </w:tc>
              <w:tc>
                <w:tcPr>
                  <w:tcW w:w="2048" w:type="dxa"/>
                  <w:gridSpan w:val="3"/>
                  <w:tcBorders>
                    <w:tl2br w:val="nil"/>
                    <w:tr2bl w:val="nil"/>
                  </w:tcBorders>
                  <w:vAlign w:val="center"/>
                </w:tcPr>
                <w:p w14:paraId="1F8DE691">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空间相对位置/m</w:t>
                  </w:r>
                </w:p>
              </w:tc>
              <w:tc>
                <w:tcPr>
                  <w:tcW w:w="727" w:type="dxa"/>
                  <w:vMerge w:val="restart"/>
                  <w:tcBorders>
                    <w:tl2br w:val="nil"/>
                    <w:tr2bl w:val="nil"/>
                  </w:tcBorders>
                  <w:vAlign w:val="center"/>
                </w:tcPr>
                <w:p w14:paraId="49AE70FB">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时段</w:t>
                  </w:r>
                </w:p>
              </w:tc>
              <w:tc>
                <w:tcPr>
                  <w:tcW w:w="1864" w:type="dxa"/>
                  <w:vMerge w:val="restart"/>
                  <w:tcBorders>
                    <w:tl2br w:val="nil"/>
                    <w:tr2bl w:val="nil"/>
                  </w:tcBorders>
                  <w:vAlign w:val="center"/>
                </w:tcPr>
                <w:p w14:paraId="56912027">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噪声贡献值/</w:t>
                  </w:r>
                  <w:r>
                    <w:rPr>
                      <w:rFonts w:eastAsiaTheme="minorEastAsia"/>
                      <w:color w:val="auto"/>
                      <w:sz w:val="21"/>
                      <w:szCs w:val="21"/>
                      <w:highlight w:val="none"/>
                    </w:rPr>
                    <w:t>dB(A)</w:t>
                  </w:r>
                </w:p>
              </w:tc>
              <w:tc>
                <w:tcPr>
                  <w:tcW w:w="1864" w:type="dxa"/>
                  <w:vMerge w:val="restart"/>
                  <w:tcBorders>
                    <w:tl2br w:val="nil"/>
                    <w:tr2bl w:val="nil"/>
                  </w:tcBorders>
                  <w:vAlign w:val="center"/>
                </w:tcPr>
                <w:p w14:paraId="162DA8E9">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噪声标准值/</w:t>
                  </w:r>
                  <w:r>
                    <w:rPr>
                      <w:rFonts w:eastAsiaTheme="minorEastAsia"/>
                      <w:color w:val="auto"/>
                      <w:sz w:val="21"/>
                      <w:szCs w:val="21"/>
                      <w:highlight w:val="none"/>
                    </w:rPr>
                    <w:t>dB(A)</w:t>
                  </w:r>
                </w:p>
              </w:tc>
              <w:tc>
                <w:tcPr>
                  <w:tcW w:w="1104" w:type="dxa"/>
                  <w:vMerge w:val="restart"/>
                  <w:tcBorders>
                    <w:tl2br w:val="nil"/>
                    <w:tr2bl w:val="nil"/>
                  </w:tcBorders>
                  <w:vAlign w:val="center"/>
                </w:tcPr>
                <w:p w14:paraId="2969BF52">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达标情况</w:t>
                  </w:r>
                </w:p>
              </w:tc>
            </w:tr>
            <w:tr w14:paraId="3CFB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tcBorders>
                    <w:tl2br w:val="nil"/>
                    <w:tr2bl w:val="nil"/>
                  </w:tcBorders>
                  <w:vAlign w:val="center"/>
                </w:tcPr>
                <w:p w14:paraId="094F47F9">
                  <w:pPr>
                    <w:pStyle w:val="11"/>
                    <w:adjustRightInd w:val="0"/>
                    <w:spacing w:after="0" w:line="240" w:lineRule="auto"/>
                    <w:jc w:val="center"/>
                    <w:rPr>
                      <w:rFonts w:eastAsiaTheme="minorEastAsia"/>
                      <w:color w:val="auto"/>
                      <w:sz w:val="21"/>
                      <w:szCs w:val="21"/>
                      <w:highlight w:val="none"/>
                    </w:rPr>
                  </w:pPr>
                </w:p>
              </w:tc>
              <w:tc>
                <w:tcPr>
                  <w:tcW w:w="697" w:type="dxa"/>
                  <w:tcBorders>
                    <w:tl2br w:val="nil"/>
                    <w:tr2bl w:val="nil"/>
                  </w:tcBorders>
                  <w:vAlign w:val="center"/>
                </w:tcPr>
                <w:p w14:paraId="17B563D3">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X</w:t>
                  </w:r>
                </w:p>
              </w:tc>
              <w:tc>
                <w:tcPr>
                  <w:tcW w:w="759" w:type="dxa"/>
                  <w:tcBorders>
                    <w:tl2br w:val="nil"/>
                    <w:tr2bl w:val="nil"/>
                  </w:tcBorders>
                  <w:vAlign w:val="center"/>
                </w:tcPr>
                <w:p w14:paraId="41638E6E">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Y</w:t>
                  </w:r>
                </w:p>
              </w:tc>
              <w:tc>
                <w:tcPr>
                  <w:tcW w:w="592" w:type="dxa"/>
                  <w:tcBorders>
                    <w:tl2br w:val="nil"/>
                    <w:tr2bl w:val="nil"/>
                  </w:tcBorders>
                  <w:vAlign w:val="center"/>
                </w:tcPr>
                <w:p w14:paraId="63545CD6">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Z</w:t>
                  </w:r>
                </w:p>
              </w:tc>
              <w:tc>
                <w:tcPr>
                  <w:tcW w:w="727" w:type="dxa"/>
                  <w:vMerge w:val="continue"/>
                  <w:tcBorders>
                    <w:tl2br w:val="nil"/>
                    <w:tr2bl w:val="nil"/>
                  </w:tcBorders>
                  <w:vAlign w:val="center"/>
                </w:tcPr>
                <w:p w14:paraId="1EE2A1D7">
                  <w:pPr>
                    <w:pStyle w:val="11"/>
                    <w:adjustRightInd w:val="0"/>
                    <w:spacing w:after="0" w:line="240" w:lineRule="auto"/>
                    <w:jc w:val="center"/>
                    <w:rPr>
                      <w:rFonts w:eastAsiaTheme="minorEastAsia"/>
                      <w:color w:val="auto"/>
                      <w:sz w:val="21"/>
                      <w:szCs w:val="21"/>
                      <w:highlight w:val="none"/>
                    </w:rPr>
                  </w:pPr>
                </w:p>
              </w:tc>
              <w:tc>
                <w:tcPr>
                  <w:tcW w:w="1864" w:type="dxa"/>
                  <w:vMerge w:val="continue"/>
                  <w:tcBorders>
                    <w:tl2br w:val="nil"/>
                    <w:tr2bl w:val="nil"/>
                  </w:tcBorders>
                  <w:vAlign w:val="center"/>
                </w:tcPr>
                <w:p w14:paraId="657C060E">
                  <w:pPr>
                    <w:pStyle w:val="11"/>
                    <w:adjustRightInd w:val="0"/>
                    <w:spacing w:after="0" w:line="240" w:lineRule="auto"/>
                    <w:jc w:val="center"/>
                    <w:rPr>
                      <w:rFonts w:eastAsiaTheme="minorEastAsia"/>
                      <w:color w:val="auto"/>
                      <w:sz w:val="21"/>
                      <w:szCs w:val="21"/>
                      <w:highlight w:val="none"/>
                    </w:rPr>
                  </w:pPr>
                </w:p>
              </w:tc>
              <w:tc>
                <w:tcPr>
                  <w:tcW w:w="1864" w:type="dxa"/>
                  <w:vMerge w:val="continue"/>
                  <w:tcBorders>
                    <w:tl2br w:val="nil"/>
                    <w:tr2bl w:val="nil"/>
                  </w:tcBorders>
                  <w:vAlign w:val="center"/>
                </w:tcPr>
                <w:p w14:paraId="7884FD9B">
                  <w:pPr>
                    <w:pStyle w:val="11"/>
                    <w:adjustRightInd w:val="0"/>
                    <w:spacing w:after="0" w:line="240" w:lineRule="auto"/>
                    <w:jc w:val="center"/>
                    <w:rPr>
                      <w:rFonts w:eastAsiaTheme="minorEastAsia"/>
                      <w:color w:val="auto"/>
                      <w:sz w:val="21"/>
                      <w:szCs w:val="21"/>
                      <w:highlight w:val="none"/>
                    </w:rPr>
                  </w:pPr>
                </w:p>
              </w:tc>
              <w:tc>
                <w:tcPr>
                  <w:tcW w:w="1104" w:type="dxa"/>
                  <w:vMerge w:val="continue"/>
                  <w:tcBorders>
                    <w:tl2br w:val="nil"/>
                    <w:tr2bl w:val="nil"/>
                  </w:tcBorders>
                  <w:vAlign w:val="center"/>
                </w:tcPr>
                <w:p w14:paraId="563D3E79">
                  <w:pPr>
                    <w:pStyle w:val="11"/>
                    <w:adjustRightInd w:val="0"/>
                    <w:spacing w:after="0" w:line="240" w:lineRule="auto"/>
                    <w:jc w:val="center"/>
                    <w:rPr>
                      <w:rFonts w:eastAsiaTheme="minorEastAsia"/>
                      <w:color w:val="auto"/>
                      <w:sz w:val="21"/>
                      <w:szCs w:val="21"/>
                      <w:highlight w:val="none"/>
                    </w:rPr>
                  </w:pPr>
                </w:p>
              </w:tc>
            </w:tr>
            <w:tr w14:paraId="31C6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restart"/>
                  <w:tcBorders>
                    <w:tl2br w:val="nil"/>
                    <w:tr2bl w:val="nil"/>
                  </w:tcBorders>
                  <w:vAlign w:val="center"/>
                </w:tcPr>
                <w:p w14:paraId="5614D28D">
                  <w:pPr>
                    <w:pStyle w:val="11"/>
                    <w:adjustRightInd w:val="0"/>
                    <w:spacing w:after="0" w:line="240" w:lineRule="auto"/>
                    <w:jc w:val="center"/>
                    <w:rPr>
                      <w:rFonts w:eastAsiaTheme="minorEastAsia"/>
                      <w:color w:val="auto"/>
                      <w:sz w:val="21"/>
                      <w:szCs w:val="21"/>
                      <w:highlight w:val="none"/>
                    </w:rPr>
                  </w:pPr>
                  <w:r>
                    <w:rPr>
                      <w:rFonts w:eastAsiaTheme="minorEastAsia"/>
                      <w:color w:val="auto"/>
                      <w:sz w:val="21"/>
                      <w:szCs w:val="21"/>
                      <w:highlight w:val="none"/>
                    </w:rPr>
                    <w:t>东厂界</w:t>
                  </w:r>
                </w:p>
              </w:tc>
              <w:tc>
                <w:tcPr>
                  <w:tcW w:w="697" w:type="dxa"/>
                  <w:vMerge w:val="restart"/>
                  <w:tcBorders>
                    <w:tl2br w:val="nil"/>
                    <w:tr2bl w:val="nil"/>
                  </w:tcBorders>
                  <w:vAlign w:val="center"/>
                </w:tcPr>
                <w:p w14:paraId="28E7676C">
                  <w:pPr>
                    <w:adjustRightIn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55.49</w:t>
                  </w:r>
                </w:p>
              </w:tc>
              <w:tc>
                <w:tcPr>
                  <w:tcW w:w="759" w:type="dxa"/>
                  <w:vMerge w:val="restart"/>
                  <w:tcBorders>
                    <w:tl2br w:val="nil"/>
                    <w:tr2bl w:val="nil"/>
                  </w:tcBorders>
                  <w:vAlign w:val="center"/>
                </w:tcPr>
                <w:p w14:paraId="2D2CA51B">
                  <w:pPr>
                    <w:adjustRightIn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91.44</w:t>
                  </w:r>
                </w:p>
              </w:tc>
              <w:tc>
                <w:tcPr>
                  <w:tcW w:w="592" w:type="dxa"/>
                  <w:vMerge w:val="restart"/>
                  <w:tcBorders>
                    <w:tl2br w:val="nil"/>
                    <w:tr2bl w:val="nil"/>
                  </w:tcBorders>
                  <w:vAlign w:val="center"/>
                </w:tcPr>
                <w:p w14:paraId="70A29F93">
                  <w:pPr>
                    <w:adjustRightInd w:val="0"/>
                    <w:jc w:val="center"/>
                    <w:rPr>
                      <w:rFonts w:eastAsiaTheme="minorEastAsia"/>
                      <w:color w:val="auto"/>
                      <w:szCs w:val="21"/>
                      <w:highlight w:val="none"/>
                    </w:rPr>
                  </w:pPr>
                  <w:r>
                    <w:rPr>
                      <w:rFonts w:hint="eastAsia"/>
                      <w:color w:val="auto"/>
                      <w:szCs w:val="21"/>
                      <w:highlight w:val="none"/>
                    </w:rPr>
                    <w:t>1.2</w:t>
                  </w:r>
                </w:p>
              </w:tc>
              <w:tc>
                <w:tcPr>
                  <w:tcW w:w="727" w:type="dxa"/>
                  <w:tcBorders>
                    <w:tl2br w:val="nil"/>
                    <w:tr2bl w:val="nil"/>
                  </w:tcBorders>
                  <w:vAlign w:val="center"/>
                </w:tcPr>
                <w:p w14:paraId="3EE126A0">
                  <w:pPr>
                    <w:adjustRightInd w:val="0"/>
                    <w:jc w:val="center"/>
                    <w:rPr>
                      <w:rFonts w:eastAsiaTheme="minorEastAsia"/>
                      <w:color w:val="auto"/>
                      <w:szCs w:val="21"/>
                      <w:highlight w:val="none"/>
                    </w:rPr>
                  </w:pPr>
                  <w:r>
                    <w:rPr>
                      <w:rFonts w:hint="eastAsia" w:eastAsiaTheme="minorEastAsia"/>
                      <w:color w:val="auto"/>
                      <w:szCs w:val="21"/>
                      <w:highlight w:val="none"/>
                    </w:rPr>
                    <w:t>昼间</w:t>
                  </w:r>
                </w:p>
              </w:tc>
              <w:tc>
                <w:tcPr>
                  <w:tcW w:w="1864" w:type="dxa"/>
                  <w:tcBorders>
                    <w:tl2br w:val="nil"/>
                    <w:tr2bl w:val="nil"/>
                  </w:tcBorders>
                  <w:vAlign w:val="center"/>
                </w:tcPr>
                <w:p w14:paraId="49EF1D5F">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47.47</w:t>
                  </w:r>
                </w:p>
              </w:tc>
              <w:tc>
                <w:tcPr>
                  <w:tcW w:w="1864" w:type="dxa"/>
                  <w:tcBorders>
                    <w:tl2br w:val="nil"/>
                    <w:tr2bl w:val="nil"/>
                  </w:tcBorders>
                  <w:vAlign w:val="center"/>
                </w:tcPr>
                <w:p w14:paraId="70110A1E">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60</w:t>
                  </w:r>
                </w:p>
              </w:tc>
              <w:tc>
                <w:tcPr>
                  <w:tcW w:w="1104" w:type="dxa"/>
                  <w:tcBorders>
                    <w:tl2br w:val="nil"/>
                    <w:tr2bl w:val="nil"/>
                  </w:tcBorders>
                  <w:vAlign w:val="center"/>
                </w:tcPr>
                <w:p w14:paraId="4CEACBBF">
                  <w:pPr>
                    <w:pStyle w:val="11"/>
                    <w:adjustRightInd w:val="0"/>
                    <w:spacing w:after="0" w:line="240" w:lineRule="auto"/>
                    <w:ind w:right="113" w:rightChars="0"/>
                    <w:jc w:val="center"/>
                    <w:rPr>
                      <w:rFonts w:eastAsiaTheme="minorEastAsia"/>
                      <w:color w:val="auto"/>
                      <w:sz w:val="21"/>
                      <w:szCs w:val="21"/>
                      <w:highlight w:val="none"/>
                    </w:rPr>
                  </w:pPr>
                  <w:r>
                    <w:rPr>
                      <w:rFonts w:eastAsiaTheme="minorEastAsia"/>
                      <w:color w:val="auto"/>
                      <w:sz w:val="21"/>
                      <w:szCs w:val="21"/>
                      <w:highlight w:val="none"/>
                    </w:rPr>
                    <w:t>达标</w:t>
                  </w:r>
                </w:p>
              </w:tc>
            </w:tr>
            <w:tr w14:paraId="2BA1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tcBorders>
                    <w:tl2br w:val="nil"/>
                    <w:tr2bl w:val="nil"/>
                  </w:tcBorders>
                  <w:vAlign w:val="center"/>
                </w:tcPr>
                <w:p w14:paraId="6EC839CD">
                  <w:pPr>
                    <w:pStyle w:val="11"/>
                    <w:adjustRightInd w:val="0"/>
                    <w:spacing w:after="0" w:line="240" w:lineRule="auto"/>
                    <w:jc w:val="center"/>
                    <w:rPr>
                      <w:rFonts w:eastAsiaTheme="minorEastAsia"/>
                      <w:color w:val="auto"/>
                      <w:sz w:val="21"/>
                      <w:szCs w:val="21"/>
                      <w:highlight w:val="none"/>
                    </w:rPr>
                  </w:pPr>
                </w:p>
              </w:tc>
              <w:tc>
                <w:tcPr>
                  <w:tcW w:w="697" w:type="dxa"/>
                  <w:vMerge w:val="continue"/>
                  <w:tcBorders>
                    <w:tl2br w:val="nil"/>
                    <w:tr2bl w:val="nil"/>
                  </w:tcBorders>
                  <w:vAlign w:val="center"/>
                </w:tcPr>
                <w:p w14:paraId="0AFAB4A2">
                  <w:pPr>
                    <w:pStyle w:val="11"/>
                    <w:adjustRightInd w:val="0"/>
                    <w:spacing w:after="0" w:line="240" w:lineRule="auto"/>
                    <w:jc w:val="center"/>
                    <w:rPr>
                      <w:rFonts w:eastAsiaTheme="minorEastAsia"/>
                      <w:color w:val="auto"/>
                      <w:sz w:val="21"/>
                      <w:szCs w:val="21"/>
                      <w:highlight w:val="none"/>
                    </w:rPr>
                  </w:pPr>
                </w:p>
              </w:tc>
              <w:tc>
                <w:tcPr>
                  <w:tcW w:w="759" w:type="dxa"/>
                  <w:vMerge w:val="continue"/>
                  <w:tcBorders>
                    <w:tl2br w:val="nil"/>
                    <w:tr2bl w:val="nil"/>
                  </w:tcBorders>
                  <w:vAlign w:val="center"/>
                </w:tcPr>
                <w:p w14:paraId="6A8B9FF7">
                  <w:pPr>
                    <w:pStyle w:val="11"/>
                    <w:adjustRightInd w:val="0"/>
                    <w:spacing w:after="0" w:line="240" w:lineRule="auto"/>
                    <w:jc w:val="center"/>
                    <w:rPr>
                      <w:rFonts w:eastAsiaTheme="minorEastAsia"/>
                      <w:color w:val="auto"/>
                      <w:sz w:val="21"/>
                      <w:szCs w:val="21"/>
                      <w:highlight w:val="none"/>
                    </w:rPr>
                  </w:pPr>
                </w:p>
              </w:tc>
              <w:tc>
                <w:tcPr>
                  <w:tcW w:w="592" w:type="dxa"/>
                  <w:vMerge w:val="continue"/>
                  <w:tcBorders>
                    <w:tl2br w:val="nil"/>
                    <w:tr2bl w:val="nil"/>
                  </w:tcBorders>
                  <w:vAlign w:val="center"/>
                </w:tcPr>
                <w:p w14:paraId="22431D68">
                  <w:pPr>
                    <w:pStyle w:val="11"/>
                    <w:adjustRightInd w:val="0"/>
                    <w:spacing w:after="0" w:line="240" w:lineRule="auto"/>
                    <w:jc w:val="center"/>
                    <w:rPr>
                      <w:rFonts w:eastAsiaTheme="minorEastAsia"/>
                      <w:color w:val="auto"/>
                      <w:sz w:val="21"/>
                      <w:szCs w:val="21"/>
                      <w:highlight w:val="none"/>
                    </w:rPr>
                  </w:pPr>
                </w:p>
              </w:tc>
              <w:tc>
                <w:tcPr>
                  <w:tcW w:w="727" w:type="dxa"/>
                  <w:tcBorders>
                    <w:tl2br w:val="nil"/>
                    <w:tr2bl w:val="nil"/>
                  </w:tcBorders>
                  <w:vAlign w:val="center"/>
                </w:tcPr>
                <w:p w14:paraId="6CDD7BE0">
                  <w:pPr>
                    <w:pStyle w:val="11"/>
                    <w:adjustRightInd w:val="0"/>
                    <w:spacing w:before="0" w:after="0" w:line="240" w:lineRule="auto"/>
                    <w:ind w:right="0"/>
                    <w:jc w:val="center"/>
                    <w:rPr>
                      <w:rFonts w:eastAsiaTheme="minorEastAsia"/>
                      <w:color w:val="auto"/>
                      <w:kern w:val="2"/>
                      <w:sz w:val="21"/>
                      <w:szCs w:val="21"/>
                      <w:highlight w:val="none"/>
                    </w:rPr>
                  </w:pPr>
                  <w:r>
                    <w:rPr>
                      <w:rFonts w:hint="eastAsia" w:eastAsiaTheme="minorEastAsia"/>
                      <w:color w:val="auto"/>
                      <w:kern w:val="2"/>
                      <w:sz w:val="21"/>
                      <w:szCs w:val="21"/>
                      <w:highlight w:val="none"/>
                    </w:rPr>
                    <w:t>夜间</w:t>
                  </w:r>
                </w:p>
              </w:tc>
              <w:tc>
                <w:tcPr>
                  <w:tcW w:w="1864" w:type="dxa"/>
                  <w:tcBorders>
                    <w:tl2br w:val="nil"/>
                    <w:tr2bl w:val="nil"/>
                  </w:tcBorders>
                  <w:vAlign w:val="center"/>
                </w:tcPr>
                <w:p w14:paraId="27FB634D">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47.47</w:t>
                  </w:r>
                </w:p>
              </w:tc>
              <w:tc>
                <w:tcPr>
                  <w:tcW w:w="1864" w:type="dxa"/>
                  <w:tcBorders>
                    <w:tl2br w:val="nil"/>
                    <w:tr2bl w:val="nil"/>
                  </w:tcBorders>
                  <w:vAlign w:val="center"/>
                </w:tcPr>
                <w:p w14:paraId="00447538">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50</w:t>
                  </w:r>
                </w:p>
              </w:tc>
              <w:tc>
                <w:tcPr>
                  <w:tcW w:w="1104" w:type="dxa"/>
                  <w:tcBorders>
                    <w:tl2br w:val="nil"/>
                    <w:tr2bl w:val="nil"/>
                  </w:tcBorders>
                  <w:vAlign w:val="center"/>
                </w:tcPr>
                <w:p w14:paraId="44FDB2DE">
                  <w:pPr>
                    <w:pStyle w:val="11"/>
                    <w:adjustRightInd w:val="0"/>
                    <w:spacing w:after="0" w:line="240" w:lineRule="auto"/>
                    <w:ind w:right="113" w:rightChars="0"/>
                    <w:jc w:val="center"/>
                    <w:rPr>
                      <w:rFonts w:eastAsiaTheme="minorEastAsia"/>
                      <w:color w:val="auto"/>
                      <w:sz w:val="21"/>
                      <w:szCs w:val="21"/>
                      <w:highlight w:val="none"/>
                    </w:rPr>
                  </w:pPr>
                  <w:r>
                    <w:rPr>
                      <w:rFonts w:eastAsiaTheme="minorEastAsia"/>
                      <w:color w:val="auto"/>
                      <w:sz w:val="21"/>
                      <w:szCs w:val="21"/>
                      <w:highlight w:val="none"/>
                    </w:rPr>
                    <w:t>达标</w:t>
                  </w:r>
                </w:p>
              </w:tc>
            </w:tr>
            <w:tr w14:paraId="6D2D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restart"/>
                  <w:tcBorders>
                    <w:tl2br w:val="nil"/>
                    <w:tr2bl w:val="nil"/>
                  </w:tcBorders>
                  <w:vAlign w:val="center"/>
                </w:tcPr>
                <w:p w14:paraId="17C039C5">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南</w:t>
                  </w:r>
                  <w:r>
                    <w:rPr>
                      <w:rFonts w:eastAsiaTheme="minorEastAsia"/>
                      <w:color w:val="auto"/>
                      <w:sz w:val="21"/>
                      <w:szCs w:val="21"/>
                      <w:highlight w:val="none"/>
                    </w:rPr>
                    <w:t>厂界</w:t>
                  </w:r>
                </w:p>
              </w:tc>
              <w:tc>
                <w:tcPr>
                  <w:tcW w:w="697" w:type="dxa"/>
                  <w:vMerge w:val="restart"/>
                  <w:tcBorders>
                    <w:tl2br w:val="nil"/>
                    <w:tr2bl w:val="nil"/>
                  </w:tcBorders>
                  <w:vAlign w:val="center"/>
                </w:tcPr>
                <w:p w14:paraId="14B20518">
                  <w:pPr>
                    <w:adjustRightIn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61.76</w:t>
                  </w:r>
                </w:p>
              </w:tc>
              <w:tc>
                <w:tcPr>
                  <w:tcW w:w="759" w:type="dxa"/>
                  <w:vMerge w:val="restart"/>
                  <w:tcBorders>
                    <w:tl2br w:val="nil"/>
                    <w:tr2bl w:val="nil"/>
                  </w:tcBorders>
                  <w:vAlign w:val="center"/>
                </w:tcPr>
                <w:p w14:paraId="5F7B0413">
                  <w:pPr>
                    <w:adjustRightIn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40.03</w:t>
                  </w:r>
                </w:p>
              </w:tc>
              <w:tc>
                <w:tcPr>
                  <w:tcW w:w="592" w:type="dxa"/>
                  <w:vMerge w:val="restart"/>
                  <w:tcBorders>
                    <w:tl2br w:val="nil"/>
                    <w:tr2bl w:val="nil"/>
                  </w:tcBorders>
                  <w:vAlign w:val="center"/>
                </w:tcPr>
                <w:p w14:paraId="02247379">
                  <w:pPr>
                    <w:adjustRightInd w:val="0"/>
                    <w:jc w:val="center"/>
                    <w:rPr>
                      <w:rFonts w:eastAsiaTheme="minorEastAsia"/>
                      <w:color w:val="auto"/>
                      <w:szCs w:val="21"/>
                      <w:highlight w:val="none"/>
                    </w:rPr>
                  </w:pPr>
                  <w:r>
                    <w:rPr>
                      <w:rFonts w:hint="eastAsia"/>
                      <w:color w:val="auto"/>
                      <w:szCs w:val="21"/>
                      <w:highlight w:val="none"/>
                    </w:rPr>
                    <w:t>1.2</w:t>
                  </w:r>
                </w:p>
              </w:tc>
              <w:tc>
                <w:tcPr>
                  <w:tcW w:w="727" w:type="dxa"/>
                  <w:tcBorders>
                    <w:tl2br w:val="nil"/>
                    <w:tr2bl w:val="nil"/>
                  </w:tcBorders>
                  <w:vAlign w:val="center"/>
                </w:tcPr>
                <w:p w14:paraId="42C8E558">
                  <w:pPr>
                    <w:pStyle w:val="11"/>
                    <w:adjustRightInd w:val="0"/>
                    <w:spacing w:before="0" w:after="0" w:line="240" w:lineRule="auto"/>
                    <w:ind w:right="0"/>
                    <w:jc w:val="center"/>
                    <w:rPr>
                      <w:rFonts w:eastAsiaTheme="minorEastAsia"/>
                      <w:color w:val="auto"/>
                      <w:kern w:val="2"/>
                      <w:sz w:val="21"/>
                      <w:szCs w:val="21"/>
                      <w:highlight w:val="none"/>
                    </w:rPr>
                  </w:pPr>
                  <w:r>
                    <w:rPr>
                      <w:rFonts w:hint="eastAsia" w:eastAsiaTheme="minorEastAsia"/>
                      <w:color w:val="auto"/>
                      <w:kern w:val="2"/>
                      <w:sz w:val="21"/>
                      <w:szCs w:val="21"/>
                      <w:highlight w:val="none"/>
                    </w:rPr>
                    <w:t>昼间</w:t>
                  </w:r>
                </w:p>
              </w:tc>
              <w:tc>
                <w:tcPr>
                  <w:tcW w:w="1864" w:type="dxa"/>
                  <w:tcBorders>
                    <w:tl2br w:val="nil"/>
                    <w:tr2bl w:val="nil"/>
                  </w:tcBorders>
                  <w:vAlign w:val="center"/>
                </w:tcPr>
                <w:p w14:paraId="324DEDAC">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48.01</w:t>
                  </w:r>
                </w:p>
              </w:tc>
              <w:tc>
                <w:tcPr>
                  <w:tcW w:w="1864" w:type="dxa"/>
                  <w:tcBorders>
                    <w:tl2br w:val="nil"/>
                    <w:tr2bl w:val="nil"/>
                  </w:tcBorders>
                  <w:vAlign w:val="center"/>
                </w:tcPr>
                <w:p w14:paraId="3F319C42">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60</w:t>
                  </w:r>
                </w:p>
              </w:tc>
              <w:tc>
                <w:tcPr>
                  <w:tcW w:w="1104" w:type="dxa"/>
                  <w:tcBorders>
                    <w:tl2br w:val="nil"/>
                    <w:tr2bl w:val="nil"/>
                  </w:tcBorders>
                  <w:vAlign w:val="center"/>
                </w:tcPr>
                <w:p w14:paraId="72425207">
                  <w:pPr>
                    <w:pStyle w:val="11"/>
                    <w:adjustRightInd w:val="0"/>
                    <w:spacing w:after="0" w:line="240" w:lineRule="auto"/>
                    <w:ind w:right="113" w:rightChars="0"/>
                    <w:jc w:val="center"/>
                    <w:rPr>
                      <w:rFonts w:eastAsiaTheme="minorEastAsia"/>
                      <w:color w:val="auto"/>
                      <w:sz w:val="21"/>
                      <w:szCs w:val="21"/>
                      <w:highlight w:val="none"/>
                    </w:rPr>
                  </w:pPr>
                  <w:r>
                    <w:rPr>
                      <w:rFonts w:eastAsiaTheme="minorEastAsia"/>
                      <w:color w:val="auto"/>
                      <w:sz w:val="21"/>
                      <w:szCs w:val="21"/>
                      <w:highlight w:val="none"/>
                    </w:rPr>
                    <w:t>达标</w:t>
                  </w:r>
                </w:p>
              </w:tc>
            </w:tr>
            <w:tr w14:paraId="262B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tcBorders>
                    <w:tl2br w:val="nil"/>
                    <w:tr2bl w:val="nil"/>
                  </w:tcBorders>
                  <w:vAlign w:val="center"/>
                </w:tcPr>
                <w:p w14:paraId="22B7C954">
                  <w:pPr>
                    <w:pStyle w:val="11"/>
                    <w:adjustRightInd w:val="0"/>
                    <w:spacing w:after="0" w:line="240" w:lineRule="auto"/>
                    <w:jc w:val="center"/>
                    <w:rPr>
                      <w:rFonts w:eastAsiaTheme="minorEastAsia"/>
                      <w:color w:val="auto"/>
                      <w:sz w:val="21"/>
                      <w:szCs w:val="21"/>
                      <w:highlight w:val="none"/>
                    </w:rPr>
                  </w:pPr>
                </w:p>
              </w:tc>
              <w:tc>
                <w:tcPr>
                  <w:tcW w:w="697" w:type="dxa"/>
                  <w:vMerge w:val="continue"/>
                  <w:tcBorders>
                    <w:tl2br w:val="nil"/>
                    <w:tr2bl w:val="nil"/>
                  </w:tcBorders>
                  <w:vAlign w:val="center"/>
                </w:tcPr>
                <w:p w14:paraId="0A4A6C39">
                  <w:pPr>
                    <w:pStyle w:val="11"/>
                    <w:adjustRightInd w:val="0"/>
                    <w:spacing w:after="0" w:line="240" w:lineRule="auto"/>
                    <w:jc w:val="center"/>
                    <w:rPr>
                      <w:rFonts w:eastAsiaTheme="minorEastAsia"/>
                      <w:color w:val="auto"/>
                      <w:sz w:val="21"/>
                      <w:szCs w:val="21"/>
                      <w:highlight w:val="none"/>
                    </w:rPr>
                  </w:pPr>
                </w:p>
              </w:tc>
              <w:tc>
                <w:tcPr>
                  <w:tcW w:w="759" w:type="dxa"/>
                  <w:vMerge w:val="continue"/>
                  <w:tcBorders>
                    <w:tl2br w:val="nil"/>
                    <w:tr2bl w:val="nil"/>
                  </w:tcBorders>
                  <w:vAlign w:val="center"/>
                </w:tcPr>
                <w:p w14:paraId="44DA1AD2">
                  <w:pPr>
                    <w:pStyle w:val="11"/>
                    <w:adjustRightInd w:val="0"/>
                    <w:spacing w:after="0" w:line="240" w:lineRule="auto"/>
                    <w:jc w:val="center"/>
                    <w:rPr>
                      <w:rFonts w:eastAsiaTheme="minorEastAsia"/>
                      <w:color w:val="auto"/>
                      <w:sz w:val="21"/>
                      <w:szCs w:val="21"/>
                      <w:highlight w:val="none"/>
                    </w:rPr>
                  </w:pPr>
                </w:p>
              </w:tc>
              <w:tc>
                <w:tcPr>
                  <w:tcW w:w="592" w:type="dxa"/>
                  <w:vMerge w:val="continue"/>
                  <w:tcBorders>
                    <w:tl2br w:val="nil"/>
                    <w:tr2bl w:val="nil"/>
                  </w:tcBorders>
                  <w:vAlign w:val="center"/>
                </w:tcPr>
                <w:p w14:paraId="7BA6A0E6">
                  <w:pPr>
                    <w:pStyle w:val="11"/>
                    <w:adjustRightInd w:val="0"/>
                    <w:spacing w:after="0" w:line="240" w:lineRule="auto"/>
                    <w:jc w:val="center"/>
                    <w:rPr>
                      <w:rFonts w:eastAsiaTheme="minorEastAsia"/>
                      <w:color w:val="auto"/>
                      <w:sz w:val="21"/>
                      <w:szCs w:val="21"/>
                      <w:highlight w:val="none"/>
                    </w:rPr>
                  </w:pPr>
                </w:p>
              </w:tc>
              <w:tc>
                <w:tcPr>
                  <w:tcW w:w="727" w:type="dxa"/>
                  <w:tcBorders>
                    <w:tl2br w:val="nil"/>
                    <w:tr2bl w:val="nil"/>
                  </w:tcBorders>
                  <w:vAlign w:val="center"/>
                </w:tcPr>
                <w:p w14:paraId="3D177634">
                  <w:pPr>
                    <w:pStyle w:val="11"/>
                    <w:adjustRightInd w:val="0"/>
                    <w:spacing w:before="0" w:after="0" w:line="240" w:lineRule="auto"/>
                    <w:ind w:right="0"/>
                    <w:jc w:val="center"/>
                    <w:rPr>
                      <w:rFonts w:eastAsiaTheme="minorEastAsia"/>
                      <w:color w:val="auto"/>
                      <w:kern w:val="2"/>
                      <w:sz w:val="21"/>
                      <w:szCs w:val="21"/>
                      <w:highlight w:val="none"/>
                    </w:rPr>
                  </w:pPr>
                  <w:r>
                    <w:rPr>
                      <w:rFonts w:hint="eastAsia" w:eastAsiaTheme="minorEastAsia"/>
                      <w:color w:val="auto"/>
                      <w:kern w:val="2"/>
                      <w:sz w:val="21"/>
                      <w:szCs w:val="21"/>
                      <w:highlight w:val="none"/>
                    </w:rPr>
                    <w:t>夜间</w:t>
                  </w:r>
                </w:p>
              </w:tc>
              <w:tc>
                <w:tcPr>
                  <w:tcW w:w="1864" w:type="dxa"/>
                  <w:tcBorders>
                    <w:tl2br w:val="nil"/>
                    <w:tr2bl w:val="nil"/>
                  </w:tcBorders>
                  <w:vAlign w:val="center"/>
                </w:tcPr>
                <w:p w14:paraId="541EF6D7">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48.01</w:t>
                  </w:r>
                </w:p>
              </w:tc>
              <w:tc>
                <w:tcPr>
                  <w:tcW w:w="1864" w:type="dxa"/>
                  <w:tcBorders>
                    <w:tl2br w:val="nil"/>
                    <w:tr2bl w:val="nil"/>
                  </w:tcBorders>
                  <w:vAlign w:val="center"/>
                </w:tcPr>
                <w:p w14:paraId="39C5EC36">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50</w:t>
                  </w:r>
                </w:p>
              </w:tc>
              <w:tc>
                <w:tcPr>
                  <w:tcW w:w="1104" w:type="dxa"/>
                  <w:tcBorders>
                    <w:tl2br w:val="nil"/>
                    <w:tr2bl w:val="nil"/>
                  </w:tcBorders>
                  <w:vAlign w:val="center"/>
                </w:tcPr>
                <w:p w14:paraId="1661AC47">
                  <w:pPr>
                    <w:pStyle w:val="11"/>
                    <w:adjustRightInd w:val="0"/>
                    <w:spacing w:after="0" w:line="240" w:lineRule="auto"/>
                    <w:ind w:right="113" w:rightChars="0"/>
                    <w:jc w:val="center"/>
                    <w:rPr>
                      <w:rFonts w:hint="eastAsia" w:eastAsiaTheme="minorEastAsia"/>
                      <w:color w:val="auto"/>
                      <w:sz w:val="21"/>
                      <w:szCs w:val="21"/>
                      <w:highlight w:val="none"/>
                      <w:lang w:eastAsia="zh-CN"/>
                    </w:rPr>
                  </w:pPr>
                  <w:r>
                    <w:rPr>
                      <w:rFonts w:eastAsiaTheme="minorEastAsia"/>
                      <w:color w:val="auto"/>
                      <w:sz w:val="21"/>
                      <w:szCs w:val="21"/>
                      <w:highlight w:val="none"/>
                    </w:rPr>
                    <w:t>达标</w:t>
                  </w:r>
                </w:p>
              </w:tc>
            </w:tr>
            <w:tr w14:paraId="512A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restart"/>
                  <w:tcBorders>
                    <w:tl2br w:val="nil"/>
                    <w:tr2bl w:val="nil"/>
                  </w:tcBorders>
                  <w:vAlign w:val="center"/>
                </w:tcPr>
                <w:p w14:paraId="7702C5B5">
                  <w:pPr>
                    <w:pStyle w:val="11"/>
                    <w:adjustRightInd w:val="0"/>
                    <w:spacing w:after="0" w:line="240" w:lineRule="auto"/>
                    <w:jc w:val="center"/>
                    <w:rPr>
                      <w:rFonts w:eastAsiaTheme="minorEastAsia"/>
                      <w:color w:val="auto"/>
                      <w:sz w:val="21"/>
                      <w:szCs w:val="21"/>
                      <w:highlight w:val="none"/>
                    </w:rPr>
                  </w:pPr>
                  <w:r>
                    <w:rPr>
                      <w:rFonts w:eastAsiaTheme="minorEastAsia"/>
                      <w:color w:val="auto"/>
                      <w:sz w:val="21"/>
                      <w:szCs w:val="21"/>
                      <w:highlight w:val="none"/>
                    </w:rPr>
                    <w:t>西厂界</w:t>
                  </w:r>
                </w:p>
              </w:tc>
              <w:tc>
                <w:tcPr>
                  <w:tcW w:w="697" w:type="dxa"/>
                  <w:vMerge w:val="restart"/>
                  <w:tcBorders>
                    <w:tl2br w:val="nil"/>
                    <w:tr2bl w:val="nil"/>
                  </w:tcBorders>
                  <w:vAlign w:val="center"/>
                </w:tcPr>
                <w:p w14:paraId="004BF754">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-37.13</w:t>
                  </w:r>
                </w:p>
              </w:tc>
              <w:tc>
                <w:tcPr>
                  <w:tcW w:w="759" w:type="dxa"/>
                  <w:vMerge w:val="restart"/>
                  <w:tcBorders>
                    <w:tl2br w:val="nil"/>
                    <w:tr2bl w:val="nil"/>
                  </w:tcBorders>
                  <w:vAlign w:val="center"/>
                </w:tcPr>
                <w:p w14:paraId="1079F868">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17.41</w:t>
                  </w:r>
                </w:p>
              </w:tc>
              <w:tc>
                <w:tcPr>
                  <w:tcW w:w="592" w:type="dxa"/>
                  <w:vMerge w:val="restart"/>
                  <w:tcBorders>
                    <w:tl2br w:val="nil"/>
                    <w:tr2bl w:val="nil"/>
                  </w:tcBorders>
                  <w:vAlign w:val="center"/>
                </w:tcPr>
                <w:p w14:paraId="10CDB56D">
                  <w:pPr>
                    <w:pStyle w:val="11"/>
                    <w:adjustRightInd w:val="0"/>
                    <w:spacing w:after="0" w:line="240" w:lineRule="auto"/>
                    <w:jc w:val="center"/>
                    <w:rPr>
                      <w:rFonts w:eastAsiaTheme="minorEastAsia"/>
                      <w:color w:val="auto"/>
                      <w:sz w:val="21"/>
                      <w:szCs w:val="21"/>
                      <w:highlight w:val="none"/>
                    </w:rPr>
                  </w:pPr>
                  <w:r>
                    <w:rPr>
                      <w:rFonts w:hint="eastAsia" w:eastAsiaTheme="minorEastAsia"/>
                      <w:color w:val="auto"/>
                      <w:sz w:val="21"/>
                      <w:szCs w:val="21"/>
                      <w:highlight w:val="none"/>
                    </w:rPr>
                    <w:t>1.2</w:t>
                  </w:r>
                </w:p>
              </w:tc>
              <w:tc>
                <w:tcPr>
                  <w:tcW w:w="727" w:type="dxa"/>
                  <w:tcBorders>
                    <w:tl2br w:val="nil"/>
                    <w:tr2bl w:val="nil"/>
                  </w:tcBorders>
                  <w:vAlign w:val="center"/>
                </w:tcPr>
                <w:p w14:paraId="6F6C386E">
                  <w:pPr>
                    <w:pStyle w:val="11"/>
                    <w:adjustRightInd w:val="0"/>
                    <w:spacing w:before="0" w:after="0" w:line="240" w:lineRule="auto"/>
                    <w:ind w:right="0"/>
                    <w:jc w:val="center"/>
                    <w:rPr>
                      <w:rFonts w:eastAsiaTheme="minorEastAsia"/>
                      <w:color w:val="auto"/>
                      <w:kern w:val="2"/>
                      <w:sz w:val="21"/>
                      <w:szCs w:val="21"/>
                      <w:highlight w:val="none"/>
                    </w:rPr>
                  </w:pPr>
                  <w:r>
                    <w:rPr>
                      <w:rFonts w:hint="eastAsia" w:eastAsiaTheme="minorEastAsia"/>
                      <w:color w:val="auto"/>
                      <w:kern w:val="2"/>
                      <w:sz w:val="21"/>
                      <w:szCs w:val="21"/>
                      <w:highlight w:val="none"/>
                    </w:rPr>
                    <w:t>昼间</w:t>
                  </w:r>
                </w:p>
              </w:tc>
              <w:tc>
                <w:tcPr>
                  <w:tcW w:w="1864" w:type="dxa"/>
                  <w:tcBorders>
                    <w:tl2br w:val="nil"/>
                    <w:tr2bl w:val="nil"/>
                  </w:tcBorders>
                  <w:vAlign w:val="center"/>
                </w:tcPr>
                <w:p w14:paraId="7E41A118">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38.24</w:t>
                  </w:r>
                </w:p>
              </w:tc>
              <w:tc>
                <w:tcPr>
                  <w:tcW w:w="1864" w:type="dxa"/>
                  <w:tcBorders>
                    <w:tl2br w:val="nil"/>
                    <w:tr2bl w:val="nil"/>
                  </w:tcBorders>
                  <w:vAlign w:val="center"/>
                </w:tcPr>
                <w:p w14:paraId="03E98F23">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60</w:t>
                  </w:r>
                </w:p>
              </w:tc>
              <w:tc>
                <w:tcPr>
                  <w:tcW w:w="1104" w:type="dxa"/>
                  <w:tcBorders>
                    <w:tl2br w:val="nil"/>
                    <w:tr2bl w:val="nil"/>
                  </w:tcBorders>
                  <w:vAlign w:val="center"/>
                </w:tcPr>
                <w:p w14:paraId="69E77F6F">
                  <w:pPr>
                    <w:pStyle w:val="11"/>
                    <w:adjustRightInd w:val="0"/>
                    <w:spacing w:after="0" w:line="240" w:lineRule="auto"/>
                    <w:jc w:val="center"/>
                    <w:rPr>
                      <w:rFonts w:eastAsiaTheme="minorEastAsia"/>
                      <w:color w:val="auto"/>
                      <w:sz w:val="21"/>
                      <w:szCs w:val="21"/>
                      <w:highlight w:val="none"/>
                    </w:rPr>
                  </w:pPr>
                  <w:r>
                    <w:rPr>
                      <w:rFonts w:eastAsiaTheme="minorEastAsia"/>
                      <w:color w:val="auto"/>
                      <w:sz w:val="21"/>
                      <w:szCs w:val="21"/>
                      <w:highlight w:val="none"/>
                    </w:rPr>
                    <w:t>达标</w:t>
                  </w:r>
                </w:p>
              </w:tc>
            </w:tr>
            <w:tr w14:paraId="5EFC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tcBorders>
                    <w:tl2br w:val="nil"/>
                    <w:tr2bl w:val="nil"/>
                  </w:tcBorders>
                  <w:vAlign w:val="center"/>
                </w:tcPr>
                <w:p w14:paraId="6746CB34">
                  <w:pPr>
                    <w:pStyle w:val="11"/>
                    <w:adjustRightInd w:val="0"/>
                    <w:spacing w:after="0" w:line="240" w:lineRule="auto"/>
                    <w:jc w:val="center"/>
                    <w:rPr>
                      <w:rFonts w:eastAsiaTheme="minorEastAsia"/>
                      <w:color w:val="auto"/>
                      <w:sz w:val="21"/>
                      <w:szCs w:val="21"/>
                      <w:highlight w:val="none"/>
                    </w:rPr>
                  </w:pPr>
                </w:p>
              </w:tc>
              <w:tc>
                <w:tcPr>
                  <w:tcW w:w="697" w:type="dxa"/>
                  <w:vMerge w:val="continue"/>
                  <w:tcBorders>
                    <w:tl2br w:val="nil"/>
                    <w:tr2bl w:val="nil"/>
                  </w:tcBorders>
                  <w:vAlign w:val="center"/>
                </w:tcPr>
                <w:p w14:paraId="151F603C">
                  <w:pPr>
                    <w:pStyle w:val="11"/>
                    <w:adjustRightInd w:val="0"/>
                    <w:spacing w:after="0" w:line="240" w:lineRule="auto"/>
                    <w:jc w:val="center"/>
                    <w:rPr>
                      <w:rFonts w:eastAsiaTheme="minorEastAsia"/>
                      <w:color w:val="auto"/>
                      <w:sz w:val="21"/>
                      <w:szCs w:val="21"/>
                      <w:highlight w:val="none"/>
                    </w:rPr>
                  </w:pPr>
                </w:p>
              </w:tc>
              <w:tc>
                <w:tcPr>
                  <w:tcW w:w="759" w:type="dxa"/>
                  <w:vMerge w:val="continue"/>
                  <w:tcBorders>
                    <w:tl2br w:val="nil"/>
                    <w:tr2bl w:val="nil"/>
                  </w:tcBorders>
                  <w:vAlign w:val="center"/>
                </w:tcPr>
                <w:p w14:paraId="4CEB66DA">
                  <w:pPr>
                    <w:pStyle w:val="11"/>
                    <w:adjustRightInd w:val="0"/>
                    <w:spacing w:after="0" w:line="240" w:lineRule="auto"/>
                    <w:jc w:val="center"/>
                    <w:rPr>
                      <w:rFonts w:eastAsiaTheme="minorEastAsia"/>
                      <w:color w:val="auto"/>
                      <w:sz w:val="21"/>
                      <w:szCs w:val="21"/>
                      <w:highlight w:val="none"/>
                    </w:rPr>
                  </w:pPr>
                </w:p>
              </w:tc>
              <w:tc>
                <w:tcPr>
                  <w:tcW w:w="592" w:type="dxa"/>
                  <w:vMerge w:val="continue"/>
                  <w:tcBorders>
                    <w:tl2br w:val="nil"/>
                    <w:tr2bl w:val="nil"/>
                  </w:tcBorders>
                  <w:vAlign w:val="center"/>
                </w:tcPr>
                <w:p w14:paraId="75A2CB28">
                  <w:pPr>
                    <w:pStyle w:val="11"/>
                    <w:adjustRightInd w:val="0"/>
                    <w:spacing w:after="0" w:line="240" w:lineRule="auto"/>
                    <w:jc w:val="center"/>
                    <w:rPr>
                      <w:rFonts w:eastAsiaTheme="minorEastAsia"/>
                      <w:color w:val="auto"/>
                      <w:sz w:val="21"/>
                      <w:szCs w:val="21"/>
                      <w:highlight w:val="none"/>
                    </w:rPr>
                  </w:pPr>
                </w:p>
              </w:tc>
              <w:tc>
                <w:tcPr>
                  <w:tcW w:w="727" w:type="dxa"/>
                  <w:tcBorders>
                    <w:tl2br w:val="nil"/>
                    <w:tr2bl w:val="nil"/>
                  </w:tcBorders>
                  <w:vAlign w:val="center"/>
                </w:tcPr>
                <w:p w14:paraId="72AF85CB">
                  <w:pPr>
                    <w:pStyle w:val="11"/>
                    <w:adjustRightInd w:val="0"/>
                    <w:spacing w:before="0" w:after="0" w:line="240" w:lineRule="auto"/>
                    <w:ind w:right="0"/>
                    <w:jc w:val="center"/>
                    <w:rPr>
                      <w:rFonts w:eastAsiaTheme="minorEastAsia"/>
                      <w:color w:val="auto"/>
                      <w:kern w:val="2"/>
                      <w:sz w:val="21"/>
                      <w:szCs w:val="21"/>
                      <w:highlight w:val="none"/>
                    </w:rPr>
                  </w:pPr>
                  <w:r>
                    <w:rPr>
                      <w:rFonts w:hint="eastAsia" w:eastAsiaTheme="minorEastAsia"/>
                      <w:color w:val="auto"/>
                      <w:kern w:val="2"/>
                      <w:sz w:val="21"/>
                      <w:szCs w:val="21"/>
                      <w:highlight w:val="none"/>
                    </w:rPr>
                    <w:t>夜间</w:t>
                  </w:r>
                </w:p>
              </w:tc>
              <w:tc>
                <w:tcPr>
                  <w:tcW w:w="1864" w:type="dxa"/>
                  <w:tcBorders>
                    <w:tl2br w:val="nil"/>
                    <w:tr2bl w:val="nil"/>
                  </w:tcBorders>
                  <w:vAlign w:val="center"/>
                </w:tcPr>
                <w:p w14:paraId="3F7C2D83">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38.24</w:t>
                  </w:r>
                </w:p>
              </w:tc>
              <w:tc>
                <w:tcPr>
                  <w:tcW w:w="1864" w:type="dxa"/>
                  <w:tcBorders>
                    <w:tl2br w:val="nil"/>
                    <w:tr2bl w:val="nil"/>
                  </w:tcBorders>
                  <w:vAlign w:val="center"/>
                </w:tcPr>
                <w:p w14:paraId="676219FB">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50</w:t>
                  </w:r>
                </w:p>
              </w:tc>
              <w:tc>
                <w:tcPr>
                  <w:tcW w:w="1104" w:type="dxa"/>
                  <w:tcBorders>
                    <w:tl2br w:val="nil"/>
                    <w:tr2bl w:val="nil"/>
                  </w:tcBorders>
                  <w:vAlign w:val="center"/>
                </w:tcPr>
                <w:p w14:paraId="03CD7FE5">
                  <w:pPr>
                    <w:pStyle w:val="11"/>
                    <w:adjustRightInd w:val="0"/>
                    <w:spacing w:after="0" w:line="240" w:lineRule="auto"/>
                    <w:jc w:val="center"/>
                    <w:rPr>
                      <w:rFonts w:eastAsiaTheme="minorEastAsia"/>
                      <w:color w:val="auto"/>
                      <w:sz w:val="21"/>
                      <w:szCs w:val="21"/>
                      <w:highlight w:val="none"/>
                    </w:rPr>
                  </w:pPr>
                  <w:r>
                    <w:rPr>
                      <w:rFonts w:eastAsiaTheme="minorEastAsia"/>
                      <w:color w:val="auto"/>
                      <w:sz w:val="21"/>
                      <w:szCs w:val="21"/>
                      <w:highlight w:val="none"/>
                    </w:rPr>
                    <w:t>达标</w:t>
                  </w:r>
                </w:p>
              </w:tc>
            </w:tr>
            <w:tr w14:paraId="1D4F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restart"/>
                  <w:tcBorders>
                    <w:tl2br w:val="nil"/>
                    <w:tr2bl w:val="nil"/>
                  </w:tcBorders>
                  <w:vAlign w:val="center"/>
                </w:tcPr>
                <w:p w14:paraId="25C53A31">
                  <w:pPr>
                    <w:pStyle w:val="11"/>
                    <w:adjustRightInd w:val="0"/>
                    <w:spacing w:after="0" w:line="240" w:lineRule="auto"/>
                    <w:jc w:val="center"/>
                    <w:rPr>
                      <w:rFonts w:eastAsiaTheme="minorEastAsia"/>
                      <w:color w:val="auto"/>
                      <w:sz w:val="21"/>
                      <w:szCs w:val="21"/>
                      <w:highlight w:val="none"/>
                    </w:rPr>
                  </w:pPr>
                  <w:r>
                    <w:rPr>
                      <w:rFonts w:eastAsiaTheme="minorEastAsia"/>
                      <w:color w:val="auto"/>
                      <w:sz w:val="21"/>
                      <w:szCs w:val="21"/>
                      <w:highlight w:val="none"/>
                    </w:rPr>
                    <w:t>北厂界</w:t>
                  </w:r>
                </w:p>
              </w:tc>
              <w:tc>
                <w:tcPr>
                  <w:tcW w:w="697" w:type="dxa"/>
                  <w:vMerge w:val="restart"/>
                  <w:tcBorders>
                    <w:tl2br w:val="nil"/>
                    <w:tr2bl w:val="nil"/>
                  </w:tcBorders>
                  <w:vAlign w:val="center"/>
                </w:tcPr>
                <w:p w14:paraId="054F4BDD">
                  <w:pPr>
                    <w:adjustRightIn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37.18</w:t>
                  </w:r>
                </w:p>
              </w:tc>
              <w:tc>
                <w:tcPr>
                  <w:tcW w:w="759" w:type="dxa"/>
                  <w:vMerge w:val="restart"/>
                  <w:tcBorders>
                    <w:tl2br w:val="nil"/>
                    <w:tr2bl w:val="nil"/>
                  </w:tcBorders>
                  <w:vAlign w:val="center"/>
                </w:tcPr>
                <w:p w14:paraId="57DA6F64">
                  <w:pPr>
                    <w:adjustRightIn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93.38</w:t>
                  </w:r>
                </w:p>
              </w:tc>
              <w:tc>
                <w:tcPr>
                  <w:tcW w:w="592" w:type="dxa"/>
                  <w:vMerge w:val="restart"/>
                  <w:tcBorders>
                    <w:tl2br w:val="nil"/>
                    <w:tr2bl w:val="nil"/>
                  </w:tcBorders>
                  <w:vAlign w:val="center"/>
                </w:tcPr>
                <w:p w14:paraId="7A19F2B7">
                  <w:pPr>
                    <w:adjustRightInd w:val="0"/>
                    <w:jc w:val="center"/>
                    <w:rPr>
                      <w:rFonts w:eastAsiaTheme="minorEastAsia"/>
                      <w:color w:val="auto"/>
                      <w:szCs w:val="21"/>
                      <w:highlight w:val="none"/>
                    </w:rPr>
                  </w:pPr>
                  <w:r>
                    <w:rPr>
                      <w:rFonts w:hint="eastAsia"/>
                      <w:color w:val="auto"/>
                      <w:szCs w:val="21"/>
                      <w:highlight w:val="none"/>
                    </w:rPr>
                    <w:t>1.2</w:t>
                  </w:r>
                </w:p>
              </w:tc>
              <w:tc>
                <w:tcPr>
                  <w:tcW w:w="727" w:type="dxa"/>
                  <w:tcBorders>
                    <w:tl2br w:val="nil"/>
                    <w:tr2bl w:val="nil"/>
                  </w:tcBorders>
                  <w:vAlign w:val="center"/>
                </w:tcPr>
                <w:p w14:paraId="5C991FFD">
                  <w:pPr>
                    <w:pStyle w:val="11"/>
                    <w:adjustRightInd w:val="0"/>
                    <w:spacing w:before="0" w:after="0" w:line="240" w:lineRule="auto"/>
                    <w:ind w:right="0"/>
                    <w:jc w:val="center"/>
                    <w:rPr>
                      <w:rFonts w:eastAsiaTheme="minorEastAsia"/>
                      <w:color w:val="auto"/>
                      <w:kern w:val="2"/>
                      <w:sz w:val="21"/>
                      <w:szCs w:val="21"/>
                      <w:highlight w:val="none"/>
                    </w:rPr>
                  </w:pPr>
                  <w:r>
                    <w:rPr>
                      <w:rFonts w:hint="eastAsia" w:eastAsiaTheme="minorEastAsia"/>
                      <w:color w:val="auto"/>
                      <w:kern w:val="2"/>
                      <w:sz w:val="21"/>
                      <w:szCs w:val="21"/>
                      <w:highlight w:val="none"/>
                    </w:rPr>
                    <w:t>昼间</w:t>
                  </w:r>
                </w:p>
              </w:tc>
              <w:tc>
                <w:tcPr>
                  <w:tcW w:w="1864" w:type="dxa"/>
                  <w:tcBorders>
                    <w:tl2br w:val="nil"/>
                    <w:tr2bl w:val="nil"/>
                  </w:tcBorders>
                  <w:vAlign w:val="center"/>
                </w:tcPr>
                <w:p w14:paraId="51C82D76">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46.29</w:t>
                  </w:r>
                </w:p>
              </w:tc>
              <w:tc>
                <w:tcPr>
                  <w:tcW w:w="1864" w:type="dxa"/>
                  <w:tcBorders>
                    <w:tl2br w:val="nil"/>
                    <w:tr2bl w:val="nil"/>
                  </w:tcBorders>
                  <w:vAlign w:val="center"/>
                </w:tcPr>
                <w:p w14:paraId="483773C9">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60</w:t>
                  </w:r>
                </w:p>
              </w:tc>
              <w:tc>
                <w:tcPr>
                  <w:tcW w:w="1104" w:type="dxa"/>
                  <w:tcBorders>
                    <w:tl2br w:val="nil"/>
                    <w:tr2bl w:val="nil"/>
                  </w:tcBorders>
                  <w:vAlign w:val="center"/>
                </w:tcPr>
                <w:p w14:paraId="44B62C69">
                  <w:pPr>
                    <w:pStyle w:val="11"/>
                    <w:adjustRightInd w:val="0"/>
                    <w:spacing w:after="0" w:line="240" w:lineRule="auto"/>
                    <w:jc w:val="center"/>
                    <w:rPr>
                      <w:rFonts w:eastAsiaTheme="minorEastAsia"/>
                      <w:color w:val="auto"/>
                      <w:sz w:val="21"/>
                      <w:szCs w:val="21"/>
                      <w:highlight w:val="none"/>
                    </w:rPr>
                  </w:pPr>
                  <w:r>
                    <w:rPr>
                      <w:rFonts w:eastAsiaTheme="minorEastAsia"/>
                      <w:color w:val="auto"/>
                      <w:sz w:val="21"/>
                      <w:szCs w:val="21"/>
                      <w:highlight w:val="none"/>
                    </w:rPr>
                    <w:t>达标</w:t>
                  </w:r>
                </w:p>
              </w:tc>
            </w:tr>
            <w:tr w14:paraId="39B3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Merge w:val="continue"/>
                  <w:tcBorders>
                    <w:tl2br w:val="nil"/>
                    <w:tr2bl w:val="nil"/>
                  </w:tcBorders>
                  <w:vAlign w:val="center"/>
                </w:tcPr>
                <w:p w14:paraId="1AFC1632">
                  <w:pPr>
                    <w:pStyle w:val="11"/>
                    <w:adjustRightInd w:val="0"/>
                    <w:spacing w:after="0" w:line="240" w:lineRule="auto"/>
                    <w:jc w:val="center"/>
                    <w:rPr>
                      <w:rFonts w:eastAsiaTheme="minorEastAsia"/>
                      <w:color w:val="auto"/>
                      <w:sz w:val="21"/>
                      <w:szCs w:val="21"/>
                      <w:highlight w:val="none"/>
                    </w:rPr>
                  </w:pPr>
                </w:p>
              </w:tc>
              <w:tc>
                <w:tcPr>
                  <w:tcW w:w="697" w:type="dxa"/>
                  <w:vMerge w:val="continue"/>
                  <w:tcBorders>
                    <w:tl2br w:val="nil"/>
                    <w:tr2bl w:val="nil"/>
                  </w:tcBorders>
                  <w:vAlign w:val="center"/>
                </w:tcPr>
                <w:p w14:paraId="604BAAE4">
                  <w:pPr>
                    <w:pStyle w:val="11"/>
                    <w:adjustRightInd w:val="0"/>
                    <w:spacing w:after="0" w:line="240" w:lineRule="auto"/>
                    <w:jc w:val="center"/>
                    <w:rPr>
                      <w:rFonts w:eastAsiaTheme="minorEastAsia"/>
                      <w:color w:val="auto"/>
                      <w:sz w:val="21"/>
                      <w:szCs w:val="21"/>
                      <w:highlight w:val="none"/>
                    </w:rPr>
                  </w:pPr>
                </w:p>
              </w:tc>
              <w:tc>
                <w:tcPr>
                  <w:tcW w:w="759" w:type="dxa"/>
                  <w:vMerge w:val="continue"/>
                  <w:tcBorders>
                    <w:tl2br w:val="nil"/>
                    <w:tr2bl w:val="nil"/>
                  </w:tcBorders>
                  <w:vAlign w:val="center"/>
                </w:tcPr>
                <w:p w14:paraId="3DFF7D0A">
                  <w:pPr>
                    <w:pStyle w:val="11"/>
                    <w:adjustRightInd w:val="0"/>
                    <w:spacing w:after="0" w:line="240" w:lineRule="auto"/>
                    <w:jc w:val="center"/>
                    <w:rPr>
                      <w:rFonts w:eastAsiaTheme="minorEastAsia"/>
                      <w:color w:val="auto"/>
                      <w:sz w:val="21"/>
                      <w:szCs w:val="21"/>
                      <w:highlight w:val="none"/>
                    </w:rPr>
                  </w:pPr>
                </w:p>
              </w:tc>
              <w:tc>
                <w:tcPr>
                  <w:tcW w:w="592" w:type="dxa"/>
                  <w:vMerge w:val="continue"/>
                  <w:tcBorders>
                    <w:tl2br w:val="nil"/>
                    <w:tr2bl w:val="nil"/>
                  </w:tcBorders>
                  <w:vAlign w:val="center"/>
                </w:tcPr>
                <w:p w14:paraId="73C0FE3C">
                  <w:pPr>
                    <w:pStyle w:val="11"/>
                    <w:adjustRightInd w:val="0"/>
                    <w:spacing w:after="0" w:line="240" w:lineRule="auto"/>
                    <w:jc w:val="center"/>
                    <w:rPr>
                      <w:rFonts w:eastAsiaTheme="minorEastAsia"/>
                      <w:color w:val="auto"/>
                      <w:sz w:val="21"/>
                      <w:szCs w:val="21"/>
                      <w:highlight w:val="none"/>
                    </w:rPr>
                  </w:pPr>
                </w:p>
              </w:tc>
              <w:tc>
                <w:tcPr>
                  <w:tcW w:w="727" w:type="dxa"/>
                  <w:tcBorders>
                    <w:tl2br w:val="nil"/>
                    <w:tr2bl w:val="nil"/>
                  </w:tcBorders>
                  <w:vAlign w:val="center"/>
                </w:tcPr>
                <w:p w14:paraId="035212ED">
                  <w:pPr>
                    <w:pStyle w:val="11"/>
                    <w:adjustRightInd w:val="0"/>
                    <w:spacing w:before="0" w:after="0" w:line="240" w:lineRule="auto"/>
                    <w:ind w:right="0"/>
                    <w:jc w:val="center"/>
                    <w:rPr>
                      <w:rFonts w:eastAsiaTheme="minorEastAsia"/>
                      <w:color w:val="auto"/>
                      <w:kern w:val="2"/>
                      <w:sz w:val="21"/>
                      <w:szCs w:val="21"/>
                      <w:highlight w:val="none"/>
                    </w:rPr>
                  </w:pPr>
                  <w:r>
                    <w:rPr>
                      <w:rFonts w:hint="eastAsia" w:eastAsiaTheme="minorEastAsia"/>
                      <w:color w:val="auto"/>
                      <w:kern w:val="2"/>
                      <w:sz w:val="21"/>
                      <w:szCs w:val="21"/>
                      <w:highlight w:val="none"/>
                    </w:rPr>
                    <w:t>夜间</w:t>
                  </w:r>
                </w:p>
              </w:tc>
              <w:tc>
                <w:tcPr>
                  <w:tcW w:w="1864" w:type="dxa"/>
                  <w:tcBorders>
                    <w:tl2br w:val="nil"/>
                    <w:tr2bl w:val="nil"/>
                  </w:tcBorders>
                  <w:vAlign w:val="center"/>
                </w:tcPr>
                <w:p w14:paraId="7491C25A">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46.29</w:t>
                  </w:r>
                </w:p>
              </w:tc>
              <w:tc>
                <w:tcPr>
                  <w:tcW w:w="1864" w:type="dxa"/>
                  <w:tcBorders>
                    <w:tl2br w:val="nil"/>
                    <w:tr2bl w:val="nil"/>
                  </w:tcBorders>
                  <w:vAlign w:val="center"/>
                </w:tcPr>
                <w:p w14:paraId="6FAFD286">
                  <w:pPr>
                    <w:pStyle w:val="11"/>
                    <w:adjustRightInd w:val="0"/>
                    <w:spacing w:after="0" w:line="240" w:lineRule="auto"/>
                    <w:jc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50</w:t>
                  </w:r>
                </w:p>
              </w:tc>
              <w:tc>
                <w:tcPr>
                  <w:tcW w:w="1104" w:type="dxa"/>
                  <w:tcBorders>
                    <w:tl2br w:val="nil"/>
                    <w:tr2bl w:val="nil"/>
                  </w:tcBorders>
                  <w:vAlign w:val="center"/>
                </w:tcPr>
                <w:p w14:paraId="6F5B9777">
                  <w:pPr>
                    <w:pStyle w:val="11"/>
                    <w:adjustRightInd w:val="0"/>
                    <w:spacing w:after="0" w:line="240" w:lineRule="auto"/>
                    <w:jc w:val="center"/>
                    <w:rPr>
                      <w:rFonts w:eastAsiaTheme="minorEastAsia"/>
                      <w:color w:val="auto"/>
                      <w:sz w:val="21"/>
                      <w:szCs w:val="21"/>
                      <w:highlight w:val="none"/>
                    </w:rPr>
                  </w:pPr>
                  <w:r>
                    <w:rPr>
                      <w:rFonts w:eastAsiaTheme="minorEastAsia"/>
                      <w:color w:val="auto"/>
                      <w:sz w:val="21"/>
                      <w:szCs w:val="21"/>
                      <w:highlight w:val="none"/>
                    </w:rPr>
                    <w:t>达标</w:t>
                  </w:r>
                </w:p>
              </w:tc>
            </w:tr>
          </w:tbl>
          <w:p w14:paraId="5D6AAC72">
            <w:pPr>
              <w:snapToGrid w:val="0"/>
              <w:spacing w:line="360" w:lineRule="auto"/>
              <w:ind w:firstLine="480" w:firstLineChars="200"/>
              <w:rPr>
                <w:color w:val="auto"/>
                <w:sz w:val="24"/>
                <w:highlight w:val="none"/>
              </w:rPr>
            </w:pPr>
            <w:r>
              <w:rPr>
                <w:rFonts w:hint="eastAsia"/>
                <w:color w:val="auto"/>
                <w:kern w:val="24"/>
                <w:sz w:val="24"/>
                <w:highlight w:val="none"/>
              </w:rPr>
              <w:t>根据上表</w:t>
            </w:r>
            <w:r>
              <w:rPr>
                <w:rFonts w:hint="eastAsia"/>
                <w:color w:val="auto"/>
                <w:kern w:val="24"/>
                <w:sz w:val="24"/>
                <w:highlight w:val="none"/>
                <w:lang w:val="en-US" w:eastAsia="zh-CN"/>
              </w:rPr>
              <w:t>4-21</w:t>
            </w:r>
            <w:r>
              <w:rPr>
                <w:rFonts w:hint="eastAsia"/>
                <w:color w:val="auto"/>
                <w:kern w:val="24"/>
                <w:sz w:val="24"/>
                <w:highlight w:val="none"/>
              </w:rPr>
              <w:t>可知</w:t>
            </w:r>
            <w:r>
              <w:rPr>
                <w:color w:val="auto"/>
                <w:kern w:val="24"/>
                <w:sz w:val="24"/>
                <w:highlight w:val="none"/>
              </w:rPr>
              <w:t>，</w:t>
            </w:r>
            <w:r>
              <w:rPr>
                <w:rFonts w:hint="eastAsia"/>
                <w:color w:val="auto"/>
                <w:sz w:val="24"/>
                <w:highlight w:val="none"/>
              </w:rPr>
              <w:t>项目建成后东面、南面、西面、北面的厂界噪声昼间、夜间贡献值满足《工业企业场界环境噪声排放标准》（GB 12348-2008）</w:t>
            </w:r>
            <w:r>
              <w:rPr>
                <w:color w:val="auto"/>
                <w:sz w:val="24"/>
                <w:highlight w:val="none"/>
              </w:rPr>
              <w:t>2</w:t>
            </w:r>
            <w:r>
              <w:rPr>
                <w:rFonts w:hint="eastAsia"/>
                <w:color w:val="auto"/>
                <w:sz w:val="24"/>
                <w:highlight w:val="none"/>
              </w:rPr>
              <w:t>类标准。</w:t>
            </w:r>
          </w:p>
          <w:p w14:paraId="7C8C212F">
            <w:pPr>
              <w:snapToGrid w:val="0"/>
              <w:spacing w:line="360" w:lineRule="auto"/>
              <w:ind w:firstLine="480" w:firstLineChars="200"/>
              <w:rPr>
                <w:rFonts w:hint="eastAsia"/>
                <w:color w:val="auto"/>
                <w:sz w:val="24"/>
                <w:szCs w:val="24"/>
                <w:highlight w:val="none"/>
                <w:lang w:eastAsia="zh-CN"/>
              </w:rPr>
            </w:pPr>
            <w:r>
              <w:rPr>
                <w:rFonts w:hint="eastAsia"/>
                <w:color w:val="auto"/>
                <w:sz w:val="24"/>
                <w:szCs w:val="24"/>
                <w:highlight w:val="none"/>
                <w:lang w:val="en-US" w:eastAsia="zh-CN"/>
              </w:rPr>
              <w:t xml:space="preserve">为避免本项目设备运行噪声对周围声环境产生不良影响，建设单位应采取从声源上控制、从传播途径上控制等综合措施对设备运行噪声加以控制，具体如下： </w:t>
            </w:r>
          </w:p>
          <w:p w14:paraId="31125B6A">
            <w:pPr>
              <w:snapToGri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（1）对空压机置于室内，风机及其他生产设备置于室内，利用厂房隔音。</w:t>
            </w:r>
          </w:p>
          <w:p w14:paraId="51CDD852">
            <w:pPr>
              <w:snapToGrid w:val="0"/>
              <w:spacing w:line="360" w:lineRule="auto"/>
              <w:ind w:firstLine="480" w:firstLineChars="200"/>
              <w:rPr>
                <w:rFonts w:hint="eastAsia"/>
                <w:color w:val="auto"/>
                <w:sz w:val="24"/>
                <w:szCs w:val="24"/>
                <w:highlight w:val="none"/>
                <w:lang w:eastAsia="zh-CN"/>
              </w:rPr>
            </w:pPr>
            <w:r>
              <w:rPr>
                <w:rFonts w:hint="eastAsia"/>
                <w:color w:val="auto"/>
                <w:sz w:val="24"/>
                <w:szCs w:val="24"/>
                <w:highlight w:val="none"/>
                <w:lang w:val="en-US" w:eastAsia="zh-CN"/>
              </w:rPr>
              <w:t xml:space="preserve">（2）加强设备日常维护与保养，维持设备处于良好的运转状态，以防止设备故障形成的非生产噪声。 </w:t>
            </w:r>
          </w:p>
          <w:p w14:paraId="058179B4">
            <w:pPr>
              <w:snapToGrid w:val="0"/>
              <w:spacing w:line="360" w:lineRule="auto"/>
              <w:ind w:firstLine="480" w:firstLineChars="200"/>
              <w:rPr>
                <w:rFonts w:hint="eastAsia" w:ascii="Times New Roman"/>
                <w:color w:val="auto"/>
                <w:sz w:val="24"/>
                <w:highlight w:val="none"/>
                <w:lang w:eastAsia="zh-CN"/>
              </w:rPr>
            </w:pPr>
            <w:r>
              <w:rPr>
                <w:rFonts w:hint="eastAsia"/>
                <w:color w:val="auto"/>
                <w:sz w:val="24"/>
                <w:szCs w:val="24"/>
                <w:highlight w:val="none"/>
                <w:lang w:val="en-US" w:eastAsia="zh-CN"/>
              </w:rPr>
              <w:t>（3）</w:t>
            </w:r>
            <w:r>
              <w:rPr>
                <w:rFonts w:ascii="Times New Roman"/>
                <w:color w:val="auto"/>
                <w:sz w:val="24"/>
                <w:highlight w:val="none"/>
              </w:rPr>
              <w:t>尽可能选用功能好、噪音低的设备</w:t>
            </w:r>
            <w:r>
              <w:rPr>
                <w:rFonts w:hint="eastAsia" w:ascii="Times New Roman"/>
                <w:color w:val="auto"/>
                <w:sz w:val="24"/>
                <w:highlight w:val="none"/>
                <w:lang w:eastAsia="zh-CN"/>
              </w:rPr>
              <w:t>；</w:t>
            </w:r>
          </w:p>
          <w:p w14:paraId="48C10B3D">
            <w:pPr>
              <w:snapToGrid w:val="0"/>
              <w:spacing w:line="360" w:lineRule="auto"/>
              <w:ind w:firstLine="480" w:firstLineChars="200"/>
              <w:rPr>
                <w:rFonts w:hint="eastAsia" w:ascii="Times New Roman"/>
                <w:color w:val="auto"/>
                <w:sz w:val="24"/>
                <w:highlight w:val="none"/>
                <w:lang w:val="en-US" w:eastAsia="zh-CN"/>
              </w:rPr>
            </w:pPr>
            <w:r>
              <w:rPr>
                <w:rFonts w:hint="eastAsia" w:ascii="Times New Roman"/>
                <w:color w:val="auto"/>
                <w:sz w:val="24"/>
                <w:highlight w:val="none"/>
                <w:lang w:eastAsia="zh-CN"/>
              </w:rPr>
              <w:t>（</w:t>
            </w:r>
            <w:r>
              <w:rPr>
                <w:rFonts w:hint="eastAsia"/>
                <w:color w:val="auto"/>
                <w:sz w:val="24"/>
                <w:highlight w:val="none"/>
                <w:lang w:val="en-US" w:eastAsia="zh-CN"/>
              </w:rPr>
              <w:t>4</w:t>
            </w:r>
            <w:r>
              <w:rPr>
                <w:rFonts w:hint="eastAsia" w:ascii="Times New Roman"/>
                <w:color w:val="auto"/>
                <w:sz w:val="24"/>
                <w:highlight w:val="none"/>
                <w:lang w:eastAsia="zh-CN"/>
              </w:rPr>
              <w:t>）</w:t>
            </w:r>
            <w:r>
              <w:rPr>
                <w:rFonts w:ascii="Times New Roman"/>
                <w:color w:val="auto"/>
                <w:sz w:val="24"/>
                <w:highlight w:val="none"/>
              </w:rPr>
              <w:t>将各生产设备置于室内，利用绿化带（区）或建筑物进行隔声降噪</w:t>
            </w:r>
            <w:r>
              <w:rPr>
                <w:rFonts w:hint="eastAsia"/>
                <w:color w:val="auto"/>
                <w:sz w:val="24"/>
                <w:highlight w:val="none"/>
                <w:lang w:val="en-US" w:eastAsia="zh-CN"/>
              </w:rPr>
              <w:t>。</w:t>
            </w:r>
          </w:p>
          <w:p w14:paraId="05364369">
            <w:pPr>
              <w:snapToGrid w:val="0"/>
              <w:spacing w:line="360" w:lineRule="auto"/>
              <w:ind w:firstLine="480" w:firstLineChars="200"/>
              <w:rPr>
                <w:rFonts w:hint="eastAsia" w:ascii="Times New Roman" w:eastAsia="宋体"/>
                <w:b/>
                <w:bCs/>
                <w:color w:val="auto"/>
                <w:sz w:val="24"/>
                <w:szCs w:val="24"/>
                <w:highlight w:val="none"/>
                <w:lang w:val="en-US" w:eastAsia="zh-CN"/>
              </w:rPr>
            </w:pPr>
            <w:r>
              <w:rPr>
                <w:rFonts w:hint="eastAsia"/>
                <w:color w:val="auto"/>
                <w:sz w:val="24"/>
                <w:szCs w:val="24"/>
                <w:highlight w:val="none"/>
                <w:lang w:val="en-US" w:eastAsia="zh-CN"/>
              </w:rPr>
              <w:t>在采取上述措施后，</w:t>
            </w:r>
            <w:r>
              <w:rPr>
                <w:rFonts w:hint="eastAsia"/>
                <w:color w:val="auto"/>
                <w:sz w:val="24"/>
                <w:highlight w:val="none"/>
              </w:rPr>
              <w:t>项目运营期的厂界噪声</w:t>
            </w:r>
            <w:r>
              <w:rPr>
                <w:color w:val="auto"/>
                <w:kern w:val="24"/>
                <w:sz w:val="24"/>
                <w:highlight w:val="none"/>
              </w:rPr>
              <w:t>昼间</w:t>
            </w:r>
            <w:r>
              <w:rPr>
                <w:rFonts w:hint="eastAsia"/>
                <w:color w:val="auto"/>
                <w:kern w:val="24"/>
                <w:sz w:val="24"/>
                <w:highlight w:val="none"/>
              </w:rPr>
              <w:t>、夜间贡献值</w:t>
            </w:r>
            <w:r>
              <w:rPr>
                <w:rFonts w:hint="eastAsia"/>
                <w:color w:val="auto"/>
                <w:sz w:val="24"/>
                <w:highlight w:val="none"/>
              </w:rPr>
              <w:t>可满足《工业企业厂界环境噪声排放标准》 （GB12348-2008)中2类标准要求，项目区周边无声环境保护目标。因此，本项目噪声对周围环境影响较小，声环境影响可以接受。</w:t>
            </w:r>
          </w:p>
          <w:p w14:paraId="5318FA2E">
            <w:pPr>
              <w:snapToGrid w:val="0"/>
              <w:spacing w:line="360" w:lineRule="auto"/>
              <w:ind w:firstLine="482" w:firstLineChars="200"/>
              <w:rPr>
                <w:rFonts w:hint="default" w:ascii="Times New Roman"/>
                <w:b/>
                <w:bCs/>
                <w:color w:val="auto"/>
                <w:sz w:val="24"/>
                <w:szCs w:val="24"/>
                <w:highlight w:val="none"/>
                <w:lang w:val="en-US" w:eastAsia="zh-CN"/>
              </w:rPr>
            </w:pPr>
            <w:r>
              <w:rPr>
                <w:rFonts w:hint="eastAsia" w:ascii="Times New Roman"/>
                <w:b/>
                <w:bCs/>
                <w:color w:val="auto"/>
                <w:sz w:val="24"/>
                <w:szCs w:val="24"/>
                <w:highlight w:val="none"/>
                <w:lang w:val="en-US" w:eastAsia="zh-CN"/>
              </w:rPr>
              <w:t>3、监测要求</w:t>
            </w:r>
          </w:p>
          <w:p w14:paraId="4F2084BC">
            <w:pPr>
              <w:snapToGrid w:val="0"/>
              <w:spacing w:line="360" w:lineRule="auto"/>
              <w:ind w:firstLine="480" w:firstLineChars="200"/>
              <w:rPr>
                <w:rFonts w:hint="eastAsia" w:ascii="Times New Roman"/>
                <w:b w:val="0"/>
                <w:bCs w:val="0"/>
                <w:color w:val="auto"/>
                <w:sz w:val="24"/>
                <w:szCs w:val="24"/>
                <w:highlight w:val="none"/>
                <w:lang w:eastAsia="zh-CN"/>
              </w:rPr>
            </w:pPr>
            <w:r>
              <w:rPr>
                <w:rFonts w:hint="eastAsia" w:ascii="Times New Roman"/>
                <w:b w:val="0"/>
                <w:bCs w:val="0"/>
                <w:color w:val="auto"/>
                <w:sz w:val="24"/>
                <w:szCs w:val="24"/>
                <w:highlight w:val="none"/>
                <w:lang w:eastAsia="zh-CN"/>
              </w:rPr>
              <w:t>根据</w:t>
            </w:r>
            <w:r>
              <w:rPr>
                <w:rFonts w:hint="eastAsia" w:ascii="Times New Roman" w:hAnsi="Times New Roman" w:eastAsia="宋体" w:cs="Times New Roman"/>
                <w:b w:val="0"/>
                <w:bCs w:val="0"/>
                <w:color w:val="auto"/>
                <w:sz w:val="24"/>
                <w:szCs w:val="24"/>
                <w:highlight w:val="none"/>
                <w:lang w:val="en-US" w:eastAsia="zh-CN"/>
              </w:rPr>
              <w:t>《排污单位自行监测技术指南总则》（HJ819-2017）、《</w:t>
            </w:r>
            <w:r>
              <w:rPr>
                <w:rFonts w:hint="eastAsia" w:cs="Times New Roman"/>
                <w:b w:val="0"/>
                <w:bCs w:val="0"/>
                <w:color w:val="auto"/>
                <w:sz w:val="24"/>
                <w:szCs w:val="24"/>
                <w:highlight w:val="none"/>
                <w:lang w:val="en-US" w:eastAsia="zh-CN"/>
              </w:rPr>
              <w:t>排污许可证申请与核发技术规范</w:t>
            </w:r>
            <w:r>
              <w:rPr>
                <w:rFonts w:hint="eastAsia"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环境卫生管理业</w:t>
            </w:r>
            <w:r>
              <w:rPr>
                <w:rFonts w:hint="eastAsia" w:ascii="Times New Roman" w:hAnsi="Times New Roman" w:eastAsia="宋体" w:cs="Times New Roman"/>
                <w:b w:val="0"/>
                <w:bCs w:val="0"/>
                <w:color w:val="auto"/>
                <w:sz w:val="24"/>
                <w:szCs w:val="24"/>
                <w:highlight w:val="none"/>
                <w:lang w:val="en-US" w:eastAsia="zh-CN"/>
              </w:rPr>
              <w:t xml:space="preserve">》（HJ </w:t>
            </w:r>
            <w:r>
              <w:rPr>
                <w:rFonts w:hint="eastAsia" w:cs="Times New Roman"/>
                <w:b w:val="0"/>
                <w:bCs w:val="0"/>
                <w:color w:val="auto"/>
                <w:sz w:val="24"/>
                <w:szCs w:val="24"/>
                <w:highlight w:val="none"/>
                <w:lang w:val="en-US" w:eastAsia="zh-CN"/>
              </w:rPr>
              <w:t>1106</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2020</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b w:val="0"/>
                <w:bCs w:val="0"/>
                <w:color w:val="auto"/>
                <w:sz w:val="24"/>
                <w:szCs w:val="24"/>
                <w:highlight w:val="none"/>
                <w:lang w:eastAsia="zh-CN"/>
              </w:rPr>
              <w:t>及结合项目实际情况，提出监测计划如下。</w:t>
            </w:r>
          </w:p>
          <w:p w14:paraId="3ECDC07D">
            <w:pPr>
              <w:pStyle w:val="37"/>
              <w:keepNext w:val="0"/>
              <w:keepLines w:val="0"/>
              <w:pageBreakBefore w:val="0"/>
              <w:widowControl w:val="0"/>
              <w:kinsoku/>
              <w:wordWrap/>
              <w:overflowPunct/>
              <w:topLinePunct w:val="0"/>
              <w:bidi w:val="0"/>
              <w:adjustRightInd w:val="0"/>
              <w:spacing w:line="360" w:lineRule="auto"/>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表</w:t>
            </w:r>
            <w:r>
              <w:rPr>
                <w:rFonts w:hint="default" w:ascii="Times New Roman" w:hAnsi="Times New Roman" w:cs="Times New Roman"/>
                <w:b/>
                <w:bCs/>
                <w:color w:val="auto"/>
                <w:sz w:val="24"/>
                <w:szCs w:val="24"/>
                <w:highlight w:val="none"/>
                <w:lang w:val="en-US" w:eastAsia="zh-CN"/>
              </w:rPr>
              <w:t>4-</w:t>
            </w:r>
            <w:r>
              <w:rPr>
                <w:rFonts w:hint="eastAsia" w:ascii="Times New Roman" w:cs="Times New Roman"/>
                <w:b/>
                <w:bCs/>
                <w:color w:val="auto"/>
                <w:sz w:val="24"/>
                <w:szCs w:val="24"/>
                <w:highlight w:val="none"/>
                <w:lang w:val="en-US" w:eastAsia="zh-CN"/>
              </w:rPr>
              <w:t>22</w:t>
            </w:r>
            <w:r>
              <w:rPr>
                <w:rFonts w:hint="default" w:ascii="Times New Roman" w:hAnsi="Times New Roman" w:cs="Times New Roman"/>
                <w:b/>
                <w:bCs/>
                <w:color w:val="auto"/>
                <w:sz w:val="24"/>
                <w:szCs w:val="24"/>
                <w:highlight w:val="none"/>
                <w:lang w:val="en-US" w:eastAsia="zh-CN"/>
              </w:rPr>
              <w:t xml:space="preserve">   噪声监测要求一览表</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2212"/>
              <w:gridCol w:w="1406"/>
              <w:gridCol w:w="3019"/>
            </w:tblGrid>
            <w:tr w14:paraId="0272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49" w:type="pct"/>
                  <w:vAlign w:val="center"/>
                </w:tcPr>
                <w:p w14:paraId="35FDA4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监测点位</w:t>
                  </w:r>
                </w:p>
              </w:tc>
              <w:tc>
                <w:tcPr>
                  <w:tcW w:w="1250" w:type="pct"/>
                  <w:vAlign w:val="center"/>
                </w:tcPr>
                <w:p w14:paraId="39A683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监测因子</w:t>
                  </w:r>
                </w:p>
              </w:tc>
              <w:tc>
                <w:tcPr>
                  <w:tcW w:w="794" w:type="pct"/>
                  <w:vAlign w:val="center"/>
                </w:tcPr>
                <w:p w14:paraId="5C5DE3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监测频次</w:t>
                  </w:r>
                </w:p>
              </w:tc>
              <w:tc>
                <w:tcPr>
                  <w:tcW w:w="1706" w:type="pct"/>
                  <w:vAlign w:val="center"/>
                </w:tcPr>
                <w:p w14:paraId="06D428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执行标准</w:t>
                  </w:r>
                </w:p>
              </w:tc>
            </w:tr>
            <w:tr w14:paraId="0731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9" w:type="pct"/>
                  <w:vAlign w:val="center"/>
                </w:tcPr>
                <w:p w14:paraId="305894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厂界东、南、西、北边界</w:t>
                  </w:r>
                </w:p>
              </w:tc>
              <w:tc>
                <w:tcPr>
                  <w:tcW w:w="1250" w:type="pct"/>
                  <w:vAlign w:val="center"/>
                </w:tcPr>
                <w:p w14:paraId="32482595">
                  <w:pPr>
                    <w:pStyle w:val="10"/>
                    <w:jc w:val="center"/>
                    <w:rPr>
                      <w:rFonts w:hint="default" w:ascii="Times New Roman"/>
                      <w:b w:val="0"/>
                      <w:bCs w:val="0"/>
                      <w:color w:val="auto"/>
                      <w:sz w:val="21"/>
                      <w:szCs w:val="21"/>
                      <w:highlight w:val="none"/>
                      <w:vertAlign w:val="baseline"/>
                      <w:lang w:val="en-US" w:eastAsia="zh-CN"/>
                    </w:rPr>
                  </w:pPr>
                  <w:r>
                    <w:rPr>
                      <w:rFonts w:hint="eastAsia"/>
                      <w:color w:val="auto"/>
                      <w:sz w:val="21"/>
                      <w:szCs w:val="21"/>
                      <w:highlight w:val="none"/>
                    </w:rPr>
                    <w:t>昼间、夜间等效声级 Leq(A)</w:t>
                  </w:r>
                </w:p>
              </w:tc>
              <w:tc>
                <w:tcPr>
                  <w:tcW w:w="794" w:type="pct"/>
                  <w:vAlign w:val="center"/>
                </w:tcPr>
                <w:p w14:paraId="7947F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b w:val="0"/>
                      <w:bCs w:val="0"/>
                      <w:color w:val="auto"/>
                      <w:sz w:val="21"/>
                      <w:szCs w:val="21"/>
                      <w:highlight w:val="none"/>
                      <w:vertAlign w:val="baseline"/>
                      <w:lang w:val="en-US" w:eastAsia="zh-CN"/>
                    </w:rPr>
                    <w:t>1次/</w:t>
                  </w:r>
                  <w:r>
                    <w:rPr>
                      <w:rFonts w:hint="eastAsia" w:ascii="Times New Roman"/>
                      <w:b w:val="0"/>
                      <w:bCs w:val="0"/>
                      <w:color w:val="auto"/>
                      <w:sz w:val="21"/>
                      <w:szCs w:val="21"/>
                      <w:highlight w:val="none"/>
                      <w:vertAlign w:val="baseline"/>
                      <w:lang w:eastAsia="zh-CN"/>
                    </w:rPr>
                    <w:t>季度</w:t>
                  </w:r>
                </w:p>
              </w:tc>
              <w:tc>
                <w:tcPr>
                  <w:tcW w:w="1706" w:type="pct"/>
                  <w:vAlign w:val="center"/>
                </w:tcPr>
                <w:p w14:paraId="74B4F5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《工业企业厂界环境噪声排放标准》（GB12348-2008）</w:t>
                  </w:r>
                  <w:r>
                    <w:rPr>
                      <w:rFonts w:hint="eastAsia"/>
                      <w:b w:val="0"/>
                      <w:bCs w:val="0"/>
                      <w:color w:val="auto"/>
                      <w:sz w:val="21"/>
                      <w:szCs w:val="21"/>
                      <w:highlight w:val="none"/>
                      <w:vertAlign w:val="baseline"/>
                      <w:lang w:val="en-US" w:eastAsia="zh-CN"/>
                    </w:rPr>
                    <w:t>2</w:t>
                  </w:r>
                  <w:r>
                    <w:rPr>
                      <w:rFonts w:hint="eastAsia" w:ascii="Times New Roman"/>
                      <w:b w:val="0"/>
                      <w:bCs w:val="0"/>
                      <w:color w:val="auto"/>
                      <w:sz w:val="21"/>
                      <w:szCs w:val="21"/>
                      <w:highlight w:val="none"/>
                      <w:vertAlign w:val="baseline"/>
                      <w:lang w:eastAsia="zh-CN"/>
                    </w:rPr>
                    <w:t>类标准限值</w:t>
                  </w:r>
                </w:p>
              </w:tc>
            </w:tr>
          </w:tbl>
          <w:p w14:paraId="7CB270EB">
            <w:pPr>
              <w:snapToGrid w:val="0"/>
              <w:spacing w:line="360" w:lineRule="auto"/>
              <w:ind w:firstLine="482" w:firstLineChars="200"/>
              <w:rPr>
                <w:rFonts w:ascii="Times New Roman"/>
                <w:b/>
                <w:bCs/>
                <w:color w:val="auto"/>
                <w:sz w:val="24"/>
                <w:szCs w:val="24"/>
                <w:highlight w:val="none"/>
              </w:rPr>
            </w:pPr>
            <w:r>
              <w:rPr>
                <w:rFonts w:hint="eastAsia" w:ascii="Times New Roman"/>
                <w:b/>
                <w:bCs/>
                <w:color w:val="auto"/>
                <w:sz w:val="24"/>
                <w:szCs w:val="24"/>
                <w:highlight w:val="none"/>
                <w:lang w:eastAsia="zh-CN"/>
              </w:rPr>
              <w:t>四、</w:t>
            </w:r>
            <w:r>
              <w:rPr>
                <w:rFonts w:ascii="Times New Roman"/>
                <w:b/>
                <w:bCs/>
                <w:color w:val="auto"/>
                <w:sz w:val="24"/>
                <w:szCs w:val="24"/>
                <w:highlight w:val="none"/>
              </w:rPr>
              <w:t>固体废物</w:t>
            </w:r>
          </w:p>
          <w:p w14:paraId="2B718216">
            <w:pPr>
              <w:snapToGrid w:val="0"/>
              <w:spacing w:line="360" w:lineRule="auto"/>
              <w:ind w:firstLine="482" w:firstLineChars="200"/>
              <w:rPr>
                <w:rFonts w:hint="eastAsia" w:ascii="Times New Roman" w:eastAsia="宋体"/>
                <w:b/>
                <w:bCs/>
                <w:color w:val="auto"/>
                <w:sz w:val="24"/>
                <w:szCs w:val="24"/>
                <w:highlight w:val="none"/>
                <w:lang w:val="en-US" w:eastAsia="zh-CN"/>
              </w:rPr>
            </w:pPr>
            <w:r>
              <w:rPr>
                <w:rFonts w:hint="eastAsia" w:ascii="Times New Roman"/>
                <w:b/>
                <w:bCs/>
                <w:color w:val="auto"/>
                <w:sz w:val="24"/>
                <w:szCs w:val="24"/>
                <w:highlight w:val="none"/>
                <w:lang w:val="en-US" w:eastAsia="zh-CN"/>
              </w:rPr>
              <w:t>1、</w:t>
            </w:r>
            <w:r>
              <w:rPr>
                <w:rFonts w:hint="eastAsia"/>
                <w:b/>
                <w:bCs/>
                <w:color w:val="auto"/>
                <w:sz w:val="24"/>
                <w:highlight w:val="none"/>
              </w:rPr>
              <w:t>污染源源强核算</w:t>
            </w:r>
          </w:p>
          <w:p w14:paraId="49FEB972">
            <w:pPr>
              <w:pStyle w:val="17"/>
              <w:adjustRightInd w:val="0"/>
              <w:snapToGrid w:val="0"/>
              <w:spacing w:after="0" w:line="360" w:lineRule="auto"/>
              <w:ind w:left="0" w:leftChars="0" w:firstLine="480"/>
              <w:rPr>
                <w:rFonts w:hint="eastAsia" w:ascii="Times New Roman" w:hAnsi="Times New Roman" w:cs="Times New Roman"/>
                <w:b/>
                <w:bCs w:val="0"/>
                <w:color w:val="auto"/>
                <w:kern w:val="24"/>
                <w:sz w:val="24"/>
                <w:highlight w:val="none"/>
              </w:rPr>
            </w:pPr>
            <w:r>
              <w:rPr>
                <w:rFonts w:hint="eastAsia"/>
                <w:color w:val="auto"/>
                <w:sz w:val="24"/>
                <w:highlight w:val="none"/>
              </w:rPr>
              <w:t>项目运营期的固体废物主要包括</w:t>
            </w:r>
            <w:r>
              <w:rPr>
                <w:rFonts w:hint="eastAsia"/>
                <w:color w:val="auto"/>
                <w:sz w:val="24"/>
                <w:highlight w:val="none"/>
                <w:lang w:val="en-US" w:eastAsia="zh-CN"/>
              </w:rPr>
              <w:t>砂滤污泥、固化渣</w:t>
            </w:r>
            <w:r>
              <w:rPr>
                <w:rFonts w:hint="eastAsia"/>
                <w:color w:val="auto"/>
                <w:sz w:val="24"/>
                <w:highlight w:val="none"/>
              </w:rPr>
              <w:t>、</w:t>
            </w:r>
            <w:r>
              <w:rPr>
                <w:rFonts w:hint="eastAsia"/>
                <w:color w:val="auto"/>
                <w:sz w:val="24"/>
                <w:highlight w:val="none"/>
                <w:lang w:val="en-US" w:eastAsia="zh-CN"/>
              </w:rPr>
              <w:t>消泡剂及阻垢剂包装桶</w:t>
            </w:r>
            <w:r>
              <w:rPr>
                <w:rFonts w:hint="eastAsia"/>
                <w:color w:val="auto"/>
                <w:sz w:val="24"/>
                <w:highlight w:val="none"/>
                <w:lang w:eastAsia="zh-CN"/>
              </w:rPr>
              <w:t>、</w:t>
            </w:r>
            <w:r>
              <w:rPr>
                <w:rFonts w:hint="eastAsia"/>
                <w:color w:val="auto"/>
                <w:sz w:val="24"/>
                <w:highlight w:val="none"/>
                <w:lang w:val="en-US" w:eastAsia="zh-CN"/>
              </w:rPr>
              <w:t>更换的反渗透膜、废离子交换树脂、在线监测废液、</w:t>
            </w:r>
            <w:r>
              <w:rPr>
                <w:rFonts w:hint="eastAsia"/>
                <w:color w:val="auto"/>
                <w:sz w:val="24"/>
                <w:highlight w:val="none"/>
              </w:rPr>
              <w:t>生活垃圾。</w:t>
            </w:r>
            <w:r>
              <w:rPr>
                <w:bCs/>
                <w:color w:val="auto"/>
                <w:kern w:val="24"/>
                <w:sz w:val="24"/>
                <w:highlight w:val="none"/>
              </w:rPr>
              <w:t>项目</w:t>
            </w:r>
            <w:r>
              <w:rPr>
                <w:rFonts w:hint="eastAsia"/>
                <w:bCs/>
                <w:color w:val="auto"/>
                <w:kern w:val="24"/>
                <w:sz w:val="24"/>
                <w:highlight w:val="none"/>
              </w:rPr>
              <w:t>建成后全厂</w:t>
            </w:r>
            <w:r>
              <w:rPr>
                <w:bCs/>
                <w:color w:val="auto"/>
                <w:kern w:val="24"/>
                <w:sz w:val="24"/>
                <w:highlight w:val="none"/>
              </w:rPr>
              <w:t>固废类别及产生、处置情况详见表</w:t>
            </w:r>
            <w:r>
              <w:rPr>
                <w:rFonts w:hint="eastAsia"/>
                <w:bCs/>
                <w:color w:val="auto"/>
                <w:kern w:val="24"/>
                <w:sz w:val="24"/>
                <w:highlight w:val="none"/>
              </w:rPr>
              <w:t>4-</w:t>
            </w:r>
            <w:r>
              <w:rPr>
                <w:rFonts w:hint="eastAsia"/>
                <w:bCs/>
                <w:color w:val="auto"/>
                <w:kern w:val="24"/>
                <w:sz w:val="24"/>
                <w:highlight w:val="none"/>
                <w:lang w:val="en-US" w:eastAsia="zh-CN"/>
              </w:rPr>
              <w:t>23</w:t>
            </w:r>
            <w:r>
              <w:rPr>
                <w:bCs/>
                <w:color w:val="auto"/>
                <w:kern w:val="24"/>
                <w:sz w:val="24"/>
                <w:highlight w:val="none"/>
              </w:rPr>
              <w:t>。</w:t>
            </w:r>
          </w:p>
          <w:p w14:paraId="55EBEC47">
            <w:pPr>
              <w:adjustRightInd w:val="0"/>
              <w:snapToGrid w:val="0"/>
              <w:spacing w:line="360" w:lineRule="auto"/>
              <w:jc w:val="center"/>
              <w:rPr>
                <w:rFonts w:hint="default" w:ascii="Times New Roman" w:hAnsi="Times New Roman" w:cs="Times New Roman"/>
                <w:b/>
                <w:color w:val="auto"/>
                <w:kern w:val="24"/>
                <w:sz w:val="24"/>
                <w:szCs w:val="24"/>
                <w:highlight w:val="none"/>
              </w:rPr>
            </w:pPr>
          </w:p>
          <w:p w14:paraId="3563D3BA">
            <w:pPr>
              <w:adjustRightInd w:val="0"/>
              <w:snapToGrid w:val="0"/>
              <w:spacing w:line="360" w:lineRule="auto"/>
              <w:jc w:val="center"/>
              <w:rPr>
                <w:rFonts w:hint="default" w:ascii="Times New Roman" w:hAnsi="Times New Roman" w:cs="Times New Roman"/>
                <w:b/>
                <w:color w:val="auto"/>
                <w:kern w:val="24"/>
                <w:sz w:val="24"/>
                <w:szCs w:val="24"/>
                <w:highlight w:val="none"/>
              </w:rPr>
            </w:pPr>
          </w:p>
          <w:p w14:paraId="62969F57">
            <w:pPr>
              <w:adjustRightInd w:val="0"/>
              <w:snapToGrid w:val="0"/>
              <w:spacing w:line="360" w:lineRule="auto"/>
              <w:jc w:val="center"/>
              <w:rPr>
                <w:rFonts w:hint="default" w:ascii="Times New Roman" w:hAnsi="Times New Roman" w:cs="Times New Roman"/>
                <w:b/>
                <w:color w:val="auto"/>
                <w:kern w:val="24"/>
                <w:sz w:val="24"/>
                <w:szCs w:val="24"/>
                <w:highlight w:val="none"/>
              </w:rPr>
            </w:pPr>
          </w:p>
          <w:p w14:paraId="35AF2F76">
            <w:pPr>
              <w:adjustRightInd w:val="0"/>
              <w:snapToGrid w:val="0"/>
              <w:spacing w:line="360" w:lineRule="auto"/>
              <w:jc w:val="center"/>
              <w:rPr>
                <w:rFonts w:hint="default" w:ascii="Times New Roman" w:hAnsi="Times New Roman" w:cs="Times New Roman"/>
                <w:b/>
                <w:color w:val="auto"/>
                <w:kern w:val="24"/>
                <w:sz w:val="24"/>
                <w:szCs w:val="24"/>
                <w:highlight w:val="none"/>
              </w:rPr>
            </w:pPr>
            <w:r>
              <w:rPr>
                <w:rFonts w:hint="default" w:ascii="Times New Roman" w:hAnsi="Times New Roman" w:cs="Times New Roman"/>
                <w:b/>
                <w:color w:val="auto"/>
                <w:kern w:val="24"/>
                <w:sz w:val="24"/>
                <w:szCs w:val="24"/>
                <w:highlight w:val="none"/>
              </w:rPr>
              <w:t>表4-</w:t>
            </w:r>
            <w:r>
              <w:rPr>
                <w:rFonts w:hint="eastAsia" w:cs="Times New Roman"/>
                <w:b/>
                <w:color w:val="auto"/>
                <w:kern w:val="24"/>
                <w:sz w:val="24"/>
                <w:szCs w:val="24"/>
                <w:highlight w:val="none"/>
                <w:lang w:val="en-US" w:eastAsia="zh-CN"/>
              </w:rPr>
              <w:t xml:space="preserve">23   </w:t>
            </w:r>
            <w:r>
              <w:rPr>
                <w:rFonts w:hint="default" w:ascii="Times New Roman" w:hAnsi="Times New Roman" w:cs="Times New Roman"/>
                <w:b/>
                <w:color w:val="auto"/>
                <w:kern w:val="24"/>
                <w:sz w:val="24"/>
                <w:szCs w:val="24"/>
                <w:highlight w:val="none"/>
              </w:rPr>
              <w:t>项目建成后全厂固体废物一览表</w:t>
            </w:r>
          </w:p>
          <w:tbl>
            <w:tblPr>
              <w:tblStyle w:val="31"/>
              <w:tblW w:w="49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67"/>
              <w:gridCol w:w="1476"/>
              <w:gridCol w:w="1080"/>
              <w:gridCol w:w="709"/>
              <w:gridCol w:w="968"/>
              <w:gridCol w:w="886"/>
              <w:gridCol w:w="3166"/>
            </w:tblGrid>
            <w:tr w14:paraId="5BFB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53" w:hRule="atLeast"/>
              </w:trPr>
              <w:tc>
                <w:tcPr>
                  <w:tcW w:w="467" w:type="dxa"/>
                  <w:vAlign w:val="center"/>
                </w:tcPr>
                <w:p w14:paraId="42E816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序号</w:t>
                  </w:r>
                </w:p>
              </w:tc>
              <w:tc>
                <w:tcPr>
                  <w:tcW w:w="1476" w:type="dxa"/>
                  <w:vAlign w:val="center"/>
                </w:tcPr>
                <w:p w14:paraId="3C3EE3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固废名称</w:t>
                  </w:r>
                </w:p>
              </w:tc>
              <w:tc>
                <w:tcPr>
                  <w:tcW w:w="1080" w:type="dxa"/>
                  <w:vAlign w:val="center"/>
                </w:tcPr>
                <w:p w14:paraId="7245ED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产生环节</w:t>
                  </w:r>
                </w:p>
              </w:tc>
              <w:tc>
                <w:tcPr>
                  <w:tcW w:w="709" w:type="dxa"/>
                  <w:vAlign w:val="center"/>
                </w:tcPr>
                <w:p w14:paraId="6F9057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固废属性</w:t>
                  </w:r>
                </w:p>
              </w:tc>
              <w:tc>
                <w:tcPr>
                  <w:tcW w:w="968" w:type="dxa"/>
                  <w:vAlign w:val="center"/>
                </w:tcPr>
                <w:p w14:paraId="786183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主要成分</w:t>
                  </w:r>
                </w:p>
              </w:tc>
              <w:tc>
                <w:tcPr>
                  <w:tcW w:w="886" w:type="dxa"/>
                  <w:vAlign w:val="center"/>
                </w:tcPr>
                <w:p w14:paraId="5C407D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Cs w:val="21"/>
                      <w:highlight w:val="none"/>
                      <w:lang w:eastAsia="zh-CN"/>
                    </w:rPr>
                  </w:pPr>
                  <w:r>
                    <w:rPr>
                      <w:rFonts w:hint="default" w:ascii="Times New Roman" w:hAnsi="Times New Roman" w:cs="Times New Roman"/>
                      <w:color w:val="auto"/>
                      <w:kern w:val="24"/>
                      <w:szCs w:val="21"/>
                      <w:highlight w:val="none"/>
                    </w:rPr>
                    <w:t>产生量</w:t>
                  </w:r>
                  <w:r>
                    <w:rPr>
                      <w:rFonts w:hint="eastAsia" w:ascii="Times New Roman" w:hAnsi="Times New Roman" w:cs="Times New Roman"/>
                      <w:color w:val="auto"/>
                      <w:kern w:val="24"/>
                      <w:szCs w:val="21"/>
                      <w:highlight w:val="none"/>
                      <w:lang w:eastAsia="zh-CN"/>
                    </w:rPr>
                    <w:t>（</w:t>
                  </w:r>
                  <w:r>
                    <w:rPr>
                      <w:rFonts w:hint="eastAsia" w:ascii="Times New Roman" w:hAnsi="Times New Roman" w:cs="Times New Roman"/>
                      <w:color w:val="auto"/>
                      <w:kern w:val="24"/>
                      <w:szCs w:val="21"/>
                      <w:highlight w:val="none"/>
                      <w:lang w:val="en-US" w:eastAsia="zh-CN"/>
                    </w:rPr>
                    <w:t>t/a</w:t>
                  </w:r>
                  <w:r>
                    <w:rPr>
                      <w:rFonts w:hint="eastAsia" w:ascii="Times New Roman" w:hAnsi="Times New Roman" w:cs="Times New Roman"/>
                      <w:color w:val="auto"/>
                      <w:kern w:val="24"/>
                      <w:szCs w:val="21"/>
                      <w:highlight w:val="none"/>
                      <w:lang w:eastAsia="zh-CN"/>
                    </w:rPr>
                    <w:t>）</w:t>
                  </w:r>
                </w:p>
              </w:tc>
              <w:tc>
                <w:tcPr>
                  <w:tcW w:w="3166" w:type="dxa"/>
                  <w:vAlign w:val="center"/>
                </w:tcPr>
                <w:p w14:paraId="5822B6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拟采取的处置措施</w:t>
                  </w:r>
                </w:p>
              </w:tc>
            </w:tr>
            <w:tr w14:paraId="7C6D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53" w:hRule="atLeast"/>
              </w:trPr>
              <w:tc>
                <w:tcPr>
                  <w:tcW w:w="467" w:type="dxa"/>
                  <w:vAlign w:val="center"/>
                </w:tcPr>
                <w:p w14:paraId="34DE0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Cs w:val="21"/>
                      <w:highlight w:val="none"/>
                      <w:lang w:val="en-US" w:eastAsia="zh-CN"/>
                    </w:rPr>
                  </w:pPr>
                  <w:r>
                    <w:rPr>
                      <w:rFonts w:hint="eastAsia" w:cs="Times New Roman"/>
                      <w:color w:val="auto"/>
                      <w:kern w:val="24"/>
                      <w:szCs w:val="21"/>
                      <w:highlight w:val="none"/>
                      <w:lang w:val="en-US" w:eastAsia="zh-CN"/>
                    </w:rPr>
                    <w:t>1</w:t>
                  </w:r>
                </w:p>
              </w:tc>
              <w:tc>
                <w:tcPr>
                  <w:tcW w:w="1476" w:type="dxa"/>
                  <w:shd w:val="clear" w:color="auto" w:fill="auto"/>
                  <w:vAlign w:val="center"/>
                </w:tcPr>
                <w:p w14:paraId="5EC1E1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Cs w:val="21"/>
                      <w:highlight w:val="none"/>
                      <w:lang w:val="en-US" w:eastAsia="zh-CN"/>
                    </w:rPr>
                    <w:t>砂滤泥砂</w:t>
                  </w:r>
                </w:p>
              </w:tc>
              <w:tc>
                <w:tcPr>
                  <w:tcW w:w="1080" w:type="dxa"/>
                  <w:shd w:val="clear" w:color="auto" w:fill="auto"/>
                  <w:vAlign w:val="center"/>
                </w:tcPr>
                <w:p w14:paraId="1894C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砂滤器</w:t>
                  </w:r>
                </w:p>
              </w:tc>
              <w:tc>
                <w:tcPr>
                  <w:tcW w:w="709" w:type="dxa"/>
                  <w:shd w:val="clear" w:color="auto" w:fill="auto"/>
                  <w:vAlign w:val="center"/>
                </w:tcPr>
                <w:p w14:paraId="2FE7D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cs="Times New Roman"/>
                      <w:color w:val="auto"/>
                      <w:kern w:val="24"/>
                      <w:szCs w:val="21"/>
                      <w:highlight w:val="none"/>
                    </w:rPr>
                    <w:t>一般固废</w:t>
                  </w:r>
                </w:p>
              </w:tc>
              <w:tc>
                <w:tcPr>
                  <w:tcW w:w="968" w:type="dxa"/>
                  <w:shd w:val="clear" w:color="auto" w:fill="auto"/>
                  <w:vAlign w:val="center"/>
                </w:tcPr>
                <w:p w14:paraId="030401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泥砂</w:t>
                  </w:r>
                </w:p>
              </w:tc>
              <w:tc>
                <w:tcPr>
                  <w:tcW w:w="886" w:type="dxa"/>
                  <w:shd w:val="clear" w:color="auto" w:fill="auto"/>
                  <w:vAlign w:val="center"/>
                </w:tcPr>
                <w:p w14:paraId="27A820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18.25</w:t>
                  </w:r>
                </w:p>
              </w:tc>
              <w:tc>
                <w:tcPr>
                  <w:tcW w:w="3166" w:type="dxa"/>
                  <w:shd w:val="clear" w:color="auto" w:fill="auto"/>
                  <w:vAlign w:val="center"/>
                </w:tcPr>
                <w:p w14:paraId="03EEDC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目前运至二期填埋区填埋，二期填埋区封场后运至澄江市垃圾焚烧发电厂处理</w:t>
                  </w:r>
                </w:p>
              </w:tc>
            </w:tr>
            <w:tr w14:paraId="0FD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53" w:hRule="atLeast"/>
              </w:trPr>
              <w:tc>
                <w:tcPr>
                  <w:tcW w:w="467" w:type="dxa"/>
                  <w:shd w:val="clear" w:color="auto" w:fill="auto"/>
                  <w:vAlign w:val="center"/>
                </w:tcPr>
                <w:p w14:paraId="444BC3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Cs w:val="21"/>
                      <w:highlight w:val="none"/>
                      <w:lang w:val="en-US" w:eastAsia="zh-CN"/>
                    </w:rPr>
                    <w:t>2</w:t>
                  </w:r>
                </w:p>
              </w:tc>
              <w:tc>
                <w:tcPr>
                  <w:tcW w:w="1476" w:type="dxa"/>
                  <w:shd w:val="clear" w:color="auto" w:fill="auto"/>
                  <w:vAlign w:val="center"/>
                </w:tcPr>
                <w:p w14:paraId="25A252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olor w:val="auto"/>
                      <w:sz w:val="21"/>
                      <w:szCs w:val="21"/>
                      <w:highlight w:val="none"/>
                      <w:lang w:val="en-US" w:eastAsia="zh-CN"/>
                    </w:rPr>
                    <w:t>固化渣</w:t>
                  </w:r>
                </w:p>
              </w:tc>
              <w:tc>
                <w:tcPr>
                  <w:tcW w:w="1080" w:type="dxa"/>
                  <w:shd w:val="clear" w:color="auto" w:fill="auto"/>
                  <w:vAlign w:val="center"/>
                </w:tcPr>
                <w:p w14:paraId="036574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Cs w:val="21"/>
                      <w:highlight w:val="none"/>
                      <w:lang w:val="en-US" w:eastAsia="zh-CN"/>
                    </w:rPr>
                    <w:t>固化系统</w:t>
                  </w:r>
                </w:p>
              </w:tc>
              <w:tc>
                <w:tcPr>
                  <w:tcW w:w="709" w:type="dxa"/>
                  <w:shd w:val="clear" w:color="auto" w:fill="auto"/>
                  <w:vAlign w:val="center"/>
                </w:tcPr>
                <w:p w14:paraId="7FE7C2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olor w:val="auto"/>
                      <w:kern w:val="24"/>
                      <w:szCs w:val="21"/>
                      <w:highlight w:val="none"/>
                      <w:lang w:val="en-US" w:eastAsia="zh-CN"/>
                    </w:rPr>
                    <w:t>环评阶段</w:t>
                  </w:r>
                  <w:r>
                    <w:rPr>
                      <w:rFonts w:hint="eastAsia"/>
                      <w:color w:val="auto"/>
                      <w:kern w:val="24"/>
                      <w:szCs w:val="21"/>
                      <w:highlight w:val="none"/>
                    </w:rPr>
                    <w:t>暂按危险废物进行管理</w:t>
                  </w:r>
                </w:p>
              </w:tc>
              <w:tc>
                <w:tcPr>
                  <w:tcW w:w="968" w:type="dxa"/>
                  <w:shd w:val="clear" w:color="auto" w:fill="auto"/>
                  <w:vAlign w:val="center"/>
                </w:tcPr>
                <w:p w14:paraId="1557FD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Cs w:val="21"/>
                      <w:highlight w:val="none"/>
                      <w:lang w:val="en-US" w:eastAsia="zh-CN"/>
                    </w:rPr>
                    <w:t>水泥、粉煤灰、蒸发母液</w:t>
                  </w:r>
                </w:p>
              </w:tc>
              <w:tc>
                <w:tcPr>
                  <w:tcW w:w="886" w:type="dxa"/>
                  <w:shd w:val="clear" w:color="auto" w:fill="auto"/>
                  <w:vAlign w:val="center"/>
                </w:tcPr>
                <w:p w14:paraId="5A071A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4562.5</w:t>
                  </w:r>
                </w:p>
              </w:tc>
              <w:tc>
                <w:tcPr>
                  <w:tcW w:w="3166" w:type="dxa"/>
                  <w:shd w:val="clear" w:color="auto" w:fill="auto"/>
                  <w:vAlign w:val="center"/>
                </w:tcPr>
                <w:p w14:paraId="0D3F9B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color w:val="auto"/>
                      <w:kern w:val="24"/>
                      <w:szCs w:val="21"/>
                      <w:highlight w:val="none"/>
                    </w:rPr>
                    <w:t>待全量化处理设施运行后对固化渣进行固废属性鉴定</w:t>
                  </w:r>
                  <w:r>
                    <w:rPr>
                      <w:rFonts w:hint="eastAsia"/>
                      <w:color w:val="auto"/>
                      <w:kern w:val="24"/>
                      <w:szCs w:val="21"/>
                      <w:highlight w:val="none"/>
                    </w:rPr>
                    <w:t>。</w:t>
                  </w:r>
                  <w:r>
                    <w:rPr>
                      <w:color w:val="auto"/>
                      <w:kern w:val="24"/>
                      <w:szCs w:val="21"/>
                      <w:highlight w:val="none"/>
                    </w:rPr>
                    <w:t>经鉴定若为一般固体废物，满足《一般工业固体废物贮存和填埋污染控制标准》（GB18599-2020）</w:t>
                  </w:r>
                  <w:r>
                    <w:rPr>
                      <w:rFonts w:hint="eastAsia"/>
                      <w:color w:val="auto"/>
                      <w:kern w:val="24"/>
                      <w:szCs w:val="21"/>
                      <w:highlight w:val="none"/>
                      <w:lang w:eastAsia="zh-CN"/>
                    </w:rPr>
                    <w:t>、《</w:t>
                  </w:r>
                  <w:r>
                    <w:rPr>
                      <w:rFonts w:hint="eastAsia"/>
                      <w:color w:val="auto"/>
                      <w:kern w:val="24"/>
                      <w:szCs w:val="21"/>
                      <w:highlight w:val="none"/>
                      <w:lang w:val="en-US" w:eastAsia="zh-CN"/>
                    </w:rPr>
                    <w:t>生活垃圾填埋场污染控制标准</w:t>
                  </w:r>
                  <w:r>
                    <w:rPr>
                      <w:rFonts w:hint="eastAsia"/>
                      <w:color w:val="auto"/>
                      <w:kern w:val="24"/>
                      <w:szCs w:val="21"/>
                      <w:highlight w:val="none"/>
                      <w:lang w:eastAsia="zh-CN"/>
                    </w:rPr>
                    <w:t>》（</w:t>
                  </w:r>
                  <w:r>
                    <w:rPr>
                      <w:rFonts w:hint="eastAsia"/>
                      <w:color w:val="auto"/>
                      <w:kern w:val="24"/>
                      <w:szCs w:val="21"/>
                      <w:highlight w:val="none"/>
                      <w:lang w:val="en-US" w:eastAsia="zh-CN"/>
                    </w:rPr>
                    <w:t>GB16889-2024</w:t>
                  </w:r>
                  <w:r>
                    <w:rPr>
                      <w:rFonts w:hint="eastAsia"/>
                      <w:color w:val="auto"/>
                      <w:kern w:val="24"/>
                      <w:szCs w:val="21"/>
                      <w:highlight w:val="none"/>
                      <w:lang w:eastAsia="zh-CN"/>
                    </w:rPr>
                    <w:t>）</w:t>
                  </w:r>
                  <w:r>
                    <w:rPr>
                      <w:color w:val="auto"/>
                      <w:kern w:val="24"/>
                      <w:szCs w:val="21"/>
                      <w:highlight w:val="none"/>
                    </w:rPr>
                    <w:t>中填埋入场标准后进行填埋处置；若鉴定为危险废物则暂存于厂区固化渣暂存间内，及时委托有资质的单位进行处置。</w:t>
                  </w:r>
                </w:p>
              </w:tc>
            </w:tr>
            <w:tr w14:paraId="0286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5" w:hRule="atLeast"/>
              </w:trPr>
              <w:tc>
                <w:tcPr>
                  <w:tcW w:w="467" w:type="dxa"/>
                  <w:vAlign w:val="center"/>
                </w:tcPr>
                <w:p w14:paraId="34C8E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Cs w:val="21"/>
                      <w:highlight w:val="none"/>
                      <w:lang w:val="en-US" w:eastAsia="zh-CN"/>
                    </w:rPr>
                    <w:t>3</w:t>
                  </w:r>
                </w:p>
              </w:tc>
              <w:tc>
                <w:tcPr>
                  <w:tcW w:w="1476" w:type="dxa"/>
                  <w:shd w:val="clear" w:color="auto" w:fill="auto"/>
                  <w:vAlign w:val="center"/>
                </w:tcPr>
                <w:p w14:paraId="4C28A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olor w:val="auto"/>
                      <w:sz w:val="21"/>
                      <w:szCs w:val="21"/>
                      <w:highlight w:val="none"/>
                      <w:lang w:val="en-US" w:eastAsia="zh-CN"/>
                    </w:rPr>
                    <w:t>消泡剂及阻垢剂包装桶</w:t>
                  </w:r>
                </w:p>
              </w:tc>
              <w:tc>
                <w:tcPr>
                  <w:tcW w:w="1080" w:type="dxa"/>
                  <w:shd w:val="clear" w:color="auto" w:fill="auto"/>
                  <w:vAlign w:val="center"/>
                </w:tcPr>
                <w:p w14:paraId="73D117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污水处理</w:t>
                  </w:r>
                </w:p>
              </w:tc>
              <w:tc>
                <w:tcPr>
                  <w:tcW w:w="709" w:type="dxa"/>
                  <w:shd w:val="clear" w:color="auto" w:fill="auto"/>
                  <w:vAlign w:val="center"/>
                </w:tcPr>
                <w:p w14:paraId="5F2630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eastAsia="zh-CN"/>
                    </w:rPr>
                    <w:t>一般固废</w:t>
                  </w:r>
                </w:p>
              </w:tc>
              <w:tc>
                <w:tcPr>
                  <w:tcW w:w="968" w:type="dxa"/>
                  <w:shd w:val="clear" w:color="auto" w:fill="auto"/>
                  <w:vAlign w:val="center"/>
                </w:tcPr>
                <w:p w14:paraId="638632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包装桶</w:t>
                  </w:r>
                </w:p>
              </w:tc>
              <w:tc>
                <w:tcPr>
                  <w:tcW w:w="886" w:type="dxa"/>
                  <w:shd w:val="clear" w:color="auto" w:fill="auto"/>
                  <w:vAlign w:val="center"/>
                </w:tcPr>
                <w:p w14:paraId="0BD1F6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0.3</w:t>
                  </w:r>
                </w:p>
              </w:tc>
              <w:tc>
                <w:tcPr>
                  <w:tcW w:w="3166" w:type="dxa"/>
                  <w:shd w:val="clear" w:color="auto" w:fill="auto"/>
                  <w:vAlign w:val="center"/>
                </w:tcPr>
                <w:p w14:paraId="5DC8D6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由</w:t>
                  </w:r>
                  <w:r>
                    <w:rPr>
                      <w:rFonts w:hint="eastAsia" w:cs="Times New Roman"/>
                      <w:color w:val="auto"/>
                      <w:sz w:val="21"/>
                      <w:szCs w:val="21"/>
                      <w:highlight w:val="none"/>
                      <w:lang w:val="en-US" w:eastAsia="zh-CN"/>
                    </w:rPr>
                    <w:t>供货厂家</w:t>
                  </w:r>
                  <w:r>
                    <w:rPr>
                      <w:rFonts w:hint="default" w:ascii="Times New Roman" w:hAnsi="Times New Roman" w:eastAsia="宋体" w:cs="Times New Roman"/>
                      <w:color w:val="auto"/>
                      <w:sz w:val="21"/>
                      <w:szCs w:val="21"/>
                      <w:highlight w:val="none"/>
                      <w:lang w:val="en-US" w:eastAsia="zh-CN"/>
                    </w:rPr>
                    <w:t>回收处置</w:t>
                  </w:r>
                </w:p>
              </w:tc>
            </w:tr>
            <w:tr w14:paraId="73AE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69" w:hRule="atLeast"/>
              </w:trPr>
              <w:tc>
                <w:tcPr>
                  <w:tcW w:w="467" w:type="dxa"/>
                  <w:vAlign w:val="center"/>
                </w:tcPr>
                <w:p w14:paraId="04B569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Cs w:val="21"/>
                      <w:highlight w:val="none"/>
                      <w:lang w:val="en-US" w:eastAsia="zh-CN"/>
                    </w:rPr>
                    <w:t>4</w:t>
                  </w:r>
                </w:p>
              </w:tc>
              <w:tc>
                <w:tcPr>
                  <w:tcW w:w="1476" w:type="dxa"/>
                  <w:vAlign w:val="center"/>
                </w:tcPr>
                <w:p w14:paraId="0FAE17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更换的反渗透膜</w:t>
                  </w:r>
                </w:p>
              </w:tc>
              <w:tc>
                <w:tcPr>
                  <w:tcW w:w="1080" w:type="dxa"/>
                  <w:vAlign w:val="center"/>
                </w:tcPr>
                <w:p w14:paraId="5D9737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两级DTRO系统</w:t>
                  </w:r>
                </w:p>
              </w:tc>
              <w:tc>
                <w:tcPr>
                  <w:tcW w:w="709" w:type="dxa"/>
                  <w:vAlign w:val="center"/>
                </w:tcPr>
                <w:p w14:paraId="2EEBEE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一般固废</w:t>
                  </w:r>
                </w:p>
              </w:tc>
              <w:tc>
                <w:tcPr>
                  <w:tcW w:w="968" w:type="dxa"/>
                  <w:vAlign w:val="center"/>
                </w:tcPr>
                <w:p w14:paraId="1F2A4B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反渗透膜</w:t>
                  </w:r>
                </w:p>
              </w:tc>
              <w:tc>
                <w:tcPr>
                  <w:tcW w:w="886" w:type="dxa"/>
                  <w:vAlign w:val="center"/>
                </w:tcPr>
                <w:p w14:paraId="12D987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0.5</w:t>
                  </w:r>
                </w:p>
              </w:tc>
              <w:tc>
                <w:tcPr>
                  <w:tcW w:w="3166" w:type="dxa"/>
                  <w:vAlign w:val="center"/>
                </w:tcPr>
                <w:p w14:paraId="59083F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由设备厂家更换带走</w:t>
                  </w:r>
                </w:p>
              </w:tc>
            </w:tr>
            <w:tr w14:paraId="39F9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69" w:hRule="atLeast"/>
              </w:trPr>
              <w:tc>
                <w:tcPr>
                  <w:tcW w:w="467" w:type="dxa"/>
                  <w:vAlign w:val="center"/>
                </w:tcPr>
                <w:p w14:paraId="25497D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4"/>
                      <w:szCs w:val="21"/>
                      <w:highlight w:val="none"/>
                      <w:lang w:val="en-US" w:eastAsia="zh-CN"/>
                    </w:rPr>
                  </w:pPr>
                  <w:r>
                    <w:rPr>
                      <w:rFonts w:hint="eastAsia" w:cs="Times New Roman"/>
                      <w:color w:val="auto"/>
                      <w:kern w:val="24"/>
                      <w:szCs w:val="21"/>
                      <w:highlight w:val="none"/>
                      <w:lang w:val="en-US" w:eastAsia="zh-CN"/>
                    </w:rPr>
                    <w:t>5</w:t>
                  </w:r>
                </w:p>
              </w:tc>
              <w:tc>
                <w:tcPr>
                  <w:tcW w:w="1476" w:type="dxa"/>
                  <w:vAlign w:val="center"/>
                </w:tcPr>
                <w:p w14:paraId="78729A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更换的离子交换树脂</w:t>
                  </w:r>
                </w:p>
              </w:tc>
              <w:tc>
                <w:tcPr>
                  <w:tcW w:w="1080" w:type="dxa"/>
                  <w:vAlign w:val="center"/>
                </w:tcPr>
                <w:p w14:paraId="0CE1EB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离子交换系统</w:t>
                  </w:r>
                </w:p>
              </w:tc>
              <w:tc>
                <w:tcPr>
                  <w:tcW w:w="709" w:type="dxa"/>
                  <w:vAlign w:val="center"/>
                </w:tcPr>
                <w:p w14:paraId="01145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一般固废</w:t>
                  </w:r>
                </w:p>
              </w:tc>
              <w:tc>
                <w:tcPr>
                  <w:tcW w:w="968" w:type="dxa"/>
                  <w:vAlign w:val="center"/>
                </w:tcPr>
                <w:p w14:paraId="6CBB78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废树脂</w:t>
                  </w:r>
                </w:p>
              </w:tc>
              <w:tc>
                <w:tcPr>
                  <w:tcW w:w="886" w:type="dxa"/>
                  <w:vAlign w:val="center"/>
                </w:tcPr>
                <w:p w14:paraId="506B9B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0.5</w:t>
                  </w:r>
                </w:p>
              </w:tc>
              <w:tc>
                <w:tcPr>
                  <w:tcW w:w="3166" w:type="dxa"/>
                  <w:vAlign w:val="center"/>
                </w:tcPr>
                <w:p w14:paraId="2FDE19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由设备厂家更换带走</w:t>
                  </w:r>
                </w:p>
              </w:tc>
            </w:tr>
            <w:tr w14:paraId="195F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69" w:hRule="atLeast"/>
              </w:trPr>
              <w:tc>
                <w:tcPr>
                  <w:tcW w:w="467" w:type="dxa"/>
                  <w:vAlign w:val="center"/>
                </w:tcPr>
                <w:p w14:paraId="28809E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Cs w:val="21"/>
                      <w:highlight w:val="none"/>
                      <w:lang w:val="en-US" w:eastAsia="zh-CN"/>
                    </w:rPr>
                    <w:t>6</w:t>
                  </w:r>
                </w:p>
              </w:tc>
              <w:tc>
                <w:tcPr>
                  <w:tcW w:w="1476" w:type="dxa"/>
                  <w:shd w:val="clear" w:color="auto" w:fill="auto"/>
                  <w:vAlign w:val="center"/>
                </w:tcPr>
                <w:p w14:paraId="49F19F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在线监测废液</w:t>
                  </w:r>
                </w:p>
              </w:tc>
              <w:tc>
                <w:tcPr>
                  <w:tcW w:w="1080" w:type="dxa"/>
                  <w:shd w:val="clear" w:color="auto" w:fill="auto"/>
                  <w:vAlign w:val="center"/>
                </w:tcPr>
                <w:p w14:paraId="2D9FF3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在线监测室</w:t>
                  </w:r>
                </w:p>
              </w:tc>
              <w:tc>
                <w:tcPr>
                  <w:tcW w:w="709" w:type="dxa"/>
                  <w:shd w:val="clear" w:color="auto" w:fill="auto"/>
                  <w:vAlign w:val="center"/>
                </w:tcPr>
                <w:p w14:paraId="53B6EA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危险固废</w:t>
                  </w:r>
                </w:p>
              </w:tc>
              <w:tc>
                <w:tcPr>
                  <w:tcW w:w="968" w:type="dxa"/>
                  <w:shd w:val="clear" w:color="auto" w:fill="auto"/>
                  <w:vAlign w:val="center"/>
                </w:tcPr>
                <w:p w14:paraId="7EB747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化验废液</w:t>
                  </w:r>
                </w:p>
              </w:tc>
              <w:tc>
                <w:tcPr>
                  <w:tcW w:w="886" w:type="dxa"/>
                  <w:shd w:val="clear" w:color="auto" w:fill="auto"/>
                  <w:vAlign w:val="center"/>
                </w:tcPr>
                <w:p w14:paraId="6F8ED8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0.05</w:t>
                  </w:r>
                </w:p>
              </w:tc>
              <w:tc>
                <w:tcPr>
                  <w:tcW w:w="3166" w:type="dxa"/>
                  <w:shd w:val="clear" w:color="auto" w:fill="auto"/>
                  <w:vAlign w:val="center"/>
                </w:tcPr>
                <w:p w14:paraId="608ED8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lang w:val="en-US" w:eastAsia="zh-CN" w:bidi="ar-SA"/>
                    </w:rPr>
                    <w:t>暂存于危废暂存间，委托有资质单位处置</w:t>
                  </w:r>
                </w:p>
              </w:tc>
            </w:tr>
            <w:tr w14:paraId="7865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69" w:hRule="atLeast"/>
              </w:trPr>
              <w:tc>
                <w:tcPr>
                  <w:tcW w:w="467" w:type="dxa"/>
                  <w:vAlign w:val="center"/>
                </w:tcPr>
                <w:p w14:paraId="16BB0E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4"/>
                      <w:szCs w:val="21"/>
                      <w:highlight w:val="none"/>
                      <w:lang w:val="en-US" w:eastAsia="zh-CN"/>
                    </w:rPr>
                  </w:pPr>
                  <w:r>
                    <w:rPr>
                      <w:rFonts w:hint="eastAsia" w:cs="Times New Roman"/>
                      <w:color w:val="auto"/>
                      <w:kern w:val="24"/>
                      <w:szCs w:val="21"/>
                      <w:highlight w:val="none"/>
                      <w:lang w:val="en-US" w:eastAsia="zh-CN"/>
                    </w:rPr>
                    <w:t>7</w:t>
                  </w:r>
                </w:p>
              </w:tc>
              <w:tc>
                <w:tcPr>
                  <w:tcW w:w="1476" w:type="dxa"/>
                  <w:shd w:val="clear" w:color="auto" w:fill="auto"/>
                  <w:vAlign w:val="center"/>
                </w:tcPr>
                <w:p w14:paraId="7EA160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cs="Times New Roman"/>
                      <w:color w:val="auto"/>
                      <w:kern w:val="24"/>
                      <w:szCs w:val="21"/>
                      <w:highlight w:val="none"/>
                    </w:rPr>
                    <w:t>生活垃圾</w:t>
                  </w:r>
                </w:p>
              </w:tc>
              <w:tc>
                <w:tcPr>
                  <w:tcW w:w="1080" w:type="dxa"/>
                  <w:shd w:val="clear" w:color="auto" w:fill="auto"/>
                  <w:vAlign w:val="center"/>
                </w:tcPr>
                <w:p w14:paraId="00858A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cs="Times New Roman"/>
                      <w:color w:val="auto"/>
                      <w:kern w:val="24"/>
                      <w:szCs w:val="21"/>
                      <w:highlight w:val="none"/>
                    </w:rPr>
                    <w:t>办公、生活</w:t>
                  </w:r>
                </w:p>
              </w:tc>
              <w:tc>
                <w:tcPr>
                  <w:tcW w:w="709" w:type="dxa"/>
                  <w:shd w:val="clear" w:color="auto" w:fill="auto"/>
                  <w:vAlign w:val="center"/>
                </w:tcPr>
                <w:p w14:paraId="20ED92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Cs w:val="21"/>
                      <w:highlight w:val="none"/>
                      <w:lang w:val="en-US" w:eastAsia="zh-CN"/>
                    </w:rPr>
                    <w:t>生活垃圾</w:t>
                  </w:r>
                </w:p>
              </w:tc>
              <w:tc>
                <w:tcPr>
                  <w:tcW w:w="968" w:type="dxa"/>
                  <w:shd w:val="clear" w:color="auto" w:fill="auto"/>
                  <w:vAlign w:val="center"/>
                </w:tcPr>
                <w:p w14:paraId="4624D1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cs="Times New Roman"/>
                      <w:color w:val="auto"/>
                      <w:kern w:val="24"/>
                      <w:szCs w:val="21"/>
                      <w:highlight w:val="none"/>
                    </w:rPr>
                    <w:t>生活垃圾</w:t>
                  </w:r>
                </w:p>
              </w:tc>
              <w:tc>
                <w:tcPr>
                  <w:tcW w:w="886" w:type="dxa"/>
                  <w:shd w:val="clear" w:color="auto" w:fill="auto"/>
                  <w:vAlign w:val="center"/>
                </w:tcPr>
                <w:p w14:paraId="43D339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Cs w:val="21"/>
                      <w:highlight w:val="none"/>
                      <w:lang w:val="en-US" w:eastAsia="zh-CN"/>
                    </w:rPr>
                    <w:t>1.83</w:t>
                  </w:r>
                </w:p>
              </w:tc>
              <w:tc>
                <w:tcPr>
                  <w:tcW w:w="3166" w:type="dxa"/>
                  <w:shd w:val="clear" w:color="auto" w:fill="auto"/>
                  <w:vAlign w:val="center"/>
                </w:tcPr>
                <w:p w14:paraId="31E761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目前运至二期填埋区填埋，二期填埋区封场后运至澄江市垃圾焚烧发电厂处理</w:t>
                  </w:r>
                </w:p>
              </w:tc>
            </w:tr>
          </w:tbl>
          <w:p w14:paraId="42D74A42">
            <w:pPr>
              <w:adjustRightInd w:val="0"/>
              <w:snapToGrid w:val="0"/>
              <w:spacing w:line="360" w:lineRule="auto"/>
              <w:ind w:firstLine="480" w:firstLineChars="200"/>
              <w:rPr>
                <w:rFonts w:hint="default" w:ascii="Times New Roman" w:hAnsi="Times New Roman" w:eastAsia="宋体" w:cs="Times New Roman"/>
                <w:bCs/>
                <w:color w:val="auto"/>
                <w:kern w:val="24"/>
                <w:sz w:val="24"/>
                <w:highlight w:val="none"/>
                <w:lang w:val="en-US" w:eastAsia="zh-CN"/>
              </w:rPr>
            </w:pPr>
            <w:r>
              <w:rPr>
                <w:rFonts w:hint="default" w:ascii="Times New Roman" w:hAnsi="Times New Roman" w:cs="Times New Roman"/>
                <w:bCs/>
                <w:color w:val="auto"/>
                <w:kern w:val="24"/>
                <w:sz w:val="24"/>
                <w:highlight w:val="none"/>
              </w:rPr>
              <w:t>根据《建设项目危险废物环境影响评价指南》，分析拟建项目危险废物的产生、贮存、处置情况见表4-</w:t>
            </w:r>
            <w:r>
              <w:rPr>
                <w:rFonts w:hint="eastAsia" w:cs="Times New Roman"/>
                <w:bCs/>
                <w:color w:val="auto"/>
                <w:kern w:val="24"/>
                <w:sz w:val="24"/>
                <w:highlight w:val="none"/>
                <w:lang w:val="en-US" w:eastAsia="zh-CN"/>
              </w:rPr>
              <w:t>24</w:t>
            </w:r>
            <w:r>
              <w:rPr>
                <w:rFonts w:hint="default" w:ascii="Times New Roman" w:hAnsi="Times New Roman" w:cs="Times New Roman"/>
                <w:bCs/>
                <w:color w:val="auto"/>
                <w:kern w:val="24"/>
                <w:sz w:val="24"/>
                <w:highlight w:val="none"/>
              </w:rPr>
              <w:t>。</w:t>
            </w:r>
            <w:r>
              <w:rPr>
                <w:rFonts w:hint="eastAsia" w:ascii="Times New Roman" w:hAnsi="Times New Roman" w:cs="Times New Roman"/>
                <w:bCs/>
                <w:color w:val="auto"/>
                <w:kern w:val="24"/>
                <w:sz w:val="24"/>
                <w:highlight w:val="none"/>
                <w:lang w:val="en-US" w:eastAsia="zh-CN"/>
              </w:rPr>
              <w:t xml:space="preserve">                           </w:t>
            </w:r>
          </w:p>
          <w:p w14:paraId="0DF8B427">
            <w:pPr>
              <w:adjustRightInd w:val="0"/>
              <w:snapToGrid w:val="0"/>
              <w:spacing w:line="360" w:lineRule="auto"/>
              <w:ind w:firstLine="482" w:firstLineChars="200"/>
              <w:jc w:val="center"/>
              <w:rPr>
                <w:rFonts w:hint="default" w:ascii="Times New Roman" w:hAnsi="Times New Roman" w:cs="Times New Roman"/>
                <w:b/>
                <w:color w:val="auto"/>
                <w:kern w:val="24"/>
                <w:sz w:val="24"/>
                <w:szCs w:val="24"/>
                <w:highlight w:val="none"/>
              </w:rPr>
            </w:pPr>
            <w:bookmarkStart w:id="24" w:name="_Toc9888"/>
            <w:r>
              <w:rPr>
                <w:rFonts w:hint="default" w:ascii="Times New Roman" w:hAnsi="Times New Roman" w:cs="Times New Roman"/>
                <w:b/>
                <w:color w:val="auto"/>
                <w:kern w:val="24"/>
                <w:sz w:val="24"/>
                <w:szCs w:val="24"/>
                <w:highlight w:val="none"/>
              </w:rPr>
              <w:t>表4-</w:t>
            </w:r>
            <w:r>
              <w:rPr>
                <w:rFonts w:hint="eastAsia" w:cs="Times New Roman"/>
                <w:b/>
                <w:color w:val="auto"/>
                <w:kern w:val="24"/>
                <w:sz w:val="24"/>
                <w:szCs w:val="24"/>
                <w:highlight w:val="none"/>
                <w:lang w:val="en-US" w:eastAsia="zh-CN"/>
              </w:rPr>
              <w:t xml:space="preserve">24   </w:t>
            </w:r>
            <w:r>
              <w:rPr>
                <w:rFonts w:hint="default" w:ascii="Times New Roman" w:hAnsi="Times New Roman" w:cs="Times New Roman"/>
                <w:b/>
                <w:color w:val="auto"/>
                <w:kern w:val="24"/>
                <w:sz w:val="24"/>
                <w:szCs w:val="24"/>
                <w:highlight w:val="none"/>
              </w:rPr>
              <w:t>危险废物汇总表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1"/>
              <w:gridCol w:w="421"/>
              <w:gridCol w:w="765"/>
              <w:gridCol w:w="1177"/>
              <w:gridCol w:w="1091"/>
              <w:gridCol w:w="422"/>
              <w:gridCol w:w="422"/>
              <w:gridCol w:w="628"/>
              <w:gridCol w:w="422"/>
              <w:gridCol w:w="422"/>
              <w:gridCol w:w="422"/>
              <w:gridCol w:w="1909"/>
            </w:tblGrid>
            <w:tr w14:paraId="06FCA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1" w:type="dxa"/>
                  <w:vAlign w:val="center"/>
                </w:tcPr>
                <w:p w14:paraId="6EE9D83A">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序号</w:t>
                  </w:r>
                </w:p>
              </w:tc>
              <w:tc>
                <w:tcPr>
                  <w:tcW w:w="421" w:type="dxa"/>
                  <w:vAlign w:val="center"/>
                </w:tcPr>
                <w:p w14:paraId="764455F1">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危险废物名称</w:t>
                  </w:r>
                </w:p>
              </w:tc>
              <w:tc>
                <w:tcPr>
                  <w:tcW w:w="765" w:type="dxa"/>
                  <w:vAlign w:val="center"/>
                </w:tcPr>
                <w:p w14:paraId="464FFDDE">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危险废物类别</w:t>
                  </w:r>
                </w:p>
              </w:tc>
              <w:tc>
                <w:tcPr>
                  <w:tcW w:w="1177" w:type="dxa"/>
                  <w:vAlign w:val="center"/>
                </w:tcPr>
                <w:p w14:paraId="6AC36610">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危险废物代码</w:t>
                  </w:r>
                </w:p>
              </w:tc>
              <w:tc>
                <w:tcPr>
                  <w:tcW w:w="1091" w:type="dxa"/>
                  <w:vAlign w:val="center"/>
                </w:tcPr>
                <w:p w14:paraId="21C23920">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产生量（t/a）</w:t>
                  </w:r>
                </w:p>
              </w:tc>
              <w:tc>
                <w:tcPr>
                  <w:tcW w:w="422" w:type="dxa"/>
                  <w:vAlign w:val="center"/>
                </w:tcPr>
                <w:p w14:paraId="750C068A">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产生工序及装置</w:t>
                  </w:r>
                </w:p>
              </w:tc>
              <w:tc>
                <w:tcPr>
                  <w:tcW w:w="422" w:type="dxa"/>
                  <w:vAlign w:val="center"/>
                </w:tcPr>
                <w:p w14:paraId="6503B82F">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形态</w:t>
                  </w:r>
                </w:p>
              </w:tc>
              <w:tc>
                <w:tcPr>
                  <w:tcW w:w="628" w:type="dxa"/>
                  <w:vAlign w:val="center"/>
                </w:tcPr>
                <w:p w14:paraId="29BA92FB">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主要成分</w:t>
                  </w:r>
                </w:p>
              </w:tc>
              <w:tc>
                <w:tcPr>
                  <w:tcW w:w="422" w:type="dxa"/>
                  <w:vAlign w:val="center"/>
                </w:tcPr>
                <w:p w14:paraId="096F0E82">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有害成分</w:t>
                  </w:r>
                </w:p>
              </w:tc>
              <w:tc>
                <w:tcPr>
                  <w:tcW w:w="422" w:type="dxa"/>
                  <w:vAlign w:val="center"/>
                </w:tcPr>
                <w:p w14:paraId="7B734E4D">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产废周期</w:t>
                  </w:r>
                </w:p>
              </w:tc>
              <w:tc>
                <w:tcPr>
                  <w:tcW w:w="422" w:type="dxa"/>
                  <w:vAlign w:val="center"/>
                </w:tcPr>
                <w:p w14:paraId="4382B5DB">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危险</w:t>
                  </w:r>
                </w:p>
                <w:p w14:paraId="708A1972">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特性</w:t>
                  </w:r>
                </w:p>
              </w:tc>
              <w:tc>
                <w:tcPr>
                  <w:tcW w:w="1909" w:type="dxa"/>
                  <w:vAlign w:val="center"/>
                </w:tcPr>
                <w:p w14:paraId="0302BEC1">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污染防治措施</w:t>
                  </w:r>
                </w:p>
              </w:tc>
            </w:tr>
            <w:tr w14:paraId="4394C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1" w:type="dxa"/>
                  <w:vAlign w:val="center"/>
                </w:tcPr>
                <w:p w14:paraId="5F962116">
                  <w:pPr>
                    <w:adjustRightInd w:val="0"/>
                    <w:snapToGrid w:val="0"/>
                    <w:jc w:val="center"/>
                    <w:rPr>
                      <w:rFonts w:hint="eastAsia"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1</w:t>
                  </w:r>
                </w:p>
              </w:tc>
              <w:tc>
                <w:tcPr>
                  <w:tcW w:w="421" w:type="dxa"/>
                  <w:shd w:val="clear" w:color="auto" w:fill="auto"/>
                  <w:vAlign w:val="center"/>
                </w:tcPr>
                <w:p w14:paraId="458C89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olor w:val="auto"/>
                      <w:sz w:val="21"/>
                      <w:szCs w:val="21"/>
                      <w:highlight w:val="none"/>
                      <w:lang w:val="en-US" w:eastAsia="zh-CN"/>
                    </w:rPr>
                    <w:t>固化渣</w:t>
                  </w:r>
                </w:p>
              </w:tc>
              <w:tc>
                <w:tcPr>
                  <w:tcW w:w="765" w:type="dxa"/>
                  <w:shd w:val="clear" w:color="auto" w:fill="auto"/>
                  <w:vAlign w:val="center"/>
                </w:tcPr>
                <w:p w14:paraId="378ADF1D">
                  <w:pPr>
                    <w:adjustRightInd w:val="0"/>
                    <w:snapToGrid w:val="0"/>
                    <w:jc w:val="center"/>
                    <w:rPr>
                      <w:rFonts w:hint="eastAsia"/>
                      <w:color w:val="auto"/>
                      <w:kern w:val="24"/>
                      <w:sz w:val="21"/>
                      <w:szCs w:val="21"/>
                      <w:highlight w:val="none"/>
                      <w:lang w:val="en-US" w:eastAsia="zh-CN"/>
                    </w:rPr>
                  </w:pPr>
                  <w:r>
                    <w:rPr>
                      <w:rFonts w:hint="eastAsia"/>
                      <w:color w:val="auto"/>
                      <w:kern w:val="24"/>
                      <w:sz w:val="21"/>
                      <w:szCs w:val="21"/>
                      <w:highlight w:val="none"/>
                      <w:lang w:val="en-US" w:eastAsia="zh-CN"/>
                    </w:rPr>
                    <w:t>HW49</w:t>
                  </w:r>
                </w:p>
              </w:tc>
              <w:tc>
                <w:tcPr>
                  <w:tcW w:w="1177" w:type="dxa"/>
                  <w:shd w:val="clear" w:color="auto" w:fill="auto"/>
                  <w:vAlign w:val="center"/>
                </w:tcPr>
                <w:p w14:paraId="5777E56A">
                  <w:pPr>
                    <w:adjustRightInd w:val="0"/>
                    <w:snapToGrid w:val="0"/>
                    <w:jc w:val="center"/>
                    <w:rPr>
                      <w:rFonts w:hint="eastAsia"/>
                      <w:color w:val="auto"/>
                      <w:kern w:val="24"/>
                      <w:szCs w:val="21"/>
                      <w:highlight w:val="none"/>
                    </w:rPr>
                  </w:pPr>
                  <w:r>
                    <w:rPr>
                      <w:color w:val="auto"/>
                      <w:highlight w:val="none"/>
                    </w:rPr>
                    <w:t>772-006-49</w:t>
                  </w:r>
                </w:p>
              </w:tc>
              <w:tc>
                <w:tcPr>
                  <w:tcW w:w="1091" w:type="dxa"/>
                  <w:shd w:val="clear" w:color="auto" w:fill="auto"/>
                  <w:vAlign w:val="center"/>
                </w:tcPr>
                <w:p w14:paraId="50090432">
                  <w:pPr>
                    <w:adjustRightInd w:val="0"/>
                    <w:snapToGrid w:val="0"/>
                    <w:jc w:val="center"/>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4562.5t/a</w:t>
                  </w:r>
                </w:p>
              </w:tc>
              <w:tc>
                <w:tcPr>
                  <w:tcW w:w="422" w:type="dxa"/>
                  <w:shd w:val="clear" w:color="auto" w:fill="auto"/>
                  <w:vAlign w:val="center"/>
                </w:tcPr>
                <w:p w14:paraId="2FDCA3C7">
                  <w:pPr>
                    <w:adjustRightInd w:val="0"/>
                    <w:snapToGrid w:val="0"/>
                    <w:jc w:val="center"/>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固化系统</w:t>
                  </w:r>
                </w:p>
              </w:tc>
              <w:tc>
                <w:tcPr>
                  <w:tcW w:w="422" w:type="dxa"/>
                  <w:shd w:val="clear" w:color="auto" w:fill="auto"/>
                  <w:vAlign w:val="center"/>
                </w:tcPr>
                <w:p w14:paraId="2E757B39">
                  <w:pPr>
                    <w:adjustRightInd w:val="0"/>
                    <w:snapToGrid w:val="0"/>
                    <w:jc w:val="center"/>
                    <w:rPr>
                      <w:rFonts w:hint="eastAsia" w:ascii="Times New Roman" w:hAnsi="Times New Roman" w:eastAsia="宋体" w:cs="Times New Roman"/>
                      <w:color w:val="auto"/>
                      <w:kern w:val="24"/>
                      <w:sz w:val="21"/>
                      <w:szCs w:val="21"/>
                      <w:highlight w:val="none"/>
                      <w:lang w:val="en-US" w:eastAsia="zh-CN" w:bidi="ar-SA"/>
                    </w:rPr>
                  </w:pPr>
                  <w:r>
                    <w:rPr>
                      <w:rFonts w:hint="default" w:ascii="Times New Roman" w:hAnsi="Times New Roman" w:cs="Times New Roman"/>
                      <w:color w:val="auto"/>
                      <w:kern w:val="24"/>
                      <w:sz w:val="21"/>
                      <w:szCs w:val="21"/>
                      <w:highlight w:val="none"/>
                    </w:rPr>
                    <w:t>固态</w:t>
                  </w:r>
                </w:p>
              </w:tc>
              <w:tc>
                <w:tcPr>
                  <w:tcW w:w="628" w:type="dxa"/>
                  <w:shd w:val="clear" w:color="auto" w:fill="auto"/>
                  <w:vAlign w:val="center"/>
                </w:tcPr>
                <w:p w14:paraId="50720B56">
                  <w:pPr>
                    <w:adjustRightInd w:val="0"/>
                    <w:snapToGrid w:val="0"/>
                    <w:jc w:val="center"/>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水泥、粉煤灰、蒸发母液</w:t>
                  </w:r>
                </w:p>
              </w:tc>
              <w:tc>
                <w:tcPr>
                  <w:tcW w:w="422" w:type="dxa"/>
                  <w:shd w:val="clear" w:color="auto" w:fill="auto"/>
                  <w:vAlign w:val="center"/>
                </w:tcPr>
                <w:p w14:paraId="097B6A13">
                  <w:pPr>
                    <w:adjustRightInd w:val="0"/>
                    <w:snapToGrid w:val="0"/>
                    <w:jc w:val="center"/>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重金属</w:t>
                  </w:r>
                </w:p>
              </w:tc>
              <w:tc>
                <w:tcPr>
                  <w:tcW w:w="422" w:type="dxa"/>
                  <w:shd w:val="clear" w:color="auto" w:fill="auto"/>
                  <w:vAlign w:val="center"/>
                </w:tcPr>
                <w:p w14:paraId="5502D237">
                  <w:pPr>
                    <w:adjustRightInd w:val="0"/>
                    <w:snapToGrid w:val="0"/>
                    <w:jc w:val="center"/>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eastAsia="zh-CN"/>
                    </w:rPr>
                    <w:t>每</w:t>
                  </w:r>
                  <w:r>
                    <w:rPr>
                      <w:rFonts w:hint="eastAsia" w:cs="Times New Roman"/>
                      <w:color w:val="auto"/>
                      <w:kern w:val="24"/>
                      <w:sz w:val="21"/>
                      <w:szCs w:val="21"/>
                      <w:highlight w:val="none"/>
                      <w:lang w:val="en-US" w:eastAsia="zh-CN"/>
                    </w:rPr>
                    <w:t>天</w:t>
                  </w:r>
                </w:p>
              </w:tc>
              <w:tc>
                <w:tcPr>
                  <w:tcW w:w="422" w:type="dxa"/>
                  <w:shd w:val="clear" w:color="auto" w:fill="auto"/>
                  <w:vAlign w:val="center"/>
                </w:tcPr>
                <w:p w14:paraId="13F0AAC0">
                  <w:pPr>
                    <w:adjustRightInd w:val="0"/>
                    <w:snapToGrid w:val="0"/>
                    <w:jc w:val="center"/>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T</w:t>
                  </w:r>
                </w:p>
              </w:tc>
              <w:tc>
                <w:tcPr>
                  <w:tcW w:w="1909" w:type="dxa"/>
                  <w:vAlign w:val="center"/>
                </w:tcPr>
                <w:p w14:paraId="672733E3">
                  <w:pPr>
                    <w:adjustRightInd w:val="0"/>
                    <w:snapToGrid w:val="0"/>
                    <w:jc w:val="center"/>
                    <w:rPr>
                      <w:rFonts w:hint="default" w:ascii="Times New Roman" w:hAnsi="Times New Roman" w:cs="Times New Roman"/>
                      <w:color w:val="auto"/>
                      <w:kern w:val="24"/>
                      <w:sz w:val="21"/>
                      <w:szCs w:val="21"/>
                      <w:highlight w:val="none"/>
                    </w:rPr>
                  </w:pPr>
                  <w:r>
                    <w:rPr>
                      <w:color w:val="auto"/>
                      <w:kern w:val="24"/>
                      <w:szCs w:val="21"/>
                      <w:highlight w:val="none"/>
                    </w:rPr>
                    <w:t>待全量化处理设施运行后对固化渣进行固废属性鉴定</w:t>
                  </w:r>
                  <w:r>
                    <w:rPr>
                      <w:rFonts w:hint="eastAsia"/>
                      <w:color w:val="auto"/>
                      <w:kern w:val="24"/>
                      <w:szCs w:val="21"/>
                      <w:highlight w:val="none"/>
                    </w:rPr>
                    <w:t>。</w:t>
                  </w:r>
                  <w:r>
                    <w:rPr>
                      <w:color w:val="auto"/>
                      <w:kern w:val="24"/>
                      <w:szCs w:val="21"/>
                      <w:highlight w:val="none"/>
                    </w:rPr>
                    <w:t>经鉴定若为一般固体废物，满足《一般工业固体废物贮存和填埋污染控制标准》（GB18599-2020）</w:t>
                  </w:r>
                  <w:r>
                    <w:rPr>
                      <w:rFonts w:hint="eastAsia"/>
                      <w:color w:val="auto"/>
                      <w:kern w:val="24"/>
                      <w:szCs w:val="21"/>
                      <w:highlight w:val="none"/>
                      <w:lang w:eastAsia="zh-CN"/>
                    </w:rPr>
                    <w:t>、《</w:t>
                  </w:r>
                  <w:r>
                    <w:rPr>
                      <w:rFonts w:hint="eastAsia"/>
                      <w:color w:val="auto"/>
                      <w:kern w:val="24"/>
                      <w:szCs w:val="21"/>
                      <w:highlight w:val="none"/>
                      <w:lang w:val="en-US" w:eastAsia="zh-CN"/>
                    </w:rPr>
                    <w:t>生活垃圾填埋场污染控制标准</w:t>
                  </w:r>
                  <w:r>
                    <w:rPr>
                      <w:rFonts w:hint="eastAsia"/>
                      <w:color w:val="auto"/>
                      <w:kern w:val="24"/>
                      <w:szCs w:val="21"/>
                      <w:highlight w:val="none"/>
                      <w:lang w:eastAsia="zh-CN"/>
                    </w:rPr>
                    <w:t>》（</w:t>
                  </w:r>
                  <w:r>
                    <w:rPr>
                      <w:rFonts w:hint="eastAsia"/>
                      <w:color w:val="auto"/>
                      <w:kern w:val="24"/>
                      <w:szCs w:val="21"/>
                      <w:highlight w:val="none"/>
                      <w:lang w:val="en-US" w:eastAsia="zh-CN"/>
                    </w:rPr>
                    <w:t>GB16889-2024</w:t>
                  </w:r>
                  <w:r>
                    <w:rPr>
                      <w:rFonts w:hint="eastAsia"/>
                      <w:color w:val="auto"/>
                      <w:kern w:val="24"/>
                      <w:szCs w:val="21"/>
                      <w:highlight w:val="none"/>
                      <w:lang w:eastAsia="zh-CN"/>
                    </w:rPr>
                    <w:t>）</w:t>
                  </w:r>
                  <w:r>
                    <w:rPr>
                      <w:color w:val="auto"/>
                      <w:kern w:val="24"/>
                      <w:szCs w:val="21"/>
                      <w:highlight w:val="none"/>
                    </w:rPr>
                    <w:t>中填埋入场标准后进行填埋处置；若鉴定为危险废物则暂存于厂区固化渣暂存间内，及时委托有资质的单位进行处置。</w:t>
                  </w:r>
                </w:p>
              </w:tc>
            </w:tr>
            <w:tr w14:paraId="66140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1" w:type="dxa"/>
                  <w:vAlign w:val="center"/>
                </w:tcPr>
                <w:p w14:paraId="275BD117">
                  <w:pPr>
                    <w:adjustRightInd w:val="0"/>
                    <w:snapToGrid w:val="0"/>
                    <w:jc w:val="center"/>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2</w:t>
                  </w:r>
                </w:p>
              </w:tc>
              <w:tc>
                <w:tcPr>
                  <w:tcW w:w="421" w:type="dxa"/>
                  <w:shd w:val="clear" w:color="auto" w:fill="auto"/>
                  <w:vAlign w:val="center"/>
                </w:tcPr>
                <w:p w14:paraId="174E1A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在线监测废液</w:t>
                  </w:r>
                </w:p>
              </w:tc>
              <w:tc>
                <w:tcPr>
                  <w:tcW w:w="765" w:type="dxa"/>
                  <w:shd w:val="clear" w:color="auto" w:fill="auto"/>
                  <w:vAlign w:val="center"/>
                </w:tcPr>
                <w:p w14:paraId="6015B153">
                  <w:pPr>
                    <w:adjustRightInd w:val="0"/>
                    <w:snapToGrid w:val="0"/>
                    <w:jc w:val="center"/>
                    <w:rPr>
                      <w:rFonts w:hint="default"/>
                      <w:color w:val="auto"/>
                      <w:kern w:val="24"/>
                      <w:sz w:val="21"/>
                      <w:szCs w:val="21"/>
                      <w:highlight w:val="none"/>
                      <w:lang w:val="en-US" w:eastAsia="zh-CN"/>
                    </w:rPr>
                  </w:pPr>
                  <w:r>
                    <w:rPr>
                      <w:rFonts w:hint="eastAsia"/>
                      <w:color w:val="auto"/>
                      <w:kern w:val="24"/>
                      <w:sz w:val="21"/>
                      <w:szCs w:val="21"/>
                      <w:highlight w:val="none"/>
                      <w:lang w:val="en-US" w:eastAsia="zh-CN"/>
                    </w:rPr>
                    <w:t>HW49</w:t>
                  </w:r>
                </w:p>
              </w:tc>
              <w:tc>
                <w:tcPr>
                  <w:tcW w:w="1177" w:type="dxa"/>
                  <w:shd w:val="clear" w:color="auto" w:fill="auto"/>
                  <w:vAlign w:val="center"/>
                </w:tcPr>
                <w:p w14:paraId="0EEFD602">
                  <w:pPr>
                    <w:adjustRightInd w:val="0"/>
                    <w:snapToGrid w:val="0"/>
                    <w:jc w:val="center"/>
                    <w:rPr>
                      <w:rFonts w:hint="eastAsia"/>
                      <w:color w:val="auto"/>
                      <w:kern w:val="24"/>
                      <w:sz w:val="21"/>
                      <w:szCs w:val="21"/>
                      <w:highlight w:val="none"/>
                      <w:lang w:val="en-US" w:eastAsia="zh-CN"/>
                    </w:rPr>
                  </w:pPr>
                  <w:r>
                    <w:rPr>
                      <w:rFonts w:hint="eastAsia"/>
                      <w:color w:val="auto"/>
                      <w:kern w:val="24"/>
                      <w:sz w:val="21"/>
                      <w:szCs w:val="21"/>
                      <w:highlight w:val="none"/>
                      <w:lang w:val="en-US" w:eastAsia="zh-CN"/>
                    </w:rPr>
                    <w:t>900-047-49</w:t>
                  </w:r>
                </w:p>
                <w:p w14:paraId="14797D96">
                  <w:pPr>
                    <w:adjustRightInd w:val="0"/>
                    <w:snapToGrid w:val="0"/>
                    <w:jc w:val="center"/>
                    <w:rPr>
                      <w:rFonts w:hint="eastAsia"/>
                      <w:color w:val="auto"/>
                      <w:kern w:val="24"/>
                      <w:sz w:val="21"/>
                      <w:szCs w:val="21"/>
                      <w:highlight w:val="none"/>
                      <w:lang w:val="en-US" w:eastAsia="zh-CN"/>
                    </w:rPr>
                  </w:pPr>
                </w:p>
              </w:tc>
              <w:tc>
                <w:tcPr>
                  <w:tcW w:w="1091" w:type="dxa"/>
                  <w:shd w:val="clear" w:color="auto" w:fill="auto"/>
                  <w:vAlign w:val="center"/>
                </w:tcPr>
                <w:p w14:paraId="26B1A50E">
                  <w:pPr>
                    <w:adjustRightInd w:val="0"/>
                    <w:snapToGrid w:val="0"/>
                    <w:jc w:val="center"/>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0.05t/a</w:t>
                  </w:r>
                </w:p>
              </w:tc>
              <w:tc>
                <w:tcPr>
                  <w:tcW w:w="422" w:type="dxa"/>
                  <w:shd w:val="clear" w:color="auto" w:fill="auto"/>
                  <w:vAlign w:val="center"/>
                </w:tcPr>
                <w:p w14:paraId="01FBE861">
                  <w:pPr>
                    <w:adjustRightInd w:val="0"/>
                    <w:snapToGrid w:val="0"/>
                    <w:jc w:val="center"/>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在线检测室</w:t>
                  </w:r>
                </w:p>
              </w:tc>
              <w:tc>
                <w:tcPr>
                  <w:tcW w:w="422" w:type="dxa"/>
                  <w:shd w:val="clear" w:color="auto" w:fill="auto"/>
                  <w:vAlign w:val="center"/>
                </w:tcPr>
                <w:p w14:paraId="5089E084">
                  <w:pPr>
                    <w:adjustRightInd w:val="0"/>
                    <w:snapToGrid w:val="0"/>
                    <w:jc w:val="center"/>
                    <w:rPr>
                      <w:rFonts w:hint="eastAsia" w:ascii="Times New Roman" w:hAnsi="Times New Roman" w:eastAsia="宋体" w:cs="Times New Roman"/>
                      <w:color w:val="auto"/>
                      <w:kern w:val="24"/>
                      <w:sz w:val="21"/>
                      <w:szCs w:val="21"/>
                      <w:highlight w:val="none"/>
                      <w:lang w:val="en-US" w:eastAsia="zh-CN"/>
                    </w:rPr>
                  </w:pPr>
                  <w:r>
                    <w:rPr>
                      <w:rFonts w:hint="eastAsia" w:ascii="Times New Roman" w:hAnsi="Times New Roman" w:cs="Times New Roman"/>
                      <w:color w:val="auto"/>
                      <w:kern w:val="24"/>
                      <w:sz w:val="21"/>
                      <w:szCs w:val="21"/>
                      <w:highlight w:val="none"/>
                      <w:lang w:val="en-US" w:eastAsia="zh-CN"/>
                    </w:rPr>
                    <w:t>液态</w:t>
                  </w:r>
                </w:p>
              </w:tc>
              <w:tc>
                <w:tcPr>
                  <w:tcW w:w="628" w:type="dxa"/>
                  <w:shd w:val="clear" w:color="auto" w:fill="auto"/>
                  <w:vAlign w:val="center"/>
                </w:tcPr>
                <w:p w14:paraId="6A6EC150">
                  <w:pPr>
                    <w:adjustRightInd w:val="0"/>
                    <w:snapToGrid w:val="0"/>
                    <w:jc w:val="center"/>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酸碱试剂</w:t>
                  </w:r>
                </w:p>
              </w:tc>
              <w:tc>
                <w:tcPr>
                  <w:tcW w:w="422" w:type="dxa"/>
                  <w:shd w:val="clear" w:color="auto" w:fill="auto"/>
                  <w:vAlign w:val="center"/>
                </w:tcPr>
                <w:p w14:paraId="6BF63A3A">
                  <w:pPr>
                    <w:adjustRightInd w:val="0"/>
                    <w:snapToGrid w:val="0"/>
                    <w:jc w:val="center"/>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酸碱试剂</w:t>
                  </w:r>
                </w:p>
              </w:tc>
              <w:tc>
                <w:tcPr>
                  <w:tcW w:w="422" w:type="dxa"/>
                  <w:shd w:val="clear" w:color="auto" w:fill="auto"/>
                  <w:vAlign w:val="center"/>
                </w:tcPr>
                <w:p w14:paraId="6AB4BEA0">
                  <w:pPr>
                    <w:adjustRightInd w:val="0"/>
                    <w:snapToGrid w:val="0"/>
                    <w:jc w:val="center"/>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每天</w:t>
                  </w:r>
                </w:p>
              </w:tc>
              <w:tc>
                <w:tcPr>
                  <w:tcW w:w="422" w:type="dxa"/>
                  <w:shd w:val="clear" w:color="auto" w:fill="auto"/>
                  <w:vAlign w:val="center"/>
                </w:tcPr>
                <w:p w14:paraId="6C0E089B">
                  <w:pPr>
                    <w:adjustRightInd w:val="0"/>
                    <w:snapToGrid w:val="0"/>
                    <w:jc w:val="center"/>
                    <w:rPr>
                      <w:rFonts w:hint="eastAsia"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T/C/I/R</w:t>
                  </w:r>
                </w:p>
              </w:tc>
              <w:tc>
                <w:tcPr>
                  <w:tcW w:w="1909" w:type="dxa"/>
                  <w:vAlign w:val="center"/>
                </w:tcPr>
                <w:p w14:paraId="52F22666">
                  <w:pPr>
                    <w:adjustRightInd w:val="0"/>
                    <w:snapToGrid w:val="0"/>
                    <w:jc w:val="center"/>
                    <w:rPr>
                      <w:rFonts w:hint="default" w:ascii="Times New Roman" w:hAnsi="Times New Roman" w:cs="Times New Roman"/>
                      <w:color w:val="auto"/>
                      <w:kern w:val="24"/>
                      <w:sz w:val="21"/>
                      <w:szCs w:val="21"/>
                      <w:highlight w:val="none"/>
                      <w:lang w:val="en-US" w:eastAsia="zh-CN"/>
                    </w:rPr>
                  </w:pPr>
                  <w:r>
                    <w:rPr>
                      <w:rFonts w:hint="eastAsia" w:ascii="Times New Roman" w:hAnsi="Times New Roman" w:cs="Times New Roman"/>
                      <w:color w:val="auto"/>
                      <w:kern w:val="24"/>
                      <w:sz w:val="21"/>
                      <w:szCs w:val="21"/>
                      <w:highlight w:val="none"/>
                      <w:lang w:val="en-US" w:eastAsia="zh-CN"/>
                    </w:rPr>
                    <w:t>委托有资质的单位处置</w:t>
                  </w:r>
                </w:p>
              </w:tc>
            </w:tr>
          </w:tbl>
          <w:p w14:paraId="15DF9F22">
            <w:pPr>
              <w:adjustRightInd w:val="0"/>
              <w:snapToGrid w:val="0"/>
              <w:spacing w:line="360" w:lineRule="auto"/>
              <w:ind w:firstLine="480" w:firstLineChars="200"/>
              <w:rPr>
                <w:rFonts w:hint="default" w:eastAsia="宋体"/>
                <w:b w:val="0"/>
                <w:color w:val="auto"/>
                <w:kern w:val="21"/>
                <w:sz w:val="24"/>
                <w:szCs w:val="24"/>
                <w:highlight w:val="none"/>
                <w:lang w:val="en-US" w:eastAsia="zh-CN"/>
              </w:rPr>
            </w:pPr>
            <w:r>
              <w:rPr>
                <w:rFonts w:hint="eastAsia" w:eastAsia="宋体"/>
                <w:b w:val="0"/>
                <w:color w:val="auto"/>
                <w:kern w:val="21"/>
                <w:sz w:val="24"/>
                <w:szCs w:val="24"/>
                <w:highlight w:val="none"/>
                <w:lang w:eastAsia="zh-CN"/>
              </w:rPr>
              <w:t>（</w:t>
            </w:r>
            <w:r>
              <w:rPr>
                <w:rFonts w:hint="eastAsia" w:eastAsia="宋体"/>
                <w:b w:val="0"/>
                <w:color w:val="auto"/>
                <w:kern w:val="21"/>
                <w:sz w:val="24"/>
                <w:szCs w:val="24"/>
                <w:highlight w:val="none"/>
                <w:lang w:val="en-US" w:eastAsia="zh-CN"/>
              </w:rPr>
              <w:t>1</w:t>
            </w:r>
            <w:r>
              <w:rPr>
                <w:rFonts w:hint="eastAsia" w:eastAsia="宋体"/>
                <w:b w:val="0"/>
                <w:color w:val="auto"/>
                <w:kern w:val="21"/>
                <w:sz w:val="24"/>
                <w:szCs w:val="24"/>
                <w:highlight w:val="none"/>
                <w:lang w:eastAsia="zh-CN"/>
              </w:rPr>
              <w:t>）</w:t>
            </w:r>
            <w:r>
              <w:rPr>
                <w:rFonts w:hint="eastAsia"/>
                <w:b w:val="0"/>
                <w:color w:val="auto"/>
                <w:kern w:val="21"/>
                <w:sz w:val="24"/>
                <w:szCs w:val="24"/>
                <w:highlight w:val="none"/>
                <w:lang w:val="en-US" w:eastAsia="zh-CN"/>
              </w:rPr>
              <w:t>砂滤泥砂</w:t>
            </w:r>
          </w:p>
          <w:p w14:paraId="025DF599">
            <w:pPr>
              <w:pStyle w:val="14"/>
              <w:spacing w:line="360" w:lineRule="auto"/>
              <w:ind w:firstLine="480" w:firstLineChars="200"/>
              <w:rPr>
                <w:rFonts w:hint="eastAsia" w:ascii="Times New Roman" w:hAnsi="Times New Roman" w:eastAsia="宋体" w:cs="Times New Roman"/>
                <w:b w:val="0"/>
                <w:bCs/>
                <w:color w:val="auto"/>
                <w:kern w:val="21"/>
                <w:sz w:val="24"/>
                <w:szCs w:val="24"/>
                <w:highlight w:val="none"/>
                <w:lang w:val="en-US" w:eastAsia="zh-CN" w:bidi="ar-SA"/>
              </w:rPr>
            </w:pPr>
            <w:r>
              <w:rPr>
                <w:rFonts w:hint="eastAsia" w:ascii="Times New Roman" w:hAnsi="Times New Roman" w:eastAsia="宋体" w:cs="Times New Roman"/>
                <w:b w:val="0"/>
                <w:bCs/>
                <w:color w:val="auto"/>
                <w:kern w:val="21"/>
                <w:sz w:val="24"/>
                <w:szCs w:val="24"/>
                <w:highlight w:val="none"/>
                <w:lang w:val="en-US" w:eastAsia="zh-CN" w:bidi="ar-SA"/>
              </w:rPr>
              <w:t>根据项目生产工艺，本项目填埋场产生的渗滤液在收集池及调节池已经过沉淀处理，渗滤液通过砂滤罐泥砂产生量小。根据项目可研及初步设计，泥砂产生量约0.05t /d、18.25t/a，集中收集运至二期填埋区填埋，二期填埋区封场后运至澄江市垃圾焚烧发电厂处理。</w:t>
            </w:r>
          </w:p>
          <w:p w14:paraId="6FAADADD">
            <w:pPr>
              <w:pStyle w:val="2"/>
              <w:numPr>
                <w:ilvl w:val="0"/>
                <w:numId w:val="0"/>
              </w:numPr>
              <w:adjustRightInd w:val="0"/>
              <w:spacing w:before="0" w:after="0" w:line="360" w:lineRule="auto"/>
              <w:ind w:left="360" w:leftChars="0"/>
              <w:rPr>
                <w:rFonts w:hint="eastAsia" w:eastAsia="宋体"/>
                <w:b w:val="0"/>
                <w:color w:val="auto"/>
                <w:kern w:val="21"/>
                <w:sz w:val="24"/>
                <w:szCs w:val="24"/>
                <w:highlight w:val="none"/>
                <w:lang w:eastAsia="zh-CN"/>
              </w:rPr>
            </w:pPr>
            <w:r>
              <w:rPr>
                <w:rFonts w:hint="eastAsia" w:eastAsia="宋体"/>
                <w:b w:val="0"/>
                <w:color w:val="auto"/>
                <w:kern w:val="21"/>
                <w:sz w:val="24"/>
                <w:szCs w:val="24"/>
                <w:highlight w:val="none"/>
                <w:lang w:eastAsia="zh-CN"/>
              </w:rPr>
              <w:t>（</w:t>
            </w:r>
            <w:r>
              <w:rPr>
                <w:rFonts w:hint="eastAsia" w:eastAsia="宋体"/>
                <w:b w:val="0"/>
                <w:color w:val="auto"/>
                <w:kern w:val="21"/>
                <w:sz w:val="24"/>
                <w:szCs w:val="24"/>
                <w:highlight w:val="none"/>
                <w:lang w:val="en-US" w:eastAsia="zh-CN"/>
              </w:rPr>
              <w:t>2</w:t>
            </w:r>
            <w:r>
              <w:rPr>
                <w:rFonts w:hint="eastAsia" w:eastAsia="宋体"/>
                <w:b w:val="0"/>
                <w:color w:val="auto"/>
                <w:kern w:val="21"/>
                <w:sz w:val="24"/>
                <w:szCs w:val="24"/>
                <w:highlight w:val="none"/>
                <w:lang w:eastAsia="zh-CN"/>
              </w:rPr>
              <w:t>）</w:t>
            </w:r>
            <w:r>
              <w:rPr>
                <w:rFonts w:hint="eastAsia" w:eastAsia="宋体"/>
                <w:b w:val="0"/>
                <w:color w:val="auto"/>
                <w:kern w:val="21"/>
                <w:sz w:val="24"/>
                <w:szCs w:val="24"/>
                <w:highlight w:val="none"/>
                <w:lang w:val="en-US" w:eastAsia="zh-CN"/>
              </w:rPr>
              <w:t>消泡剂及阻垢剂包装桶</w:t>
            </w:r>
          </w:p>
          <w:p w14:paraId="5C3EE2BF">
            <w:pPr>
              <w:pStyle w:val="2"/>
              <w:keepNext/>
              <w:keepLines w:val="0"/>
              <w:pageBreakBefore w:val="0"/>
              <w:widowControl w:val="0"/>
              <w:numPr>
                <w:ilvl w:val="0"/>
                <w:numId w:val="0"/>
              </w:numPr>
              <w:kinsoku/>
              <w:wordWrap/>
              <w:overflowPunct w:val="0"/>
              <w:topLinePunct w:val="0"/>
              <w:autoSpaceDE/>
              <w:autoSpaceDN/>
              <w:bidi w:val="0"/>
              <w:adjustRightInd w:val="0"/>
              <w:snapToGrid w:val="0"/>
              <w:spacing w:before="0" w:after="0" w:line="360" w:lineRule="auto"/>
              <w:ind w:firstLine="480" w:firstLineChars="200"/>
              <w:textAlignment w:val="auto"/>
              <w:rPr>
                <w:rFonts w:hint="default" w:eastAsia="宋体"/>
                <w:b w:val="0"/>
                <w:color w:val="auto"/>
                <w:kern w:val="21"/>
                <w:sz w:val="24"/>
                <w:szCs w:val="24"/>
                <w:highlight w:val="none"/>
                <w:lang w:val="en-US" w:eastAsia="zh-CN"/>
              </w:rPr>
            </w:pPr>
            <w:r>
              <w:rPr>
                <w:rFonts w:hint="eastAsia" w:eastAsia="宋体"/>
                <w:b w:val="0"/>
                <w:color w:val="auto"/>
                <w:kern w:val="21"/>
                <w:sz w:val="24"/>
                <w:szCs w:val="24"/>
                <w:highlight w:val="none"/>
                <w:lang w:val="en-US" w:eastAsia="zh-CN"/>
              </w:rPr>
              <w:t>本项目渗滤液处理过程中，年消耗消泡剂2.1t，阻垢剂3.65t，年产生包装桶约0.3t，均集中收集由供货厂家回收处置。</w:t>
            </w:r>
          </w:p>
          <w:p w14:paraId="469B1D85">
            <w:pPr>
              <w:pStyle w:val="2"/>
              <w:numPr>
                <w:ilvl w:val="0"/>
                <w:numId w:val="0"/>
              </w:numPr>
              <w:adjustRightInd w:val="0"/>
              <w:spacing w:before="0" w:after="0" w:line="360" w:lineRule="auto"/>
              <w:ind w:left="360" w:leftChars="0"/>
              <w:rPr>
                <w:rFonts w:hint="eastAsia" w:eastAsia="宋体"/>
                <w:b w:val="0"/>
                <w:color w:val="auto"/>
                <w:kern w:val="21"/>
                <w:sz w:val="24"/>
                <w:szCs w:val="24"/>
                <w:highlight w:val="none"/>
                <w:lang w:eastAsia="zh-CN"/>
              </w:rPr>
            </w:pPr>
            <w:r>
              <w:rPr>
                <w:rFonts w:hint="eastAsia" w:eastAsia="宋体"/>
                <w:b w:val="0"/>
                <w:color w:val="auto"/>
                <w:kern w:val="21"/>
                <w:sz w:val="24"/>
                <w:szCs w:val="24"/>
                <w:highlight w:val="none"/>
                <w:lang w:eastAsia="zh-CN"/>
              </w:rPr>
              <w:t>（</w:t>
            </w:r>
            <w:r>
              <w:rPr>
                <w:rFonts w:hint="eastAsia" w:eastAsia="宋体"/>
                <w:b w:val="0"/>
                <w:color w:val="auto"/>
                <w:kern w:val="21"/>
                <w:sz w:val="24"/>
                <w:szCs w:val="24"/>
                <w:highlight w:val="none"/>
                <w:lang w:val="en-US" w:eastAsia="zh-CN"/>
              </w:rPr>
              <w:t>3</w:t>
            </w:r>
            <w:r>
              <w:rPr>
                <w:rFonts w:hint="eastAsia" w:eastAsia="宋体"/>
                <w:b w:val="0"/>
                <w:color w:val="auto"/>
                <w:kern w:val="21"/>
                <w:sz w:val="24"/>
                <w:szCs w:val="24"/>
                <w:highlight w:val="none"/>
                <w:lang w:eastAsia="zh-CN"/>
              </w:rPr>
              <w:t>）</w:t>
            </w:r>
            <w:r>
              <w:rPr>
                <w:rFonts w:hint="eastAsia" w:eastAsia="宋体"/>
                <w:b w:val="0"/>
                <w:color w:val="auto"/>
                <w:kern w:val="21"/>
                <w:sz w:val="24"/>
                <w:szCs w:val="24"/>
                <w:highlight w:val="none"/>
                <w:lang w:val="en-US" w:eastAsia="zh-CN"/>
              </w:rPr>
              <w:t>更换的反渗透膜</w:t>
            </w:r>
          </w:p>
          <w:p w14:paraId="7E985037">
            <w:pPr>
              <w:pStyle w:val="2"/>
              <w:keepNext/>
              <w:keepLines w:val="0"/>
              <w:pageBreakBefore w:val="0"/>
              <w:widowControl w:val="0"/>
              <w:numPr>
                <w:ilvl w:val="0"/>
                <w:numId w:val="0"/>
              </w:numPr>
              <w:kinsoku/>
              <w:wordWrap/>
              <w:overflowPunct w:val="0"/>
              <w:topLinePunct w:val="0"/>
              <w:autoSpaceDE/>
              <w:autoSpaceDN/>
              <w:bidi w:val="0"/>
              <w:adjustRightInd w:val="0"/>
              <w:snapToGrid w:val="0"/>
              <w:spacing w:before="0" w:after="0" w:line="360" w:lineRule="auto"/>
              <w:ind w:firstLine="480" w:firstLineChars="200"/>
              <w:textAlignment w:val="auto"/>
              <w:rPr>
                <w:rFonts w:eastAsia="宋体"/>
                <w:b w:val="0"/>
                <w:color w:val="auto"/>
                <w:kern w:val="21"/>
                <w:sz w:val="24"/>
                <w:szCs w:val="24"/>
                <w:highlight w:val="none"/>
              </w:rPr>
            </w:pPr>
            <w:r>
              <w:rPr>
                <w:rFonts w:hint="eastAsia" w:eastAsia="宋体"/>
                <w:b w:val="0"/>
                <w:color w:val="auto"/>
                <w:kern w:val="21"/>
                <w:sz w:val="24"/>
                <w:szCs w:val="24"/>
                <w:highlight w:val="none"/>
                <w:lang w:val="en-US" w:eastAsia="zh-CN"/>
              </w:rPr>
              <w:t>本项目</w:t>
            </w:r>
            <w:r>
              <w:rPr>
                <w:rFonts w:eastAsia="宋体"/>
                <w:b w:val="0"/>
                <w:color w:val="auto"/>
                <w:kern w:val="21"/>
                <w:sz w:val="24"/>
                <w:szCs w:val="24"/>
                <w:highlight w:val="none"/>
              </w:rPr>
              <w:t>渗滤液处理</w:t>
            </w:r>
            <w:r>
              <w:rPr>
                <w:rFonts w:hint="eastAsia" w:eastAsia="宋体"/>
                <w:b w:val="0"/>
                <w:color w:val="auto"/>
                <w:kern w:val="21"/>
                <w:sz w:val="24"/>
                <w:szCs w:val="24"/>
                <w:highlight w:val="none"/>
                <w:lang w:val="en-US" w:eastAsia="zh-CN"/>
              </w:rPr>
              <w:t>两级DTRO</w:t>
            </w:r>
            <w:r>
              <w:rPr>
                <w:rFonts w:eastAsia="宋体"/>
                <w:b w:val="0"/>
                <w:color w:val="auto"/>
                <w:kern w:val="21"/>
                <w:sz w:val="24"/>
                <w:szCs w:val="24"/>
                <w:highlight w:val="none"/>
              </w:rPr>
              <w:t>滤膜需定期清洗更换，产生量约0.</w:t>
            </w:r>
            <w:r>
              <w:rPr>
                <w:rFonts w:hint="eastAsia" w:eastAsia="宋体"/>
                <w:b w:val="0"/>
                <w:color w:val="auto"/>
                <w:kern w:val="21"/>
                <w:sz w:val="24"/>
                <w:szCs w:val="24"/>
                <w:highlight w:val="none"/>
                <w:lang w:val="en-US" w:eastAsia="zh-CN"/>
              </w:rPr>
              <w:t>5</w:t>
            </w:r>
            <w:r>
              <w:rPr>
                <w:rFonts w:eastAsia="宋体"/>
                <w:b w:val="0"/>
                <w:color w:val="auto"/>
                <w:kern w:val="21"/>
                <w:sz w:val="24"/>
                <w:szCs w:val="24"/>
                <w:highlight w:val="none"/>
              </w:rPr>
              <w:t>t/a，</w:t>
            </w:r>
            <w:r>
              <w:rPr>
                <w:rFonts w:hint="eastAsia" w:eastAsia="宋体"/>
                <w:b w:val="0"/>
                <w:color w:val="auto"/>
                <w:kern w:val="21"/>
                <w:sz w:val="24"/>
                <w:szCs w:val="24"/>
                <w:highlight w:val="none"/>
                <w:lang w:val="en-US" w:eastAsia="zh-CN"/>
              </w:rPr>
              <w:t>交由</w:t>
            </w:r>
            <w:r>
              <w:rPr>
                <w:rFonts w:eastAsia="宋体"/>
                <w:b w:val="0"/>
                <w:color w:val="auto"/>
                <w:kern w:val="21"/>
                <w:sz w:val="24"/>
                <w:szCs w:val="24"/>
                <w:highlight w:val="none"/>
              </w:rPr>
              <w:t>供货厂家进行专业清洗后，再由供货厂家进行维护更换</w:t>
            </w:r>
            <w:r>
              <w:rPr>
                <w:rFonts w:hint="eastAsia" w:eastAsia="宋体"/>
                <w:b w:val="0"/>
                <w:color w:val="auto"/>
                <w:kern w:val="21"/>
                <w:sz w:val="24"/>
                <w:szCs w:val="24"/>
                <w:highlight w:val="none"/>
                <w:lang w:val="en-US" w:eastAsia="zh-CN"/>
              </w:rPr>
              <w:t>处理</w:t>
            </w:r>
            <w:r>
              <w:rPr>
                <w:rFonts w:hint="eastAsia" w:eastAsia="宋体"/>
                <w:b w:val="0"/>
                <w:color w:val="auto"/>
                <w:kern w:val="21"/>
                <w:sz w:val="24"/>
                <w:szCs w:val="24"/>
                <w:highlight w:val="none"/>
              </w:rPr>
              <w:t>。</w:t>
            </w:r>
          </w:p>
          <w:p w14:paraId="5FEBE7E5">
            <w:pPr>
              <w:pStyle w:val="2"/>
              <w:numPr>
                <w:ilvl w:val="0"/>
                <w:numId w:val="0"/>
              </w:numPr>
              <w:adjustRightInd w:val="0"/>
              <w:spacing w:before="0" w:after="0" w:line="360" w:lineRule="auto"/>
              <w:ind w:left="360" w:leftChars="0"/>
              <w:rPr>
                <w:rFonts w:hint="default" w:eastAsia="宋体"/>
                <w:b w:val="0"/>
                <w:color w:val="auto"/>
                <w:kern w:val="21"/>
                <w:sz w:val="24"/>
                <w:szCs w:val="24"/>
                <w:highlight w:val="none"/>
                <w:lang w:val="en-US" w:eastAsia="zh-CN"/>
              </w:rPr>
            </w:pPr>
            <w:r>
              <w:rPr>
                <w:rFonts w:hint="eastAsia" w:eastAsia="宋体"/>
                <w:b w:val="0"/>
                <w:color w:val="auto"/>
                <w:kern w:val="21"/>
                <w:sz w:val="24"/>
                <w:szCs w:val="24"/>
                <w:highlight w:val="none"/>
                <w:lang w:val="en-US" w:eastAsia="zh-CN"/>
              </w:rPr>
              <w:t>（4）更换的废离子交换树脂</w:t>
            </w:r>
          </w:p>
          <w:p w14:paraId="24C1DAF5">
            <w:pPr>
              <w:pStyle w:val="2"/>
              <w:keepNext/>
              <w:keepLines w:val="0"/>
              <w:pageBreakBefore w:val="0"/>
              <w:widowControl w:val="0"/>
              <w:numPr>
                <w:ilvl w:val="0"/>
                <w:numId w:val="0"/>
              </w:numPr>
              <w:kinsoku/>
              <w:wordWrap/>
              <w:overflowPunct w:val="0"/>
              <w:topLinePunct w:val="0"/>
              <w:autoSpaceDE/>
              <w:autoSpaceDN/>
              <w:bidi w:val="0"/>
              <w:adjustRightInd w:val="0"/>
              <w:snapToGrid w:val="0"/>
              <w:spacing w:before="0" w:after="0" w:line="360" w:lineRule="auto"/>
              <w:ind w:firstLine="480" w:firstLineChars="200"/>
              <w:textAlignment w:val="auto"/>
              <w:rPr>
                <w:rFonts w:eastAsia="宋体"/>
                <w:b w:val="0"/>
                <w:color w:val="auto"/>
                <w:kern w:val="21"/>
                <w:sz w:val="24"/>
                <w:szCs w:val="24"/>
                <w:highlight w:val="none"/>
              </w:rPr>
            </w:pPr>
            <w:r>
              <w:rPr>
                <w:rFonts w:hint="eastAsia" w:eastAsia="宋体"/>
                <w:b w:val="0"/>
                <w:color w:val="auto"/>
                <w:kern w:val="21"/>
                <w:sz w:val="24"/>
                <w:szCs w:val="24"/>
                <w:highlight w:val="none"/>
                <w:lang w:val="en-US" w:eastAsia="zh-CN"/>
              </w:rPr>
              <w:t>本项目</w:t>
            </w:r>
            <w:r>
              <w:rPr>
                <w:rFonts w:eastAsia="宋体"/>
                <w:b w:val="0"/>
                <w:color w:val="auto"/>
                <w:kern w:val="21"/>
                <w:sz w:val="24"/>
                <w:szCs w:val="24"/>
                <w:highlight w:val="none"/>
              </w:rPr>
              <w:t>渗滤液</w:t>
            </w:r>
            <w:r>
              <w:rPr>
                <w:rFonts w:hint="eastAsia" w:eastAsia="宋体"/>
                <w:b w:val="0"/>
                <w:color w:val="auto"/>
                <w:kern w:val="21"/>
                <w:sz w:val="24"/>
                <w:szCs w:val="24"/>
                <w:highlight w:val="none"/>
                <w:lang w:val="en-US" w:eastAsia="zh-CN"/>
              </w:rPr>
              <w:t>经两级DTRO处理后进一步采用离子交换系统进行处理，离子交换树脂需</w:t>
            </w:r>
            <w:r>
              <w:rPr>
                <w:rFonts w:eastAsia="宋体"/>
                <w:b w:val="0"/>
                <w:color w:val="auto"/>
                <w:kern w:val="21"/>
                <w:sz w:val="24"/>
                <w:szCs w:val="24"/>
                <w:highlight w:val="none"/>
              </w:rPr>
              <w:t>定期更换，产生量约0.</w:t>
            </w:r>
            <w:r>
              <w:rPr>
                <w:rFonts w:hint="eastAsia" w:eastAsia="宋体"/>
                <w:b w:val="0"/>
                <w:color w:val="auto"/>
                <w:kern w:val="21"/>
                <w:sz w:val="24"/>
                <w:szCs w:val="24"/>
                <w:highlight w:val="none"/>
                <w:lang w:val="en-US" w:eastAsia="zh-CN"/>
              </w:rPr>
              <w:t>5</w:t>
            </w:r>
            <w:r>
              <w:rPr>
                <w:rFonts w:eastAsia="宋体"/>
                <w:b w:val="0"/>
                <w:color w:val="auto"/>
                <w:kern w:val="21"/>
                <w:sz w:val="24"/>
                <w:szCs w:val="24"/>
                <w:highlight w:val="none"/>
              </w:rPr>
              <w:t>t/a，</w:t>
            </w:r>
            <w:r>
              <w:rPr>
                <w:rFonts w:hint="eastAsia" w:eastAsia="宋体"/>
                <w:b w:val="0"/>
                <w:color w:val="auto"/>
                <w:kern w:val="21"/>
                <w:sz w:val="24"/>
                <w:szCs w:val="24"/>
                <w:highlight w:val="none"/>
                <w:lang w:val="en-US" w:eastAsia="zh-CN"/>
              </w:rPr>
              <w:t>交由</w:t>
            </w:r>
            <w:r>
              <w:rPr>
                <w:rFonts w:eastAsia="宋体"/>
                <w:b w:val="0"/>
                <w:color w:val="auto"/>
                <w:kern w:val="21"/>
                <w:sz w:val="24"/>
                <w:szCs w:val="24"/>
                <w:highlight w:val="none"/>
              </w:rPr>
              <w:t>供货厂家进行专业清洗后，再由供货厂家进行维护更换</w:t>
            </w:r>
            <w:r>
              <w:rPr>
                <w:rFonts w:hint="eastAsia" w:eastAsia="宋体"/>
                <w:b w:val="0"/>
                <w:color w:val="auto"/>
                <w:kern w:val="21"/>
                <w:sz w:val="24"/>
                <w:szCs w:val="24"/>
                <w:highlight w:val="none"/>
                <w:lang w:val="en-US" w:eastAsia="zh-CN"/>
              </w:rPr>
              <w:t>处理</w:t>
            </w:r>
            <w:r>
              <w:rPr>
                <w:rFonts w:hint="eastAsia" w:eastAsia="宋体"/>
                <w:b w:val="0"/>
                <w:color w:val="auto"/>
                <w:kern w:val="21"/>
                <w:sz w:val="24"/>
                <w:szCs w:val="24"/>
                <w:highlight w:val="none"/>
              </w:rPr>
              <w:t>。</w:t>
            </w:r>
          </w:p>
          <w:p w14:paraId="43F40ED0">
            <w:pPr>
              <w:pStyle w:val="2"/>
              <w:numPr>
                <w:ilvl w:val="0"/>
                <w:numId w:val="0"/>
              </w:numPr>
              <w:adjustRightInd w:val="0"/>
              <w:spacing w:before="0" w:after="0" w:line="360" w:lineRule="auto"/>
              <w:ind w:left="360" w:leftChars="0"/>
              <w:rPr>
                <w:rFonts w:hint="default" w:eastAsia="宋体"/>
                <w:b w:val="0"/>
                <w:color w:val="auto"/>
                <w:kern w:val="21"/>
                <w:sz w:val="24"/>
                <w:szCs w:val="24"/>
                <w:highlight w:val="none"/>
                <w:lang w:val="en-US" w:eastAsia="zh-CN"/>
              </w:rPr>
            </w:pPr>
            <w:r>
              <w:rPr>
                <w:rFonts w:hint="eastAsia" w:eastAsia="宋体"/>
                <w:b w:val="0"/>
                <w:color w:val="auto"/>
                <w:kern w:val="21"/>
                <w:sz w:val="24"/>
                <w:szCs w:val="24"/>
                <w:highlight w:val="none"/>
                <w:lang w:eastAsia="zh-CN"/>
              </w:rPr>
              <w:t>（</w:t>
            </w:r>
            <w:r>
              <w:rPr>
                <w:rFonts w:hint="eastAsia" w:eastAsia="宋体"/>
                <w:b w:val="0"/>
                <w:color w:val="auto"/>
                <w:kern w:val="21"/>
                <w:sz w:val="24"/>
                <w:szCs w:val="24"/>
                <w:highlight w:val="none"/>
                <w:lang w:val="en-US" w:eastAsia="zh-CN"/>
              </w:rPr>
              <w:t>5</w:t>
            </w:r>
            <w:r>
              <w:rPr>
                <w:rFonts w:hint="eastAsia" w:eastAsia="宋体"/>
                <w:b w:val="0"/>
                <w:color w:val="auto"/>
                <w:kern w:val="21"/>
                <w:sz w:val="24"/>
                <w:szCs w:val="24"/>
                <w:highlight w:val="none"/>
                <w:lang w:eastAsia="zh-CN"/>
              </w:rPr>
              <w:t>）</w:t>
            </w:r>
            <w:r>
              <w:rPr>
                <w:rFonts w:hint="eastAsia" w:eastAsia="宋体"/>
                <w:b w:val="0"/>
                <w:color w:val="auto"/>
                <w:kern w:val="21"/>
                <w:sz w:val="24"/>
                <w:szCs w:val="24"/>
                <w:highlight w:val="none"/>
                <w:lang w:val="en-US" w:eastAsia="zh-CN"/>
              </w:rPr>
              <w:t>在线监测废液</w:t>
            </w:r>
          </w:p>
          <w:p w14:paraId="2E4F6985">
            <w:pPr>
              <w:pStyle w:val="2"/>
              <w:keepNext/>
              <w:keepLines w:val="0"/>
              <w:pageBreakBefore w:val="0"/>
              <w:widowControl w:val="0"/>
              <w:numPr>
                <w:ilvl w:val="0"/>
                <w:numId w:val="0"/>
              </w:numPr>
              <w:kinsoku/>
              <w:wordWrap/>
              <w:overflowPunct w:val="0"/>
              <w:topLinePunct w:val="0"/>
              <w:autoSpaceDE/>
              <w:autoSpaceDN/>
              <w:bidi w:val="0"/>
              <w:adjustRightInd w:val="0"/>
              <w:snapToGrid w:val="0"/>
              <w:spacing w:before="0" w:after="0" w:line="360" w:lineRule="auto"/>
              <w:ind w:firstLine="480" w:firstLineChars="200"/>
              <w:textAlignment w:val="auto"/>
              <w:rPr>
                <w:rFonts w:hint="eastAsia" w:eastAsia="宋体"/>
                <w:b w:val="0"/>
                <w:color w:val="auto"/>
                <w:kern w:val="21"/>
                <w:sz w:val="24"/>
                <w:szCs w:val="24"/>
                <w:highlight w:val="none"/>
                <w:lang w:eastAsia="zh-CN"/>
              </w:rPr>
            </w:pPr>
            <w:r>
              <w:rPr>
                <w:rFonts w:hint="eastAsia" w:eastAsia="宋体"/>
                <w:b w:val="0"/>
                <w:color w:val="auto"/>
                <w:kern w:val="21"/>
                <w:sz w:val="24"/>
                <w:szCs w:val="24"/>
                <w:highlight w:val="none"/>
                <w:lang w:val="en-US" w:eastAsia="zh-CN"/>
              </w:rPr>
              <w:t>本项目设有一套进出水在线监测系统，运行过程中自动监测会产生少量的废液，产生量约为 0.05t/a。根据《国家危险废物名录（2025年版）》，废液属于HW49其他废物中的“900-047-49 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废液经收集后暂存于危废暂存间，委托有资质单位处置。</w:t>
            </w:r>
          </w:p>
          <w:p w14:paraId="18BA5614">
            <w:pPr>
              <w:pStyle w:val="2"/>
              <w:numPr>
                <w:ilvl w:val="0"/>
                <w:numId w:val="0"/>
              </w:numPr>
              <w:adjustRightInd w:val="0"/>
              <w:spacing w:before="0" w:after="0" w:line="360" w:lineRule="auto"/>
              <w:ind w:left="360" w:leftChars="0"/>
              <w:rPr>
                <w:rFonts w:eastAsia="宋体"/>
                <w:color w:val="auto"/>
                <w:sz w:val="24"/>
                <w:szCs w:val="24"/>
                <w:highlight w:val="none"/>
              </w:rPr>
            </w:pPr>
            <w:r>
              <w:rPr>
                <w:rFonts w:hint="eastAsia" w:eastAsia="宋体"/>
                <w:b w:val="0"/>
                <w:color w:val="auto"/>
                <w:kern w:val="21"/>
                <w:sz w:val="24"/>
                <w:szCs w:val="24"/>
                <w:highlight w:val="none"/>
                <w:lang w:eastAsia="zh-CN"/>
              </w:rPr>
              <w:t>（</w:t>
            </w:r>
            <w:r>
              <w:rPr>
                <w:rFonts w:hint="eastAsia" w:eastAsia="宋体"/>
                <w:b w:val="0"/>
                <w:color w:val="auto"/>
                <w:kern w:val="21"/>
                <w:sz w:val="24"/>
                <w:szCs w:val="24"/>
                <w:highlight w:val="none"/>
                <w:lang w:val="en-US" w:eastAsia="zh-CN"/>
              </w:rPr>
              <w:t>6</w:t>
            </w:r>
            <w:r>
              <w:rPr>
                <w:rFonts w:hint="eastAsia" w:eastAsia="宋体"/>
                <w:b w:val="0"/>
                <w:color w:val="auto"/>
                <w:kern w:val="21"/>
                <w:sz w:val="24"/>
                <w:szCs w:val="24"/>
                <w:highlight w:val="none"/>
                <w:lang w:eastAsia="zh-CN"/>
              </w:rPr>
              <w:t>）</w:t>
            </w:r>
            <w:r>
              <w:rPr>
                <w:rFonts w:eastAsia="宋体"/>
                <w:b w:val="0"/>
                <w:color w:val="auto"/>
                <w:kern w:val="21"/>
                <w:sz w:val="24"/>
                <w:szCs w:val="24"/>
                <w:highlight w:val="none"/>
              </w:rPr>
              <w:t>生活垃圾</w:t>
            </w:r>
            <w:bookmarkEnd w:id="24"/>
          </w:p>
          <w:p w14:paraId="0853E469">
            <w:pPr>
              <w:spacing w:line="360" w:lineRule="auto"/>
              <w:ind w:firstLine="480" w:firstLineChars="200"/>
              <w:rPr>
                <w:bCs/>
                <w:color w:val="auto"/>
                <w:sz w:val="24"/>
                <w:highlight w:val="none"/>
              </w:rPr>
            </w:pPr>
            <w:r>
              <w:rPr>
                <w:bCs/>
                <w:color w:val="auto"/>
                <w:sz w:val="24"/>
                <w:highlight w:val="none"/>
              </w:rPr>
              <w:t>项目</w:t>
            </w:r>
            <w:r>
              <w:rPr>
                <w:rFonts w:hint="eastAsia"/>
                <w:bCs/>
                <w:color w:val="auto"/>
                <w:sz w:val="24"/>
                <w:highlight w:val="none"/>
                <w:lang w:eastAsia="zh-CN"/>
              </w:rPr>
              <w:t>每天工作人员</w:t>
            </w:r>
            <w:r>
              <w:rPr>
                <w:rFonts w:hint="eastAsia"/>
                <w:bCs/>
                <w:color w:val="auto"/>
                <w:sz w:val="24"/>
                <w:highlight w:val="none"/>
                <w:lang w:val="en-US" w:eastAsia="zh-CN"/>
              </w:rPr>
              <w:t>5</w:t>
            </w:r>
            <w:r>
              <w:rPr>
                <w:bCs/>
                <w:color w:val="auto"/>
                <w:sz w:val="24"/>
                <w:highlight w:val="none"/>
              </w:rPr>
              <w:t>人，生活垃圾</w:t>
            </w:r>
            <w:r>
              <w:rPr>
                <w:rFonts w:hint="eastAsia"/>
                <w:bCs/>
                <w:color w:val="auto"/>
                <w:sz w:val="24"/>
                <w:highlight w:val="none"/>
                <w:lang w:eastAsia="zh-CN"/>
              </w:rPr>
              <w:t>产生量</w:t>
            </w:r>
            <w:r>
              <w:rPr>
                <w:bCs/>
                <w:color w:val="auto"/>
                <w:sz w:val="24"/>
                <w:highlight w:val="none"/>
              </w:rPr>
              <w:t>按1kg/人.d计，则项目生活垃圾产生量为</w:t>
            </w:r>
            <w:r>
              <w:rPr>
                <w:rFonts w:hint="eastAsia"/>
                <w:bCs/>
                <w:color w:val="auto"/>
                <w:sz w:val="24"/>
                <w:highlight w:val="none"/>
                <w:lang w:val="en-US" w:eastAsia="zh-CN"/>
              </w:rPr>
              <w:t>5kg</w:t>
            </w:r>
            <w:r>
              <w:rPr>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1.83</w:t>
            </w:r>
            <w:r>
              <w:rPr>
                <w:bCs/>
                <w:color w:val="auto"/>
                <w:sz w:val="24"/>
                <w:highlight w:val="none"/>
              </w:rPr>
              <w:t>t/a，集中收集</w:t>
            </w:r>
            <w:r>
              <w:rPr>
                <w:rFonts w:hint="eastAsia"/>
                <w:bCs/>
                <w:color w:val="auto"/>
                <w:sz w:val="24"/>
                <w:highlight w:val="none"/>
                <w:lang w:val="en-US" w:eastAsia="zh-CN"/>
              </w:rPr>
              <w:t>运至二期填埋区填埋，二期填埋区封场后运至澄江市垃圾焚烧发电厂处理</w:t>
            </w:r>
            <w:r>
              <w:rPr>
                <w:bCs/>
                <w:color w:val="auto"/>
                <w:sz w:val="24"/>
                <w:highlight w:val="none"/>
              </w:rPr>
              <w:t>。</w:t>
            </w:r>
          </w:p>
          <w:p w14:paraId="725B4E97">
            <w:pPr>
              <w:spacing w:line="360" w:lineRule="auto"/>
              <w:ind w:firstLine="480" w:firstLineChars="200"/>
              <w:rPr>
                <w:rFonts w:hint="eastAsia"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7</w:t>
            </w:r>
            <w:r>
              <w:rPr>
                <w:rFonts w:hint="eastAsia" w:cs="Times New Roman"/>
                <w:color w:val="auto"/>
                <w:sz w:val="24"/>
                <w:highlight w:val="none"/>
                <w:lang w:eastAsia="zh-CN"/>
              </w:rPr>
              <w:t>）</w:t>
            </w:r>
            <w:r>
              <w:rPr>
                <w:rFonts w:hint="eastAsia" w:cs="Times New Roman"/>
                <w:color w:val="auto"/>
                <w:sz w:val="24"/>
                <w:highlight w:val="none"/>
                <w:lang w:val="en-US" w:eastAsia="zh-CN"/>
              </w:rPr>
              <w:t>固化渣</w:t>
            </w:r>
          </w:p>
          <w:p w14:paraId="6B30E488">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lang w:val="en-US" w:eastAsia="zh-CN"/>
              </w:rPr>
              <w:t>根据项目水平衡图，项目蒸发母液产生量5</w:t>
            </w:r>
            <w:r>
              <w:rPr>
                <w:rFonts w:hint="eastAsia"/>
                <w:bCs/>
                <w:color w:val="auto"/>
                <w:sz w:val="24"/>
                <w:highlight w:val="none"/>
                <w:lang w:val="en-US" w:eastAsia="zh-CN"/>
              </w:rPr>
              <w:t>t</w:t>
            </w:r>
            <w:r>
              <w:rPr>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1825</w:t>
            </w:r>
            <w:r>
              <w:rPr>
                <w:bCs/>
                <w:color w:val="auto"/>
                <w:sz w:val="24"/>
                <w:highlight w:val="none"/>
              </w:rPr>
              <w:t>t/a</w:t>
            </w:r>
            <w:r>
              <w:rPr>
                <w:rFonts w:hint="eastAsia"/>
                <w:color w:val="auto"/>
                <w:kern w:val="24"/>
                <w:sz w:val="24"/>
                <w:highlight w:val="none"/>
                <w:lang w:eastAsia="zh-CN"/>
              </w:rPr>
              <w:t>，</w:t>
            </w:r>
            <w:r>
              <w:rPr>
                <w:rFonts w:hint="eastAsia"/>
                <w:color w:val="auto"/>
                <w:kern w:val="24"/>
                <w:sz w:val="24"/>
                <w:highlight w:val="none"/>
                <w:lang w:val="en-US" w:eastAsia="zh-CN"/>
              </w:rPr>
              <w:t>加入固化剂2737.5t/a进行固化处理，年产生固化渣约4562.5</w:t>
            </w:r>
            <w:r>
              <w:rPr>
                <w:bCs/>
                <w:color w:val="auto"/>
                <w:sz w:val="24"/>
                <w:highlight w:val="none"/>
              </w:rPr>
              <w:t>t/a</w:t>
            </w:r>
            <w:r>
              <w:rPr>
                <w:rFonts w:hint="eastAsia"/>
                <w:bCs/>
                <w:color w:val="auto"/>
                <w:sz w:val="24"/>
                <w:highlight w:val="none"/>
                <w:lang w:eastAsia="zh-CN"/>
              </w:rPr>
              <w:t>。</w:t>
            </w:r>
            <w:r>
              <w:rPr>
                <w:rFonts w:hint="eastAsia"/>
                <w:color w:val="auto"/>
                <w:kern w:val="24"/>
                <w:sz w:val="24"/>
                <w:highlight w:val="none"/>
              </w:rPr>
              <w:t>因浓缩液蒸发母液中污染物成分复杂，固化渣中可能含有重金属等对环境有危害的物质，</w:t>
            </w:r>
            <w:r>
              <w:rPr>
                <w:rFonts w:hint="eastAsia"/>
                <w:color w:val="auto"/>
                <w:sz w:val="24"/>
                <w:highlight w:val="none"/>
              </w:rPr>
              <w:t>本次</w:t>
            </w:r>
            <w:r>
              <w:rPr>
                <w:rFonts w:hint="eastAsia"/>
                <w:bCs/>
                <w:color w:val="auto"/>
                <w:sz w:val="24"/>
                <w:highlight w:val="none"/>
              </w:rPr>
              <w:t>环评中</w:t>
            </w:r>
            <w:r>
              <w:rPr>
                <w:rFonts w:hint="eastAsia"/>
                <w:color w:val="auto"/>
                <w:sz w:val="24"/>
                <w:highlight w:val="none"/>
              </w:rPr>
              <w:t>固化渣</w:t>
            </w:r>
            <w:r>
              <w:rPr>
                <w:rFonts w:hint="eastAsia"/>
                <w:bCs/>
                <w:color w:val="auto"/>
                <w:sz w:val="24"/>
                <w:highlight w:val="none"/>
              </w:rPr>
              <w:t>暂按危险废物进行管理。</w:t>
            </w:r>
            <w:r>
              <w:rPr>
                <w:rFonts w:hint="eastAsia" w:eastAsiaTheme="majorEastAsia"/>
                <w:color w:val="auto"/>
                <w:sz w:val="24"/>
                <w:highlight w:val="none"/>
              </w:rPr>
              <w:t>根据</w:t>
            </w:r>
            <w:r>
              <w:rPr>
                <w:rFonts w:eastAsiaTheme="majorEastAsia"/>
                <w:color w:val="auto"/>
                <w:sz w:val="24"/>
                <w:highlight w:val="none"/>
              </w:rPr>
              <w:t>《国家危险废物名录》（2025版），</w:t>
            </w:r>
            <w:r>
              <w:rPr>
                <w:rFonts w:hint="eastAsia" w:eastAsiaTheme="majorEastAsia"/>
                <w:color w:val="auto"/>
                <w:sz w:val="24"/>
                <w:highlight w:val="none"/>
              </w:rPr>
              <w:t>固化渣属于</w:t>
            </w:r>
            <w:r>
              <w:rPr>
                <w:rFonts w:eastAsiaTheme="majorEastAsia"/>
                <w:color w:val="auto"/>
                <w:sz w:val="24"/>
                <w:highlight w:val="none"/>
              </w:rPr>
              <w:t>HW</w:t>
            </w:r>
            <w:r>
              <w:rPr>
                <w:rFonts w:hint="eastAsia" w:eastAsiaTheme="majorEastAsia"/>
                <w:color w:val="auto"/>
                <w:sz w:val="24"/>
                <w:highlight w:val="none"/>
              </w:rPr>
              <w:t>49其他废物“环境治理”中的“772-006-49</w:t>
            </w:r>
            <w:r>
              <w:rPr>
                <w:rFonts w:eastAsiaTheme="majorEastAsia"/>
                <w:color w:val="auto"/>
                <w:sz w:val="24"/>
                <w:highlight w:val="none"/>
              </w:rPr>
              <w:t>采用物理、化学、物理化学或者生物方法处理或者处置毒性或者感染性危险废物过程中产生的废水处理污泥和废水处理残渣（液）</w:t>
            </w:r>
            <w:r>
              <w:rPr>
                <w:rFonts w:hint="eastAsia" w:eastAsiaTheme="majorEastAsia"/>
                <w:color w:val="auto"/>
                <w:sz w:val="24"/>
                <w:highlight w:val="none"/>
              </w:rPr>
              <w:t>”。</w:t>
            </w:r>
          </w:p>
          <w:p w14:paraId="6462BAA8">
            <w:pPr>
              <w:adjustRightInd w:val="0"/>
              <w:snapToGrid w:val="0"/>
              <w:spacing w:line="360" w:lineRule="auto"/>
              <w:ind w:firstLine="480" w:firstLineChars="200"/>
              <w:rPr>
                <w:rFonts w:hint="eastAsia"/>
                <w:color w:val="auto"/>
                <w:kern w:val="24"/>
                <w:sz w:val="24"/>
                <w:highlight w:val="none"/>
                <w:lang w:val="en-US" w:eastAsia="zh-CN"/>
              </w:rPr>
            </w:pPr>
            <w:r>
              <w:rPr>
                <w:rFonts w:hint="eastAsia"/>
                <w:color w:val="auto"/>
                <w:kern w:val="24"/>
                <w:sz w:val="24"/>
                <w:highlight w:val="none"/>
              </w:rPr>
              <w:t>待全量化处理设施运行后对固化渣进行固废属性鉴定。经鉴定若为一般固体废物，满足《一般工业固体废物贮存和填埋污染控制标准》（GB18599-2020）、《生活垃圾填埋场污染控制标准》（GB16889-2024）中填埋入场标准后进行填埋处置；若鉴定为危险废物则暂存于厂区固化渣暂存间内，及时委托有资质的单位进行处置。</w:t>
            </w:r>
          </w:p>
          <w:p w14:paraId="4C6055F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2、固体废弃物处置合理性分析</w:t>
            </w:r>
          </w:p>
          <w:p w14:paraId="7EB77F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 xml:space="preserve">1、一般固体废物储存及处置方式合理性分析 </w:t>
            </w:r>
          </w:p>
          <w:p w14:paraId="1FF642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次拟建项目产生的一般固体废物主要为砂滤泥砂、消泡剂及阻垢剂包装桶、更换的反渗透膜、废离子交换树脂。砂滤泥砂运至二期填埋区填埋，二期填埋区封场后运至澄江市垃圾焚烧发电厂处理；消泡剂及阻垢剂包装桶、更换的反渗透膜、废离子交换树脂</w:t>
            </w:r>
            <w:r>
              <w:rPr>
                <w:rFonts w:hint="eastAsia" w:eastAsia="宋体"/>
                <w:b w:val="0"/>
                <w:color w:val="auto"/>
                <w:kern w:val="21"/>
                <w:sz w:val="24"/>
                <w:szCs w:val="24"/>
                <w:highlight w:val="none"/>
                <w:lang w:val="en-US" w:eastAsia="zh-CN"/>
              </w:rPr>
              <w:t>集中收集由</w:t>
            </w:r>
            <w:r>
              <w:rPr>
                <w:rFonts w:hint="eastAsia"/>
                <w:b w:val="0"/>
                <w:color w:val="auto"/>
                <w:kern w:val="21"/>
                <w:sz w:val="24"/>
                <w:szCs w:val="24"/>
                <w:highlight w:val="none"/>
                <w:lang w:val="en-US" w:eastAsia="zh-CN"/>
              </w:rPr>
              <w:t>供货厂家</w:t>
            </w:r>
            <w:r>
              <w:rPr>
                <w:rFonts w:hint="eastAsia" w:eastAsia="宋体"/>
                <w:b w:val="0"/>
                <w:color w:val="auto"/>
                <w:kern w:val="21"/>
                <w:sz w:val="24"/>
                <w:szCs w:val="24"/>
                <w:highlight w:val="none"/>
                <w:lang w:val="en-US" w:eastAsia="zh-CN"/>
              </w:rPr>
              <w:t>回收处置</w:t>
            </w:r>
            <w:r>
              <w:rPr>
                <w:rFonts w:hint="eastAsia"/>
                <w:b w:val="0"/>
                <w:color w:val="auto"/>
                <w:kern w:val="21"/>
                <w:sz w:val="24"/>
                <w:szCs w:val="24"/>
                <w:highlight w:val="none"/>
                <w:lang w:val="en-US" w:eastAsia="zh-CN"/>
              </w:rPr>
              <w:t>。</w:t>
            </w:r>
            <w:r>
              <w:rPr>
                <w:rFonts w:hint="eastAsia" w:cs="Times New Roman"/>
                <w:b w:val="0"/>
                <w:bCs w:val="0"/>
                <w:color w:val="auto"/>
                <w:sz w:val="24"/>
                <w:highlight w:val="none"/>
                <w:lang w:val="en-US" w:eastAsia="zh-CN"/>
              </w:rPr>
              <w:t xml:space="preserve">一般固体废物储存及处置方式合理，对环境影响较小。 </w:t>
            </w:r>
          </w:p>
          <w:p w14:paraId="72D5CE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 xml:space="preserve">2、危险废物储存及处置方式合理性分析 </w:t>
            </w:r>
          </w:p>
          <w:p w14:paraId="5FA545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 xml:space="preserve">（1）危险废物产生、存储及处置 </w:t>
            </w:r>
          </w:p>
          <w:p w14:paraId="3B345C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次拟建项目在线监测废液属于危险废物，收集于危废暂存间后均委托有相关危废处置资质的单位进行处置。在危险废物转运前，建设单位应先向当地环保部门领取危废转移联单并办理危险废物转移手续。生产工艺产生的固化渣采用吨袋集中收集，暂存于固化渣暂存间，</w:t>
            </w:r>
            <w:r>
              <w:rPr>
                <w:rFonts w:hint="eastAsia"/>
                <w:color w:val="auto"/>
                <w:kern w:val="24"/>
                <w:sz w:val="24"/>
                <w:highlight w:val="none"/>
              </w:rPr>
              <w:t>环评阶段暂按危险废物进行管理。待全量化处理设施运行后对固化渣进行固废属性鉴定。经鉴定若为一般固体废物，满足《一般工业固体废物贮存和填埋污染控制标准》（GB18599-2020）</w:t>
            </w:r>
            <w:r>
              <w:rPr>
                <w:rFonts w:hint="eastAsia"/>
                <w:color w:val="auto"/>
                <w:kern w:val="24"/>
                <w:sz w:val="24"/>
                <w:highlight w:val="none"/>
                <w:lang w:eastAsia="zh-CN"/>
              </w:rPr>
              <w:t>、《</w:t>
            </w:r>
            <w:r>
              <w:rPr>
                <w:rFonts w:hint="eastAsia"/>
                <w:color w:val="auto"/>
                <w:kern w:val="24"/>
                <w:sz w:val="24"/>
                <w:highlight w:val="none"/>
                <w:lang w:val="en-US" w:eastAsia="zh-CN"/>
              </w:rPr>
              <w:t>生活垃圾填埋场污染控制标准</w:t>
            </w:r>
            <w:r>
              <w:rPr>
                <w:rFonts w:hint="eastAsia"/>
                <w:color w:val="auto"/>
                <w:kern w:val="24"/>
                <w:sz w:val="24"/>
                <w:highlight w:val="none"/>
                <w:lang w:eastAsia="zh-CN"/>
              </w:rPr>
              <w:t>》（</w:t>
            </w:r>
            <w:r>
              <w:rPr>
                <w:rFonts w:hint="eastAsia"/>
                <w:color w:val="auto"/>
                <w:kern w:val="24"/>
                <w:sz w:val="24"/>
                <w:highlight w:val="none"/>
                <w:lang w:val="en-US" w:eastAsia="zh-CN"/>
              </w:rPr>
              <w:t>GB16889-2024</w:t>
            </w:r>
            <w:r>
              <w:rPr>
                <w:rFonts w:hint="eastAsia"/>
                <w:color w:val="auto"/>
                <w:kern w:val="24"/>
                <w:sz w:val="24"/>
                <w:highlight w:val="none"/>
                <w:lang w:eastAsia="zh-CN"/>
              </w:rPr>
              <w:t>）</w:t>
            </w:r>
            <w:r>
              <w:rPr>
                <w:rFonts w:hint="eastAsia"/>
                <w:color w:val="auto"/>
                <w:kern w:val="24"/>
                <w:sz w:val="24"/>
                <w:highlight w:val="none"/>
              </w:rPr>
              <w:t>中填埋入场标准后进行填埋处置；若鉴定为危险废物则暂存于厂区固化渣暂存间内，及时委托有资质的单位进行处置。</w:t>
            </w:r>
            <w:r>
              <w:rPr>
                <w:rFonts w:hint="eastAsia" w:cs="Times New Roman"/>
                <w:b w:val="0"/>
                <w:bCs w:val="0"/>
                <w:color w:val="auto"/>
                <w:sz w:val="24"/>
                <w:highlight w:val="none"/>
                <w:lang w:val="en-US" w:eastAsia="zh-CN"/>
              </w:rPr>
              <w:t xml:space="preserve"> </w:t>
            </w:r>
          </w:p>
          <w:p w14:paraId="2FC19D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 xml:space="preserve">（2）危险废物存贮场所合理性分析 </w:t>
            </w:r>
          </w:p>
          <w:p w14:paraId="160C0E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本次拟建项目建设固化渣暂存间87.04m</w:t>
            </w:r>
            <w:r>
              <w:rPr>
                <w:rFonts w:hint="eastAsia" w:cs="Times New Roman"/>
                <w:b w:val="0"/>
                <w:bCs w:val="0"/>
                <w:color w:val="auto"/>
                <w:sz w:val="24"/>
                <w:highlight w:val="none"/>
                <w:vertAlign w:val="superscript"/>
                <w:lang w:val="en-US" w:eastAsia="zh-CN"/>
              </w:rPr>
              <w:t>2</w:t>
            </w:r>
            <w:r>
              <w:rPr>
                <w:rFonts w:hint="eastAsia" w:cs="Times New Roman"/>
                <w:b w:val="0"/>
                <w:bCs w:val="0"/>
                <w:color w:val="auto"/>
                <w:sz w:val="24"/>
                <w:highlight w:val="none"/>
                <w:lang w:val="en-US" w:eastAsia="zh-CN"/>
              </w:rPr>
              <w:t>，最大储存量约100t，固化渣总产生量为12.5t/d、4562.5t/a，可贮存周期为8天（100t），本项目建成后拟每周清理一次固化渣，能满足本次拟建项目固化渣的暂存。</w:t>
            </w:r>
          </w:p>
          <w:p w14:paraId="73DA0F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本次环评建设项目建设1间危废暂存间，面积5m</w:t>
            </w:r>
            <w:r>
              <w:rPr>
                <w:rFonts w:hint="eastAsia" w:cs="Times New Roman"/>
                <w:b w:val="0"/>
                <w:bCs w:val="0"/>
                <w:color w:val="auto"/>
                <w:sz w:val="24"/>
                <w:highlight w:val="none"/>
                <w:vertAlign w:val="superscript"/>
                <w:lang w:val="en-US" w:eastAsia="zh-CN"/>
              </w:rPr>
              <w:t>2</w:t>
            </w:r>
            <w:r>
              <w:rPr>
                <w:rFonts w:hint="eastAsia" w:cs="Times New Roman"/>
                <w:b w:val="0"/>
                <w:bCs w:val="0"/>
                <w:color w:val="auto"/>
                <w:sz w:val="24"/>
                <w:highlight w:val="none"/>
                <w:lang w:val="en-US" w:eastAsia="zh-CN"/>
              </w:rPr>
              <w:t>，最大储存量为5t，主要储存在线监测废液，在线监测废液</w:t>
            </w:r>
            <w:r>
              <w:rPr>
                <w:rFonts w:hint="eastAsia" w:eastAsia="宋体"/>
                <w:b w:val="0"/>
                <w:color w:val="auto"/>
                <w:kern w:val="21"/>
                <w:sz w:val="24"/>
                <w:szCs w:val="24"/>
                <w:highlight w:val="none"/>
                <w:lang w:val="en-US" w:eastAsia="zh-CN"/>
              </w:rPr>
              <w:t>产生量约为 0.05t/a</w:t>
            </w:r>
            <w:r>
              <w:rPr>
                <w:rFonts w:hint="eastAsia" w:cs="Times New Roman"/>
                <w:b w:val="0"/>
                <w:bCs w:val="0"/>
                <w:color w:val="auto"/>
                <w:sz w:val="24"/>
                <w:highlight w:val="none"/>
                <w:lang w:val="en-US" w:eastAsia="zh-CN"/>
              </w:rPr>
              <w:t>，贮存周期为半年，能满足本次项目在线监测废液的暂存。</w:t>
            </w:r>
          </w:p>
          <w:p w14:paraId="160DE4C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3、</w:t>
            </w:r>
            <w:r>
              <w:rPr>
                <w:rFonts w:hint="default" w:ascii="Times New Roman" w:hAnsi="Times New Roman" w:cs="Times New Roman"/>
                <w:b/>
                <w:bCs/>
                <w:color w:val="auto"/>
                <w:sz w:val="24"/>
                <w:highlight w:val="none"/>
              </w:rPr>
              <w:t>固体废物环境管理要求</w:t>
            </w:r>
          </w:p>
          <w:p w14:paraId="3D6E3706">
            <w:pPr>
              <w:adjustRightInd w:val="0"/>
              <w:snapToGrid w:val="0"/>
              <w:spacing w:line="360" w:lineRule="auto"/>
              <w:ind w:firstLine="480" w:firstLineChars="200"/>
              <w:jc w:val="left"/>
              <w:rPr>
                <w:rFonts w:hint="default" w:ascii="Times New Roman" w:hAnsi="Times New Roman" w:cs="Times New Roman"/>
                <w:color w:val="auto"/>
                <w:kern w:val="24"/>
                <w:sz w:val="24"/>
                <w:highlight w:val="none"/>
              </w:rPr>
            </w:pPr>
            <w:r>
              <w:rPr>
                <w:rFonts w:hint="default" w:ascii="Times New Roman" w:hAnsi="Times New Roman" w:cs="Times New Roman"/>
                <w:color w:val="auto"/>
                <w:kern w:val="24"/>
                <w:sz w:val="24"/>
                <w:highlight w:val="none"/>
              </w:rPr>
              <w:t>（1）固体废物处置要求</w:t>
            </w:r>
          </w:p>
          <w:p w14:paraId="3FFFEB71">
            <w:pPr>
              <w:adjustRightInd w:val="0"/>
              <w:snapToGrid w:val="0"/>
              <w:spacing w:line="360" w:lineRule="auto"/>
              <w:ind w:firstLine="480" w:firstLineChars="200"/>
              <w:jc w:val="left"/>
              <w:rPr>
                <w:rFonts w:hint="default" w:ascii="Times New Roman" w:hAnsi="Times New Roman" w:cs="Times New Roman"/>
                <w:color w:val="auto"/>
                <w:kern w:val="24"/>
                <w:sz w:val="24"/>
                <w:highlight w:val="none"/>
              </w:rPr>
            </w:pPr>
            <w:r>
              <w:rPr>
                <w:rFonts w:hint="default" w:ascii="Times New Roman" w:hAnsi="Times New Roman" w:cs="Times New Roman"/>
                <w:color w:val="auto"/>
                <w:kern w:val="24"/>
                <w:sz w:val="24"/>
                <w:highlight w:val="none"/>
              </w:rPr>
              <w:t>项目固体废物按委外回收及委外处理进行分类管理。一般固废委外回收部分应集中于一般固废暂存间；危险废物委外处理部分堆放于危废暂存间，委托有资质单位处理。</w:t>
            </w:r>
          </w:p>
          <w:p w14:paraId="20F83E1F">
            <w:pPr>
              <w:adjustRightInd w:val="0"/>
              <w:snapToGrid w:val="0"/>
              <w:spacing w:line="360" w:lineRule="auto"/>
              <w:ind w:firstLine="480" w:firstLineChars="200"/>
              <w:jc w:val="left"/>
              <w:rPr>
                <w:rFonts w:hint="default" w:ascii="Times New Roman" w:hAnsi="Times New Roman" w:cs="Times New Roman"/>
                <w:color w:val="auto"/>
                <w:kern w:val="24"/>
                <w:sz w:val="24"/>
                <w:szCs w:val="24"/>
                <w:highlight w:val="none"/>
              </w:rPr>
            </w:pPr>
            <w:r>
              <w:rPr>
                <w:rFonts w:hint="eastAsia"/>
                <w:color w:val="auto"/>
                <w:sz w:val="24"/>
                <w:szCs w:val="24"/>
                <w:highlight w:val="none"/>
                <w:lang w:val="en-US" w:eastAsia="zh-CN"/>
              </w:rPr>
              <w:t>根据本项目设计方案，本项目设有一栋固化渣暂存间，面积87.04m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，同时本次环评提出在固化渣</w:t>
            </w:r>
            <w:r>
              <w:rPr>
                <w:rFonts w:hint="eastAsia" w:cs="Times New Roman"/>
                <w:color w:val="auto"/>
                <w:kern w:val="24"/>
                <w:sz w:val="24"/>
                <w:szCs w:val="24"/>
                <w:highlight w:val="none"/>
                <w:lang w:val="en-US" w:eastAsia="zh-CN"/>
              </w:rPr>
              <w:t>暂存间旁建设</w:t>
            </w:r>
            <w:r>
              <w:rPr>
                <w:rFonts w:hint="eastAsia" w:cs="Times New Roman"/>
                <w:color w:val="auto"/>
                <w:kern w:val="24"/>
                <w:sz w:val="24"/>
                <w:szCs w:val="24"/>
                <w:highlight w:val="none"/>
                <w:lang w:eastAsia="zh-CN"/>
              </w:rPr>
              <w:t>一个</w:t>
            </w:r>
            <w:r>
              <w:rPr>
                <w:rFonts w:hint="eastAsia" w:cs="Times New Roman"/>
                <w:color w:val="auto"/>
                <w:kern w:val="24"/>
                <w:sz w:val="24"/>
                <w:szCs w:val="24"/>
                <w:highlight w:val="none"/>
                <w:lang w:val="en-US" w:eastAsia="zh-CN"/>
              </w:rPr>
              <w:t>10m</w:t>
            </w:r>
            <w:r>
              <w:rPr>
                <w:rFonts w:hint="eastAsia" w:cs="Times New Roman"/>
                <w:color w:val="auto"/>
                <w:kern w:val="24"/>
                <w:sz w:val="24"/>
                <w:szCs w:val="24"/>
                <w:highlight w:val="none"/>
                <w:vertAlign w:val="superscript"/>
                <w:lang w:val="en-US" w:eastAsia="zh-CN"/>
              </w:rPr>
              <w:t>2</w:t>
            </w:r>
            <w:r>
              <w:rPr>
                <w:rFonts w:hint="eastAsia" w:cs="Times New Roman"/>
                <w:color w:val="auto"/>
                <w:kern w:val="24"/>
                <w:sz w:val="24"/>
                <w:szCs w:val="24"/>
                <w:highlight w:val="none"/>
                <w:lang w:val="en-US" w:eastAsia="zh-CN"/>
              </w:rPr>
              <w:t>的一般固废暂存间</w:t>
            </w:r>
            <w:r>
              <w:rPr>
                <w:rFonts w:hint="eastAsia" w:cs="Times New Roman"/>
                <w:color w:val="auto"/>
                <w:kern w:val="24"/>
                <w:sz w:val="24"/>
                <w:szCs w:val="24"/>
                <w:highlight w:val="none"/>
                <w:lang w:eastAsia="zh-CN"/>
              </w:rPr>
              <w:t>，用于</w:t>
            </w:r>
            <w:r>
              <w:rPr>
                <w:rFonts w:hint="eastAsia" w:ascii="Times New Roman" w:hAnsi="Times New Roman" w:cs="Times New Roman"/>
                <w:color w:val="auto"/>
                <w:kern w:val="24"/>
                <w:sz w:val="24"/>
                <w:szCs w:val="24"/>
                <w:highlight w:val="none"/>
                <w:lang w:val="en-US" w:eastAsia="zh-CN"/>
              </w:rPr>
              <w:t>消泡剂、阻垢剂包装桶的</w:t>
            </w:r>
            <w:r>
              <w:rPr>
                <w:rFonts w:hint="default" w:ascii="Times New Roman" w:hAnsi="Times New Roman" w:cs="Times New Roman"/>
                <w:color w:val="auto"/>
                <w:kern w:val="24"/>
                <w:sz w:val="24"/>
                <w:szCs w:val="24"/>
                <w:highlight w:val="none"/>
              </w:rPr>
              <w:t>暂存。一般固废堆放场所选址，运行等满足</w:t>
            </w:r>
            <w:r>
              <w:rPr>
                <w:rFonts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rPr>
              <w:t>一般工业固体废物贮存和填埋污染控制标准</w:t>
            </w:r>
            <w:r>
              <w:rPr>
                <w:rFonts w:ascii="Times New Roman" w:hAnsi="Times New Roman" w:cs="Times New Roman"/>
                <w:color w:val="auto"/>
                <w:kern w:val="24"/>
                <w:sz w:val="24"/>
                <w:highlight w:val="none"/>
              </w:rPr>
              <w:t>》（GB</w:t>
            </w:r>
            <w:r>
              <w:rPr>
                <w:rFonts w:hint="eastAsia" w:ascii="Times New Roman" w:hAnsi="Times New Roman" w:cs="Times New Roman"/>
                <w:color w:val="auto"/>
                <w:kern w:val="24"/>
                <w:sz w:val="24"/>
                <w:highlight w:val="none"/>
              </w:rPr>
              <w:t>18599-2020</w:t>
            </w:r>
            <w:r>
              <w:rPr>
                <w:rFonts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rPr>
              <w:t>及</w:t>
            </w:r>
            <w:r>
              <w:rPr>
                <w:rFonts w:hint="eastAsia" w:ascii="Times New Roman" w:hAnsi="Times New Roman" w:cs="Times New Roman"/>
                <w:color w:val="auto"/>
                <w:kern w:val="24"/>
                <w:sz w:val="24"/>
                <w:highlight w:val="none"/>
                <w:lang w:val="en-US" w:eastAsia="zh-CN"/>
              </w:rPr>
              <w:t>GBT39198-2020</w:t>
            </w:r>
            <w:r>
              <w:rPr>
                <w:rFonts w:hint="eastAsia" w:ascii="Times New Roman" w:hAnsi="Times New Roman" w:cs="Times New Roman"/>
                <w:color w:val="auto"/>
                <w:kern w:val="24"/>
                <w:sz w:val="24"/>
                <w:highlight w:val="none"/>
              </w:rPr>
              <w:t>《</w:t>
            </w:r>
            <w:r>
              <w:rPr>
                <w:rFonts w:ascii="Times New Roman" w:hAnsi="Times New Roman" w:cs="Times New Roman"/>
                <w:color w:val="auto"/>
                <w:kern w:val="24"/>
                <w:sz w:val="24"/>
                <w:highlight w:val="none"/>
              </w:rPr>
              <w:t>一般固体废物</w:t>
            </w:r>
            <w:r>
              <w:rPr>
                <w:rFonts w:hint="eastAsia" w:ascii="Times New Roman" w:hAnsi="Times New Roman" w:cs="Times New Roman"/>
                <w:color w:val="auto"/>
                <w:kern w:val="24"/>
                <w:sz w:val="24"/>
                <w:highlight w:val="none"/>
              </w:rPr>
              <w:t>分类与代码》</w:t>
            </w:r>
            <w:r>
              <w:rPr>
                <w:rFonts w:hint="default" w:ascii="Times New Roman" w:hAnsi="Times New Roman" w:cs="Times New Roman"/>
                <w:color w:val="auto"/>
                <w:kern w:val="24"/>
                <w:sz w:val="24"/>
                <w:szCs w:val="24"/>
                <w:highlight w:val="none"/>
              </w:rPr>
              <w:t>中相关要求。</w:t>
            </w:r>
          </w:p>
          <w:p w14:paraId="13E701FF">
            <w:pPr>
              <w:adjustRightInd w:val="0"/>
              <w:snapToGrid w:val="0"/>
              <w:spacing w:line="360" w:lineRule="auto"/>
              <w:ind w:firstLine="480" w:firstLineChars="200"/>
              <w:jc w:val="both"/>
              <w:rPr>
                <w:rFonts w:hint="default" w:ascii="Times New Roman" w:hAnsi="Times New Roman" w:cs="Times New Roman"/>
                <w:color w:val="auto"/>
                <w:kern w:val="24"/>
                <w:sz w:val="24"/>
                <w:highlight w:val="none"/>
              </w:rPr>
            </w:pPr>
            <w:r>
              <w:rPr>
                <w:rFonts w:hint="eastAsia"/>
                <w:color w:val="auto"/>
                <w:kern w:val="24"/>
                <w:sz w:val="24"/>
                <w:highlight w:val="none"/>
              </w:rPr>
              <w:t>本项目</w:t>
            </w:r>
            <w:r>
              <w:rPr>
                <w:rFonts w:hint="eastAsia"/>
                <w:color w:val="auto"/>
                <w:sz w:val="24"/>
                <w:highlight w:val="none"/>
              </w:rPr>
              <w:t>固化渣暂存间、危废暂存间按照危废贮存场所要求进行建设，应按《危险废物识别标志设置技术规范》（HJ 1276-2022）要求设置危险废物标志牌，</w:t>
            </w:r>
            <w:r>
              <w:rPr>
                <w:color w:val="auto"/>
                <w:sz w:val="24"/>
                <w:highlight w:val="none"/>
              </w:rPr>
              <w:t>按照《危险废物贮存污染控制标准》（GB18597-2023）的相关规定进行防渗处理</w:t>
            </w:r>
            <w:r>
              <w:rPr>
                <w:rFonts w:hint="eastAsia"/>
                <w:color w:val="auto"/>
                <w:sz w:val="24"/>
                <w:highlight w:val="none"/>
              </w:rPr>
              <w:t>，并配套导流沟、集液池、标识牌、分类分区分隔等相关设施。</w:t>
            </w:r>
          </w:p>
          <w:p w14:paraId="74299CBF">
            <w:pPr>
              <w:adjustRightInd w:val="0"/>
              <w:snapToGrid w:val="0"/>
              <w:spacing w:line="360" w:lineRule="auto"/>
              <w:ind w:firstLine="480" w:firstLineChars="200"/>
              <w:rPr>
                <w:rFonts w:hint="default" w:ascii="Times New Roman" w:hAnsi="Times New Roman" w:cs="Times New Roman"/>
                <w:color w:val="auto"/>
                <w:kern w:val="24"/>
                <w:sz w:val="24"/>
                <w:highlight w:val="none"/>
              </w:rPr>
            </w:pPr>
            <w:r>
              <w:rPr>
                <w:rFonts w:hint="default" w:ascii="Times New Roman" w:hAnsi="Times New Roman" w:cs="Times New Roman"/>
                <w:color w:val="auto"/>
                <w:kern w:val="24"/>
                <w:sz w:val="24"/>
                <w:highlight w:val="none"/>
              </w:rPr>
              <w:t>（2）固体废物贮存管理要求</w:t>
            </w:r>
          </w:p>
          <w:p w14:paraId="358D8612">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24"/>
                <w:sz w:val="24"/>
                <w:highlight w:val="none"/>
              </w:rPr>
            </w:pPr>
            <w:r>
              <w:rPr>
                <w:rFonts w:hint="default"/>
                <w:b/>
                <w:bCs/>
                <w:color w:val="auto"/>
                <w:kern w:val="24"/>
                <w:sz w:val="24"/>
                <w:highlight w:val="none"/>
              </w:rPr>
              <w:t>一般工业固废：</w:t>
            </w:r>
          </w:p>
          <w:p w14:paraId="076A5A3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24"/>
                <w:sz w:val="24"/>
                <w:highlight w:val="none"/>
              </w:rPr>
            </w:pPr>
            <w:r>
              <w:rPr>
                <w:rFonts w:hint="default"/>
                <w:color w:val="auto"/>
                <w:kern w:val="24"/>
                <w:sz w:val="24"/>
                <w:highlight w:val="none"/>
              </w:rPr>
              <w:t>①按照《</w:t>
            </w:r>
            <w:r>
              <w:rPr>
                <w:rFonts w:hint="eastAsia"/>
                <w:color w:val="auto"/>
                <w:kern w:val="24"/>
                <w:sz w:val="24"/>
                <w:highlight w:val="none"/>
              </w:rPr>
              <w:t>一般工业固体废物贮存和填埋污染控制标准</w:t>
            </w:r>
            <w:r>
              <w:rPr>
                <w:rFonts w:hint="default"/>
                <w:color w:val="auto"/>
                <w:kern w:val="24"/>
                <w:sz w:val="24"/>
                <w:highlight w:val="none"/>
              </w:rPr>
              <w:t>》（GB</w:t>
            </w:r>
            <w:r>
              <w:rPr>
                <w:rFonts w:hint="eastAsia"/>
                <w:color w:val="auto"/>
                <w:kern w:val="24"/>
                <w:sz w:val="24"/>
                <w:highlight w:val="none"/>
              </w:rPr>
              <w:t>18599-2020</w:t>
            </w:r>
            <w:r>
              <w:rPr>
                <w:rFonts w:hint="default"/>
                <w:color w:val="auto"/>
                <w:kern w:val="24"/>
                <w:sz w:val="24"/>
                <w:highlight w:val="none"/>
              </w:rPr>
              <w:t>）</w:t>
            </w:r>
            <w:r>
              <w:rPr>
                <w:rFonts w:hint="eastAsia"/>
                <w:color w:val="auto"/>
                <w:kern w:val="24"/>
                <w:sz w:val="24"/>
                <w:highlight w:val="none"/>
              </w:rPr>
              <w:t>及GBT39198-2020《</w:t>
            </w:r>
            <w:r>
              <w:rPr>
                <w:rFonts w:hint="default"/>
                <w:color w:val="auto"/>
                <w:kern w:val="24"/>
                <w:sz w:val="24"/>
                <w:highlight w:val="none"/>
              </w:rPr>
              <w:t>一般固体废物</w:t>
            </w:r>
            <w:r>
              <w:rPr>
                <w:rFonts w:hint="eastAsia"/>
                <w:color w:val="auto"/>
                <w:kern w:val="24"/>
                <w:sz w:val="24"/>
                <w:highlight w:val="none"/>
              </w:rPr>
              <w:t>分类与代码》</w:t>
            </w:r>
            <w:r>
              <w:rPr>
                <w:rFonts w:hint="default"/>
                <w:color w:val="auto"/>
                <w:kern w:val="24"/>
                <w:sz w:val="24"/>
                <w:highlight w:val="none"/>
              </w:rPr>
              <w:t>的要求设置暂存场所。</w:t>
            </w:r>
          </w:p>
          <w:p w14:paraId="1CC1B2F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24"/>
                <w:sz w:val="24"/>
                <w:highlight w:val="none"/>
              </w:rPr>
            </w:pPr>
            <w:r>
              <w:rPr>
                <w:rFonts w:hint="default"/>
                <w:color w:val="auto"/>
                <w:kern w:val="24"/>
                <w:sz w:val="24"/>
                <w:highlight w:val="none"/>
              </w:rPr>
              <w:t>②不得露天堆放，防止雨水进入产生二次污染。</w:t>
            </w:r>
          </w:p>
          <w:p w14:paraId="043EB48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24"/>
                <w:sz w:val="24"/>
                <w:highlight w:val="none"/>
              </w:rPr>
            </w:pPr>
            <w:r>
              <w:rPr>
                <w:rFonts w:hint="default"/>
                <w:color w:val="auto"/>
                <w:kern w:val="24"/>
                <w:sz w:val="24"/>
                <w:highlight w:val="none"/>
              </w:rPr>
              <w:t>③一般固废暂存间按照《</w:t>
            </w:r>
            <w:r>
              <w:rPr>
                <w:rFonts w:hint="eastAsia"/>
                <w:color w:val="auto"/>
                <w:kern w:val="24"/>
                <w:sz w:val="24"/>
                <w:highlight w:val="none"/>
              </w:rPr>
              <w:t>一般工业固体废物贮存和填埋污染控制标准</w:t>
            </w:r>
            <w:r>
              <w:rPr>
                <w:rFonts w:hint="default"/>
                <w:color w:val="auto"/>
                <w:kern w:val="24"/>
                <w:sz w:val="24"/>
                <w:highlight w:val="none"/>
              </w:rPr>
              <w:t>》（GB</w:t>
            </w:r>
            <w:r>
              <w:rPr>
                <w:rFonts w:hint="eastAsia"/>
                <w:color w:val="auto"/>
                <w:kern w:val="24"/>
                <w:sz w:val="24"/>
                <w:highlight w:val="none"/>
              </w:rPr>
              <w:t>18599-2020</w:t>
            </w:r>
            <w:r>
              <w:rPr>
                <w:rFonts w:hint="default"/>
                <w:color w:val="auto"/>
                <w:kern w:val="24"/>
                <w:sz w:val="24"/>
                <w:highlight w:val="none"/>
              </w:rPr>
              <w:t>）</w:t>
            </w:r>
            <w:r>
              <w:rPr>
                <w:rFonts w:hint="eastAsia"/>
                <w:color w:val="auto"/>
                <w:kern w:val="24"/>
                <w:sz w:val="24"/>
                <w:highlight w:val="none"/>
              </w:rPr>
              <w:t>及GBT39198-2020《</w:t>
            </w:r>
            <w:r>
              <w:rPr>
                <w:rFonts w:hint="default"/>
                <w:color w:val="auto"/>
                <w:kern w:val="24"/>
                <w:sz w:val="24"/>
                <w:highlight w:val="none"/>
              </w:rPr>
              <w:t>一般固体废物</w:t>
            </w:r>
            <w:r>
              <w:rPr>
                <w:rFonts w:hint="eastAsia"/>
                <w:color w:val="auto"/>
                <w:kern w:val="24"/>
                <w:sz w:val="24"/>
                <w:highlight w:val="none"/>
              </w:rPr>
              <w:t>分类与代码》</w:t>
            </w:r>
            <w:r>
              <w:rPr>
                <w:rFonts w:hint="default"/>
                <w:color w:val="auto"/>
                <w:kern w:val="24"/>
                <w:sz w:val="24"/>
                <w:highlight w:val="none"/>
              </w:rPr>
              <w:t>相关要求建设，地面基础及内墙采取防渗措施，使用防水混凝土。一般固体废物按照不同的类别和性质，分区堆放。通过规范设置固体废物暂存场，同时建立完善厂内固体废物防范措施和管理制度，可使固体废物在收集、存放过程中对环境的影响至最低限度。</w:t>
            </w:r>
          </w:p>
          <w:p w14:paraId="57AF95F3">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24"/>
                <w:sz w:val="24"/>
                <w:highlight w:val="none"/>
              </w:rPr>
            </w:pPr>
            <w:r>
              <w:rPr>
                <w:rFonts w:hint="default"/>
                <w:b/>
                <w:bCs/>
                <w:color w:val="auto"/>
                <w:kern w:val="24"/>
                <w:sz w:val="24"/>
                <w:highlight w:val="none"/>
              </w:rPr>
              <w:t>危险废物：</w:t>
            </w:r>
          </w:p>
          <w:p w14:paraId="7F6F978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24"/>
                <w:sz w:val="24"/>
                <w:highlight w:val="none"/>
              </w:rPr>
            </w:pPr>
            <w:r>
              <w:rPr>
                <w:rFonts w:hint="default"/>
                <w:color w:val="auto"/>
                <w:kern w:val="24"/>
                <w:sz w:val="24"/>
                <w:highlight w:val="none"/>
              </w:rPr>
              <w:t>①危险废物暂存间应遵照《危险废物贮存污染控制标准》</w:t>
            </w:r>
            <w:r>
              <w:rPr>
                <w:rFonts w:hint="eastAsia"/>
                <w:color w:val="auto"/>
                <w:kern w:val="24"/>
                <w:sz w:val="24"/>
                <w:highlight w:val="none"/>
                <w:lang w:eastAsia="zh-CN"/>
              </w:rPr>
              <w:t>（</w:t>
            </w:r>
            <w:r>
              <w:rPr>
                <w:rFonts w:hint="default"/>
                <w:color w:val="auto"/>
                <w:kern w:val="24"/>
                <w:sz w:val="24"/>
                <w:highlight w:val="none"/>
              </w:rPr>
              <w:t>GB18597-2</w:t>
            </w:r>
            <w:r>
              <w:rPr>
                <w:rFonts w:hint="eastAsia"/>
                <w:color w:val="auto"/>
                <w:kern w:val="24"/>
                <w:sz w:val="24"/>
                <w:highlight w:val="none"/>
                <w:lang w:val="en-US" w:eastAsia="zh-CN"/>
              </w:rPr>
              <w:t>023</w:t>
            </w:r>
            <w:r>
              <w:rPr>
                <w:rFonts w:hint="eastAsia"/>
                <w:color w:val="auto"/>
                <w:kern w:val="24"/>
                <w:sz w:val="24"/>
                <w:highlight w:val="none"/>
                <w:lang w:eastAsia="zh-CN"/>
              </w:rPr>
              <w:t>）</w:t>
            </w:r>
            <w:r>
              <w:rPr>
                <w:rFonts w:hint="default"/>
                <w:color w:val="auto"/>
                <w:kern w:val="24"/>
                <w:sz w:val="24"/>
                <w:highlight w:val="none"/>
              </w:rPr>
              <w:t>设置，并分类存放、贮存，并必须采取防扬散、防流失、防渗漏及其他防止污染环境的措施，不得随意露天堆放；</w:t>
            </w:r>
          </w:p>
          <w:p w14:paraId="0A2071F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24"/>
                <w:sz w:val="24"/>
                <w:highlight w:val="none"/>
              </w:rPr>
            </w:pPr>
            <w:r>
              <w:rPr>
                <w:rFonts w:hint="default"/>
                <w:color w:val="auto"/>
                <w:kern w:val="24"/>
                <w:sz w:val="24"/>
                <w:highlight w:val="none"/>
              </w:rPr>
              <w:t>②对危险固废储存场所应进行处理，如采用工业地坪，消除危险固废外泄的可能。</w:t>
            </w:r>
          </w:p>
          <w:p w14:paraId="02FCBF6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24"/>
                <w:sz w:val="24"/>
                <w:highlight w:val="none"/>
              </w:rPr>
            </w:pPr>
            <w:r>
              <w:rPr>
                <w:rFonts w:hint="default"/>
                <w:color w:val="auto"/>
                <w:kern w:val="24"/>
                <w:sz w:val="24"/>
                <w:highlight w:val="none"/>
              </w:rPr>
              <w:t>③对危险废物的容器或包装物以及收集、贮存、运输、处置危险废物的设施、场所，必须设置危险废物识别标志；</w:t>
            </w:r>
          </w:p>
          <w:p w14:paraId="24FDC90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24"/>
                <w:sz w:val="24"/>
                <w:highlight w:val="none"/>
              </w:rPr>
            </w:pPr>
            <w:r>
              <w:rPr>
                <w:rFonts w:hint="default"/>
                <w:color w:val="auto"/>
                <w:kern w:val="24"/>
                <w:sz w:val="24"/>
                <w:highlight w:val="none"/>
              </w:rPr>
              <w:t>④各类危险废物分类编号，用固定的容器密闭贮存。废弃物入室堆放前，均需填写入场清单，经核准后方可入场；</w:t>
            </w:r>
          </w:p>
          <w:p w14:paraId="5703182B">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kern w:val="24"/>
                <w:sz w:val="24"/>
                <w:highlight w:val="none"/>
                <w:lang w:eastAsia="zh-CN"/>
              </w:rPr>
            </w:pPr>
            <w:r>
              <w:rPr>
                <w:rFonts w:hint="default"/>
                <w:color w:val="auto"/>
                <w:kern w:val="24"/>
                <w:sz w:val="24"/>
                <w:highlight w:val="none"/>
              </w:rPr>
              <w:t>⑤</w:t>
            </w:r>
            <w:r>
              <w:rPr>
                <w:rFonts w:hint="eastAsia"/>
                <w:color w:val="auto"/>
                <w:kern w:val="24"/>
                <w:sz w:val="24"/>
                <w:highlight w:val="none"/>
              </w:rPr>
              <w:t>危险废物的容器上必须粘贴符合标准要求的标签，标明贮存日期、名称、成份、数量及特性。对危险废物的容器或包装物以及收集、贮存、运输、处置危险废物的设施、场所，按照</w:t>
            </w:r>
            <w:r>
              <w:rPr>
                <w:rFonts w:hint="eastAsia" w:hAnsi="宋体"/>
                <w:color w:val="auto"/>
                <w:sz w:val="24"/>
                <w:highlight w:val="none"/>
              </w:rPr>
              <w:t>《危险废物识别标志设置技术规范》 （HJ 1276-2022）设置危险废物识别标志，危废废物贮存分区标志，危险废物贮存设施标志</w:t>
            </w:r>
            <w:r>
              <w:rPr>
                <w:rFonts w:hint="eastAsia"/>
                <w:color w:val="auto"/>
                <w:kern w:val="24"/>
                <w:sz w:val="24"/>
                <w:highlight w:val="none"/>
                <w:lang w:eastAsia="zh-CN"/>
              </w:rPr>
              <w:t>。</w:t>
            </w:r>
          </w:p>
          <w:p w14:paraId="15B1A90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24"/>
                <w:sz w:val="24"/>
                <w:highlight w:val="none"/>
              </w:rPr>
            </w:pPr>
            <w:r>
              <w:rPr>
                <w:rFonts w:hint="default"/>
                <w:color w:val="auto"/>
                <w:kern w:val="24"/>
                <w:sz w:val="24"/>
                <w:highlight w:val="none"/>
              </w:rPr>
              <w:t>⑥</w:t>
            </w:r>
            <w:r>
              <w:rPr>
                <w:rFonts w:hint="eastAsia"/>
                <w:color w:val="auto"/>
                <w:kern w:val="24"/>
                <w:sz w:val="24"/>
                <w:highlight w:val="none"/>
                <w:lang w:val="en-US" w:eastAsia="zh-CN"/>
              </w:rPr>
              <w:t>健全危废管理台账及转移连单</w:t>
            </w:r>
            <w:r>
              <w:rPr>
                <w:rFonts w:hint="default"/>
                <w:color w:val="auto"/>
                <w:kern w:val="24"/>
                <w:sz w:val="24"/>
                <w:highlight w:val="none"/>
              </w:rPr>
              <w:t>。</w:t>
            </w:r>
          </w:p>
          <w:p w14:paraId="64626B4F">
            <w:pPr>
              <w:spacing w:line="360" w:lineRule="auto"/>
              <w:ind w:firstLine="480" w:firstLineChars="200"/>
              <w:rPr>
                <w:rFonts w:hint="default" w:ascii="宋体" w:hAnsi="宋体" w:eastAsia="宋体" w:cs="宋体"/>
                <w:color w:val="auto"/>
                <w:sz w:val="24"/>
                <w:szCs w:val="24"/>
                <w:highlight w:val="none"/>
              </w:rPr>
            </w:pPr>
            <w:r>
              <w:rPr>
                <w:rFonts w:hint="eastAsia"/>
                <w:color w:val="auto"/>
                <w:sz w:val="24"/>
                <w:szCs w:val="24"/>
                <w:highlight w:val="none"/>
                <w:lang w:val="en-US" w:eastAsia="zh-CN"/>
              </w:rPr>
              <w:t>根据现场调查，本项目危废暂存间尚未建设，</w:t>
            </w:r>
            <w:r>
              <w:rPr>
                <w:rFonts w:hint="default"/>
                <w:color w:val="auto"/>
                <w:kern w:val="24"/>
                <w:sz w:val="24"/>
                <w:highlight w:val="none"/>
              </w:rPr>
              <w:t>危险废物暂存间</w:t>
            </w:r>
            <w:r>
              <w:rPr>
                <w:rFonts w:hint="eastAsia"/>
                <w:color w:val="auto"/>
                <w:kern w:val="24"/>
                <w:sz w:val="24"/>
                <w:highlight w:val="none"/>
                <w:lang w:val="en-US" w:eastAsia="zh-CN"/>
              </w:rPr>
              <w:t>应</w:t>
            </w:r>
            <w:r>
              <w:rPr>
                <w:rFonts w:hint="default"/>
                <w:color w:val="auto"/>
                <w:kern w:val="24"/>
                <w:sz w:val="24"/>
                <w:highlight w:val="none"/>
              </w:rPr>
              <w:t>按照《危险废物贮存污染控制标准》</w:t>
            </w:r>
            <w:r>
              <w:rPr>
                <w:rFonts w:hint="eastAsia"/>
                <w:color w:val="auto"/>
                <w:kern w:val="24"/>
                <w:sz w:val="24"/>
                <w:highlight w:val="none"/>
                <w:lang w:eastAsia="zh-CN"/>
              </w:rPr>
              <w:t>（</w:t>
            </w:r>
            <w:r>
              <w:rPr>
                <w:rFonts w:hint="default"/>
                <w:color w:val="auto"/>
                <w:kern w:val="24"/>
                <w:sz w:val="24"/>
                <w:highlight w:val="none"/>
              </w:rPr>
              <w:t>GB18597-2</w:t>
            </w:r>
            <w:r>
              <w:rPr>
                <w:rFonts w:hint="eastAsia"/>
                <w:color w:val="auto"/>
                <w:kern w:val="24"/>
                <w:sz w:val="24"/>
                <w:highlight w:val="none"/>
                <w:lang w:val="en-US" w:eastAsia="zh-CN"/>
              </w:rPr>
              <w:t>023</w:t>
            </w:r>
            <w:r>
              <w:rPr>
                <w:rFonts w:hint="eastAsia"/>
                <w:color w:val="auto"/>
                <w:kern w:val="24"/>
                <w:sz w:val="24"/>
                <w:highlight w:val="none"/>
                <w:lang w:eastAsia="zh-CN"/>
              </w:rPr>
              <w:t>）</w:t>
            </w:r>
            <w:r>
              <w:rPr>
                <w:rFonts w:hint="default"/>
                <w:color w:val="auto"/>
                <w:kern w:val="24"/>
                <w:sz w:val="24"/>
                <w:highlight w:val="none"/>
              </w:rPr>
              <w:t>有关要求建设</w:t>
            </w:r>
            <w:r>
              <w:rPr>
                <w:rFonts w:hint="default" w:ascii="宋体" w:hAnsi="宋体" w:eastAsia="宋体" w:cs="宋体"/>
                <w:color w:val="auto"/>
                <w:sz w:val="24"/>
                <w:szCs w:val="24"/>
                <w:highlight w:val="none"/>
              </w:rPr>
              <w:t>：贮存设施或贮存分区内地面、墙面裙脚、堵截泄漏的围堰、接触危险废物的隔板和墙体等应采用坚固的材料建造，表面无裂缝；贮存设施地面与裙脚应采取表面防渗措施:</w:t>
            </w:r>
            <w:r>
              <w:rPr>
                <w:rFonts w:hint="default" w:ascii="Times New Roman" w:hAnsi="Times New Roman" w:eastAsia="宋体" w:cs="Times New Roman"/>
                <w:color w:val="auto"/>
                <w:sz w:val="24"/>
                <w:szCs w:val="24"/>
                <w:highlight w:val="none"/>
              </w:rPr>
              <w:t>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cm/s），或至少2mm厚高密度聚乙烯膜等人工防</w:t>
            </w:r>
            <w:r>
              <w:rPr>
                <w:rFonts w:hint="default" w:ascii="宋体" w:hAnsi="宋体" w:eastAsia="宋体" w:cs="宋体"/>
                <w:color w:val="auto"/>
                <w:sz w:val="24"/>
                <w:szCs w:val="24"/>
                <w:highlight w:val="none"/>
              </w:rPr>
              <w:t>渗材料（渗透系数不大</w:t>
            </w:r>
            <w:r>
              <w:rPr>
                <w:rFonts w:hint="default" w:ascii="Times New Roman" w:hAnsi="Times New Roman" w:eastAsia="宋体" w:cs="Times New Roman"/>
                <w:color w:val="auto"/>
                <w:sz w:val="24"/>
                <w:szCs w:val="24"/>
                <w:highlight w:val="none"/>
              </w:rPr>
              <w:t>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w:t>
            </w:r>
            <w:r>
              <w:rPr>
                <w:rFonts w:hint="default" w:ascii="宋体" w:hAnsi="宋体" w:eastAsia="宋体" w:cs="宋体"/>
                <w:color w:val="auto"/>
                <w:sz w:val="24"/>
                <w:szCs w:val="24"/>
                <w:highlight w:val="none"/>
              </w:rPr>
              <w:t>效的材料；同一贮存设施宜采用相同的防渗、防腐工艺（包括防渗、防腐结构或材料），防渗、防腐材料应覆盖所有可能与废物及其渗滤液、渗漏液等接触的构筑物表面，采用不同防渗、防腐工艺应分别建设贮存分区。</w:t>
            </w:r>
          </w:p>
          <w:p w14:paraId="2E32EA6D">
            <w:pPr>
              <w:spacing w:line="360" w:lineRule="auto"/>
              <w:ind w:firstLine="480" w:firstLineChars="200"/>
              <w:rPr>
                <w:color w:val="auto"/>
                <w:sz w:val="24"/>
                <w:highlight w:val="none"/>
              </w:rPr>
            </w:pPr>
            <w:r>
              <w:rPr>
                <w:rFonts w:hint="eastAsia"/>
                <w:color w:val="auto"/>
                <w:sz w:val="24"/>
                <w:highlight w:val="none"/>
              </w:rPr>
              <w:t>危险废物贮存防渗工程的施工监理及其相关材料的留档备查要求（隐蔽工程的原材料购置和使用票据、阶段性施工图像等资料）。</w:t>
            </w:r>
          </w:p>
          <w:p w14:paraId="7F89FEB4">
            <w:pPr>
              <w:spacing w:line="360" w:lineRule="auto"/>
              <w:ind w:firstLine="480" w:firstLineChars="200"/>
              <w:rPr>
                <w:rFonts w:hint="eastAsia"/>
                <w:color w:val="auto"/>
                <w:sz w:val="24"/>
                <w:highlight w:val="none"/>
              </w:rPr>
            </w:pPr>
            <w:r>
              <w:rPr>
                <w:rFonts w:hint="eastAsia"/>
                <w:color w:val="auto"/>
                <w:sz w:val="24"/>
                <w:highlight w:val="none"/>
              </w:rPr>
              <w:t>危险废物的收集、运输应按照《危险废物收集、贮存、运输技术规范》（</w:t>
            </w:r>
            <w:r>
              <w:rPr>
                <w:color w:val="auto"/>
                <w:sz w:val="24"/>
                <w:highlight w:val="none"/>
              </w:rPr>
              <w:t>HJ2025-2012</w:t>
            </w:r>
            <w:r>
              <w:rPr>
                <w:rFonts w:hint="eastAsia"/>
                <w:color w:val="auto"/>
                <w:sz w:val="24"/>
                <w:highlight w:val="none"/>
              </w:rPr>
              <w:t>）的要求进行。</w:t>
            </w:r>
          </w:p>
          <w:p w14:paraId="369A385B">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eastAsia"/>
                <w:b/>
                <w:bCs/>
                <w:color w:val="auto"/>
                <w:sz w:val="24"/>
                <w:highlight w:val="none"/>
                <w:lang w:val="en-US" w:eastAsia="zh-CN"/>
              </w:rPr>
              <w:t>4、</w:t>
            </w:r>
            <w:r>
              <w:rPr>
                <w:rFonts w:hint="default" w:ascii="Times New Roman" w:hAnsi="Times New Roman" w:cs="Times New Roman"/>
                <w:b/>
                <w:bCs/>
                <w:color w:val="auto"/>
                <w:sz w:val="24"/>
                <w:highlight w:val="none"/>
              </w:rPr>
              <w:t>固体废物环境影响分析</w:t>
            </w:r>
          </w:p>
          <w:p w14:paraId="2110ADFD">
            <w:pPr>
              <w:adjustRightInd w:val="0"/>
              <w:snapToGrid w:val="0"/>
              <w:spacing w:line="360" w:lineRule="auto"/>
              <w:ind w:firstLine="480" w:firstLineChars="200"/>
              <w:rPr>
                <w:color w:val="auto"/>
                <w:sz w:val="24"/>
                <w:highlight w:val="none"/>
              </w:rPr>
            </w:pPr>
            <w:r>
              <w:rPr>
                <w:rFonts w:hint="default" w:ascii="Times New Roman" w:hAnsi="Times New Roman" w:cs="Times New Roman"/>
                <w:color w:val="auto"/>
                <w:kern w:val="24"/>
                <w:sz w:val="24"/>
                <w:highlight w:val="none"/>
              </w:rPr>
              <w:t>固体废物的处理处置应遵循分类收集、优先综合利用等原则，本项目固体废物处置率100%，对周围环境无直接影响。</w:t>
            </w:r>
          </w:p>
          <w:p w14:paraId="0FC917FE">
            <w:pPr>
              <w:adjustRightInd w:val="0"/>
              <w:snapToGrid w:val="0"/>
              <w:spacing w:line="360" w:lineRule="auto"/>
              <w:ind w:firstLine="480" w:firstLineChars="200"/>
              <w:rPr>
                <w:rFonts w:hint="default" w:ascii="Times New Roman" w:hAnsi="Times New Roman" w:cs="Times New Roman"/>
                <w:color w:val="auto"/>
                <w:kern w:val="24"/>
                <w:sz w:val="24"/>
                <w:highlight w:val="none"/>
              </w:rPr>
            </w:pPr>
            <w:r>
              <w:rPr>
                <w:rFonts w:hint="default" w:ascii="Times New Roman" w:hAnsi="Times New Roman" w:cs="Times New Roman"/>
                <w:color w:val="auto"/>
                <w:kern w:val="24"/>
                <w:sz w:val="24"/>
                <w:highlight w:val="none"/>
              </w:rPr>
              <w:t>综上所述，本项目产生的固废经妥善处理、处置后，可以实现零排放，对周围环境不会造成影响，所采取的治理措施是可行的。但必须指出的是，固体废物综合利用、处理处置前在厂内的堆放、贮存场所应按照国家固体废物贮存有关要求设置，避免产生二次污染。建设单位在生产过程中必须做好固废的暂存工作，暂存场所必须做好防渗、防漏、防晒、防淋等工作。在运输过程注意运输安全，途中不得沿路抛洒，并在堆放场所树立明显的标志牌。</w:t>
            </w:r>
          </w:p>
          <w:p w14:paraId="3BCDDAF1">
            <w:pPr>
              <w:adjustRightInd w:val="0"/>
              <w:snapToGrid w:val="0"/>
              <w:spacing w:line="360" w:lineRule="auto"/>
              <w:ind w:left="420" w:leftChars="200"/>
              <w:rPr>
                <w:rFonts w:hint="eastAsia" w:eastAsia="宋体"/>
                <w:b/>
                <w:color w:val="auto"/>
                <w:kern w:val="21"/>
                <w:sz w:val="24"/>
                <w:highlight w:val="none"/>
                <w:lang w:eastAsia="zh-CN"/>
              </w:rPr>
            </w:pPr>
            <w:r>
              <w:rPr>
                <w:rFonts w:hint="eastAsia" w:cs="Times New Roman"/>
                <w:b/>
                <w:bCs/>
                <w:color w:val="auto"/>
                <w:kern w:val="2"/>
                <w:sz w:val="24"/>
                <w:szCs w:val="24"/>
                <w:highlight w:val="none"/>
                <w:lang w:val="en-US" w:eastAsia="zh-CN" w:bidi="ar-SA"/>
              </w:rPr>
              <w:t>五</w:t>
            </w:r>
            <w:r>
              <w:rPr>
                <w:rFonts w:hint="eastAsia" w:ascii="Times New Roman" w:hAnsi="Times New Roman" w:eastAsia="宋体" w:cs="Times New Roman"/>
                <w:b/>
                <w:bCs/>
                <w:color w:val="auto"/>
                <w:kern w:val="2"/>
                <w:sz w:val="24"/>
                <w:szCs w:val="24"/>
                <w:highlight w:val="none"/>
                <w:lang w:val="en-US" w:eastAsia="zh-CN" w:bidi="ar-SA"/>
              </w:rPr>
              <w:t>、</w:t>
            </w:r>
            <w:r>
              <w:rPr>
                <w:rFonts w:hint="eastAsia"/>
                <w:b/>
                <w:color w:val="auto"/>
                <w:kern w:val="21"/>
                <w:sz w:val="24"/>
                <w:highlight w:val="none"/>
                <w:lang w:eastAsia="zh-CN"/>
              </w:rPr>
              <w:t>运营期地下水、</w:t>
            </w:r>
            <w:r>
              <w:rPr>
                <w:rFonts w:hint="eastAsia"/>
                <w:b/>
                <w:color w:val="auto"/>
                <w:kern w:val="21"/>
                <w:sz w:val="24"/>
                <w:highlight w:val="none"/>
                <w:lang w:val="en-US" w:eastAsia="zh-CN"/>
              </w:rPr>
              <w:t>土壤</w:t>
            </w:r>
            <w:r>
              <w:rPr>
                <w:rFonts w:hint="eastAsia"/>
                <w:b/>
                <w:color w:val="auto"/>
                <w:kern w:val="21"/>
                <w:sz w:val="24"/>
                <w:highlight w:val="none"/>
                <w:lang w:eastAsia="zh-CN"/>
              </w:rPr>
              <w:t>环境影响和保护措施</w:t>
            </w:r>
          </w:p>
          <w:p w14:paraId="137DFB80">
            <w:pPr>
              <w:widowControl w:val="0"/>
              <w:numPr>
                <w:ilvl w:val="0"/>
                <w:numId w:val="4"/>
              </w:numPr>
              <w:bidi w:val="0"/>
              <w:adjustRightInd w:val="0"/>
              <w:snapToGri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地下水、土壤污染分析</w:t>
            </w:r>
          </w:p>
          <w:p w14:paraId="63EB0CE3">
            <w:pPr>
              <w:widowControl w:val="0"/>
              <w:bidi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本项目位于现有大山生活垃圾填埋场内，项目不涉及集中式饮用水源地，属于不敏感区。本次项目建设仅替换现有的渗滤液处理站设备。</w:t>
            </w:r>
          </w:p>
          <w:p w14:paraId="2BD90F9B">
            <w:pPr>
              <w:widowControl w:val="0"/>
              <w:bidi w:val="0"/>
              <w:adjustRightInd w:val="0"/>
              <w:snapToGrid w:val="0"/>
              <w:spacing w:line="360" w:lineRule="auto"/>
              <w:ind w:firstLine="480" w:firstLineChars="200"/>
              <w:jc w:val="both"/>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w:t>
            </w:r>
            <w:r>
              <w:rPr>
                <w:rFonts w:ascii="Times New Roman" w:hAnsi="Times New Roman" w:eastAsia="宋体" w:cs="Times New Roman"/>
                <w:color w:val="auto"/>
                <w:kern w:val="2"/>
                <w:sz w:val="24"/>
                <w:szCs w:val="24"/>
                <w:highlight w:val="none"/>
                <w:lang w:val="en-US" w:eastAsia="zh-CN" w:bidi="ar-SA"/>
              </w:rPr>
              <w:t>渗滤液</w:t>
            </w:r>
            <w:r>
              <w:rPr>
                <w:rFonts w:hint="eastAsia" w:ascii="Times New Roman" w:hAnsi="Times New Roman" w:eastAsia="宋体" w:cs="Times New Roman"/>
                <w:color w:val="auto"/>
                <w:kern w:val="2"/>
                <w:sz w:val="24"/>
                <w:szCs w:val="24"/>
                <w:highlight w:val="none"/>
                <w:lang w:val="en-US" w:eastAsia="zh-CN" w:bidi="ar-SA"/>
              </w:rPr>
              <w:t>经全量化处理站处理达到《城镇污水处理厂污染物排放标准》（GB18918-2002）中一级A标排放标准及《城市污水再生利用 城市杂用水水质》（GB/T18920-2020）中城市绿化水质标准要求后，</w:t>
            </w:r>
            <w:r>
              <w:rPr>
                <w:rFonts w:hint="eastAsia" w:cs="Times New Roman"/>
                <w:color w:val="auto"/>
                <w:kern w:val="2"/>
                <w:sz w:val="24"/>
                <w:szCs w:val="24"/>
                <w:highlight w:val="none"/>
                <w:lang w:val="en-US" w:eastAsia="zh-CN" w:bidi="ar-SA"/>
              </w:rPr>
              <w:t>回用于</w:t>
            </w:r>
            <w:r>
              <w:rPr>
                <w:rFonts w:hint="eastAsia" w:ascii="Times New Roman" w:hAnsi="Times New Roman" w:eastAsia="宋体" w:cs="Times New Roman"/>
                <w:color w:val="auto"/>
                <w:kern w:val="2"/>
                <w:sz w:val="24"/>
                <w:szCs w:val="24"/>
                <w:highlight w:val="none"/>
                <w:lang w:val="en-US" w:eastAsia="zh-CN" w:bidi="ar-SA"/>
              </w:rPr>
              <w:t>填埋场区绿化灌溉，尾水不外排</w:t>
            </w:r>
            <w:r>
              <w:rPr>
                <w:rFonts w:ascii="Times New Roman" w:hAnsi="Times New Roman" w:eastAsia="宋体" w:cs="Times New Roman"/>
                <w:color w:val="auto"/>
                <w:kern w:val="2"/>
                <w:sz w:val="24"/>
                <w:szCs w:val="24"/>
                <w:highlight w:val="none"/>
                <w:lang w:val="en-US" w:eastAsia="zh-CN" w:bidi="ar-SA"/>
              </w:rPr>
              <w:t>。</w:t>
            </w:r>
          </w:p>
          <w:p w14:paraId="6BDD9645">
            <w:pPr>
              <w:widowControl w:val="0"/>
              <w:bidi w:val="0"/>
              <w:adjustRightInd w:val="0"/>
              <w:snapToGrid w:val="0"/>
              <w:spacing w:line="360" w:lineRule="auto"/>
              <w:ind w:firstLine="480" w:firstLineChars="200"/>
              <w:jc w:val="both"/>
              <w:rPr>
                <w:rFonts w:ascii="Times New Roman" w:hAnsi="Times New Roman" w:eastAsia="宋体" w:cs="Times New Roman"/>
                <w:color w:val="auto"/>
                <w:kern w:val="2"/>
                <w:sz w:val="24"/>
                <w:szCs w:val="24"/>
                <w:highlight w:val="none"/>
                <w:lang w:val="en-US" w:eastAsia="zh-CN" w:bidi="ar-SA"/>
              </w:rPr>
            </w:pPr>
            <w:r>
              <w:rPr>
                <w:rFonts w:hint="eastAsia"/>
                <w:color w:val="auto"/>
                <w:sz w:val="24"/>
                <w:highlight w:val="none"/>
              </w:rPr>
              <w:t>根据项目初步设计方案，项目建设对全量化处理站各构筑物采取重点</w:t>
            </w:r>
            <w:r>
              <w:rPr>
                <w:color w:val="auto"/>
                <w:sz w:val="24"/>
                <w:highlight w:val="none"/>
              </w:rPr>
              <w:t>防渗处理，可有效防止废水渗漏，不会通过地表水和地下水的水力联系而进入地下水从而引起地下水水质的变化，</w:t>
            </w:r>
            <w:r>
              <w:rPr>
                <w:rFonts w:hint="eastAsia"/>
                <w:color w:val="auto"/>
                <w:sz w:val="24"/>
                <w:highlight w:val="none"/>
              </w:rPr>
              <w:t>正常工况下对地下水和土壤造成的影响很小</w:t>
            </w:r>
            <w:r>
              <w:rPr>
                <w:color w:val="auto"/>
                <w:sz w:val="24"/>
                <w:highlight w:val="none"/>
              </w:rPr>
              <w:t>。</w:t>
            </w:r>
            <w:r>
              <w:rPr>
                <w:rFonts w:hint="eastAsia"/>
                <w:bCs/>
                <w:color w:val="auto"/>
                <w:sz w:val="24"/>
                <w:highlight w:val="none"/>
              </w:rPr>
              <w:t>若发生防渗层破损、渗滤液泄露等非正常状况下，可能对区域地下水及土壤造成影响。</w:t>
            </w:r>
          </w:p>
          <w:p w14:paraId="096E035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8"/>
                <w:highlight w:val="none"/>
                <w:lang w:val="en-US" w:eastAsia="zh-CN"/>
              </w:rPr>
            </w:pPr>
            <w:r>
              <w:rPr>
                <w:rFonts w:hint="eastAsia"/>
                <w:bCs/>
                <w:color w:val="auto"/>
                <w:sz w:val="24"/>
                <w:highlight w:val="none"/>
              </w:rPr>
              <w:t>本项目土壤环境污染途径主要为</w:t>
            </w:r>
            <w:r>
              <w:rPr>
                <w:rFonts w:hint="default"/>
                <w:color w:val="auto"/>
                <w:sz w:val="24"/>
                <w:highlight w:val="none"/>
              </w:rPr>
              <w:t>项目运行期</w:t>
            </w:r>
            <w:r>
              <w:rPr>
                <w:rFonts w:hint="eastAsia"/>
                <w:color w:val="auto"/>
                <w:sz w:val="24"/>
                <w:highlight w:val="none"/>
                <w:lang w:val="en-US" w:eastAsia="zh-CN"/>
              </w:rPr>
              <w:t>调节池渗滤液泄漏，发生垂直入渗</w:t>
            </w:r>
            <w:r>
              <w:rPr>
                <w:rFonts w:hint="eastAsia"/>
                <w:color w:val="auto"/>
                <w:sz w:val="24"/>
                <w:highlight w:val="none"/>
              </w:rPr>
              <w:t>进入项目附近土壤，对土壤质量造成影响。</w:t>
            </w:r>
          </w:p>
          <w:p w14:paraId="0FC7F86F">
            <w:pPr>
              <w:pStyle w:val="17"/>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项目地下水、土壤污染分析见下表。</w:t>
            </w:r>
          </w:p>
          <w:p w14:paraId="7797F2BB">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default" w:ascii="Times New Roman" w:hAnsi="Times New Roman" w:cs="Times New Roman"/>
                <w:b/>
                <w:color w:val="auto"/>
                <w:kern w:val="24"/>
                <w:sz w:val="24"/>
                <w:highlight w:val="none"/>
              </w:rPr>
            </w:pPr>
            <w:r>
              <w:rPr>
                <w:rFonts w:hint="default" w:ascii="Times New Roman" w:hAnsi="Times New Roman" w:cs="Times New Roman"/>
                <w:b/>
                <w:color w:val="auto"/>
                <w:kern w:val="24"/>
                <w:sz w:val="24"/>
                <w:highlight w:val="none"/>
              </w:rPr>
              <w:t>表4-</w:t>
            </w:r>
            <w:r>
              <w:rPr>
                <w:rFonts w:hint="default" w:ascii="Times New Roman" w:hAnsi="Times New Roman" w:cs="Times New Roman"/>
                <w:b/>
                <w:color w:val="auto"/>
                <w:kern w:val="24"/>
                <w:sz w:val="24"/>
                <w:highlight w:val="none"/>
                <w:lang w:val="en-US" w:eastAsia="zh-CN"/>
              </w:rPr>
              <w:t>2</w:t>
            </w:r>
            <w:r>
              <w:rPr>
                <w:rFonts w:hint="eastAsia" w:cs="Times New Roman"/>
                <w:b/>
                <w:color w:val="auto"/>
                <w:kern w:val="24"/>
                <w:sz w:val="24"/>
                <w:highlight w:val="none"/>
                <w:lang w:val="en-US" w:eastAsia="zh-CN"/>
              </w:rPr>
              <w:t xml:space="preserve">5   </w:t>
            </w:r>
            <w:r>
              <w:rPr>
                <w:rFonts w:hint="default" w:ascii="Times New Roman" w:hAnsi="Times New Roman" w:cs="Times New Roman"/>
                <w:b/>
                <w:color w:val="auto"/>
                <w:kern w:val="24"/>
                <w:sz w:val="24"/>
                <w:highlight w:val="none"/>
              </w:rPr>
              <w:t xml:space="preserve">  地下水、土壤污染分析一览表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825"/>
              <w:gridCol w:w="1704"/>
              <w:gridCol w:w="1989"/>
              <w:gridCol w:w="1327"/>
            </w:tblGrid>
            <w:tr w14:paraId="54BC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825" w:type="dxa"/>
                  <w:vAlign w:val="center"/>
                </w:tcPr>
                <w:p w14:paraId="4C2DD2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地下水、土壤污染源</w:t>
                  </w:r>
                </w:p>
              </w:tc>
              <w:tc>
                <w:tcPr>
                  <w:tcW w:w="1704" w:type="dxa"/>
                  <w:vAlign w:val="center"/>
                </w:tcPr>
                <w:p w14:paraId="51A1E3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污染物类型</w:t>
                  </w:r>
                </w:p>
              </w:tc>
              <w:tc>
                <w:tcPr>
                  <w:tcW w:w="1989" w:type="dxa"/>
                  <w:vAlign w:val="center"/>
                </w:tcPr>
                <w:p w14:paraId="3DF36E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污染途径</w:t>
                  </w:r>
                </w:p>
              </w:tc>
              <w:tc>
                <w:tcPr>
                  <w:tcW w:w="1327" w:type="dxa"/>
                  <w:vAlign w:val="center"/>
                </w:tcPr>
                <w:p w14:paraId="03C38A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分区防控</w:t>
                  </w:r>
                </w:p>
              </w:tc>
            </w:tr>
            <w:tr w14:paraId="4D61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825" w:type="dxa"/>
                  <w:vAlign w:val="center"/>
                </w:tcPr>
                <w:p w14:paraId="79B9A5A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bidi="ar-SA"/>
                    </w:rPr>
                    <w:t>渗滤液收集池、调节池、全量化处理站</w:t>
                  </w:r>
                </w:p>
              </w:tc>
              <w:tc>
                <w:tcPr>
                  <w:tcW w:w="1704" w:type="dxa"/>
                  <w:vAlign w:val="center"/>
                </w:tcPr>
                <w:p w14:paraId="58A8084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4"/>
                      <w:sz w:val="21"/>
                      <w:szCs w:val="21"/>
                      <w:highlight w:val="none"/>
                      <w:lang w:val="en-US" w:eastAsia="zh-CN" w:bidi="ar-SA"/>
                    </w:rPr>
                  </w:pPr>
                  <w:r>
                    <w:rPr>
                      <w:rFonts w:hint="eastAsia" w:eastAsia="宋体"/>
                      <w:color w:val="auto"/>
                      <w:kern w:val="24"/>
                      <w:szCs w:val="21"/>
                      <w:highlight w:val="none"/>
                      <w:lang w:val="en-US" w:eastAsia="zh-CN"/>
                    </w:rPr>
                    <w:t>渗滤液</w:t>
                  </w:r>
                </w:p>
              </w:tc>
              <w:tc>
                <w:tcPr>
                  <w:tcW w:w="1989" w:type="dxa"/>
                  <w:vAlign w:val="center"/>
                </w:tcPr>
                <w:p w14:paraId="07C6BF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4"/>
                      <w:sz w:val="21"/>
                      <w:szCs w:val="21"/>
                      <w:highlight w:val="none"/>
                      <w:lang w:val="en-US" w:eastAsia="zh-CN" w:bidi="ar-SA"/>
                    </w:rPr>
                  </w:pPr>
                  <w:r>
                    <w:rPr>
                      <w:rFonts w:hint="eastAsia"/>
                      <w:color w:val="auto"/>
                      <w:kern w:val="24"/>
                      <w:szCs w:val="21"/>
                      <w:highlight w:val="none"/>
                    </w:rPr>
                    <w:t>垂直入渗</w:t>
                  </w:r>
                </w:p>
              </w:tc>
              <w:tc>
                <w:tcPr>
                  <w:tcW w:w="1327" w:type="dxa"/>
                  <w:vAlign w:val="center"/>
                </w:tcPr>
                <w:p w14:paraId="28D11E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4"/>
                      <w:sz w:val="21"/>
                      <w:szCs w:val="21"/>
                      <w:highlight w:val="none"/>
                      <w:lang w:val="en-US" w:eastAsia="zh-CN" w:bidi="ar-SA"/>
                    </w:rPr>
                  </w:pPr>
                  <w:r>
                    <w:rPr>
                      <w:rFonts w:hint="eastAsia"/>
                      <w:color w:val="auto"/>
                      <w:kern w:val="24"/>
                      <w:szCs w:val="21"/>
                      <w:highlight w:val="none"/>
                      <w:lang w:val="en-US" w:eastAsia="zh-CN"/>
                    </w:rPr>
                    <w:t>重点</w:t>
                  </w:r>
                  <w:r>
                    <w:rPr>
                      <w:rFonts w:hint="eastAsia"/>
                      <w:color w:val="auto"/>
                      <w:kern w:val="24"/>
                      <w:szCs w:val="21"/>
                      <w:highlight w:val="none"/>
                    </w:rPr>
                    <w:t>防渗区</w:t>
                  </w:r>
                </w:p>
              </w:tc>
            </w:tr>
          </w:tbl>
          <w:p w14:paraId="5B9CC5CF">
            <w:pPr>
              <w:widowControl w:val="0"/>
              <w:bidi w:val="0"/>
              <w:adjustRightInd w:val="0"/>
              <w:snapToGri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根据《环境风险专项评价》，项目现有调节池已采取防渗、防腐措施，根据现场踏勘，未发现渗漏、破损现象，本次拟建的全量化处理站、固化渣暂存间设计采用重点防渗处理，可以有效防止污染物入渗进入地下水；项目管道、各储水罐等均进行加固，全量化处理站地面进行重点防渗处理，发生泄露或正常跑、冒、滴、漏时不会使废水渗入地下，从而污染地下水。正常情况下，将厂区划分为一般防渗区、简单防渗区和重点防渗区，其中</w:t>
            </w:r>
            <w:r>
              <w:rPr>
                <w:rFonts w:hint="eastAsia"/>
                <w:color w:val="auto"/>
                <w:sz w:val="24"/>
                <w:szCs w:val="24"/>
                <w:highlight w:val="none"/>
              </w:rPr>
              <w:t>渗滤液收集池、调节池、</w:t>
            </w:r>
            <w:r>
              <w:rPr>
                <w:rFonts w:hint="eastAsia"/>
                <w:color w:val="auto"/>
                <w:sz w:val="24"/>
                <w:szCs w:val="24"/>
                <w:highlight w:val="none"/>
                <w:lang w:val="en-US" w:eastAsia="zh-CN"/>
              </w:rPr>
              <w:t>产水收集池、</w:t>
            </w:r>
            <w:r>
              <w:rPr>
                <w:rFonts w:hint="eastAsia"/>
                <w:color w:val="auto"/>
                <w:sz w:val="24"/>
                <w:szCs w:val="24"/>
                <w:highlight w:val="none"/>
              </w:rPr>
              <w:t>全量化处理站、固化渣暂存间、危废暂存间、硫酸储罐、污水收集管道</w:t>
            </w:r>
            <w:r>
              <w:rPr>
                <w:rFonts w:hint="eastAsia" w:cs="Times New Roman"/>
                <w:color w:val="auto"/>
                <w:kern w:val="2"/>
                <w:sz w:val="24"/>
                <w:szCs w:val="24"/>
                <w:highlight w:val="none"/>
                <w:lang w:val="en-US" w:eastAsia="zh-CN" w:bidi="ar-SA"/>
              </w:rPr>
              <w:t>划分为重点防渗区；配电室、在线监测室、空压房、控制室划分为一般防渗区；厂区道路划分为简单防渗区。因此，厂区在正常情况下对地下水影响较小。</w:t>
            </w:r>
          </w:p>
          <w:p w14:paraId="10F5BD85">
            <w:pPr>
              <w:widowControl w:val="0"/>
              <w:bidi w:val="0"/>
              <w:adjustRightInd w:val="0"/>
              <w:snapToGrid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非正常状况下，本次选取污染物浓度较高的渗滤液调节池作为预测点进行预测分析，根据预测结果，在渗滤液调节池防渗层出现破损或破裂，渗滤液持续渗漏的非正常状况下，渗滤液在含水层中运移100天后，氨氮在地下水环境中的最大迁移扩散距离约为21m，最远超标距离22m；渗滤液渗入含水层中运移1000天后，氨氮在地下水环境中的最大迁移扩散距离约为82m，最远超标距离88m；渗滤液渗入含水层中运移1825天后，氨氮在地下水环境中的最大迁移扩散距离约为122m，最远超标距离131m；渗滤液渗入含水层中运移3650天后，氨氮在地下水环境中的最大迁移扩散距离约为196m，最远超标距离207m；渗滤液渗入含水层中运移7300天后，氨氮在地下水环境中的最大迁移扩散距离约为328m，最远超标距离345m。发生连续泄漏1000天的情况下，位于项目区地下水下游南面约700m处的跟踪监测井均未出现超标情况。</w:t>
            </w:r>
          </w:p>
          <w:p w14:paraId="2845FB7E">
            <w:pPr>
              <w:widowControl w:val="0"/>
              <w:bidi w:val="0"/>
              <w:adjustRightInd w:val="0"/>
              <w:snapToGrid w:val="0"/>
              <w:spacing w:line="360" w:lineRule="auto"/>
              <w:ind w:firstLine="480" w:firstLineChars="200"/>
              <w:jc w:val="both"/>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因此，在项目建设过程中须定期检查现有调节池的防渗情况，做好新建全量化处理站、固化渣暂存间等的构筑物防渗措施，以及渗滤液收集、输送和暂存等区域的防腐、防渗措施，运行期须定期检查防渗层及管道的破损情况，若发现有破损部位须及时进行修补。运行期间加强管理和监督检查，杜绝非正常情况的发生，避免污染物进入土壤及地下水含水层中。</w:t>
            </w:r>
          </w:p>
          <w:p w14:paraId="74A59008">
            <w:pPr>
              <w:widowControl w:val="0"/>
              <w:bidi w:val="0"/>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2、地下水、土壤污染防控措施</w:t>
            </w:r>
          </w:p>
          <w:p w14:paraId="7F5A505B">
            <w:pPr>
              <w:widowControl w:val="0"/>
              <w:bidi w:val="0"/>
              <w:adjustRightInd w:val="0"/>
              <w:snapToGri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针对本工程可能造成的地下水污染</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根据《环境影响评价技术导则 地下水环境》(HJ610-2016)的相关规定，按照“源头控制、分区防控、污染监控、应急响应”的原则，本次评价提出如下地下水防治措施：</w:t>
            </w:r>
          </w:p>
          <w:p w14:paraId="62C2F293">
            <w:pPr>
              <w:widowControl w:val="0"/>
              <w:bidi w:val="0"/>
              <w:adjustRightInd w:val="0"/>
              <w:snapToGri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（1）源头控制</w:t>
            </w:r>
          </w:p>
          <w:p w14:paraId="1D2F0A33">
            <w:pPr>
              <w:widowControl w:val="0"/>
              <w:bidi w:val="0"/>
              <w:adjustRightInd w:val="0"/>
              <w:snapToGri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①制订完善的管理制度和操作流程；</w:t>
            </w:r>
          </w:p>
          <w:p w14:paraId="0147925E">
            <w:pPr>
              <w:widowControl w:val="0"/>
              <w:bidi w:val="0"/>
              <w:adjustRightInd w:val="0"/>
              <w:snapToGri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②加强调节池、各水罐及管道的检查，确保调节池、水罐及管道的防渗、防漏性能，及时发现泄漏点并处理，避免泄漏物质进入地下水环境；</w:t>
            </w:r>
          </w:p>
          <w:p w14:paraId="3E3FCCC1">
            <w:pPr>
              <w:widowControl w:val="0"/>
              <w:bidi w:val="0"/>
              <w:adjustRightInd w:val="0"/>
              <w:snapToGri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本项目使用先进、成熟、可靠的工艺技术工艺，良好合格的防渗材料，尽可能从源头上减少污染物产生。严格按照国家相关规范要求，对厂区采取相应的防渗措施，以防止和降低污染物的跑、冒、滴、漏，将环境风险事故降低到最低。各污水处理构筑物及其管道要经常巡查，杜绝“跑、冒、滴、漏”等事故的发生，尤其是污水处理构筑物和污水输送管道等周边要进行严格的防渗处理，从源头上防止污水污染周围土壤进而进行地下水含水层中。</w:t>
            </w:r>
          </w:p>
          <w:p w14:paraId="2369FCF4">
            <w:pPr>
              <w:widowControl w:val="0"/>
              <w:bidi w:val="0"/>
              <w:adjustRightInd w:val="0"/>
              <w:snapToGrid w:val="0"/>
              <w:spacing w:line="360" w:lineRule="auto"/>
              <w:ind w:firstLine="480" w:firstLineChars="200"/>
              <w:jc w:val="both"/>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（2）分区防渗控制措施</w:t>
            </w:r>
          </w:p>
          <w:p w14:paraId="2587F5BB">
            <w:pPr>
              <w:adjustRightInd w:val="0"/>
              <w:snapToGrid w:val="0"/>
              <w:spacing w:line="360" w:lineRule="auto"/>
              <w:ind w:firstLine="480" w:firstLineChars="200"/>
              <w:rPr>
                <w:rFonts w:ascii="Times New Roman" w:hAnsi="Times New Roman" w:eastAsia="宋体" w:cs="Times New Roman"/>
                <w:color w:val="auto"/>
                <w:spacing w:val="4"/>
                <w:sz w:val="24"/>
                <w:highlight w:val="none"/>
              </w:rPr>
            </w:pPr>
            <w:r>
              <w:rPr>
                <w:rFonts w:hint="eastAsia"/>
                <w:color w:val="auto"/>
                <w:sz w:val="24"/>
                <w:highlight w:val="none"/>
              </w:rPr>
              <w:t>根据项目地下水、土壤污染分析，本项目按照分区防控的要求，将厂区分为重点防渗区、一般防渗区和简单防渗区，不同的分区采取相应的防渗措施</w:t>
            </w:r>
            <w:r>
              <w:rPr>
                <w:rFonts w:ascii="Times New Roman" w:hAnsi="Times New Roman" w:eastAsia="宋体" w:cs="Times New Roman"/>
                <w:color w:val="auto"/>
                <w:spacing w:val="4"/>
                <w:sz w:val="24"/>
                <w:highlight w:val="none"/>
              </w:rPr>
              <w:t>。</w:t>
            </w:r>
          </w:p>
          <w:p w14:paraId="2D279E49">
            <w:pPr>
              <w:adjustRightInd w:val="0"/>
              <w:snapToGrid w:val="0"/>
              <w:spacing w:line="360" w:lineRule="auto"/>
              <w:ind w:firstLine="496" w:firstLineChars="200"/>
              <w:rPr>
                <w:rFonts w:ascii="Times New Roman" w:hAnsi="Times New Roman" w:eastAsia="宋体" w:cs="Times New Roman"/>
                <w:color w:val="auto"/>
                <w:spacing w:val="4"/>
                <w:sz w:val="24"/>
                <w:highlight w:val="none"/>
              </w:rPr>
            </w:pPr>
            <w:r>
              <w:rPr>
                <w:rFonts w:ascii="Times New Roman" w:hAnsi="Times New Roman" w:eastAsia="宋体" w:cs="Times New Roman"/>
                <w:color w:val="auto"/>
                <w:spacing w:val="4"/>
                <w:sz w:val="24"/>
                <w:highlight w:val="none"/>
              </w:rPr>
              <w:t>本项目防渗分区如下表所示。</w:t>
            </w:r>
          </w:p>
          <w:p w14:paraId="1BAF0E5D">
            <w:pPr>
              <w:adjustRightInd w:val="0"/>
              <w:snapToGrid w:val="0"/>
              <w:spacing w:line="360" w:lineRule="auto"/>
              <w:jc w:val="center"/>
              <w:rPr>
                <w:rFonts w:ascii="Times New Roman" w:hAnsi="Times New Roman" w:eastAsia="宋体" w:cs="Times New Roman"/>
                <w:b/>
                <w:bCs/>
                <w:color w:val="auto"/>
                <w:kern w:val="0"/>
                <w:sz w:val="24"/>
                <w:szCs w:val="24"/>
                <w:highlight w:val="none"/>
                <w:lang w:val="zh-CN" w:eastAsia="zh-CN" w:bidi="ar-SA"/>
              </w:rPr>
            </w:pPr>
            <w:r>
              <w:rPr>
                <w:rFonts w:hint="eastAsia" w:ascii="Times New Roman" w:hAnsi="Times New Roman" w:eastAsia="宋体" w:cs="Times New Roman"/>
                <w:b/>
                <w:bCs/>
                <w:color w:val="auto"/>
                <w:spacing w:val="4"/>
                <w:sz w:val="24"/>
                <w:szCs w:val="24"/>
                <w:highlight w:val="none"/>
                <w:lang w:val="en-US" w:eastAsia="zh-CN"/>
              </w:rPr>
              <w:t>表4-</w:t>
            </w:r>
            <w:r>
              <w:rPr>
                <w:rFonts w:hint="eastAsia" w:cs="Times New Roman"/>
                <w:b/>
                <w:bCs/>
                <w:color w:val="auto"/>
                <w:spacing w:val="4"/>
                <w:sz w:val="24"/>
                <w:szCs w:val="24"/>
                <w:highlight w:val="none"/>
                <w:lang w:val="en-US" w:eastAsia="zh-CN"/>
              </w:rPr>
              <w:t>26</w:t>
            </w:r>
            <w:r>
              <w:rPr>
                <w:rFonts w:hint="eastAsia" w:ascii="Times New Roman" w:hAnsi="Times New Roman" w:eastAsia="宋体" w:cs="Times New Roman"/>
                <w:b/>
                <w:bCs/>
                <w:color w:val="auto"/>
                <w:spacing w:val="4"/>
                <w:sz w:val="24"/>
                <w:szCs w:val="24"/>
                <w:highlight w:val="none"/>
                <w:lang w:val="en-US" w:eastAsia="zh-CN"/>
              </w:rPr>
              <w:t xml:space="preserve">  </w:t>
            </w:r>
            <w:r>
              <w:rPr>
                <w:rFonts w:ascii="Times New Roman" w:hAnsi="Times New Roman" w:eastAsia="宋体" w:cs="Times New Roman"/>
                <w:b/>
                <w:bCs/>
                <w:color w:val="auto"/>
                <w:kern w:val="0"/>
                <w:sz w:val="24"/>
                <w:szCs w:val="24"/>
                <w:highlight w:val="none"/>
                <w:lang w:val="zh-CN" w:eastAsia="zh-CN" w:bidi="ar-SA"/>
              </w:rPr>
              <w:t xml:space="preserve"> 地下水防渗分区表</w:t>
            </w:r>
          </w:p>
          <w:tbl>
            <w:tblPr>
              <w:tblStyle w:val="30"/>
              <w:tblW w:w="49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156"/>
              <w:gridCol w:w="1295"/>
              <w:gridCol w:w="4567"/>
            </w:tblGrid>
            <w:tr w14:paraId="310B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tcBorders>
                    <w:tl2br w:val="nil"/>
                    <w:tr2bl w:val="nil"/>
                  </w:tcBorders>
                  <w:vAlign w:val="center"/>
                </w:tcPr>
                <w:p w14:paraId="75FE926F">
                  <w:pPr>
                    <w:widowControl w:val="0"/>
                    <w:bidi w:val="0"/>
                    <w:adjustRightInd w:val="0"/>
                    <w:snapToGrid w:val="0"/>
                    <w:spacing w:line="240" w:lineRule="auto"/>
                    <w:ind w:firstLine="0" w:firstLineChars="0"/>
                    <w:contextualSpacing/>
                    <w:jc w:val="center"/>
                    <w:rPr>
                      <w:rFonts w:ascii="Times New Roman" w:hAnsi="Times New Roman" w:eastAsia="宋体" w:cs="Times New Roman"/>
                      <w:b/>
                      <w:bCs/>
                      <w:color w:val="auto"/>
                      <w:kern w:val="2"/>
                      <w:sz w:val="21"/>
                      <w:szCs w:val="24"/>
                      <w:highlight w:val="none"/>
                      <w:lang w:val="en-US" w:eastAsia="zh-CN" w:bidi="ar-SA"/>
                    </w:rPr>
                  </w:pPr>
                  <w:r>
                    <w:rPr>
                      <w:rFonts w:ascii="Times New Roman" w:hAnsi="Times New Roman" w:eastAsia="宋体" w:cs="Times New Roman"/>
                      <w:b/>
                      <w:bCs/>
                      <w:color w:val="auto"/>
                      <w:kern w:val="2"/>
                      <w:sz w:val="21"/>
                      <w:szCs w:val="24"/>
                      <w:highlight w:val="none"/>
                      <w:lang w:val="en-US" w:eastAsia="zh-CN" w:bidi="ar-SA"/>
                    </w:rPr>
                    <w:t>序号</w:t>
                  </w:r>
                </w:p>
              </w:tc>
              <w:tc>
                <w:tcPr>
                  <w:tcW w:w="2156" w:type="dxa"/>
                  <w:tcBorders>
                    <w:tl2br w:val="nil"/>
                    <w:tr2bl w:val="nil"/>
                  </w:tcBorders>
                  <w:vAlign w:val="center"/>
                </w:tcPr>
                <w:p w14:paraId="452343E1">
                  <w:pPr>
                    <w:widowControl w:val="0"/>
                    <w:bidi w:val="0"/>
                    <w:adjustRightInd w:val="0"/>
                    <w:snapToGrid w:val="0"/>
                    <w:spacing w:line="240" w:lineRule="auto"/>
                    <w:ind w:firstLine="0" w:firstLineChars="0"/>
                    <w:contextualSpacing/>
                    <w:jc w:val="center"/>
                    <w:rPr>
                      <w:rFonts w:ascii="Times New Roman" w:hAnsi="Times New Roman" w:eastAsia="宋体" w:cs="Times New Roman"/>
                      <w:b/>
                      <w:bCs/>
                      <w:color w:val="auto"/>
                      <w:kern w:val="2"/>
                      <w:sz w:val="21"/>
                      <w:szCs w:val="24"/>
                      <w:highlight w:val="none"/>
                      <w:lang w:val="en-US" w:eastAsia="zh-CN" w:bidi="ar-SA"/>
                    </w:rPr>
                  </w:pPr>
                  <w:r>
                    <w:rPr>
                      <w:rFonts w:ascii="Times New Roman" w:hAnsi="Times New Roman" w:eastAsia="宋体" w:cs="Times New Roman"/>
                      <w:b/>
                      <w:bCs/>
                      <w:color w:val="auto"/>
                      <w:kern w:val="2"/>
                      <w:sz w:val="21"/>
                      <w:szCs w:val="24"/>
                      <w:highlight w:val="none"/>
                      <w:lang w:val="en-US" w:eastAsia="zh-CN" w:bidi="ar-SA"/>
                    </w:rPr>
                    <w:t>防渗区域或部位</w:t>
                  </w:r>
                </w:p>
              </w:tc>
              <w:tc>
                <w:tcPr>
                  <w:tcW w:w="1295" w:type="dxa"/>
                  <w:tcBorders>
                    <w:tl2br w:val="nil"/>
                    <w:tr2bl w:val="nil"/>
                  </w:tcBorders>
                  <w:vAlign w:val="center"/>
                </w:tcPr>
                <w:p w14:paraId="74D39F69">
                  <w:pPr>
                    <w:widowControl w:val="0"/>
                    <w:bidi w:val="0"/>
                    <w:adjustRightInd w:val="0"/>
                    <w:snapToGrid w:val="0"/>
                    <w:spacing w:line="240" w:lineRule="auto"/>
                    <w:ind w:firstLine="0" w:firstLineChars="0"/>
                    <w:contextualSpacing/>
                    <w:jc w:val="center"/>
                    <w:rPr>
                      <w:rFonts w:ascii="Times New Roman" w:hAnsi="Times New Roman" w:eastAsia="宋体" w:cs="Times New Roman"/>
                      <w:b/>
                      <w:bCs/>
                      <w:color w:val="auto"/>
                      <w:kern w:val="2"/>
                      <w:sz w:val="21"/>
                      <w:szCs w:val="24"/>
                      <w:highlight w:val="none"/>
                      <w:lang w:val="en-US" w:eastAsia="zh-CN" w:bidi="ar-SA"/>
                    </w:rPr>
                  </w:pPr>
                  <w:r>
                    <w:rPr>
                      <w:rFonts w:ascii="Times New Roman" w:hAnsi="Times New Roman" w:eastAsia="宋体" w:cs="Times New Roman"/>
                      <w:b/>
                      <w:bCs/>
                      <w:color w:val="auto"/>
                      <w:kern w:val="2"/>
                      <w:sz w:val="21"/>
                      <w:szCs w:val="24"/>
                      <w:highlight w:val="none"/>
                      <w:lang w:val="en-US" w:eastAsia="zh-CN" w:bidi="ar-SA"/>
                    </w:rPr>
                    <w:t>防渗等级</w:t>
                  </w:r>
                </w:p>
              </w:tc>
              <w:tc>
                <w:tcPr>
                  <w:tcW w:w="4567" w:type="dxa"/>
                  <w:tcBorders>
                    <w:tl2br w:val="nil"/>
                    <w:tr2bl w:val="nil"/>
                  </w:tcBorders>
                  <w:vAlign w:val="center"/>
                </w:tcPr>
                <w:p w14:paraId="6CDE8E4A">
                  <w:pPr>
                    <w:widowControl w:val="0"/>
                    <w:bidi w:val="0"/>
                    <w:adjustRightInd w:val="0"/>
                    <w:snapToGrid w:val="0"/>
                    <w:spacing w:line="240" w:lineRule="auto"/>
                    <w:ind w:firstLine="0" w:firstLineChars="0"/>
                    <w:contextualSpacing/>
                    <w:jc w:val="center"/>
                    <w:rPr>
                      <w:rFonts w:ascii="Times New Roman" w:hAnsi="Times New Roman" w:eastAsia="宋体" w:cs="Times New Roman"/>
                      <w:b/>
                      <w:bCs/>
                      <w:color w:val="auto"/>
                      <w:kern w:val="2"/>
                      <w:sz w:val="21"/>
                      <w:szCs w:val="24"/>
                      <w:highlight w:val="none"/>
                      <w:lang w:val="en-US" w:eastAsia="zh-CN" w:bidi="ar-SA"/>
                    </w:rPr>
                  </w:pPr>
                  <w:r>
                    <w:rPr>
                      <w:rFonts w:ascii="Times New Roman" w:hAnsi="Times New Roman" w:eastAsia="宋体" w:cs="Times New Roman"/>
                      <w:b/>
                      <w:bCs/>
                      <w:color w:val="auto"/>
                      <w:kern w:val="2"/>
                      <w:sz w:val="21"/>
                      <w:szCs w:val="24"/>
                      <w:highlight w:val="none"/>
                      <w:lang w:val="en-US" w:eastAsia="zh-CN" w:bidi="ar-SA"/>
                    </w:rPr>
                    <w:t>防渗要求</w:t>
                  </w:r>
                </w:p>
              </w:tc>
            </w:tr>
            <w:tr w14:paraId="407D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79" w:type="dxa"/>
                  <w:tcBorders>
                    <w:tl2br w:val="nil"/>
                    <w:tr2bl w:val="nil"/>
                  </w:tcBorders>
                  <w:vAlign w:val="center"/>
                </w:tcPr>
                <w:p w14:paraId="784A9698">
                  <w:pPr>
                    <w:widowControl w:val="0"/>
                    <w:bidi w:val="0"/>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w:t>
                  </w:r>
                </w:p>
              </w:tc>
              <w:tc>
                <w:tcPr>
                  <w:tcW w:w="2156" w:type="dxa"/>
                  <w:tcBorders>
                    <w:tl2br w:val="nil"/>
                    <w:tr2bl w:val="nil"/>
                  </w:tcBorders>
                  <w:vAlign w:val="center"/>
                </w:tcPr>
                <w:p w14:paraId="38A9DBC8">
                  <w:pPr>
                    <w:widowControl w:val="0"/>
                    <w:bidi w:val="0"/>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4"/>
                      <w:highlight w:val="none"/>
                      <w:lang w:val="en-US" w:eastAsia="zh-CN" w:bidi="ar-SA"/>
                    </w:rPr>
                  </w:pPr>
                  <w:r>
                    <w:rPr>
                      <w:rFonts w:hint="eastAsia"/>
                      <w:color w:val="auto"/>
                      <w:szCs w:val="21"/>
                      <w:highlight w:val="none"/>
                      <w:lang w:val="en-US" w:eastAsia="zh-CN"/>
                    </w:rPr>
                    <w:t>渗滤液收集池、调节池、产水收集池、</w:t>
                  </w:r>
                  <w:r>
                    <w:rPr>
                      <w:rFonts w:hint="eastAsia"/>
                      <w:color w:val="auto"/>
                      <w:sz w:val="21"/>
                      <w:szCs w:val="21"/>
                      <w:highlight w:val="none"/>
                      <w:vertAlign w:val="baseline"/>
                      <w:lang w:val="en-US" w:eastAsia="zh-CN"/>
                    </w:rPr>
                    <w:t>全量化处理站、固化渣暂存间、危废暂存间、硫酸储罐、污水收集管道</w:t>
                  </w:r>
                </w:p>
              </w:tc>
              <w:tc>
                <w:tcPr>
                  <w:tcW w:w="1295" w:type="dxa"/>
                  <w:tcBorders>
                    <w:tl2br w:val="nil"/>
                    <w:tr2bl w:val="nil"/>
                  </w:tcBorders>
                  <w:vAlign w:val="center"/>
                </w:tcPr>
                <w:p w14:paraId="25002EF1">
                  <w:pPr>
                    <w:widowControl w:val="0"/>
                    <w:bidi w:val="0"/>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重点防渗区</w:t>
                  </w:r>
                </w:p>
              </w:tc>
              <w:tc>
                <w:tcPr>
                  <w:tcW w:w="4567" w:type="dxa"/>
                  <w:tcBorders>
                    <w:bottom w:val="single" w:color="000000" w:sz="4" w:space="0"/>
                    <w:tl2br w:val="nil"/>
                    <w:tr2bl w:val="nil"/>
                  </w:tcBorders>
                  <w:vAlign w:val="center"/>
                </w:tcPr>
                <w:p w14:paraId="2A9EE8CF">
                  <w:pPr>
                    <w:jc w:val="left"/>
                    <w:rPr>
                      <w:rFonts w:ascii="Times New Roman" w:hAnsi="Times New Roman" w:eastAsia="宋体" w:cs="Times New Roman"/>
                      <w:color w:val="auto"/>
                      <w:kern w:val="2"/>
                      <w:sz w:val="21"/>
                      <w:szCs w:val="24"/>
                      <w:highlight w:val="none"/>
                      <w:lang w:val="en-US" w:eastAsia="zh-CN" w:bidi="ar-SA"/>
                    </w:rPr>
                  </w:pPr>
                  <w:r>
                    <w:rPr>
                      <w:rFonts w:hint="eastAsia"/>
                      <w:color w:val="auto"/>
                      <w:sz w:val="21"/>
                      <w:szCs w:val="21"/>
                      <w:highlight w:val="none"/>
                      <w:vertAlign w:val="baseline"/>
                      <w:lang w:val="en-US" w:eastAsia="zh-CN"/>
                    </w:rPr>
                    <w:t>等效黏土防渗层 Mb≥6.0m，K≤1.0×10</w:t>
                  </w:r>
                  <w:r>
                    <w:rPr>
                      <w:rFonts w:hint="eastAsia"/>
                      <w:color w:val="auto"/>
                      <w:sz w:val="21"/>
                      <w:szCs w:val="21"/>
                      <w:highlight w:val="none"/>
                      <w:vertAlign w:val="superscript"/>
                      <w:lang w:val="en-US" w:eastAsia="zh-CN"/>
                    </w:rPr>
                    <w:t>-7</w:t>
                  </w:r>
                  <w:r>
                    <w:rPr>
                      <w:rFonts w:hint="eastAsia"/>
                      <w:color w:val="auto"/>
                      <w:sz w:val="21"/>
                      <w:szCs w:val="21"/>
                      <w:highlight w:val="none"/>
                      <w:vertAlign w:val="baseline"/>
                      <w:lang w:val="en-US" w:eastAsia="zh-CN"/>
                    </w:rPr>
                    <w:t>cm/s，或参照GB18598执行，其中固化渣暂存间、危废暂存间防渗要求</w:t>
                  </w:r>
                  <w:r>
                    <w:rPr>
                      <w:rFonts w:hint="eastAsia"/>
                      <w:color w:val="auto"/>
                      <w:highlight w:val="none"/>
                      <w:lang w:val="en-US" w:eastAsia="zh-CN"/>
                    </w:rPr>
                    <w:t>至少为1m厚黏土层，渗透系数K≤1×10</w:t>
                  </w:r>
                  <w:r>
                    <w:rPr>
                      <w:rFonts w:hint="eastAsia"/>
                      <w:color w:val="auto"/>
                      <w:highlight w:val="none"/>
                      <w:vertAlign w:val="superscript"/>
                      <w:lang w:val="en-US" w:eastAsia="zh-CN"/>
                    </w:rPr>
                    <w:t>-7</w:t>
                  </w:r>
                  <w:r>
                    <w:rPr>
                      <w:rFonts w:hint="eastAsia"/>
                      <w:color w:val="auto"/>
                      <w:highlight w:val="none"/>
                      <w:lang w:val="en-US" w:eastAsia="zh-CN"/>
                    </w:rPr>
                    <w:t>cm/s或至少2mm厚高密度氯乙烯膜等人工防渗材料（渗透系数K≤1×10</w:t>
                  </w:r>
                  <w:r>
                    <w:rPr>
                      <w:rFonts w:hint="eastAsia"/>
                      <w:color w:val="auto"/>
                      <w:highlight w:val="none"/>
                      <w:vertAlign w:val="superscript"/>
                      <w:lang w:val="en-US" w:eastAsia="zh-CN"/>
                    </w:rPr>
                    <w:t>-10</w:t>
                  </w:r>
                  <w:r>
                    <w:rPr>
                      <w:rFonts w:hint="eastAsia"/>
                      <w:color w:val="auto"/>
                      <w:highlight w:val="none"/>
                      <w:lang w:val="en-US" w:eastAsia="zh-CN"/>
                    </w:rPr>
                    <w:t>cm/s），或其他防渗性能等效的材料</w:t>
                  </w:r>
                </w:p>
              </w:tc>
            </w:tr>
            <w:tr w14:paraId="4761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tcBorders>
                    <w:tl2br w:val="nil"/>
                    <w:tr2bl w:val="nil"/>
                  </w:tcBorders>
                  <w:vAlign w:val="center"/>
                </w:tcPr>
                <w:p w14:paraId="33061019">
                  <w:pPr>
                    <w:widowControl w:val="0"/>
                    <w:bidi w:val="0"/>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w:t>
                  </w:r>
                </w:p>
              </w:tc>
              <w:tc>
                <w:tcPr>
                  <w:tcW w:w="2156" w:type="dxa"/>
                  <w:tcBorders>
                    <w:tl2br w:val="nil"/>
                    <w:tr2bl w:val="nil"/>
                  </w:tcBorders>
                  <w:vAlign w:val="center"/>
                </w:tcPr>
                <w:p w14:paraId="030DDF17">
                  <w:pPr>
                    <w:widowControl w:val="0"/>
                    <w:bidi w:val="0"/>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配电间、在线监测室、控制室、空压房</w:t>
                  </w:r>
                </w:p>
              </w:tc>
              <w:tc>
                <w:tcPr>
                  <w:tcW w:w="1295" w:type="dxa"/>
                  <w:tcBorders>
                    <w:tl2br w:val="nil"/>
                    <w:tr2bl w:val="nil"/>
                  </w:tcBorders>
                  <w:vAlign w:val="center"/>
                </w:tcPr>
                <w:p w14:paraId="4A0AD835">
                  <w:pPr>
                    <w:widowControl w:val="0"/>
                    <w:bidi w:val="0"/>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一般</w:t>
                  </w:r>
                  <w:r>
                    <w:rPr>
                      <w:rFonts w:ascii="Times New Roman" w:hAnsi="Times New Roman" w:eastAsia="宋体" w:cs="Times New Roman"/>
                      <w:color w:val="auto"/>
                      <w:kern w:val="2"/>
                      <w:sz w:val="21"/>
                      <w:szCs w:val="24"/>
                      <w:highlight w:val="none"/>
                      <w:lang w:val="en-US" w:eastAsia="zh-CN" w:bidi="ar-SA"/>
                    </w:rPr>
                    <w:t>防渗区</w:t>
                  </w:r>
                </w:p>
              </w:tc>
              <w:tc>
                <w:tcPr>
                  <w:tcW w:w="4567" w:type="dxa"/>
                  <w:tcBorders>
                    <w:top w:val="single" w:color="000000" w:sz="4" w:space="0"/>
                    <w:bottom w:val="single" w:color="000000" w:sz="4" w:space="0"/>
                    <w:tl2br w:val="nil"/>
                    <w:tr2bl w:val="nil"/>
                  </w:tcBorders>
                  <w:vAlign w:val="center"/>
                </w:tcPr>
                <w:p w14:paraId="0D28370E">
                  <w:pPr>
                    <w:jc w:val="left"/>
                    <w:rPr>
                      <w:rFonts w:ascii="Times New Roman" w:hAnsi="Times New Roman" w:eastAsia="宋体" w:cs="Times New Roman"/>
                      <w:color w:val="auto"/>
                      <w:kern w:val="2"/>
                      <w:sz w:val="21"/>
                      <w:szCs w:val="24"/>
                      <w:highlight w:val="none"/>
                      <w:lang w:val="en-US" w:eastAsia="zh-CN" w:bidi="ar-SA"/>
                    </w:rPr>
                  </w:pPr>
                  <w:r>
                    <w:rPr>
                      <w:rFonts w:hint="eastAsia"/>
                      <w:color w:val="auto"/>
                      <w:sz w:val="21"/>
                      <w:szCs w:val="21"/>
                      <w:highlight w:val="none"/>
                      <w:vertAlign w:val="baseline"/>
                      <w:lang w:val="en-US" w:eastAsia="zh-CN"/>
                    </w:rPr>
                    <w:t>等效黏土防渗层Mb≥1.5m，渗透系数K≤10</w:t>
                  </w:r>
                  <w:r>
                    <w:rPr>
                      <w:rFonts w:hint="eastAsia"/>
                      <w:color w:val="auto"/>
                      <w:sz w:val="21"/>
                      <w:szCs w:val="21"/>
                      <w:highlight w:val="none"/>
                      <w:vertAlign w:val="superscript"/>
                      <w:lang w:val="en-US" w:eastAsia="zh-CN"/>
                    </w:rPr>
                    <w:t>-7</w:t>
                  </w:r>
                  <w:r>
                    <w:rPr>
                      <w:rFonts w:hint="eastAsia"/>
                      <w:color w:val="auto"/>
                      <w:sz w:val="21"/>
                      <w:szCs w:val="21"/>
                      <w:highlight w:val="none"/>
                      <w:vertAlign w:val="baseline"/>
                      <w:lang w:val="en-US" w:eastAsia="zh-CN"/>
                    </w:rPr>
                    <w:t>cm/s）</w:t>
                  </w:r>
                </w:p>
              </w:tc>
            </w:tr>
            <w:tr w14:paraId="3FAA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tcBorders>
                    <w:tl2br w:val="nil"/>
                    <w:tr2bl w:val="nil"/>
                  </w:tcBorders>
                  <w:vAlign w:val="center"/>
                </w:tcPr>
                <w:p w14:paraId="7D59812A">
                  <w:pPr>
                    <w:widowControl w:val="0"/>
                    <w:bidi w:val="0"/>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w:t>
                  </w:r>
                </w:p>
              </w:tc>
              <w:tc>
                <w:tcPr>
                  <w:tcW w:w="2156" w:type="dxa"/>
                  <w:tcBorders>
                    <w:tl2br w:val="nil"/>
                    <w:tr2bl w:val="nil"/>
                  </w:tcBorders>
                  <w:vAlign w:val="center"/>
                </w:tcPr>
                <w:p w14:paraId="222A33C6">
                  <w:pPr>
                    <w:widowControl w:val="0"/>
                    <w:bidi w:val="0"/>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厂区道路</w:t>
                  </w:r>
                </w:p>
              </w:tc>
              <w:tc>
                <w:tcPr>
                  <w:tcW w:w="1295" w:type="dxa"/>
                  <w:tcBorders>
                    <w:tl2br w:val="nil"/>
                    <w:tr2bl w:val="nil"/>
                  </w:tcBorders>
                  <w:vAlign w:val="center"/>
                </w:tcPr>
                <w:p w14:paraId="6BF0AF53">
                  <w:pPr>
                    <w:widowControl w:val="0"/>
                    <w:bidi w:val="0"/>
                    <w:adjustRightInd w:val="0"/>
                    <w:snapToGrid w:val="0"/>
                    <w:spacing w:line="240" w:lineRule="auto"/>
                    <w:ind w:firstLine="0" w:firstLineChars="0"/>
                    <w:contextualSpacing/>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4"/>
                      <w:highlight w:val="none"/>
                      <w:lang w:val="en-US" w:eastAsia="zh-CN" w:bidi="ar-SA"/>
                    </w:rPr>
                    <w:t>简单防渗区</w:t>
                  </w:r>
                </w:p>
              </w:tc>
              <w:tc>
                <w:tcPr>
                  <w:tcW w:w="4567" w:type="dxa"/>
                  <w:tcBorders>
                    <w:top w:val="single" w:color="000000" w:sz="4" w:space="0"/>
                    <w:bottom w:val="single" w:color="000000" w:sz="4" w:space="0"/>
                    <w:tl2br w:val="nil"/>
                    <w:tr2bl w:val="nil"/>
                  </w:tcBorders>
                  <w:vAlign w:val="center"/>
                </w:tcPr>
                <w:p w14:paraId="238C52D2">
                  <w:pPr>
                    <w:jc w:val="left"/>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szCs w:val="21"/>
                      <w:highlight w:val="none"/>
                      <w:vertAlign w:val="baseline"/>
                      <w:lang w:val="en-US" w:eastAsia="zh-CN"/>
                    </w:rPr>
                    <w:t>厂区道路全部硬化处理。</w:t>
                  </w:r>
                </w:p>
              </w:tc>
            </w:tr>
          </w:tbl>
          <w:p w14:paraId="0E75EDF1">
            <w:pPr>
              <w:adjustRightInd w:val="0"/>
              <w:snapToGrid w:val="0"/>
              <w:spacing w:before="120" w:beforeLines="5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对可能泄漏污染物的污染区和装置进行防渗处理，并及时地将泄漏、渗漏的污染物收集起来进行处理，可有效防止污染物渗入地下。根据国家相关标准和规范，结合目前施工过程中的可操作性和技术水平，针对不同的防渗区域采用不同的防治和防渗措施，在具体设计中可根据实际情况在满足防渗标准的前提下</w:t>
            </w:r>
            <w:r>
              <w:rPr>
                <w:rFonts w:hint="eastAsia" w:ascii="Times New Roman" w:hAnsi="Times New Roman" w:eastAsia="宋体" w:cs="Times New Roman"/>
                <w:color w:val="auto"/>
                <w:sz w:val="24"/>
                <w:highlight w:val="none"/>
              </w:rPr>
              <w:t>做必要</w:t>
            </w:r>
            <w:r>
              <w:rPr>
                <w:rFonts w:ascii="Times New Roman" w:hAnsi="Times New Roman" w:eastAsia="宋体" w:cs="Times New Roman"/>
                <w:color w:val="auto"/>
                <w:sz w:val="24"/>
                <w:highlight w:val="none"/>
              </w:rPr>
              <w:t>调整。</w:t>
            </w:r>
          </w:p>
          <w:p w14:paraId="0AC2CCCA">
            <w:pPr>
              <w:widowControl w:val="0"/>
              <w:bidi w:val="0"/>
              <w:adjustRightInd w:val="0"/>
              <w:snapToGrid w:val="0"/>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（3）地下水污染监控措施</w:t>
            </w:r>
          </w:p>
          <w:p w14:paraId="4C0DCAB0">
            <w:pPr>
              <w:pStyle w:val="84"/>
              <w:ind w:firstLine="482"/>
              <w:rPr>
                <w:rFonts w:hint="eastAsia" w:cs="Times New Roman"/>
                <w:b w:val="0"/>
                <w:bCs w:val="0"/>
                <w:color w:val="auto"/>
                <w:sz w:val="24"/>
                <w:szCs w:val="24"/>
                <w:highlight w:val="none"/>
                <w:lang w:val="en-US" w:eastAsia="zh-CN"/>
              </w:rPr>
            </w:pPr>
            <w:r>
              <w:rPr>
                <w:rFonts w:hint="eastAsia"/>
                <w:b w:val="0"/>
                <w:bCs w:val="0"/>
                <w:color w:val="auto"/>
                <w:highlight w:val="none"/>
                <w:lang w:val="en-US" w:eastAsia="zh-CN"/>
              </w:rPr>
              <w:t>本项目地下水污染监控井依托填埋场现有的监控井。根据建设单位提供的资料，大山生活垃圾填埋场目前已完成3口监测井施工，打井深度分别为250米、230米、170米，已施工的JC1、JC2（井深250m、175m）均未能揭露地下水，JC6（井深230m）揭露地下水，三口监测井分别位于填埋场西侧一口（目前已被覆土填埋），</w:t>
            </w:r>
            <w:r>
              <w:rPr>
                <w:rFonts w:hint="eastAsia" w:cs="Times New Roman"/>
                <w:b w:val="0"/>
                <w:bCs w:val="0"/>
                <w:color w:val="auto"/>
                <w:sz w:val="24"/>
                <w:szCs w:val="24"/>
                <w:highlight w:val="none"/>
                <w:lang w:val="en-US" w:eastAsia="zh-CN"/>
              </w:rPr>
              <w:t>南面约20m、700m处分别设有1口污染监视井。</w:t>
            </w:r>
            <w:r>
              <w:rPr>
                <w:rFonts w:hint="eastAsia"/>
                <w:b w:val="0"/>
                <w:bCs w:val="0"/>
                <w:color w:val="auto"/>
                <w:highlight w:val="none"/>
                <w:lang w:val="en-US" w:eastAsia="zh-CN"/>
              </w:rPr>
              <w:t>本次环评要求建设单位</w:t>
            </w:r>
            <w:r>
              <w:rPr>
                <w:rFonts w:hint="eastAsia" w:cs="Times New Roman"/>
                <w:color w:val="auto"/>
                <w:sz w:val="24"/>
                <w:szCs w:val="24"/>
                <w:highlight w:val="none"/>
                <w:lang w:val="en-US" w:eastAsia="zh-CN"/>
              </w:rPr>
              <w:t>按照</w:t>
            </w:r>
            <w:r>
              <w:rPr>
                <w:rFonts w:hint="eastAsia" w:cs="Times New Roman"/>
                <w:b w:val="0"/>
                <w:bCs w:val="0"/>
                <w:color w:val="auto"/>
                <w:sz w:val="24"/>
                <w:szCs w:val="24"/>
                <w:highlight w:val="none"/>
                <w:lang w:val="en-US" w:eastAsia="zh-CN"/>
              </w:rPr>
              <w:t>《生活垃圾填埋场污染控制标准》（GB16889-2024）中地下水监测井的布设要求，尽快完善本底井、污染监视井的布设。</w:t>
            </w:r>
          </w:p>
          <w:p w14:paraId="52BDBA71">
            <w:pPr>
              <w:pStyle w:val="84"/>
              <w:ind w:firstLine="482"/>
              <w:rPr>
                <w:rFonts w:hint="eastAsia"/>
                <w:b w:val="0"/>
                <w:bCs w:val="0"/>
                <w:color w:val="auto"/>
                <w:highlight w:val="none"/>
              </w:rPr>
            </w:pPr>
            <w:r>
              <w:rPr>
                <w:rFonts w:hint="eastAsia"/>
                <w:b w:val="0"/>
                <w:bCs w:val="0"/>
                <w:color w:val="auto"/>
                <w:highlight w:val="none"/>
                <w:lang w:val="en-US" w:eastAsia="zh-CN"/>
              </w:rPr>
              <w:t>即填埋场共需设置5个地下水监测井，分别为地下水流上游30-50m设本底井 1 眼；填埋场地下水主管出口处设1眼，填埋场两旁各30~50m污染扩散井1眼；地下水下游设监测井1眼，监测因子为：pH、水温、总硬度(以 CaCO</w:t>
            </w:r>
            <w:r>
              <w:rPr>
                <w:rFonts w:hint="eastAsia"/>
                <w:b w:val="0"/>
                <w:bCs w:val="0"/>
                <w:color w:val="auto"/>
                <w:highlight w:val="none"/>
                <w:vertAlign w:val="subscript"/>
                <w:lang w:val="en-US" w:eastAsia="zh-CN"/>
              </w:rPr>
              <w:t>3</w:t>
            </w:r>
            <w:r>
              <w:rPr>
                <w:rFonts w:hint="eastAsia"/>
                <w:b w:val="0"/>
                <w:bCs w:val="0"/>
                <w:color w:val="auto"/>
                <w:highlight w:val="none"/>
                <w:lang w:val="en-US" w:eastAsia="zh-CN"/>
              </w:rPr>
              <w:t xml:space="preserve">计)、硫酸盐、氯化物、氟化物、溶解性总固体、硝酸盐(以N计)、亚硝酸盐(以N计)、耗氧量(COD法，以O计)、氨氮(以N计)、汞、砷、铅、铁、锰、铜、锌、铬(六价)、挥发性酚类(以苯酚计)、总大肠菌群、氰化物。 </w:t>
            </w:r>
          </w:p>
          <w:p w14:paraId="1107DD83">
            <w:pPr>
              <w:pStyle w:val="84"/>
              <w:ind w:firstLine="482"/>
              <w:rPr>
                <w:rFonts w:hint="eastAsia"/>
                <w:b w:val="0"/>
                <w:bCs w:val="0"/>
                <w:color w:val="auto"/>
                <w:highlight w:val="none"/>
                <w:lang w:val="en-US" w:eastAsia="zh-CN"/>
              </w:rPr>
            </w:pPr>
            <w:r>
              <w:rPr>
                <w:rFonts w:hint="eastAsia"/>
                <w:b w:val="0"/>
                <w:bCs w:val="0"/>
                <w:color w:val="auto"/>
                <w:highlight w:val="none"/>
                <w:lang w:val="en-US" w:eastAsia="zh-CN"/>
              </w:rPr>
              <w:t>监测频次按《生活垃圾填埋场污染控制标准》（GB16889-2024）中要求设置。遇特殊情况或发生污染事故，应随时增加采样频次。</w:t>
            </w:r>
          </w:p>
          <w:p w14:paraId="60B059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表4-27  地下水监测要求一览表</w:t>
            </w:r>
          </w:p>
          <w:tbl>
            <w:tblPr>
              <w:tblStyle w:val="31"/>
              <w:tblW w:w="49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2835"/>
              <w:gridCol w:w="3210"/>
              <w:gridCol w:w="1309"/>
            </w:tblGrid>
            <w:tr w14:paraId="7A0C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16" w:type="pct"/>
                  <w:noWrap w:val="0"/>
                  <w:vAlign w:val="center"/>
                </w:tcPr>
                <w:p w14:paraId="753856B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监测点位</w:t>
                  </w:r>
                </w:p>
              </w:tc>
              <w:tc>
                <w:tcPr>
                  <w:tcW w:w="1612" w:type="pct"/>
                  <w:noWrap w:val="0"/>
                  <w:vAlign w:val="center"/>
                </w:tcPr>
                <w:p w14:paraId="232D83AC">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监测因子</w:t>
                  </w:r>
                </w:p>
              </w:tc>
              <w:tc>
                <w:tcPr>
                  <w:tcW w:w="1826" w:type="pct"/>
                  <w:noWrap w:val="0"/>
                  <w:vAlign w:val="center"/>
                </w:tcPr>
                <w:p w14:paraId="184228FD">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监测频次</w:t>
                  </w:r>
                </w:p>
              </w:tc>
              <w:tc>
                <w:tcPr>
                  <w:tcW w:w="744" w:type="pct"/>
                  <w:noWrap w:val="0"/>
                  <w:vAlign w:val="center"/>
                </w:tcPr>
                <w:p w14:paraId="5FEA3CFD">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执行标准</w:t>
                  </w:r>
                </w:p>
              </w:tc>
            </w:tr>
            <w:tr w14:paraId="36E7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816" w:type="pct"/>
                  <w:noWrap w:val="0"/>
                  <w:vAlign w:val="center"/>
                </w:tcPr>
                <w:p w14:paraId="205CE817">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本底井</w:t>
                  </w:r>
                </w:p>
              </w:tc>
              <w:tc>
                <w:tcPr>
                  <w:tcW w:w="1612" w:type="pct"/>
                  <w:vMerge w:val="restart"/>
                  <w:noWrap w:val="0"/>
                  <w:vAlign w:val="center"/>
                </w:tcPr>
                <w:p w14:paraId="75DEDFEF">
                  <w:pPr>
                    <w:spacing w:line="240" w:lineRule="auto"/>
                    <w:jc w:val="left"/>
                    <w:rPr>
                      <w:rFonts w:hint="default"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pH值、总硬度、溶解性总固体、耗氧量（CODCr法）、氨氮、硝酸盐、亚硝酸盐、硫酸盐、氯化物、挥发性酚类、氰化物、砷、汞、总铬、六价铬、铅、氟化物、镉、铁、锰、铜、锌、镍、铍、总大肠菌群</w:t>
                  </w:r>
                </w:p>
              </w:tc>
              <w:tc>
                <w:tcPr>
                  <w:tcW w:w="1826" w:type="pct"/>
                  <w:vMerge w:val="restart"/>
                  <w:noWrap w:val="0"/>
                  <w:vAlign w:val="center"/>
                </w:tcPr>
                <w:p w14:paraId="444D1C47">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填埋场运行期间，对地下水导排系统的导排管出口处污染监测井的水质监测频率应不少于每周1次，对污染扩散井和污染监视井的水质监测频率应不少于每2周1次，对本底井的水质监测频率应不少于每月1次；封场后，频率至少每季度1次。</w:t>
                  </w:r>
                </w:p>
              </w:tc>
              <w:tc>
                <w:tcPr>
                  <w:tcW w:w="744" w:type="pct"/>
                  <w:vMerge w:val="restart"/>
                  <w:noWrap w:val="0"/>
                  <w:vAlign w:val="center"/>
                </w:tcPr>
                <w:p w14:paraId="1433DD60">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olor w:val="auto"/>
                      <w:szCs w:val="21"/>
                      <w:highlight w:val="none"/>
                    </w:rPr>
                    <w:t>《地下水质量标准》(GB/T14848-2017)中的Ⅲ类水质标准</w:t>
                  </w:r>
                </w:p>
              </w:tc>
            </w:tr>
            <w:tr w14:paraId="2C83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6" w:type="pct"/>
                  <w:noWrap w:val="0"/>
                  <w:vAlign w:val="center"/>
                </w:tcPr>
                <w:p w14:paraId="6C161DB1">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污染扩散井</w:t>
                  </w:r>
                </w:p>
              </w:tc>
              <w:tc>
                <w:tcPr>
                  <w:tcW w:w="1612" w:type="pct"/>
                  <w:vMerge w:val="continue"/>
                  <w:noWrap w:val="0"/>
                  <w:vAlign w:val="center"/>
                </w:tcPr>
                <w:p w14:paraId="4FDC5C8F">
                  <w:pPr>
                    <w:spacing w:line="240" w:lineRule="auto"/>
                    <w:jc w:val="center"/>
                    <w:rPr>
                      <w:rFonts w:hint="eastAsia" w:cs="Times New Roman"/>
                      <w:color w:val="auto"/>
                      <w:sz w:val="21"/>
                      <w:szCs w:val="21"/>
                      <w:highlight w:val="none"/>
                      <w:vertAlign w:val="baseline"/>
                      <w:lang w:val="en-US" w:eastAsia="zh-CN"/>
                    </w:rPr>
                  </w:pPr>
                </w:p>
              </w:tc>
              <w:tc>
                <w:tcPr>
                  <w:tcW w:w="1826" w:type="pct"/>
                  <w:vMerge w:val="continue"/>
                  <w:noWrap w:val="0"/>
                  <w:vAlign w:val="center"/>
                </w:tcPr>
                <w:p w14:paraId="5EFAAEA7">
                  <w:pPr>
                    <w:spacing w:line="240" w:lineRule="auto"/>
                    <w:jc w:val="center"/>
                    <w:rPr>
                      <w:rFonts w:hint="eastAsia" w:cs="Times New Roman"/>
                      <w:color w:val="auto"/>
                      <w:sz w:val="21"/>
                      <w:szCs w:val="21"/>
                      <w:highlight w:val="none"/>
                      <w:vertAlign w:val="baseline"/>
                      <w:lang w:val="en-US" w:eastAsia="zh-CN"/>
                    </w:rPr>
                  </w:pPr>
                </w:p>
              </w:tc>
              <w:tc>
                <w:tcPr>
                  <w:tcW w:w="744" w:type="pct"/>
                  <w:vMerge w:val="continue"/>
                  <w:noWrap w:val="0"/>
                  <w:vAlign w:val="center"/>
                </w:tcPr>
                <w:p w14:paraId="23F05F6C">
                  <w:pPr>
                    <w:spacing w:line="240" w:lineRule="auto"/>
                    <w:jc w:val="center"/>
                    <w:rPr>
                      <w:rFonts w:hint="eastAsia" w:cs="Times New Roman"/>
                      <w:color w:val="auto"/>
                      <w:sz w:val="21"/>
                      <w:szCs w:val="21"/>
                      <w:highlight w:val="none"/>
                      <w:vertAlign w:val="baseline"/>
                      <w:lang w:val="en-US" w:eastAsia="zh-CN"/>
                    </w:rPr>
                  </w:pPr>
                </w:p>
              </w:tc>
            </w:tr>
            <w:tr w14:paraId="57F7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16" w:type="pct"/>
                  <w:noWrap w:val="0"/>
                  <w:vAlign w:val="center"/>
                </w:tcPr>
                <w:p w14:paraId="0114D864">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污染监视井</w:t>
                  </w:r>
                </w:p>
              </w:tc>
              <w:tc>
                <w:tcPr>
                  <w:tcW w:w="1612" w:type="pct"/>
                  <w:vMerge w:val="continue"/>
                  <w:noWrap w:val="0"/>
                  <w:vAlign w:val="center"/>
                </w:tcPr>
                <w:p w14:paraId="608A981D">
                  <w:pPr>
                    <w:spacing w:line="240" w:lineRule="auto"/>
                    <w:jc w:val="center"/>
                    <w:rPr>
                      <w:rFonts w:hint="eastAsia" w:cs="Times New Roman"/>
                      <w:color w:val="auto"/>
                      <w:sz w:val="21"/>
                      <w:szCs w:val="21"/>
                      <w:highlight w:val="none"/>
                      <w:vertAlign w:val="baseline"/>
                      <w:lang w:val="en-US" w:eastAsia="zh-CN"/>
                    </w:rPr>
                  </w:pPr>
                </w:p>
              </w:tc>
              <w:tc>
                <w:tcPr>
                  <w:tcW w:w="1826" w:type="pct"/>
                  <w:vMerge w:val="continue"/>
                  <w:noWrap w:val="0"/>
                  <w:vAlign w:val="center"/>
                </w:tcPr>
                <w:p w14:paraId="5CC26D1D">
                  <w:pPr>
                    <w:spacing w:line="240" w:lineRule="auto"/>
                    <w:jc w:val="center"/>
                    <w:rPr>
                      <w:rFonts w:hint="eastAsia" w:cs="Times New Roman"/>
                      <w:color w:val="auto"/>
                      <w:sz w:val="21"/>
                      <w:szCs w:val="21"/>
                      <w:highlight w:val="none"/>
                      <w:vertAlign w:val="baseline"/>
                      <w:lang w:val="en-US" w:eastAsia="zh-CN"/>
                    </w:rPr>
                  </w:pPr>
                </w:p>
              </w:tc>
              <w:tc>
                <w:tcPr>
                  <w:tcW w:w="744" w:type="pct"/>
                  <w:vMerge w:val="continue"/>
                  <w:noWrap w:val="0"/>
                  <w:vAlign w:val="center"/>
                </w:tcPr>
                <w:p w14:paraId="674AEE15">
                  <w:pPr>
                    <w:spacing w:line="240" w:lineRule="auto"/>
                    <w:jc w:val="center"/>
                    <w:rPr>
                      <w:rFonts w:hint="eastAsia" w:cs="Times New Roman"/>
                      <w:color w:val="auto"/>
                      <w:sz w:val="21"/>
                      <w:szCs w:val="21"/>
                      <w:highlight w:val="none"/>
                      <w:vertAlign w:val="baseline"/>
                      <w:lang w:val="en-US" w:eastAsia="zh-CN"/>
                    </w:rPr>
                  </w:pPr>
                </w:p>
              </w:tc>
            </w:tr>
            <w:tr w14:paraId="7273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16" w:type="pct"/>
                  <w:noWrap w:val="0"/>
                  <w:vAlign w:val="center"/>
                </w:tcPr>
                <w:p w14:paraId="6DD4F2ED">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污染监测井</w:t>
                  </w:r>
                </w:p>
              </w:tc>
              <w:tc>
                <w:tcPr>
                  <w:tcW w:w="1612" w:type="pct"/>
                  <w:vMerge w:val="continue"/>
                  <w:noWrap w:val="0"/>
                  <w:vAlign w:val="center"/>
                </w:tcPr>
                <w:p w14:paraId="6021744B">
                  <w:pPr>
                    <w:spacing w:line="240" w:lineRule="auto"/>
                    <w:jc w:val="center"/>
                    <w:rPr>
                      <w:rFonts w:hint="eastAsia" w:cs="Times New Roman"/>
                      <w:color w:val="auto"/>
                      <w:sz w:val="21"/>
                      <w:szCs w:val="21"/>
                      <w:highlight w:val="none"/>
                      <w:vertAlign w:val="baseline"/>
                      <w:lang w:val="en-US" w:eastAsia="zh-CN"/>
                    </w:rPr>
                  </w:pPr>
                </w:p>
              </w:tc>
              <w:tc>
                <w:tcPr>
                  <w:tcW w:w="1826" w:type="pct"/>
                  <w:vMerge w:val="continue"/>
                  <w:noWrap w:val="0"/>
                  <w:vAlign w:val="center"/>
                </w:tcPr>
                <w:p w14:paraId="3F89BA50">
                  <w:pPr>
                    <w:spacing w:line="240" w:lineRule="auto"/>
                    <w:jc w:val="center"/>
                    <w:rPr>
                      <w:rFonts w:hint="eastAsia" w:cs="Times New Roman"/>
                      <w:color w:val="auto"/>
                      <w:sz w:val="21"/>
                      <w:szCs w:val="21"/>
                      <w:highlight w:val="none"/>
                      <w:vertAlign w:val="baseline"/>
                      <w:lang w:val="en-US" w:eastAsia="zh-CN"/>
                    </w:rPr>
                  </w:pPr>
                </w:p>
              </w:tc>
              <w:tc>
                <w:tcPr>
                  <w:tcW w:w="744" w:type="pct"/>
                  <w:vMerge w:val="continue"/>
                  <w:noWrap w:val="0"/>
                  <w:vAlign w:val="center"/>
                </w:tcPr>
                <w:p w14:paraId="00B70ED1">
                  <w:pPr>
                    <w:spacing w:line="240" w:lineRule="auto"/>
                    <w:jc w:val="center"/>
                    <w:rPr>
                      <w:rFonts w:hint="eastAsia" w:cs="Times New Roman"/>
                      <w:color w:val="auto"/>
                      <w:sz w:val="21"/>
                      <w:szCs w:val="21"/>
                      <w:highlight w:val="none"/>
                      <w:vertAlign w:val="baseline"/>
                      <w:lang w:val="en-US" w:eastAsia="zh-CN"/>
                    </w:rPr>
                  </w:pPr>
                </w:p>
              </w:tc>
            </w:tr>
          </w:tbl>
          <w:p w14:paraId="7E8E3FFC">
            <w:pPr>
              <w:pStyle w:val="84"/>
              <w:ind w:firstLine="482"/>
              <w:rPr>
                <w:rFonts w:hint="eastAsia"/>
                <w:b w:val="0"/>
                <w:bCs w:val="0"/>
                <w:color w:val="auto"/>
                <w:highlight w:val="none"/>
                <w:lang w:val="en-US" w:eastAsia="zh-CN"/>
              </w:rPr>
            </w:pPr>
            <w:r>
              <w:rPr>
                <w:rFonts w:hint="eastAsia"/>
                <w:b w:val="0"/>
                <w:bCs w:val="0"/>
                <w:color w:val="auto"/>
                <w:highlight w:val="none"/>
                <w:lang w:val="en-US" w:eastAsia="zh-CN"/>
              </w:rPr>
              <w:t xml:space="preserve">（4）应急响应 </w:t>
            </w:r>
          </w:p>
          <w:p w14:paraId="09432BE0">
            <w:pPr>
              <w:pStyle w:val="84"/>
              <w:ind w:firstLine="482"/>
              <w:rPr>
                <w:rFonts w:hint="eastAsia"/>
                <w:b w:val="0"/>
                <w:bCs w:val="0"/>
                <w:color w:val="auto"/>
                <w:highlight w:val="none"/>
                <w:lang w:val="en-US" w:eastAsia="zh-CN"/>
              </w:rPr>
            </w:pPr>
            <w:r>
              <w:rPr>
                <w:rFonts w:hint="eastAsia"/>
                <w:b w:val="0"/>
                <w:bCs w:val="0"/>
                <w:color w:val="auto"/>
                <w:highlight w:val="none"/>
                <w:lang w:val="en-US" w:eastAsia="zh-CN"/>
              </w:rPr>
              <w:t xml:space="preserve">渗滤液处理设施构筑物及管道采用钢筋混凝土结构，设计方案采取重点防渗处理，发生泄漏的可能性小。为最大程度的减少运营期构（建）筑物渗漏对周边环境的影响，建设单位应采取措施，防止污水“跑、冒、滴、漏”的现象发生。 </w:t>
            </w:r>
          </w:p>
          <w:p w14:paraId="1524A916">
            <w:pPr>
              <w:pStyle w:val="84"/>
              <w:ind w:firstLine="482"/>
              <w:rPr>
                <w:rFonts w:hint="eastAsia"/>
                <w:b w:val="0"/>
                <w:bCs w:val="0"/>
                <w:color w:val="auto"/>
                <w:highlight w:val="none"/>
                <w:lang w:val="en-US" w:eastAsia="zh-CN"/>
              </w:rPr>
            </w:pPr>
            <w:r>
              <w:rPr>
                <w:rFonts w:hint="eastAsia"/>
                <w:b w:val="0"/>
                <w:bCs w:val="0"/>
                <w:color w:val="auto"/>
                <w:highlight w:val="none"/>
                <w:lang w:val="en-US" w:eastAsia="zh-CN"/>
              </w:rPr>
              <w:t xml:space="preserve">1）选择符合技术规范的污水管道，定期对污水管道进行检查，一旦发现渗漏立即维修或更换；对厂内各渗滤液处理构（建）筑物进行防渗处理； </w:t>
            </w:r>
          </w:p>
          <w:p w14:paraId="1731DB36">
            <w:pPr>
              <w:pStyle w:val="84"/>
              <w:ind w:firstLine="482"/>
              <w:rPr>
                <w:rFonts w:hint="eastAsia"/>
                <w:b w:val="0"/>
                <w:bCs w:val="0"/>
                <w:color w:val="auto"/>
                <w:highlight w:val="none"/>
                <w:lang w:val="en-US" w:eastAsia="zh-CN"/>
              </w:rPr>
            </w:pPr>
            <w:r>
              <w:rPr>
                <w:rFonts w:hint="eastAsia"/>
                <w:b w:val="0"/>
                <w:bCs w:val="0"/>
                <w:color w:val="auto"/>
                <w:highlight w:val="none"/>
                <w:lang w:val="en-US" w:eastAsia="zh-CN"/>
              </w:rPr>
              <w:t xml:space="preserve">2）一旦地下水监测网监测出地下水受到污染或一旦发现防渗层或管道发生破裂污染地下水，立即对渗漏处进行封堵，并启动下游监测井作为抽水井，将污染的地下水抽出至调节池，并进一步输送至渗滤液处理系统进行处理，直至污染晕消除。 </w:t>
            </w:r>
          </w:p>
          <w:p w14:paraId="0A2D4701">
            <w:pPr>
              <w:pStyle w:val="84"/>
              <w:ind w:firstLine="482"/>
              <w:rPr>
                <w:rFonts w:hint="eastAsia"/>
                <w:b w:val="0"/>
                <w:bCs w:val="0"/>
                <w:color w:val="auto"/>
                <w:highlight w:val="none"/>
                <w:lang w:val="en-US" w:eastAsia="zh-CN"/>
              </w:rPr>
            </w:pPr>
            <w:r>
              <w:rPr>
                <w:rFonts w:hint="eastAsia"/>
                <w:b w:val="0"/>
                <w:bCs w:val="0"/>
                <w:color w:val="auto"/>
                <w:highlight w:val="none"/>
                <w:lang w:val="en-US" w:eastAsia="zh-CN"/>
              </w:rPr>
              <w:t>综上所述，在采取上述防渗、防腐处理措施后，项目对地下水基本不会造成明显影响。</w:t>
            </w:r>
          </w:p>
          <w:p w14:paraId="07ED8580">
            <w:pPr>
              <w:snapToGrid w:val="0"/>
              <w:spacing w:line="360" w:lineRule="auto"/>
              <w:ind w:firstLine="482" w:firstLineChars="200"/>
              <w:jc w:val="both"/>
              <w:rPr>
                <w:b/>
                <w:bCs/>
                <w:color w:val="auto"/>
                <w:sz w:val="24"/>
                <w:highlight w:val="none"/>
              </w:rPr>
            </w:pPr>
            <w:r>
              <w:rPr>
                <w:rFonts w:hint="eastAsia" w:cs="Times New Roman"/>
                <w:b/>
                <w:bCs/>
                <w:color w:val="auto"/>
                <w:sz w:val="24"/>
                <w:highlight w:val="none"/>
                <w:lang w:val="en-US" w:eastAsia="zh-CN"/>
              </w:rPr>
              <w:t>七</w:t>
            </w:r>
            <w:r>
              <w:rPr>
                <w:rFonts w:hint="eastAsia" w:ascii="Times New Roman" w:hAnsi="Times New Roman" w:eastAsia="宋体" w:cs="Times New Roman"/>
                <w:b/>
                <w:bCs/>
                <w:color w:val="auto"/>
                <w:sz w:val="24"/>
                <w:highlight w:val="none"/>
              </w:rPr>
              <w:t>、</w:t>
            </w:r>
            <w:r>
              <w:rPr>
                <w:rFonts w:hint="eastAsia"/>
                <w:b/>
                <w:bCs/>
                <w:color w:val="auto"/>
                <w:sz w:val="24"/>
                <w:highlight w:val="none"/>
              </w:rPr>
              <w:t>环境风险分析</w:t>
            </w:r>
          </w:p>
          <w:p w14:paraId="56087349">
            <w:pPr>
              <w:adjustRightInd w:val="0"/>
              <w:snapToGrid w:val="0"/>
              <w:spacing w:line="360" w:lineRule="auto"/>
              <w:ind w:firstLine="480" w:firstLineChars="200"/>
              <w:rPr>
                <w:rFonts w:hint="default" w:eastAsia="宋体"/>
                <w:color w:val="auto"/>
                <w:kern w:val="24"/>
                <w:sz w:val="24"/>
                <w:highlight w:val="none"/>
                <w:lang w:val="en-US" w:eastAsia="zh-CN"/>
              </w:rPr>
            </w:pPr>
            <w:r>
              <w:rPr>
                <w:rFonts w:hint="default" w:eastAsia="宋体"/>
                <w:color w:val="auto"/>
                <w:kern w:val="24"/>
                <w:sz w:val="24"/>
                <w:highlight w:val="none"/>
                <w:lang w:val="en-US" w:eastAsia="zh-CN"/>
              </w:rPr>
              <w:t>根据《建设项目环境风险评价技术导则》（HJ169-2018）中附录B重点关注的危险物质，项目所涉及的危险物质主要有：硫酸、渗滤液、浓缩液、蒸发母液。</w:t>
            </w:r>
          </w:p>
          <w:p w14:paraId="331016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表4-2</w:t>
            </w:r>
            <w:r>
              <w:rPr>
                <w:rFonts w:hint="eastAsia" w:cs="Times New Roman"/>
                <w:b/>
                <w:bCs w:val="0"/>
                <w:color w:val="auto"/>
                <w:sz w:val="24"/>
                <w:szCs w:val="24"/>
                <w:highlight w:val="none"/>
                <w:lang w:val="en-US" w:eastAsia="zh-CN"/>
              </w:rPr>
              <w:t>8</w:t>
            </w:r>
            <w:r>
              <w:rPr>
                <w:rFonts w:hint="eastAsia" w:ascii="Times New Roman" w:hAnsi="Times New Roman" w:eastAsia="宋体" w:cs="Times New Roman"/>
                <w:b/>
                <w:bCs w:val="0"/>
                <w:color w:val="auto"/>
                <w:sz w:val="24"/>
                <w:szCs w:val="24"/>
                <w:highlight w:val="none"/>
                <w:lang w:val="en-US" w:eastAsia="zh-CN"/>
              </w:rPr>
              <w:t xml:space="preserve">  本项目</w:t>
            </w:r>
            <w:bookmarkStart w:id="25" w:name="_Hlk209539766"/>
            <w:r>
              <w:rPr>
                <w:rFonts w:hint="eastAsia" w:ascii="Times New Roman" w:hAnsi="Times New Roman" w:eastAsia="宋体" w:cs="Times New Roman"/>
                <w:b/>
                <w:bCs w:val="0"/>
                <w:color w:val="auto"/>
                <w:sz w:val="24"/>
                <w:szCs w:val="24"/>
                <w:highlight w:val="none"/>
                <w:lang w:val="en-US" w:eastAsia="zh-CN"/>
              </w:rPr>
              <w:t>风险物质一览表</w:t>
            </w:r>
            <w:bookmarkEnd w:id="25"/>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1362"/>
              <w:gridCol w:w="4461"/>
              <w:gridCol w:w="3024"/>
            </w:tblGrid>
            <w:tr w14:paraId="55DA5DE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88" w:hRule="atLeast"/>
              </w:trPr>
              <w:tc>
                <w:tcPr>
                  <w:tcW w:w="770" w:type="pct"/>
                  <w:noWrap w:val="0"/>
                  <w:vAlign w:val="center"/>
                </w:tcPr>
                <w:p w14:paraId="7650D56F">
                  <w:pPr>
                    <w:pStyle w:val="62"/>
                    <w:spacing w:line="240" w:lineRule="auto"/>
                    <w:ind w:firstLine="0" w:firstLineChars="0"/>
                    <w:jc w:val="center"/>
                    <w:rPr>
                      <w:rFonts w:ascii="Times New Roman" w:hAnsi="Times New Roman" w:cs="Times New Roman"/>
                      <w:color w:val="auto"/>
                      <w:sz w:val="21"/>
                      <w:szCs w:val="21"/>
                      <w:highlight w:val="none"/>
                      <w:lang w:val="en-US" w:bidi="ar-SA"/>
                    </w:rPr>
                  </w:pPr>
                  <w:bookmarkStart w:id="26" w:name="OLE_LINK6" w:colFirst="2" w:colLast="4"/>
                  <w:r>
                    <w:rPr>
                      <w:rFonts w:hint="eastAsia" w:ascii="Times New Roman" w:hAnsi="Times New Roman" w:cs="Times New Roman"/>
                      <w:color w:val="auto"/>
                      <w:sz w:val="21"/>
                      <w:szCs w:val="21"/>
                      <w:highlight w:val="none"/>
                      <w:lang w:val="en-US" w:bidi="ar-SA"/>
                    </w:rPr>
                    <w:t>序号</w:t>
                  </w:r>
                </w:p>
              </w:tc>
              <w:tc>
                <w:tcPr>
                  <w:tcW w:w="2521" w:type="pct"/>
                  <w:noWrap w:val="0"/>
                  <w:vAlign w:val="center"/>
                </w:tcPr>
                <w:p w14:paraId="1D8142D2">
                  <w:pPr>
                    <w:pStyle w:val="62"/>
                    <w:spacing w:line="240" w:lineRule="auto"/>
                    <w:ind w:firstLine="0" w:firstLineChars="0"/>
                    <w:jc w:val="center"/>
                    <w:rPr>
                      <w:rFonts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风险物质</w:t>
                  </w:r>
                </w:p>
              </w:tc>
              <w:tc>
                <w:tcPr>
                  <w:tcW w:w="1707" w:type="pct"/>
                  <w:noWrap w:val="0"/>
                  <w:vAlign w:val="center"/>
                </w:tcPr>
                <w:p w14:paraId="359877A1">
                  <w:pPr>
                    <w:pStyle w:val="62"/>
                    <w:spacing w:line="240" w:lineRule="auto"/>
                    <w:ind w:firstLine="0" w:firstLineChars="0"/>
                    <w:jc w:val="center"/>
                    <w:rPr>
                      <w:rFonts w:hint="eastAsia"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最大</w:t>
                  </w:r>
                  <w:r>
                    <w:rPr>
                      <w:rFonts w:hint="eastAsia" w:ascii="Times New Roman" w:hAnsi="Times New Roman" w:cs="Times New Roman"/>
                      <w:color w:val="auto"/>
                      <w:sz w:val="21"/>
                      <w:szCs w:val="21"/>
                      <w:highlight w:val="none"/>
                      <w:lang w:val="en-US" w:eastAsia="en-US" w:bidi="ar-SA"/>
                    </w:rPr>
                    <w:t>存在总量q</w:t>
                  </w:r>
                  <w:r>
                    <w:rPr>
                      <w:rFonts w:hint="eastAsia" w:ascii="Times New Roman" w:hAnsi="Times New Roman" w:cs="Times New Roman"/>
                      <w:color w:val="auto"/>
                      <w:sz w:val="21"/>
                      <w:szCs w:val="21"/>
                      <w:highlight w:val="none"/>
                      <w:vertAlign w:val="subscript"/>
                      <w:lang w:val="en-US" w:eastAsia="en-US" w:bidi="ar-SA"/>
                    </w:rPr>
                    <w:t>n</w:t>
                  </w:r>
                  <w:r>
                    <w:rPr>
                      <w:rFonts w:hint="eastAsia" w:ascii="Times New Roman" w:hAnsi="Times New Roman" w:cs="Times New Roman"/>
                      <w:color w:val="auto"/>
                      <w:sz w:val="21"/>
                      <w:szCs w:val="21"/>
                      <w:highlight w:val="none"/>
                      <w:lang w:val="en-US" w:bidi="ar-SA"/>
                    </w:rPr>
                    <w:t>/t</w:t>
                  </w:r>
                </w:p>
              </w:tc>
            </w:tr>
            <w:bookmarkEnd w:id="26"/>
            <w:tr w14:paraId="6F373A9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68" w:hRule="atLeast"/>
              </w:trPr>
              <w:tc>
                <w:tcPr>
                  <w:tcW w:w="770" w:type="pct"/>
                  <w:noWrap w:val="0"/>
                  <w:vAlign w:val="center"/>
                </w:tcPr>
                <w:p w14:paraId="52B51E4A">
                  <w:pPr>
                    <w:pStyle w:val="62"/>
                    <w:spacing w:line="240" w:lineRule="auto"/>
                    <w:ind w:firstLine="0" w:firstLineChars="0"/>
                    <w:jc w:val="center"/>
                    <w:rPr>
                      <w:rFonts w:ascii="Times New Roman" w:hAnsi="Times New Roman" w:cs="Times New Roman"/>
                      <w:color w:val="auto"/>
                      <w:sz w:val="21"/>
                      <w:szCs w:val="21"/>
                      <w:highlight w:val="none"/>
                      <w:lang w:val="en-US" w:bidi="ar-SA"/>
                    </w:rPr>
                  </w:pPr>
                  <w:bookmarkStart w:id="27" w:name="OLE_LINK2" w:colFirst="2" w:colLast="3"/>
                  <w:bookmarkStart w:id="28" w:name="OLE_LINK7" w:colFirst="2" w:colLast="4"/>
                  <w:r>
                    <w:rPr>
                      <w:rFonts w:hint="eastAsia" w:ascii="Times New Roman" w:hAnsi="Times New Roman" w:cs="Times New Roman"/>
                      <w:color w:val="auto"/>
                      <w:sz w:val="21"/>
                      <w:szCs w:val="21"/>
                      <w:highlight w:val="none"/>
                      <w:lang w:val="en-US" w:bidi="ar-SA"/>
                    </w:rPr>
                    <w:t>1</w:t>
                  </w:r>
                </w:p>
              </w:tc>
              <w:tc>
                <w:tcPr>
                  <w:tcW w:w="2521" w:type="pct"/>
                  <w:noWrap w:val="0"/>
                  <w:vAlign w:val="center"/>
                </w:tcPr>
                <w:p w14:paraId="0190051A">
                  <w:pPr>
                    <w:pStyle w:val="62"/>
                    <w:spacing w:line="240" w:lineRule="auto"/>
                    <w:ind w:firstLine="0" w:firstLineChars="0"/>
                    <w:jc w:val="center"/>
                    <w:rPr>
                      <w:rFonts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硫酸</w:t>
                  </w:r>
                </w:p>
              </w:tc>
              <w:tc>
                <w:tcPr>
                  <w:tcW w:w="1707" w:type="pct"/>
                  <w:noWrap w:val="0"/>
                  <w:vAlign w:val="center"/>
                </w:tcPr>
                <w:p w14:paraId="0D4B3114">
                  <w:pPr>
                    <w:pStyle w:val="62"/>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7.78</w:t>
                  </w:r>
                </w:p>
              </w:tc>
            </w:tr>
            <w:bookmarkEnd w:id="27"/>
            <w:bookmarkEnd w:id="28"/>
            <w:tr w14:paraId="7A60801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02" w:hRule="atLeast"/>
              </w:trPr>
              <w:tc>
                <w:tcPr>
                  <w:tcW w:w="770" w:type="pct"/>
                  <w:noWrap w:val="0"/>
                  <w:vAlign w:val="center"/>
                </w:tcPr>
                <w:p w14:paraId="1E4AFEA2">
                  <w:pPr>
                    <w:pStyle w:val="62"/>
                    <w:spacing w:line="240" w:lineRule="auto"/>
                    <w:ind w:firstLine="0" w:firstLineChars="0"/>
                    <w:jc w:val="center"/>
                    <w:rPr>
                      <w:rFonts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2</w:t>
                  </w:r>
                </w:p>
              </w:tc>
              <w:tc>
                <w:tcPr>
                  <w:tcW w:w="2521" w:type="pct"/>
                  <w:noWrap w:val="0"/>
                  <w:vAlign w:val="center"/>
                </w:tcPr>
                <w:p w14:paraId="434BF4F6">
                  <w:pPr>
                    <w:pStyle w:val="62"/>
                    <w:spacing w:line="240" w:lineRule="auto"/>
                    <w:ind w:firstLine="0" w:firstLineChars="0"/>
                    <w:jc w:val="center"/>
                    <w:rPr>
                      <w:rFonts w:hint="eastAsia"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渗滤液（NH</w:t>
                  </w:r>
                  <w:r>
                    <w:rPr>
                      <w:rFonts w:hint="eastAsia" w:ascii="Times New Roman" w:hAnsi="Times New Roman" w:cs="Times New Roman"/>
                      <w:color w:val="auto"/>
                      <w:sz w:val="21"/>
                      <w:szCs w:val="21"/>
                      <w:highlight w:val="none"/>
                      <w:vertAlign w:val="subscript"/>
                      <w:lang w:val="en-US" w:bidi="ar-SA"/>
                    </w:rPr>
                    <w:t>3</w:t>
                  </w:r>
                  <w:r>
                    <w:rPr>
                      <w:rFonts w:hint="eastAsia" w:ascii="Times New Roman" w:hAnsi="Times New Roman" w:cs="Times New Roman"/>
                      <w:color w:val="auto"/>
                      <w:sz w:val="21"/>
                      <w:szCs w:val="21"/>
                      <w:highlight w:val="none"/>
                      <w:lang w:val="en-US" w:bidi="ar-SA"/>
                    </w:rPr>
                    <w:t>-N浓度≥2000mg/L的废液）</w:t>
                  </w:r>
                </w:p>
              </w:tc>
              <w:tc>
                <w:tcPr>
                  <w:tcW w:w="1707" w:type="pct"/>
                  <w:noWrap w:val="0"/>
                  <w:vAlign w:val="center"/>
                </w:tcPr>
                <w:p w14:paraId="4928DC57">
                  <w:pPr>
                    <w:pStyle w:val="62"/>
                    <w:spacing w:line="240" w:lineRule="auto"/>
                    <w:ind w:firstLine="0" w:firstLineChars="0"/>
                    <w:jc w:val="center"/>
                    <w:rPr>
                      <w:rFonts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800</w:t>
                  </w:r>
                </w:p>
              </w:tc>
            </w:tr>
            <w:tr w14:paraId="0245C29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02" w:hRule="atLeast"/>
              </w:trPr>
              <w:tc>
                <w:tcPr>
                  <w:tcW w:w="770" w:type="pct"/>
                  <w:noWrap w:val="0"/>
                  <w:vAlign w:val="center"/>
                </w:tcPr>
                <w:p w14:paraId="27953276">
                  <w:pPr>
                    <w:pStyle w:val="62"/>
                    <w:spacing w:line="240" w:lineRule="auto"/>
                    <w:ind w:firstLine="0" w:firstLineChars="0"/>
                    <w:jc w:val="center"/>
                    <w:rPr>
                      <w:rFonts w:hint="eastAsia"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3</w:t>
                  </w:r>
                </w:p>
              </w:tc>
              <w:tc>
                <w:tcPr>
                  <w:tcW w:w="2521" w:type="pct"/>
                  <w:noWrap w:val="0"/>
                  <w:vAlign w:val="center"/>
                </w:tcPr>
                <w:p w14:paraId="171D0D55">
                  <w:pPr>
                    <w:pStyle w:val="62"/>
                    <w:spacing w:line="240" w:lineRule="auto"/>
                    <w:ind w:firstLine="0" w:firstLineChars="0"/>
                    <w:jc w:val="center"/>
                    <w:rPr>
                      <w:rFonts w:hint="eastAsia"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渗滤液（COD≥10000mg/L的有机废液）</w:t>
                  </w:r>
                </w:p>
              </w:tc>
              <w:tc>
                <w:tcPr>
                  <w:tcW w:w="1707" w:type="pct"/>
                  <w:noWrap w:val="0"/>
                  <w:vAlign w:val="center"/>
                </w:tcPr>
                <w:p w14:paraId="28C4F257">
                  <w:pPr>
                    <w:pStyle w:val="62"/>
                    <w:spacing w:line="240" w:lineRule="auto"/>
                    <w:ind w:firstLine="0" w:firstLineChars="0"/>
                    <w:jc w:val="center"/>
                    <w:rPr>
                      <w:rFonts w:hint="eastAsia"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800</w:t>
                  </w:r>
                </w:p>
              </w:tc>
            </w:tr>
            <w:tr w14:paraId="77BF224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02" w:hRule="atLeast"/>
              </w:trPr>
              <w:tc>
                <w:tcPr>
                  <w:tcW w:w="770" w:type="pct"/>
                  <w:noWrap w:val="0"/>
                  <w:vAlign w:val="center"/>
                </w:tcPr>
                <w:p w14:paraId="6C7F6DA0">
                  <w:pPr>
                    <w:pStyle w:val="62"/>
                    <w:spacing w:line="240" w:lineRule="auto"/>
                    <w:ind w:firstLine="0" w:firstLineChars="0"/>
                    <w:jc w:val="center"/>
                    <w:rPr>
                      <w:rFonts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4</w:t>
                  </w:r>
                </w:p>
              </w:tc>
              <w:tc>
                <w:tcPr>
                  <w:tcW w:w="2521" w:type="pct"/>
                  <w:noWrap w:val="0"/>
                  <w:vAlign w:val="center"/>
                </w:tcPr>
                <w:p w14:paraId="4035788E">
                  <w:pPr>
                    <w:pStyle w:val="62"/>
                    <w:spacing w:line="240" w:lineRule="auto"/>
                    <w:ind w:firstLine="0" w:firstLineChars="0"/>
                    <w:jc w:val="center"/>
                    <w:rPr>
                      <w:rFonts w:hint="eastAsia"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浓缩液（NH</w:t>
                  </w:r>
                  <w:r>
                    <w:rPr>
                      <w:rFonts w:hint="eastAsia" w:ascii="Times New Roman" w:hAnsi="Times New Roman" w:cs="Times New Roman"/>
                      <w:color w:val="auto"/>
                      <w:sz w:val="21"/>
                      <w:szCs w:val="21"/>
                      <w:highlight w:val="none"/>
                      <w:vertAlign w:val="subscript"/>
                      <w:lang w:val="en-US" w:bidi="ar-SA"/>
                    </w:rPr>
                    <w:t>3</w:t>
                  </w:r>
                  <w:r>
                    <w:rPr>
                      <w:rFonts w:hint="eastAsia" w:ascii="Times New Roman" w:hAnsi="Times New Roman" w:cs="Times New Roman"/>
                      <w:color w:val="auto"/>
                      <w:sz w:val="21"/>
                      <w:szCs w:val="21"/>
                      <w:highlight w:val="none"/>
                      <w:lang w:val="en-US" w:bidi="ar-SA"/>
                    </w:rPr>
                    <w:t>-N浓度≥2000mg/L的废液）</w:t>
                  </w:r>
                </w:p>
              </w:tc>
              <w:tc>
                <w:tcPr>
                  <w:tcW w:w="1707" w:type="pct"/>
                  <w:noWrap w:val="0"/>
                  <w:vAlign w:val="center"/>
                </w:tcPr>
                <w:p w14:paraId="3C94AE0E">
                  <w:pPr>
                    <w:pStyle w:val="62"/>
                    <w:spacing w:line="240" w:lineRule="auto"/>
                    <w:ind w:firstLine="0" w:firstLineChars="0"/>
                    <w:jc w:val="center"/>
                    <w:rPr>
                      <w:rFonts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10</w:t>
                  </w:r>
                </w:p>
              </w:tc>
            </w:tr>
            <w:tr w14:paraId="32FAA25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02" w:hRule="atLeast"/>
              </w:trPr>
              <w:tc>
                <w:tcPr>
                  <w:tcW w:w="770" w:type="pct"/>
                  <w:noWrap w:val="0"/>
                  <w:vAlign w:val="center"/>
                </w:tcPr>
                <w:p w14:paraId="39390A7A">
                  <w:pPr>
                    <w:pStyle w:val="62"/>
                    <w:spacing w:line="240" w:lineRule="auto"/>
                    <w:ind w:firstLine="0" w:firstLineChars="0"/>
                    <w:jc w:val="center"/>
                    <w:rPr>
                      <w:rFonts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5</w:t>
                  </w:r>
                </w:p>
              </w:tc>
              <w:tc>
                <w:tcPr>
                  <w:tcW w:w="2521" w:type="pct"/>
                  <w:noWrap w:val="0"/>
                  <w:vAlign w:val="center"/>
                </w:tcPr>
                <w:p w14:paraId="6647755A">
                  <w:pPr>
                    <w:pStyle w:val="62"/>
                    <w:spacing w:line="240" w:lineRule="auto"/>
                    <w:ind w:firstLine="0" w:firstLineChars="0"/>
                    <w:jc w:val="center"/>
                    <w:rPr>
                      <w:rFonts w:hint="eastAsia"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浓缩液（COD≥10000mg/L的有机废液）</w:t>
                  </w:r>
                </w:p>
              </w:tc>
              <w:tc>
                <w:tcPr>
                  <w:tcW w:w="1707" w:type="pct"/>
                  <w:noWrap w:val="0"/>
                  <w:vAlign w:val="center"/>
                </w:tcPr>
                <w:p w14:paraId="5F841AC9">
                  <w:pPr>
                    <w:pStyle w:val="62"/>
                    <w:spacing w:line="240" w:lineRule="auto"/>
                    <w:ind w:firstLine="0" w:firstLineChars="0"/>
                    <w:jc w:val="center"/>
                    <w:rPr>
                      <w:rFonts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10</w:t>
                  </w:r>
                </w:p>
              </w:tc>
            </w:tr>
            <w:tr w14:paraId="5AE876F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02" w:hRule="atLeast"/>
              </w:trPr>
              <w:tc>
                <w:tcPr>
                  <w:tcW w:w="770" w:type="pct"/>
                  <w:noWrap w:val="0"/>
                  <w:vAlign w:val="center"/>
                </w:tcPr>
                <w:p w14:paraId="4996998F">
                  <w:pPr>
                    <w:pStyle w:val="62"/>
                    <w:spacing w:line="240" w:lineRule="auto"/>
                    <w:ind w:firstLine="0" w:firstLineChars="0"/>
                    <w:jc w:val="center"/>
                    <w:rPr>
                      <w:rFonts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6</w:t>
                  </w:r>
                </w:p>
              </w:tc>
              <w:tc>
                <w:tcPr>
                  <w:tcW w:w="2521" w:type="pct"/>
                  <w:noWrap w:val="0"/>
                  <w:vAlign w:val="center"/>
                </w:tcPr>
                <w:p w14:paraId="24DE8B80">
                  <w:pPr>
                    <w:pStyle w:val="62"/>
                    <w:spacing w:line="240" w:lineRule="auto"/>
                    <w:ind w:firstLine="0" w:firstLineChars="0"/>
                    <w:jc w:val="center"/>
                    <w:rPr>
                      <w:rFonts w:hint="eastAsia"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蒸发母液（NH</w:t>
                  </w:r>
                  <w:r>
                    <w:rPr>
                      <w:rFonts w:hint="eastAsia" w:ascii="Times New Roman" w:hAnsi="Times New Roman" w:cs="Times New Roman"/>
                      <w:color w:val="auto"/>
                      <w:sz w:val="21"/>
                      <w:szCs w:val="21"/>
                      <w:highlight w:val="none"/>
                      <w:vertAlign w:val="subscript"/>
                      <w:lang w:val="en-US" w:bidi="ar-SA"/>
                    </w:rPr>
                    <w:t>3</w:t>
                  </w:r>
                  <w:r>
                    <w:rPr>
                      <w:rFonts w:hint="eastAsia" w:ascii="Times New Roman" w:hAnsi="Times New Roman" w:cs="Times New Roman"/>
                      <w:color w:val="auto"/>
                      <w:sz w:val="21"/>
                      <w:szCs w:val="21"/>
                      <w:highlight w:val="none"/>
                      <w:lang w:val="en-US" w:bidi="ar-SA"/>
                    </w:rPr>
                    <w:t>-N浓度≥2000mg/L的废液）</w:t>
                  </w:r>
                </w:p>
              </w:tc>
              <w:tc>
                <w:tcPr>
                  <w:tcW w:w="1707" w:type="pct"/>
                  <w:noWrap w:val="0"/>
                  <w:vAlign w:val="center"/>
                </w:tcPr>
                <w:p w14:paraId="7DEF7276">
                  <w:pPr>
                    <w:pStyle w:val="62"/>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10</w:t>
                  </w:r>
                </w:p>
              </w:tc>
            </w:tr>
            <w:tr w14:paraId="75B8DAD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02" w:hRule="atLeast"/>
              </w:trPr>
              <w:tc>
                <w:tcPr>
                  <w:tcW w:w="770" w:type="pct"/>
                  <w:noWrap w:val="0"/>
                  <w:vAlign w:val="center"/>
                </w:tcPr>
                <w:p w14:paraId="4A44B5CB">
                  <w:pPr>
                    <w:pStyle w:val="62"/>
                    <w:spacing w:line="240" w:lineRule="auto"/>
                    <w:ind w:firstLine="0" w:firstLineChars="0"/>
                    <w:jc w:val="center"/>
                    <w:rPr>
                      <w:rFonts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7</w:t>
                  </w:r>
                </w:p>
              </w:tc>
              <w:tc>
                <w:tcPr>
                  <w:tcW w:w="2521" w:type="pct"/>
                  <w:noWrap w:val="0"/>
                  <w:vAlign w:val="center"/>
                </w:tcPr>
                <w:p w14:paraId="1790D2E3">
                  <w:pPr>
                    <w:pStyle w:val="62"/>
                    <w:spacing w:line="240" w:lineRule="auto"/>
                    <w:ind w:firstLine="0" w:firstLineChars="0"/>
                    <w:jc w:val="center"/>
                    <w:rPr>
                      <w:rFonts w:hint="eastAsia" w:ascii="Times New Roman" w:hAnsi="Times New Roman" w:cs="Times New Roman"/>
                      <w:color w:val="auto"/>
                      <w:sz w:val="21"/>
                      <w:szCs w:val="21"/>
                      <w:highlight w:val="none"/>
                      <w:lang w:val="en-US" w:bidi="ar-SA"/>
                    </w:rPr>
                  </w:pPr>
                  <w:r>
                    <w:rPr>
                      <w:rFonts w:hint="eastAsia" w:ascii="Times New Roman" w:hAnsi="Times New Roman" w:cs="Times New Roman"/>
                      <w:color w:val="auto"/>
                      <w:sz w:val="21"/>
                      <w:szCs w:val="21"/>
                      <w:highlight w:val="none"/>
                      <w:lang w:val="en-US" w:bidi="ar-SA"/>
                    </w:rPr>
                    <w:t>蒸发母液（COD≥10000mg/L的有机废液）</w:t>
                  </w:r>
                </w:p>
              </w:tc>
              <w:tc>
                <w:tcPr>
                  <w:tcW w:w="1707" w:type="pct"/>
                  <w:noWrap w:val="0"/>
                  <w:vAlign w:val="center"/>
                </w:tcPr>
                <w:p w14:paraId="31375577">
                  <w:pPr>
                    <w:pStyle w:val="62"/>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10</w:t>
                  </w:r>
                </w:p>
              </w:tc>
            </w:tr>
            <w:tr w14:paraId="2DDD857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02" w:hRule="atLeast"/>
              </w:trPr>
              <w:tc>
                <w:tcPr>
                  <w:tcW w:w="5000" w:type="pct"/>
                  <w:gridSpan w:val="3"/>
                  <w:noWrap w:val="0"/>
                  <w:vAlign w:val="center"/>
                </w:tcPr>
                <w:p w14:paraId="3D237D33">
                  <w:pPr>
                    <w:pStyle w:val="62"/>
                    <w:spacing w:line="240" w:lineRule="auto"/>
                    <w:ind w:firstLine="0" w:firstLineChars="0"/>
                    <w:jc w:val="both"/>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备注：（1）项目设有一个硫酸储罐，容积5m</w:t>
                  </w:r>
                  <w:r>
                    <w:rPr>
                      <w:rFonts w:hint="eastAsia" w:ascii="Times New Roman" w:hAnsi="Times New Roman" w:cs="Times New Roman"/>
                      <w:color w:val="auto"/>
                      <w:sz w:val="21"/>
                      <w:szCs w:val="21"/>
                      <w:highlight w:val="none"/>
                      <w:vertAlign w:val="superscript"/>
                      <w:lang w:val="en-US" w:eastAsia="zh-CN" w:bidi="ar-SA"/>
                    </w:rPr>
                    <w:t>3</w:t>
                  </w:r>
                  <w:r>
                    <w:rPr>
                      <w:rFonts w:hint="eastAsia" w:ascii="Times New Roman" w:hAnsi="Times New Roman" w:cs="Times New Roman"/>
                      <w:color w:val="auto"/>
                      <w:sz w:val="21"/>
                      <w:szCs w:val="21"/>
                      <w:highlight w:val="none"/>
                      <w:lang w:val="en-US" w:eastAsia="zh-CN" w:bidi="ar-SA"/>
                    </w:rPr>
                    <w:t>，体积充装系数按照0.85考虑，因此：硫酸的风险物质的量=储罐容积×密度×充装系数=5×1.8305×0.85=7.78t。</w:t>
                  </w:r>
                </w:p>
                <w:p w14:paraId="6E993EC6">
                  <w:pPr>
                    <w:pStyle w:val="62"/>
                    <w:numPr>
                      <w:ilvl w:val="0"/>
                      <w:numId w:val="3"/>
                    </w:numPr>
                    <w:spacing w:line="240" w:lineRule="auto"/>
                    <w:ind w:left="0" w:leftChars="0" w:firstLine="420" w:firstLineChars="200"/>
                    <w:jc w:val="both"/>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根据可研报告及设计单位提供，大山生活垃圾填埋场调节池容积1000m</w:t>
                  </w:r>
                  <w:r>
                    <w:rPr>
                      <w:rFonts w:hint="eastAsia" w:ascii="Times New Roman" w:hAnsi="Times New Roman" w:cs="Times New Roman"/>
                      <w:color w:val="auto"/>
                      <w:sz w:val="21"/>
                      <w:szCs w:val="21"/>
                      <w:highlight w:val="none"/>
                      <w:vertAlign w:val="superscript"/>
                      <w:lang w:val="en-US" w:eastAsia="zh-CN" w:bidi="ar-SA"/>
                    </w:rPr>
                    <w:t>3</w:t>
                  </w:r>
                  <w:r>
                    <w:rPr>
                      <w:rFonts w:hint="eastAsia" w:ascii="Times New Roman" w:hAnsi="Times New Roman" w:cs="Times New Roman"/>
                      <w:color w:val="auto"/>
                      <w:sz w:val="21"/>
                      <w:szCs w:val="21"/>
                      <w:highlight w:val="none"/>
                      <w:lang w:val="en-US" w:eastAsia="zh-CN" w:bidi="ar-SA"/>
                    </w:rPr>
                    <w:t>，安全容积800m</w:t>
                  </w:r>
                  <w:r>
                    <w:rPr>
                      <w:rFonts w:hint="eastAsia" w:ascii="Times New Roman" w:hAnsi="Times New Roman" w:cs="Times New Roman"/>
                      <w:color w:val="auto"/>
                      <w:sz w:val="21"/>
                      <w:szCs w:val="21"/>
                      <w:highlight w:val="none"/>
                      <w:vertAlign w:val="superscript"/>
                      <w:lang w:val="en-US" w:eastAsia="zh-CN" w:bidi="ar-SA"/>
                    </w:rPr>
                    <w:t>3</w:t>
                  </w:r>
                  <w:r>
                    <w:rPr>
                      <w:rFonts w:hint="eastAsia" w:ascii="Times New Roman" w:hAnsi="Times New Roman" w:cs="Times New Roman"/>
                      <w:color w:val="auto"/>
                      <w:sz w:val="21"/>
                      <w:szCs w:val="21"/>
                      <w:highlight w:val="none"/>
                      <w:vertAlign w:val="baseline"/>
                      <w:lang w:val="en-US" w:eastAsia="zh-CN" w:bidi="ar-SA"/>
                    </w:rPr>
                    <w:t>，</w:t>
                  </w:r>
                  <w:r>
                    <w:rPr>
                      <w:rFonts w:hint="eastAsia" w:ascii="Times New Roman" w:hAnsi="Times New Roman" w:cs="Times New Roman"/>
                      <w:color w:val="auto"/>
                      <w:sz w:val="21"/>
                      <w:szCs w:val="21"/>
                      <w:highlight w:val="none"/>
                      <w:lang w:val="en-US" w:eastAsia="zh-CN" w:bidi="ar-SA"/>
                    </w:rPr>
                    <w:t>渗滤液最大存在量按800m</w:t>
                  </w:r>
                  <w:r>
                    <w:rPr>
                      <w:rFonts w:hint="eastAsia" w:ascii="Times New Roman" w:hAnsi="Times New Roman" w:cs="Times New Roman"/>
                      <w:color w:val="auto"/>
                      <w:sz w:val="21"/>
                      <w:szCs w:val="21"/>
                      <w:highlight w:val="none"/>
                      <w:vertAlign w:val="superscript"/>
                      <w:lang w:val="en-US" w:eastAsia="zh-CN" w:bidi="ar-SA"/>
                    </w:rPr>
                    <w:t>3</w:t>
                  </w:r>
                  <w:r>
                    <w:rPr>
                      <w:rFonts w:hint="eastAsia" w:ascii="Times New Roman" w:hAnsi="Times New Roman" w:cs="Times New Roman"/>
                      <w:color w:val="auto"/>
                      <w:sz w:val="21"/>
                      <w:szCs w:val="21"/>
                      <w:highlight w:val="none"/>
                      <w:lang w:val="en-US" w:eastAsia="zh-CN" w:bidi="ar-SA"/>
                    </w:rPr>
                    <w:t>计。</w:t>
                  </w:r>
                </w:p>
                <w:p w14:paraId="2642867C">
                  <w:pPr>
                    <w:pStyle w:val="62"/>
                    <w:numPr>
                      <w:ilvl w:val="0"/>
                      <w:numId w:val="0"/>
                    </w:numPr>
                    <w:spacing w:line="240" w:lineRule="auto"/>
                    <w:ind w:leftChars="200"/>
                    <w:jc w:val="both"/>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（3）项目设有1个浓缩液进水罐，容积10m</w:t>
                  </w:r>
                  <w:r>
                    <w:rPr>
                      <w:rFonts w:hint="eastAsia" w:ascii="Times New Roman" w:hAnsi="Times New Roman" w:cs="Times New Roman"/>
                      <w:color w:val="auto"/>
                      <w:sz w:val="21"/>
                      <w:szCs w:val="21"/>
                      <w:highlight w:val="none"/>
                      <w:vertAlign w:val="superscript"/>
                      <w:lang w:val="en-US" w:eastAsia="zh-CN" w:bidi="ar-SA"/>
                    </w:rPr>
                    <w:t>3</w:t>
                  </w:r>
                  <w:r>
                    <w:rPr>
                      <w:rFonts w:hint="eastAsia" w:ascii="Times New Roman" w:hAnsi="Times New Roman" w:cs="Times New Roman"/>
                      <w:color w:val="auto"/>
                      <w:sz w:val="21"/>
                      <w:szCs w:val="21"/>
                      <w:highlight w:val="none"/>
                      <w:lang w:val="en-US" w:eastAsia="zh-CN" w:bidi="ar-SA"/>
                    </w:rPr>
                    <w:t>，浓缩液最大存在量按10t计。</w:t>
                  </w:r>
                </w:p>
                <w:p w14:paraId="2BE3DC84">
                  <w:pPr>
                    <w:pStyle w:val="62"/>
                    <w:numPr>
                      <w:ilvl w:val="0"/>
                      <w:numId w:val="0"/>
                    </w:numPr>
                    <w:spacing w:line="240" w:lineRule="auto"/>
                    <w:ind w:leftChars="200"/>
                    <w:jc w:val="both"/>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（4）项目设有1个蒸发母液进水罐，容积10m</w:t>
                  </w:r>
                  <w:r>
                    <w:rPr>
                      <w:rFonts w:hint="eastAsia" w:ascii="Times New Roman" w:hAnsi="Times New Roman" w:cs="Times New Roman"/>
                      <w:color w:val="auto"/>
                      <w:sz w:val="21"/>
                      <w:szCs w:val="21"/>
                      <w:highlight w:val="none"/>
                      <w:vertAlign w:val="superscript"/>
                      <w:lang w:val="en-US" w:eastAsia="zh-CN" w:bidi="ar-SA"/>
                    </w:rPr>
                    <w:t>3</w:t>
                  </w:r>
                  <w:r>
                    <w:rPr>
                      <w:rFonts w:hint="eastAsia" w:ascii="Times New Roman" w:hAnsi="Times New Roman" w:cs="Times New Roman"/>
                      <w:color w:val="auto"/>
                      <w:sz w:val="21"/>
                      <w:szCs w:val="21"/>
                      <w:highlight w:val="none"/>
                      <w:lang w:val="en-US" w:eastAsia="zh-CN" w:bidi="ar-SA"/>
                    </w:rPr>
                    <w:t>，蒸发母液最大存在量按10t计。</w:t>
                  </w:r>
                </w:p>
              </w:tc>
            </w:tr>
          </w:tbl>
          <w:p w14:paraId="49225F61">
            <w:pPr>
              <w:adjustRightInd w:val="0"/>
              <w:snapToGrid w:val="0"/>
              <w:spacing w:line="360" w:lineRule="auto"/>
              <w:ind w:firstLine="480" w:firstLineChars="200"/>
              <w:rPr>
                <w:color w:val="auto"/>
                <w:kern w:val="24"/>
                <w:sz w:val="24"/>
                <w:highlight w:val="none"/>
              </w:rPr>
            </w:pPr>
            <w:r>
              <w:rPr>
                <w:rFonts w:hint="eastAsia"/>
                <w:color w:val="auto"/>
                <w:kern w:val="24"/>
                <w:sz w:val="24"/>
                <w:highlight w:val="none"/>
              </w:rPr>
              <w:t>具体影响分析内容详见</w:t>
            </w:r>
            <w:bookmarkStart w:id="29" w:name="_Hlk197594862"/>
            <w:r>
              <w:rPr>
                <w:rFonts w:hint="eastAsia"/>
                <w:color w:val="auto"/>
                <w:kern w:val="24"/>
                <w:sz w:val="24"/>
                <w:highlight w:val="none"/>
              </w:rPr>
              <w:t>环境风险专项评价。</w:t>
            </w:r>
          </w:p>
          <w:bookmarkEnd w:id="29"/>
          <w:p w14:paraId="21AC2FF2">
            <w:pPr>
              <w:adjustRightInd w:val="0"/>
              <w:snapToGrid w:val="0"/>
              <w:spacing w:line="360" w:lineRule="auto"/>
              <w:ind w:firstLine="480" w:firstLineChars="200"/>
              <w:rPr>
                <w:rFonts w:hint="eastAsia"/>
                <w:color w:val="auto"/>
                <w:sz w:val="24"/>
                <w:highlight w:val="none"/>
              </w:rPr>
            </w:pPr>
            <w:r>
              <w:rPr>
                <w:rFonts w:hint="eastAsia"/>
                <w:color w:val="auto"/>
                <w:kern w:val="24"/>
                <w:sz w:val="24"/>
                <w:highlight w:val="none"/>
              </w:rPr>
              <w:t>本项目环境风险专项评价分析结果概要如下：</w:t>
            </w:r>
          </w:p>
          <w:p w14:paraId="5BE9C69A">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rPr>
              <w:t>根据环境风险专章内容，</w:t>
            </w:r>
            <w:r>
              <w:rPr>
                <w:rFonts w:hint="eastAsia"/>
                <w:color w:val="auto"/>
                <w:sz w:val="24"/>
                <w:highlight w:val="none"/>
                <w:lang w:val="en-US" w:eastAsia="zh-CN"/>
              </w:rPr>
              <w:t>本项目所涉及的危险物质主要有：硫酸、渗滤液、浓缩液、蒸发母液，主要危险单元为硫酸储罐区、渗滤液调节池、全量化处理站的浓缩液储罐以及蒸发母液储罐，</w:t>
            </w:r>
            <w:r>
              <w:rPr>
                <w:rFonts w:hint="eastAsia"/>
                <w:color w:val="auto"/>
                <w:sz w:val="24"/>
                <w:highlight w:val="none"/>
              </w:rPr>
              <w:t>潜在的环境风险主要为</w:t>
            </w:r>
            <w:r>
              <w:rPr>
                <w:rFonts w:hint="eastAsia"/>
                <w:color w:val="auto"/>
                <w:sz w:val="24"/>
                <w:highlight w:val="none"/>
                <w:lang w:val="en-US" w:eastAsia="zh-CN"/>
              </w:rPr>
              <w:t>渗滤液、浓缩液、蒸发母液泄漏后，产生的恶臭气体直接进入大气环境，对周围环境造成影响；硫酸、渗滤液、浓缩液、蒸发母液泄漏后，未得到有效收集而进入周边地表水体，对周围水环境造成影响；硫酸、渗滤液、浓缩液、蒸发母液泄漏后聚积地面，通过地面渗透进入地下水，对地下水环境造成影响。</w:t>
            </w:r>
          </w:p>
          <w:p w14:paraId="49FEF6BB">
            <w:pPr>
              <w:adjustRightInd w:val="0"/>
              <w:snapToGrid w:val="0"/>
              <w:spacing w:line="360" w:lineRule="auto"/>
              <w:ind w:firstLine="482" w:firstLineChars="200"/>
              <w:jc w:val="left"/>
              <w:rPr>
                <w:rFonts w:hint="eastAsia" w:eastAsia="宋体"/>
                <w:color w:val="auto"/>
                <w:sz w:val="24"/>
                <w:highlight w:val="none"/>
                <w:lang w:eastAsia="zh-CN"/>
              </w:rPr>
            </w:pPr>
            <w:r>
              <w:rPr>
                <w:rFonts w:hint="eastAsia"/>
                <w:b/>
                <w:bCs/>
                <w:color w:val="auto"/>
                <w:sz w:val="24"/>
                <w:highlight w:val="none"/>
              </w:rPr>
              <w:t>大气环境风险防范措施</w:t>
            </w:r>
            <w:r>
              <w:rPr>
                <w:rFonts w:hint="eastAsia"/>
                <w:b/>
                <w:bCs/>
                <w:color w:val="auto"/>
                <w:sz w:val="24"/>
                <w:highlight w:val="none"/>
                <w:lang w:eastAsia="zh-CN"/>
              </w:rPr>
              <w:t>：</w:t>
            </w:r>
            <w:r>
              <w:rPr>
                <w:rFonts w:hint="eastAsia"/>
                <w:color w:val="auto"/>
                <w:sz w:val="24"/>
                <w:highlight w:val="none"/>
                <w:lang w:eastAsia="zh-CN"/>
              </w:rPr>
              <w:t>（1）平时加强废气收集管道及化学洗涤塔处理设施的维护保养，及时发现处理设备的隐患，并及时进行维修，确保恶臭处理系统正常运行，避免非正常排放对环境造成不利影响。（2）建立健全的环保机构，配置必要的监测仪器，对管理人员和技术人员进行岗位培训，对废气处理实行全过程跟踪控制。（3）项目应设有备用电源和恶臭气体备用处理设备，以备停电或设备出现故障时保障恶臭气体全部抽入净化系统进行处理以达标排放。（4）设置备用的恶臭气体治理措施，在常用处理设施出现故障的情况下可采用备用处理设施进行处理，防止因此而造成废气的事故性排放。（5）采用PLC自动控制系统，并定期巡查，一旦发现事故排放且备用设施无法切换时，应立即停产检修，响应时间控制在1小时内。</w:t>
            </w:r>
          </w:p>
          <w:p w14:paraId="5D2A3E87">
            <w:pPr>
              <w:adjustRightInd w:val="0"/>
              <w:snapToGrid w:val="0"/>
              <w:spacing w:line="360" w:lineRule="auto"/>
              <w:ind w:firstLine="482" w:firstLineChars="200"/>
              <w:jc w:val="left"/>
              <w:rPr>
                <w:color w:val="auto"/>
                <w:sz w:val="24"/>
                <w:highlight w:val="none"/>
              </w:rPr>
            </w:pPr>
            <w:r>
              <w:rPr>
                <w:rFonts w:hint="eastAsia"/>
                <w:b/>
                <w:bCs/>
                <w:color w:val="auto"/>
                <w:sz w:val="24"/>
                <w:highlight w:val="none"/>
              </w:rPr>
              <w:t>事故废水排放</w:t>
            </w:r>
            <w:r>
              <w:rPr>
                <w:b/>
                <w:bCs/>
                <w:color w:val="auto"/>
                <w:sz w:val="24"/>
                <w:highlight w:val="none"/>
              </w:rPr>
              <w:t>的防范措施</w:t>
            </w:r>
            <w:r>
              <w:rPr>
                <w:rFonts w:hint="eastAsia"/>
                <w:b/>
                <w:bCs/>
                <w:color w:val="auto"/>
                <w:sz w:val="24"/>
                <w:highlight w:val="none"/>
              </w:rPr>
              <w:t>：</w:t>
            </w:r>
            <w:r>
              <w:rPr>
                <w:rFonts w:hint="eastAsia"/>
                <w:color w:val="auto"/>
                <w:sz w:val="24"/>
                <w:highlight w:val="none"/>
              </w:rPr>
              <w:t>加强对现有调节池、渗滤液收集池防渗层的检测，定期维护管理；</w:t>
            </w:r>
            <w:r>
              <w:rPr>
                <w:rFonts w:hint="eastAsia"/>
                <w:color w:val="auto"/>
                <w:sz w:val="24"/>
                <w:highlight w:val="none"/>
                <w:lang w:val="en-US" w:eastAsia="zh-CN"/>
              </w:rPr>
              <w:t>全量化</w:t>
            </w:r>
            <w:r>
              <w:rPr>
                <w:color w:val="auto"/>
                <w:sz w:val="24"/>
                <w:highlight w:val="none"/>
              </w:rPr>
              <w:t>处理</w:t>
            </w:r>
            <w:r>
              <w:rPr>
                <w:rFonts w:hint="eastAsia"/>
                <w:color w:val="auto"/>
                <w:sz w:val="24"/>
                <w:highlight w:val="none"/>
              </w:rPr>
              <w:t>站</w:t>
            </w:r>
            <w:r>
              <w:rPr>
                <w:color w:val="auto"/>
                <w:sz w:val="24"/>
                <w:highlight w:val="none"/>
              </w:rPr>
              <w:t>进水口、出水口设监测井，并安装在线监测装置，并与切换阀连锁，一旦出现超标排放，立即启动切换阀，将超标废水泵入工序前段调节池或</w:t>
            </w:r>
            <w:r>
              <w:rPr>
                <w:rFonts w:hint="eastAsia"/>
                <w:color w:val="auto"/>
                <w:sz w:val="24"/>
                <w:highlight w:val="none"/>
              </w:rPr>
              <w:t>渗滤液收集</w:t>
            </w:r>
            <w:r>
              <w:rPr>
                <w:color w:val="auto"/>
                <w:sz w:val="24"/>
                <w:highlight w:val="none"/>
              </w:rPr>
              <w:t>池内，并对废水处理系统进行检修。同时，设置备用水泵，一旦发生事故，及时更换。重视污水处理</w:t>
            </w:r>
            <w:r>
              <w:rPr>
                <w:rFonts w:hint="eastAsia"/>
                <w:color w:val="auto"/>
                <w:sz w:val="24"/>
                <w:highlight w:val="none"/>
              </w:rPr>
              <w:t>站</w:t>
            </w:r>
            <w:r>
              <w:rPr>
                <w:color w:val="auto"/>
                <w:sz w:val="24"/>
                <w:highlight w:val="none"/>
              </w:rPr>
              <w:t>的运行管理，建立完善的规章制度，明确岗位职责。严格执行污水监控制度，做好原始记录，确保每天对进、出水水质进行监测分析的频率，以便及时发现问题并加以纠正，除本岗位工人及时检查外，应设安全巡检员。定期对管线进行检查、维修，发现问题及时补救。</w:t>
            </w:r>
          </w:p>
          <w:p w14:paraId="6F96C7DC">
            <w:pPr>
              <w:topLinePunct/>
              <w:autoSpaceDE/>
              <w:autoSpaceDN/>
              <w:adjustRightInd w:val="0"/>
              <w:snapToGrid w:val="0"/>
              <w:spacing w:line="360" w:lineRule="auto"/>
              <w:ind w:firstLine="482" w:firstLineChars="200"/>
              <w:jc w:val="left"/>
              <w:textAlignment w:val="center"/>
              <w:rPr>
                <w:rFonts w:hint="eastAsia" w:eastAsia="宋体"/>
                <w:color w:val="auto"/>
                <w:sz w:val="24"/>
                <w:highlight w:val="none"/>
                <w:lang w:eastAsia="zh-CN"/>
              </w:rPr>
            </w:pPr>
            <w:r>
              <w:rPr>
                <w:rFonts w:hint="eastAsia"/>
                <w:b/>
                <w:bCs/>
                <w:color w:val="auto"/>
                <w:sz w:val="24"/>
                <w:highlight w:val="none"/>
              </w:rPr>
              <w:t>地下水环境风险防范措施</w:t>
            </w:r>
            <w:r>
              <w:rPr>
                <w:rFonts w:hint="eastAsia"/>
                <w:b/>
                <w:bCs/>
                <w:color w:val="auto"/>
                <w:sz w:val="24"/>
                <w:highlight w:val="none"/>
                <w:lang w:eastAsia="zh-CN"/>
              </w:rPr>
              <w:t>：</w:t>
            </w:r>
            <w:r>
              <w:rPr>
                <w:rFonts w:hint="eastAsia" w:ascii="Times New Roman" w:hAnsi="Times New Roman" w:eastAsia="宋体" w:cs="Times New Roman"/>
                <w:color w:val="auto"/>
                <w:kern w:val="0"/>
                <w:sz w:val="24"/>
                <w:highlight w:val="none"/>
              </w:rPr>
              <w:t>（1）</w:t>
            </w:r>
            <w:r>
              <w:rPr>
                <w:rFonts w:ascii="Times New Roman" w:hAnsi="Times New Roman" w:eastAsia="宋体" w:cs="Times New Roman"/>
                <w:color w:val="auto"/>
                <w:kern w:val="0"/>
                <w:sz w:val="24"/>
                <w:highlight w:val="none"/>
              </w:rPr>
              <w:t>选用的管线、管件、垫片及阀门的材料保证有足够的机械强度、耐腐蚀性及使用期限，管线的设计、制造、安装及试压等技术条件符合国家现行标准和规范，防止因选材强度不达标或安装不规范造成跑冒滴漏</w:t>
            </w:r>
            <w:r>
              <w:rPr>
                <w:rFonts w:hint="eastAsia" w:ascii="Times New Roman" w:hAnsi="Times New Roman" w:eastAsia="宋体" w:cs="Times New Roman"/>
                <w:color w:val="auto"/>
                <w:kern w:val="0"/>
                <w:sz w:val="24"/>
                <w:highlight w:val="none"/>
              </w:rPr>
              <w:t>。（2）</w:t>
            </w:r>
            <w:r>
              <w:rPr>
                <w:rFonts w:ascii="Times New Roman" w:hAnsi="Times New Roman" w:eastAsia="宋体" w:cs="Times New Roman"/>
                <w:color w:val="auto"/>
                <w:kern w:val="0"/>
                <w:sz w:val="24"/>
                <w:highlight w:val="none"/>
              </w:rPr>
              <w:t>设备选用有资质的正规厂家生产的设备，保证设备的加工质量，防止因设备焊接质量或密封形式选取错误而导致跑冒滴漏</w:t>
            </w:r>
            <w:r>
              <w:rPr>
                <w:rFonts w:hint="eastAsia" w:ascii="Times New Roman" w:hAnsi="Times New Roman" w:eastAsia="宋体" w:cs="Times New Roman"/>
                <w:color w:val="auto"/>
                <w:kern w:val="0"/>
                <w:sz w:val="24"/>
                <w:highlight w:val="none"/>
              </w:rPr>
              <w:t>。（3）严格按照国家相关规范要求，对厂区采取相应的防渗措施，以防止和降低污染物的跑、冒、滴、漏，将环境风险事故降低到最低。各污水处理构筑物及其管道要经常巡查，杜绝“跑、冒、滴、漏”等事故的发生，尤其是污水处理构筑物和污水输送管道等周边要进行严格的防渗处理，从源头上防止污水污染周围土壤进而进行地下水含水层中。（4）</w:t>
            </w:r>
            <w:r>
              <w:rPr>
                <w:rFonts w:ascii="Times New Roman" w:hAnsi="Times New Roman" w:eastAsia="宋体" w:cs="Times New Roman"/>
                <w:color w:val="auto"/>
                <w:kern w:val="0"/>
                <w:sz w:val="24"/>
                <w:highlight w:val="none"/>
              </w:rPr>
              <w:t>根据《环境影响评价导则 地下水环境》（HJ610-2016）防渗要求，</w:t>
            </w:r>
            <w:r>
              <w:rPr>
                <w:rFonts w:hint="eastAsia"/>
                <w:color w:val="auto"/>
                <w:sz w:val="24"/>
                <w:szCs w:val="24"/>
                <w:highlight w:val="none"/>
                <w:lang w:val="en-US" w:eastAsia="zh-CN"/>
              </w:rPr>
              <w:t>渗滤液收集池、调节池、产水收集池、</w:t>
            </w:r>
            <w:r>
              <w:rPr>
                <w:rFonts w:hint="eastAsia"/>
                <w:color w:val="auto"/>
                <w:sz w:val="24"/>
                <w:szCs w:val="24"/>
                <w:highlight w:val="none"/>
                <w:vertAlign w:val="baseline"/>
                <w:lang w:val="en-US" w:eastAsia="zh-CN"/>
              </w:rPr>
              <w:t>全量化处理站、固化渣暂存间、危废暂存间、硫酸储罐、污水收集管道</w:t>
            </w:r>
            <w:r>
              <w:rPr>
                <w:rFonts w:hint="eastAsia" w:ascii="Times New Roman" w:hAnsi="Times New Roman" w:eastAsia="宋体" w:cs="Times New Roman"/>
                <w:color w:val="auto"/>
                <w:kern w:val="2"/>
                <w:sz w:val="24"/>
                <w:highlight w:val="none"/>
              </w:rPr>
              <w:t>等</w:t>
            </w:r>
            <w:r>
              <w:rPr>
                <w:rFonts w:ascii="Times New Roman" w:hAnsi="Times New Roman" w:eastAsia="宋体" w:cs="Times New Roman"/>
                <w:color w:val="auto"/>
                <w:kern w:val="0"/>
                <w:sz w:val="24"/>
                <w:highlight w:val="none"/>
              </w:rPr>
              <w:t>区域划分为重点防渗区，采取重点防渗措施，其余内容参照</w:t>
            </w:r>
            <w:r>
              <w:rPr>
                <w:rFonts w:hint="eastAsia" w:ascii="Times New Roman" w:hAnsi="Times New Roman" w:eastAsia="宋体" w:cs="Times New Roman"/>
                <w:color w:val="auto"/>
                <w:kern w:val="0"/>
                <w:sz w:val="24"/>
                <w:highlight w:val="none"/>
              </w:rPr>
              <w:t>报告中</w:t>
            </w:r>
            <w:r>
              <w:rPr>
                <w:rFonts w:ascii="Times New Roman" w:hAnsi="Times New Roman" w:eastAsia="宋体" w:cs="Times New Roman"/>
                <w:color w:val="auto"/>
                <w:kern w:val="0"/>
                <w:sz w:val="24"/>
                <w:highlight w:val="none"/>
              </w:rPr>
              <w:t>“营期地下水、土壤环境影响和保护措施”进行分区防渗及地下水监控预警等。</w:t>
            </w:r>
          </w:p>
          <w:p w14:paraId="38ADABBE">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根据本次环境</w:t>
            </w:r>
            <w:r>
              <w:rPr>
                <w:rFonts w:hint="eastAsia"/>
                <w:color w:val="auto"/>
                <w:sz w:val="24"/>
                <w:highlight w:val="none"/>
              </w:rPr>
              <w:t>风险</w:t>
            </w:r>
            <w:r>
              <w:rPr>
                <w:rFonts w:hint="eastAsia"/>
                <w:color w:val="auto"/>
                <w:sz w:val="24"/>
                <w:highlight w:val="none"/>
                <w:lang w:val="en-US" w:eastAsia="zh-CN"/>
              </w:rPr>
              <w:t>专章</w:t>
            </w:r>
            <w:r>
              <w:rPr>
                <w:rFonts w:hint="eastAsia"/>
                <w:color w:val="auto"/>
                <w:sz w:val="24"/>
                <w:highlight w:val="none"/>
              </w:rPr>
              <w:t>评价结果表明，在落实各项环保措施和本评价所列出的各项环境风险防范措施、有效的应急预案，加强风险管理的条件下，本项目的环境风险可防可控。</w:t>
            </w:r>
          </w:p>
          <w:p w14:paraId="12F0EEE4">
            <w:pPr>
              <w:pStyle w:val="26"/>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cs="Times New Roman"/>
                <w:b/>
                <w:bCs w:val="0"/>
                <w:color w:val="auto"/>
                <w:kern w:val="2"/>
                <w:sz w:val="24"/>
                <w:szCs w:val="24"/>
                <w:highlight w:val="none"/>
                <w:lang w:val="en-US" w:eastAsia="zh-CN" w:bidi="ar-SA"/>
              </w:rPr>
              <w:t>八</w:t>
            </w:r>
            <w:r>
              <w:rPr>
                <w:rFonts w:hint="eastAsia" w:ascii="Times New Roman" w:hAnsi="Times New Roman" w:eastAsia="宋体" w:cs="Times New Roman"/>
                <w:b/>
                <w:bCs w:val="0"/>
                <w:color w:val="auto"/>
                <w:kern w:val="2"/>
                <w:sz w:val="24"/>
                <w:szCs w:val="24"/>
                <w:highlight w:val="none"/>
                <w:lang w:val="en-US" w:eastAsia="zh-CN" w:bidi="ar-SA"/>
              </w:rPr>
              <w:t>、“三本账”核算</w:t>
            </w:r>
          </w:p>
          <w:p w14:paraId="140B992A">
            <w:pPr>
              <w:pStyle w:val="26"/>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本项目三本账核算如下表所示。</w:t>
            </w:r>
          </w:p>
          <w:p w14:paraId="11321A8F">
            <w:pPr>
              <w:pStyle w:val="26"/>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b/>
                <w:bCs/>
                <w:color w:val="auto"/>
                <w:sz w:val="24"/>
                <w:szCs w:val="24"/>
                <w:highlight w:val="none"/>
              </w:rPr>
            </w:pPr>
            <w:r>
              <w:rPr>
                <w:b/>
                <w:bCs/>
                <w:color w:val="auto"/>
                <w:sz w:val="24"/>
                <w:szCs w:val="24"/>
                <w:highlight w:val="none"/>
              </w:rPr>
              <w:t>表</w:t>
            </w:r>
            <w:r>
              <w:rPr>
                <w:b/>
                <w:bCs/>
                <w:color w:val="auto"/>
                <w:spacing w:val="-61"/>
                <w:sz w:val="24"/>
                <w:szCs w:val="24"/>
                <w:highlight w:val="none"/>
              </w:rPr>
              <w:t xml:space="preserve"> </w:t>
            </w:r>
            <w:r>
              <w:rPr>
                <w:rFonts w:hint="eastAsia" w:ascii="Times New Roman" w:hAnsi="Times New Roman" w:eastAsia="宋体"/>
                <w:b/>
                <w:bCs/>
                <w:color w:val="auto"/>
                <w:sz w:val="24"/>
                <w:szCs w:val="24"/>
                <w:highlight w:val="none"/>
                <w:lang w:val="en-US" w:eastAsia="zh-CN"/>
              </w:rPr>
              <w:t>4-</w:t>
            </w:r>
            <w:r>
              <w:rPr>
                <w:rFonts w:hint="eastAsia" w:ascii="Times New Roman" w:hAnsi="Times New Roman"/>
                <w:b/>
                <w:bCs/>
                <w:color w:val="auto"/>
                <w:sz w:val="24"/>
                <w:szCs w:val="24"/>
                <w:highlight w:val="none"/>
                <w:lang w:val="en-US" w:eastAsia="zh-CN"/>
              </w:rPr>
              <w:t xml:space="preserve">29     </w:t>
            </w:r>
            <w:r>
              <w:rPr>
                <w:rFonts w:ascii="Times New Roman" w:hAnsi="Times New Roman" w:eastAsia="Times New Roman"/>
                <w:b/>
                <w:bCs/>
                <w:color w:val="auto"/>
                <w:sz w:val="24"/>
                <w:szCs w:val="24"/>
                <w:highlight w:val="none"/>
              </w:rPr>
              <w:t>“</w:t>
            </w:r>
            <w:r>
              <w:rPr>
                <w:b/>
                <w:bCs/>
                <w:color w:val="auto"/>
                <w:sz w:val="24"/>
                <w:szCs w:val="24"/>
                <w:highlight w:val="none"/>
              </w:rPr>
              <w:t>三本账</w:t>
            </w:r>
            <w:r>
              <w:rPr>
                <w:rFonts w:ascii="Times New Roman" w:hAnsi="Times New Roman" w:eastAsia="Times New Roman"/>
                <w:b/>
                <w:bCs/>
                <w:color w:val="auto"/>
                <w:sz w:val="24"/>
                <w:szCs w:val="24"/>
                <w:highlight w:val="none"/>
              </w:rPr>
              <w:t>”</w:t>
            </w:r>
            <w:r>
              <w:rPr>
                <w:b/>
                <w:bCs/>
                <w:color w:val="auto"/>
                <w:sz w:val="24"/>
                <w:szCs w:val="24"/>
                <w:highlight w:val="none"/>
              </w:rPr>
              <w:t>核算表</w:t>
            </w:r>
          </w:p>
          <w:tbl>
            <w:tblPr>
              <w:tblStyle w:val="3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7"/>
              <w:gridCol w:w="1059"/>
              <w:gridCol w:w="978"/>
              <w:gridCol w:w="1059"/>
              <w:gridCol w:w="1247"/>
              <w:gridCol w:w="1202"/>
              <w:gridCol w:w="1422"/>
              <w:gridCol w:w="1380"/>
            </w:tblGrid>
            <w:tr w14:paraId="2B1F7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80" w:type="pct"/>
                  <w:noWrap w:val="0"/>
                  <w:vAlign w:val="center"/>
                </w:tcPr>
                <w:p w14:paraId="3A881A81">
                  <w:pPr>
                    <w:pStyle w:val="62"/>
                    <w:keepNext w:val="0"/>
                    <w:keepLines w:val="0"/>
                    <w:pageBreakBefore w:val="0"/>
                    <w:kinsoku/>
                    <w:wordWrap/>
                    <w:overflowPunct/>
                    <w:topLinePunct w:val="0"/>
                    <w:autoSpaceDE/>
                    <w:autoSpaceDN/>
                    <w:bidi w:val="0"/>
                    <w:spacing w:line="240" w:lineRule="auto"/>
                    <w:ind w:left="0" w:right="0" w:firstLine="0"/>
                    <w:jc w:val="center"/>
                    <w:textAlignment w:val="auto"/>
                    <w:rPr>
                      <w:b/>
                      <w:color w:val="auto"/>
                      <w:sz w:val="21"/>
                      <w:highlight w:val="none"/>
                    </w:rPr>
                  </w:pPr>
                  <w:r>
                    <w:rPr>
                      <w:b/>
                      <w:color w:val="auto"/>
                      <w:sz w:val="21"/>
                      <w:highlight w:val="none"/>
                    </w:rPr>
                    <w:t>项目</w:t>
                  </w:r>
                </w:p>
              </w:tc>
              <w:tc>
                <w:tcPr>
                  <w:tcW w:w="598" w:type="pct"/>
                  <w:noWrap w:val="0"/>
                  <w:vAlign w:val="center"/>
                </w:tcPr>
                <w:p w14:paraId="5978356B">
                  <w:pPr>
                    <w:pStyle w:val="62"/>
                    <w:keepNext w:val="0"/>
                    <w:keepLines w:val="0"/>
                    <w:pageBreakBefore w:val="0"/>
                    <w:kinsoku/>
                    <w:wordWrap/>
                    <w:overflowPunct/>
                    <w:topLinePunct w:val="0"/>
                    <w:autoSpaceDE/>
                    <w:autoSpaceDN/>
                    <w:bidi w:val="0"/>
                    <w:spacing w:line="240" w:lineRule="auto"/>
                    <w:ind w:left="0" w:right="0" w:firstLine="0"/>
                    <w:jc w:val="center"/>
                    <w:textAlignment w:val="auto"/>
                    <w:rPr>
                      <w:b/>
                      <w:color w:val="auto"/>
                      <w:sz w:val="21"/>
                      <w:highlight w:val="none"/>
                    </w:rPr>
                  </w:pPr>
                  <w:r>
                    <w:rPr>
                      <w:b/>
                      <w:color w:val="auto"/>
                      <w:sz w:val="21"/>
                      <w:highlight w:val="none"/>
                    </w:rPr>
                    <w:t>污染源</w:t>
                  </w:r>
                </w:p>
              </w:tc>
              <w:tc>
                <w:tcPr>
                  <w:tcW w:w="552" w:type="pct"/>
                  <w:noWrap w:val="0"/>
                  <w:vAlign w:val="center"/>
                </w:tcPr>
                <w:p w14:paraId="06C61193">
                  <w:pPr>
                    <w:pStyle w:val="62"/>
                    <w:keepNext w:val="0"/>
                    <w:keepLines w:val="0"/>
                    <w:pageBreakBefore w:val="0"/>
                    <w:kinsoku/>
                    <w:wordWrap/>
                    <w:overflowPunct/>
                    <w:topLinePunct w:val="0"/>
                    <w:autoSpaceDE/>
                    <w:autoSpaceDN/>
                    <w:bidi w:val="0"/>
                    <w:spacing w:line="240" w:lineRule="auto"/>
                    <w:ind w:left="0" w:right="0" w:firstLine="0"/>
                    <w:jc w:val="center"/>
                    <w:textAlignment w:val="auto"/>
                    <w:rPr>
                      <w:b/>
                      <w:color w:val="auto"/>
                      <w:sz w:val="21"/>
                      <w:highlight w:val="none"/>
                    </w:rPr>
                  </w:pPr>
                  <w:r>
                    <w:rPr>
                      <w:b/>
                      <w:color w:val="auto"/>
                      <w:sz w:val="21"/>
                      <w:highlight w:val="none"/>
                    </w:rPr>
                    <w:t>污染物</w:t>
                  </w:r>
                </w:p>
              </w:tc>
              <w:tc>
                <w:tcPr>
                  <w:tcW w:w="598" w:type="pct"/>
                  <w:noWrap w:val="0"/>
                  <w:vAlign w:val="center"/>
                </w:tcPr>
                <w:p w14:paraId="28B03543">
                  <w:pPr>
                    <w:pStyle w:val="62"/>
                    <w:keepNext w:val="0"/>
                    <w:keepLines w:val="0"/>
                    <w:pageBreakBefore w:val="0"/>
                    <w:kinsoku/>
                    <w:wordWrap/>
                    <w:overflowPunct/>
                    <w:topLinePunct w:val="0"/>
                    <w:autoSpaceDE/>
                    <w:autoSpaceDN/>
                    <w:bidi w:val="0"/>
                    <w:spacing w:line="240" w:lineRule="auto"/>
                    <w:ind w:left="0" w:right="0" w:firstLine="0"/>
                    <w:textAlignment w:val="auto"/>
                    <w:rPr>
                      <w:rFonts w:ascii="Times New Roman" w:eastAsia="Times New Roman"/>
                      <w:b/>
                      <w:color w:val="auto"/>
                      <w:sz w:val="21"/>
                      <w:highlight w:val="none"/>
                    </w:rPr>
                  </w:pPr>
                  <w:r>
                    <w:rPr>
                      <w:b/>
                      <w:color w:val="auto"/>
                      <w:sz w:val="21"/>
                      <w:highlight w:val="none"/>
                    </w:rPr>
                    <w:t>现有项目排放量</w:t>
                  </w:r>
                  <w:r>
                    <w:rPr>
                      <w:rFonts w:ascii="Times New Roman" w:eastAsia="Times New Roman"/>
                      <w:b/>
                      <w:color w:val="auto"/>
                      <w:sz w:val="21"/>
                      <w:highlight w:val="none"/>
                    </w:rPr>
                    <w:t>t/a</w:t>
                  </w:r>
                </w:p>
              </w:tc>
              <w:tc>
                <w:tcPr>
                  <w:tcW w:w="704" w:type="pct"/>
                  <w:noWrap w:val="0"/>
                  <w:vAlign w:val="center"/>
                </w:tcPr>
                <w:p w14:paraId="3086312B">
                  <w:pPr>
                    <w:pStyle w:val="62"/>
                    <w:keepNext w:val="0"/>
                    <w:keepLines w:val="0"/>
                    <w:pageBreakBefore w:val="0"/>
                    <w:kinsoku/>
                    <w:wordWrap/>
                    <w:overflowPunct/>
                    <w:topLinePunct w:val="0"/>
                    <w:autoSpaceDE/>
                    <w:autoSpaceDN/>
                    <w:bidi w:val="0"/>
                    <w:spacing w:line="240" w:lineRule="auto"/>
                    <w:ind w:left="0" w:right="0" w:firstLine="0"/>
                    <w:textAlignment w:val="auto"/>
                    <w:rPr>
                      <w:rFonts w:ascii="Times New Roman" w:eastAsia="Times New Roman"/>
                      <w:b/>
                      <w:color w:val="auto"/>
                      <w:sz w:val="21"/>
                      <w:highlight w:val="none"/>
                    </w:rPr>
                  </w:pPr>
                  <w:r>
                    <w:rPr>
                      <w:rFonts w:hint="eastAsia"/>
                      <w:b/>
                      <w:color w:val="auto"/>
                      <w:sz w:val="21"/>
                      <w:highlight w:val="none"/>
                      <w:lang w:val="en-US" w:eastAsia="zh-CN"/>
                    </w:rPr>
                    <w:t>本</w:t>
                  </w:r>
                  <w:r>
                    <w:rPr>
                      <w:b/>
                      <w:color w:val="auto"/>
                      <w:sz w:val="21"/>
                      <w:highlight w:val="none"/>
                    </w:rPr>
                    <w:t xml:space="preserve">项目排放量 </w:t>
                  </w:r>
                  <w:r>
                    <w:rPr>
                      <w:rFonts w:ascii="Times New Roman" w:eastAsia="Times New Roman"/>
                      <w:b/>
                      <w:color w:val="auto"/>
                      <w:sz w:val="21"/>
                      <w:highlight w:val="none"/>
                    </w:rPr>
                    <w:t>t/a</w:t>
                  </w:r>
                </w:p>
              </w:tc>
              <w:tc>
                <w:tcPr>
                  <w:tcW w:w="679" w:type="pct"/>
                  <w:noWrap w:val="0"/>
                  <w:vAlign w:val="center"/>
                </w:tcPr>
                <w:p w14:paraId="5DB8613A">
                  <w:pPr>
                    <w:pStyle w:val="62"/>
                    <w:keepNext w:val="0"/>
                    <w:keepLines w:val="0"/>
                    <w:pageBreakBefore w:val="0"/>
                    <w:kinsoku/>
                    <w:wordWrap/>
                    <w:overflowPunct/>
                    <w:topLinePunct w:val="0"/>
                    <w:autoSpaceDE/>
                    <w:autoSpaceDN/>
                    <w:bidi w:val="0"/>
                    <w:spacing w:line="240" w:lineRule="auto"/>
                    <w:ind w:left="0" w:right="0" w:firstLine="0"/>
                    <w:textAlignment w:val="auto"/>
                    <w:rPr>
                      <w:rFonts w:ascii="Times New Roman" w:eastAsia="Times New Roman"/>
                      <w:b/>
                      <w:color w:val="auto"/>
                      <w:sz w:val="21"/>
                      <w:highlight w:val="none"/>
                    </w:rPr>
                  </w:pPr>
                  <w:r>
                    <w:rPr>
                      <w:b/>
                      <w:color w:val="auto"/>
                      <w:sz w:val="21"/>
                      <w:highlight w:val="none"/>
                    </w:rPr>
                    <w:t xml:space="preserve">以新带老削减量 </w:t>
                  </w:r>
                  <w:r>
                    <w:rPr>
                      <w:rFonts w:ascii="Times New Roman" w:eastAsia="Times New Roman"/>
                      <w:b/>
                      <w:color w:val="auto"/>
                      <w:sz w:val="21"/>
                      <w:highlight w:val="none"/>
                    </w:rPr>
                    <w:t>t/a</w:t>
                  </w:r>
                </w:p>
              </w:tc>
              <w:tc>
                <w:tcPr>
                  <w:tcW w:w="803" w:type="pct"/>
                  <w:noWrap w:val="0"/>
                  <w:vAlign w:val="center"/>
                </w:tcPr>
                <w:p w14:paraId="064D090F">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ascii="Times New Roman" w:eastAsia="Times New Roman"/>
                      <w:b/>
                      <w:color w:val="auto"/>
                      <w:sz w:val="21"/>
                      <w:highlight w:val="none"/>
                    </w:rPr>
                  </w:pPr>
                  <w:r>
                    <w:rPr>
                      <w:rFonts w:hint="eastAsia"/>
                      <w:b/>
                      <w:color w:val="auto"/>
                      <w:sz w:val="21"/>
                      <w:highlight w:val="none"/>
                      <w:lang w:val="en-US" w:eastAsia="zh-CN"/>
                    </w:rPr>
                    <w:t>改建</w:t>
                  </w:r>
                  <w:r>
                    <w:rPr>
                      <w:b/>
                      <w:color w:val="auto"/>
                      <w:sz w:val="21"/>
                      <w:highlight w:val="none"/>
                    </w:rPr>
                    <w:t>完成后排放量</w:t>
                  </w:r>
                  <w:r>
                    <w:rPr>
                      <w:rFonts w:ascii="Times New Roman" w:eastAsia="Times New Roman"/>
                      <w:b/>
                      <w:color w:val="auto"/>
                      <w:sz w:val="21"/>
                      <w:highlight w:val="none"/>
                    </w:rPr>
                    <w:t>t/a</w:t>
                  </w:r>
                </w:p>
              </w:tc>
              <w:tc>
                <w:tcPr>
                  <w:tcW w:w="780" w:type="pct"/>
                  <w:noWrap w:val="0"/>
                  <w:vAlign w:val="center"/>
                </w:tcPr>
                <w:p w14:paraId="1BD9D4D7">
                  <w:pPr>
                    <w:pStyle w:val="62"/>
                    <w:keepNext w:val="0"/>
                    <w:keepLines w:val="0"/>
                    <w:pageBreakBefore w:val="0"/>
                    <w:kinsoku/>
                    <w:wordWrap/>
                    <w:overflowPunct/>
                    <w:topLinePunct w:val="0"/>
                    <w:autoSpaceDE/>
                    <w:autoSpaceDN/>
                    <w:bidi w:val="0"/>
                    <w:spacing w:line="240" w:lineRule="auto"/>
                    <w:ind w:left="0" w:right="0" w:firstLine="0"/>
                    <w:textAlignment w:val="auto"/>
                    <w:rPr>
                      <w:b/>
                      <w:color w:val="auto"/>
                      <w:sz w:val="15"/>
                      <w:highlight w:val="none"/>
                    </w:rPr>
                  </w:pPr>
                </w:p>
                <w:p w14:paraId="0EA409DD">
                  <w:pPr>
                    <w:pStyle w:val="62"/>
                    <w:keepNext w:val="0"/>
                    <w:keepLines w:val="0"/>
                    <w:pageBreakBefore w:val="0"/>
                    <w:kinsoku/>
                    <w:wordWrap/>
                    <w:overflowPunct/>
                    <w:topLinePunct w:val="0"/>
                    <w:autoSpaceDE/>
                    <w:autoSpaceDN/>
                    <w:bidi w:val="0"/>
                    <w:spacing w:line="240" w:lineRule="auto"/>
                    <w:ind w:left="0" w:right="0" w:firstLine="0"/>
                    <w:jc w:val="center"/>
                    <w:textAlignment w:val="auto"/>
                    <w:rPr>
                      <w:b/>
                      <w:color w:val="auto"/>
                      <w:sz w:val="21"/>
                      <w:highlight w:val="none"/>
                    </w:rPr>
                  </w:pPr>
                  <w:r>
                    <w:rPr>
                      <w:b/>
                      <w:color w:val="auto"/>
                      <w:sz w:val="21"/>
                      <w:highlight w:val="none"/>
                    </w:rPr>
                    <w:t>排放增减量</w:t>
                  </w:r>
                </w:p>
                <w:p w14:paraId="7FE58907">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ascii="Times New Roman"/>
                      <w:b/>
                      <w:color w:val="auto"/>
                      <w:sz w:val="21"/>
                      <w:highlight w:val="none"/>
                    </w:rPr>
                  </w:pPr>
                  <w:r>
                    <w:rPr>
                      <w:rFonts w:ascii="Times New Roman"/>
                      <w:b/>
                      <w:color w:val="auto"/>
                      <w:sz w:val="21"/>
                      <w:highlight w:val="none"/>
                    </w:rPr>
                    <w:t>t/a</w:t>
                  </w:r>
                </w:p>
              </w:tc>
            </w:tr>
            <w:tr w14:paraId="58F15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80" w:type="pct"/>
                  <w:vMerge w:val="restart"/>
                  <w:noWrap w:val="0"/>
                  <w:vAlign w:val="center"/>
                </w:tcPr>
                <w:p w14:paraId="33DFBE0E">
                  <w:pPr>
                    <w:pStyle w:val="62"/>
                    <w:keepNext w:val="0"/>
                    <w:keepLines w:val="0"/>
                    <w:pageBreakBefore w:val="0"/>
                    <w:kinsoku/>
                    <w:wordWrap/>
                    <w:overflowPunct/>
                    <w:topLinePunct w:val="0"/>
                    <w:autoSpaceDE/>
                    <w:autoSpaceDN/>
                    <w:bidi w:val="0"/>
                    <w:spacing w:line="240" w:lineRule="auto"/>
                    <w:ind w:left="0" w:right="0" w:firstLine="0"/>
                    <w:jc w:val="center"/>
                    <w:textAlignment w:val="auto"/>
                    <w:rPr>
                      <w:color w:val="auto"/>
                      <w:sz w:val="21"/>
                      <w:highlight w:val="none"/>
                    </w:rPr>
                  </w:pPr>
                  <w:r>
                    <w:rPr>
                      <w:color w:val="auto"/>
                      <w:sz w:val="21"/>
                      <w:highlight w:val="none"/>
                    </w:rPr>
                    <w:t>废气</w:t>
                  </w:r>
                </w:p>
              </w:tc>
              <w:tc>
                <w:tcPr>
                  <w:tcW w:w="598" w:type="pct"/>
                  <w:vMerge w:val="restart"/>
                  <w:noWrap w:val="0"/>
                  <w:vAlign w:val="center"/>
                </w:tcPr>
                <w:p w14:paraId="259CBC54">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hint="eastAsia" w:eastAsia="宋体"/>
                      <w:color w:val="auto"/>
                      <w:sz w:val="21"/>
                      <w:highlight w:val="none"/>
                      <w:lang w:eastAsia="zh-CN"/>
                    </w:rPr>
                  </w:pPr>
                  <w:r>
                    <w:rPr>
                      <w:rFonts w:hint="eastAsia"/>
                      <w:color w:val="auto"/>
                      <w:sz w:val="21"/>
                      <w:highlight w:val="none"/>
                      <w:lang w:eastAsia="zh-CN"/>
                    </w:rPr>
                    <w:t>恶臭</w:t>
                  </w:r>
                </w:p>
              </w:tc>
              <w:tc>
                <w:tcPr>
                  <w:tcW w:w="552" w:type="pct"/>
                  <w:noWrap w:val="0"/>
                  <w:vAlign w:val="center"/>
                </w:tcPr>
                <w:p w14:paraId="7AA4E2AA">
                  <w:pPr>
                    <w:pStyle w:val="62"/>
                    <w:keepNext w:val="0"/>
                    <w:keepLines w:val="0"/>
                    <w:pageBreakBefore w:val="0"/>
                    <w:kinsoku/>
                    <w:wordWrap/>
                    <w:overflowPunct/>
                    <w:topLinePunct w:val="0"/>
                    <w:autoSpaceDE/>
                    <w:autoSpaceDN/>
                    <w:bidi w:val="0"/>
                    <w:spacing w:line="240" w:lineRule="auto"/>
                    <w:ind w:left="0" w:right="0" w:firstLine="0"/>
                    <w:jc w:val="center"/>
                    <w:textAlignment w:val="auto"/>
                    <w:rPr>
                      <w:color w:val="auto"/>
                      <w:sz w:val="21"/>
                      <w:highlight w:val="none"/>
                    </w:rPr>
                  </w:pPr>
                  <w:r>
                    <w:rPr>
                      <w:rFonts w:hint="default" w:ascii="Times New Roman" w:hAnsi="Times New Roman" w:eastAsia="宋体" w:cs="Times New Roman"/>
                      <w:color w:val="auto"/>
                      <w:szCs w:val="24"/>
                      <w:highlight w:val="none"/>
                    </w:rPr>
                    <w:t>NH</w:t>
                  </w:r>
                  <w:r>
                    <w:rPr>
                      <w:rFonts w:hint="default" w:ascii="Times New Roman" w:hAnsi="Times New Roman" w:eastAsia="宋体" w:cs="Times New Roman"/>
                      <w:color w:val="auto"/>
                      <w:szCs w:val="24"/>
                      <w:highlight w:val="none"/>
                      <w:vertAlign w:val="subscript"/>
                    </w:rPr>
                    <w:t>3</w:t>
                  </w:r>
                </w:p>
              </w:tc>
              <w:tc>
                <w:tcPr>
                  <w:tcW w:w="598" w:type="pct"/>
                  <w:noWrap w:val="0"/>
                  <w:vAlign w:val="center"/>
                </w:tcPr>
                <w:p w14:paraId="59A3E0E6">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Times New Roman" w:eastAsia="宋体" w:cs="Times New Roman"/>
                      <w:color w:val="auto"/>
                      <w:szCs w:val="24"/>
                      <w:highlight w:val="none"/>
                      <w:lang w:val="en-US"/>
                    </w:rPr>
                  </w:pPr>
                  <w:r>
                    <w:rPr>
                      <w:rFonts w:hint="eastAsia" w:ascii="Times New Roman"/>
                      <w:color w:val="auto"/>
                      <w:sz w:val="21"/>
                      <w:highlight w:val="none"/>
                      <w:lang w:val="en-US" w:eastAsia="zh-CN"/>
                    </w:rPr>
                    <w:t>0.395</w:t>
                  </w:r>
                </w:p>
              </w:tc>
              <w:tc>
                <w:tcPr>
                  <w:tcW w:w="704" w:type="pct"/>
                  <w:noWrap w:val="0"/>
                  <w:vAlign w:val="center"/>
                </w:tcPr>
                <w:p w14:paraId="71CF1AC0">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eastAsia="宋体"/>
                      <w:color w:val="auto"/>
                      <w:sz w:val="21"/>
                      <w:highlight w:val="none"/>
                      <w:lang w:val="en-US" w:eastAsia="zh-CN"/>
                    </w:rPr>
                  </w:pPr>
                  <w:r>
                    <w:rPr>
                      <w:rFonts w:hint="eastAsia"/>
                      <w:color w:val="auto"/>
                      <w:kern w:val="24"/>
                      <w:szCs w:val="21"/>
                      <w:highlight w:val="none"/>
                      <w:lang w:val="en-US" w:eastAsia="zh-CN"/>
                    </w:rPr>
                    <w:t>0.098</w:t>
                  </w:r>
                </w:p>
              </w:tc>
              <w:tc>
                <w:tcPr>
                  <w:tcW w:w="679" w:type="pct"/>
                  <w:noWrap w:val="0"/>
                  <w:vAlign w:val="center"/>
                </w:tcPr>
                <w:p w14:paraId="67DBF05B">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0.395</w:t>
                  </w:r>
                </w:p>
              </w:tc>
              <w:tc>
                <w:tcPr>
                  <w:tcW w:w="803" w:type="pct"/>
                  <w:noWrap w:val="0"/>
                  <w:vAlign w:val="center"/>
                </w:tcPr>
                <w:p w14:paraId="6D30523D">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eastAsia" w:eastAsia="宋体"/>
                      <w:color w:val="auto"/>
                      <w:sz w:val="21"/>
                      <w:highlight w:val="none"/>
                      <w:lang w:eastAsia="zh-CN"/>
                    </w:rPr>
                  </w:pPr>
                  <w:r>
                    <w:rPr>
                      <w:rFonts w:hint="eastAsia"/>
                      <w:color w:val="auto"/>
                      <w:kern w:val="24"/>
                      <w:szCs w:val="21"/>
                      <w:highlight w:val="none"/>
                      <w:lang w:val="en-US" w:eastAsia="zh-CN"/>
                    </w:rPr>
                    <w:t>0.098</w:t>
                  </w:r>
                </w:p>
              </w:tc>
              <w:tc>
                <w:tcPr>
                  <w:tcW w:w="780" w:type="pct"/>
                  <w:noWrap w:val="0"/>
                  <w:vAlign w:val="center"/>
                </w:tcPr>
                <w:p w14:paraId="12D0DE9D">
                  <w:pPr>
                    <w:pStyle w:val="62"/>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eastAsia="宋体"/>
                      <w:color w:val="auto"/>
                      <w:sz w:val="21"/>
                      <w:highlight w:val="none"/>
                      <w:lang w:val="en-US" w:eastAsia="zh-CN"/>
                    </w:rPr>
                  </w:pPr>
                  <w:r>
                    <w:rPr>
                      <w:rFonts w:hint="eastAsia" w:ascii="Times New Roman" w:hAnsi="Times New Roman" w:cs="Times New Roman"/>
                      <w:color w:val="auto"/>
                      <w:szCs w:val="24"/>
                      <w:highlight w:val="none"/>
                      <w:lang w:val="en-US" w:eastAsia="zh-CN"/>
                    </w:rPr>
                    <w:t>-0.297</w:t>
                  </w:r>
                </w:p>
              </w:tc>
            </w:tr>
            <w:tr w14:paraId="19B57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0" w:type="pct"/>
                  <w:vMerge w:val="continue"/>
                  <w:noWrap w:val="0"/>
                  <w:vAlign w:val="center"/>
                </w:tcPr>
                <w:p w14:paraId="3EDBC619">
                  <w:pPr>
                    <w:pStyle w:val="62"/>
                    <w:keepNext w:val="0"/>
                    <w:keepLines w:val="0"/>
                    <w:pageBreakBefore w:val="0"/>
                    <w:kinsoku/>
                    <w:wordWrap/>
                    <w:overflowPunct/>
                    <w:topLinePunct w:val="0"/>
                    <w:autoSpaceDE/>
                    <w:autoSpaceDN/>
                    <w:bidi w:val="0"/>
                    <w:spacing w:line="240" w:lineRule="auto"/>
                    <w:ind w:left="0" w:right="0" w:firstLine="0"/>
                    <w:jc w:val="center"/>
                    <w:textAlignment w:val="auto"/>
                    <w:rPr>
                      <w:color w:val="auto"/>
                      <w:sz w:val="21"/>
                      <w:highlight w:val="none"/>
                    </w:rPr>
                  </w:pPr>
                </w:p>
              </w:tc>
              <w:tc>
                <w:tcPr>
                  <w:tcW w:w="598" w:type="pct"/>
                  <w:vMerge w:val="continue"/>
                  <w:noWrap w:val="0"/>
                  <w:vAlign w:val="center"/>
                </w:tcPr>
                <w:p w14:paraId="4902D557">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hint="eastAsia"/>
                      <w:color w:val="auto"/>
                      <w:sz w:val="21"/>
                      <w:highlight w:val="none"/>
                      <w:lang w:eastAsia="zh-CN"/>
                    </w:rPr>
                  </w:pPr>
                </w:p>
              </w:tc>
              <w:tc>
                <w:tcPr>
                  <w:tcW w:w="552" w:type="pct"/>
                  <w:noWrap w:val="0"/>
                  <w:vAlign w:val="center"/>
                </w:tcPr>
                <w:p w14:paraId="1E009B22">
                  <w:pPr>
                    <w:pStyle w:val="62"/>
                    <w:keepNext w:val="0"/>
                    <w:keepLines w:val="0"/>
                    <w:pageBreakBefore w:val="0"/>
                    <w:kinsoku/>
                    <w:wordWrap/>
                    <w:overflowPunct/>
                    <w:topLinePunct w:val="0"/>
                    <w:autoSpaceDE/>
                    <w:autoSpaceDN/>
                    <w:bidi w:val="0"/>
                    <w:spacing w:line="240" w:lineRule="auto"/>
                    <w:ind w:left="0" w:right="0" w:firstLine="0"/>
                    <w:jc w:val="center"/>
                    <w:textAlignment w:val="auto"/>
                    <w:rPr>
                      <w:color w:val="auto"/>
                      <w:spacing w:val="-6"/>
                      <w:sz w:val="21"/>
                      <w:highlight w:val="none"/>
                    </w:rPr>
                  </w:pPr>
                  <w:r>
                    <w:rPr>
                      <w:rFonts w:hint="default" w:ascii="Times New Roman" w:hAnsi="Times New Roman" w:eastAsia="宋体" w:cs="Times New Roman"/>
                      <w:color w:val="auto"/>
                      <w:szCs w:val="24"/>
                      <w:highlight w:val="none"/>
                    </w:rPr>
                    <w:t>H</w:t>
                  </w:r>
                  <w:r>
                    <w:rPr>
                      <w:rFonts w:hint="default" w:ascii="Times New Roman" w:hAnsi="Times New Roman" w:eastAsia="宋体" w:cs="Times New Roman"/>
                      <w:color w:val="auto"/>
                      <w:szCs w:val="24"/>
                      <w:highlight w:val="none"/>
                      <w:vertAlign w:val="subscript"/>
                    </w:rPr>
                    <w:t>2</w:t>
                  </w:r>
                  <w:r>
                    <w:rPr>
                      <w:rFonts w:hint="default" w:ascii="Times New Roman" w:hAnsi="Times New Roman" w:eastAsia="宋体" w:cs="Times New Roman"/>
                      <w:color w:val="auto"/>
                      <w:szCs w:val="24"/>
                      <w:highlight w:val="none"/>
                    </w:rPr>
                    <w:t>S</w:t>
                  </w:r>
                </w:p>
              </w:tc>
              <w:tc>
                <w:tcPr>
                  <w:tcW w:w="598" w:type="pct"/>
                  <w:noWrap w:val="0"/>
                  <w:vAlign w:val="center"/>
                </w:tcPr>
                <w:p w14:paraId="3C7D7C1B">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Times New Roman" w:eastAsia="宋体" w:cs="Times New Roman"/>
                      <w:color w:val="auto"/>
                      <w:szCs w:val="24"/>
                      <w:highlight w:val="none"/>
                      <w:lang w:val="en-US"/>
                    </w:rPr>
                  </w:pPr>
                  <w:r>
                    <w:rPr>
                      <w:rFonts w:hint="eastAsia" w:ascii="Times New Roman"/>
                      <w:color w:val="auto"/>
                      <w:sz w:val="21"/>
                      <w:highlight w:val="none"/>
                      <w:lang w:val="en-US" w:eastAsia="zh-CN"/>
                    </w:rPr>
                    <w:t>0.015</w:t>
                  </w:r>
                </w:p>
              </w:tc>
              <w:tc>
                <w:tcPr>
                  <w:tcW w:w="704" w:type="pct"/>
                  <w:noWrap w:val="0"/>
                  <w:vAlign w:val="center"/>
                </w:tcPr>
                <w:p w14:paraId="7AB48904">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eastAsia="宋体"/>
                      <w:color w:val="auto"/>
                      <w:sz w:val="21"/>
                      <w:highlight w:val="none"/>
                      <w:lang w:val="en-US" w:eastAsia="zh-CN"/>
                    </w:rPr>
                  </w:pPr>
                  <w:r>
                    <w:rPr>
                      <w:rFonts w:hint="eastAsia"/>
                      <w:color w:val="auto"/>
                      <w:kern w:val="24"/>
                      <w:szCs w:val="21"/>
                      <w:highlight w:val="none"/>
                      <w:lang w:val="en-US" w:eastAsia="zh-CN"/>
                    </w:rPr>
                    <w:t>0.0033</w:t>
                  </w:r>
                </w:p>
              </w:tc>
              <w:tc>
                <w:tcPr>
                  <w:tcW w:w="679" w:type="pct"/>
                  <w:noWrap w:val="0"/>
                  <w:vAlign w:val="center"/>
                </w:tcPr>
                <w:p w14:paraId="4558DE0F">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eastAsia" w:ascii="Times New Roman" w:eastAsia="宋体"/>
                      <w:color w:val="auto"/>
                      <w:sz w:val="21"/>
                      <w:highlight w:val="none"/>
                      <w:lang w:val="en-US" w:eastAsia="zh-CN"/>
                    </w:rPr>
                  </w:pPr>
                  <w:r>
                    <w:rPr>
                      <w:rFonts w:hint="eastAsia" w:ascii="Times New Roman"/>
                      <w:color w:val="auto"/>
                      <w:sz w:val="21"/>
                      <w:highlight w:val="none"/>
                      <w:lang w:val="en-US" w:eastAsia="zh-CN"/>
                    </w:rPr>
                    <w:t>0.015</w:t>
                  </w:r>
                </w:p>
              </w:tc>
              <w:tc>
                <w:tcPr>
                  <w:tcW w:w="803" w:type="pct"/>
                  <w:noWrap w:val="0"/>
                  <w:vAlign w:val="center"/>
                </w:tcPr>
                <w:p w14:paraId="2F4BABB7">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Cs w:val="24"/>
                      <w:highlight w:val="none"/>
                      <w:lang w:val="en-US" w:eastAsia="zh-CN"/>
                    </w:rPr>
                  </w:pPr>
                  <w:r>
                    <w:rPr>
                      <w:rFonts w:hint="eastAsia"/>
                      <w:color w:val="auto"/>
                      <w:kern w:val="24"/>
                      <w:szCs w:val="21"/>
                      <w:highlight w:val="none"/>
                      <w:lang w:val="en-US" w:eastAsia="zh-CN"/>
                    </w:rPr>
                    <w:t>0.0033</w:t>
                  </w:r>
                </w:p>
              </w:tc>
              <w:tc>
                <w:tcPr>
                  <w:tcW w:w="780" w:type="pct"/>
                  <w:noWrap w:val="0"/>
                  <w:vAlign w:val="center"/>
                </w:tcPr>
                <w:p w14:paraId="0A109FA6">
                  <w:pPr>
                    <w:pStyle w:val="62"/>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4"/>
                      <w:highlight w:val="none"/>
                      <w:lang w:val="en-US"/>
                    </w:rPr>
                  </w:pPr>
                  <w:r>
                    <w:rPr>
                      <w:rFonts w:hint="eastAsia" w:ascii="Times New Roman" w:hAnsi="Times New Roman" w:cs="Times New Roman"/>
                      <w:color w:val="auto"/>
                      <w:szCs w:val="24"/>
                      <w:highlight w:val="none"/>
                      <w:lang w:val="en-US" w:eastAsia="zh-CN"/>
                    </w:rPr>
                    <w:t>-0.0117</w:t>
                  </w:r>
                </w:p>
              </w:tc>
            </w:tr>
            <w:tr w14:paraId="3CB93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0" w:type="pct"/>
                  <w:vMerge w:val="continue"/>
                  <w:noWrap w:val="0"/>
                  <w:vAlign w:val="center"/>
                </w:tcPr>
                <w:p w14:paraId="781EC35B">
                  <w:pPr>
                    <w:pStyle w:val="62"/>
                    <w:keepNext w:val="0"/>
                    <w:keepLines w:val="0"/>
                    <w:pageBreakBefore w:val="0"/>
                    <w:kinsoku/>
                    <w:wordWrap/>
                    <w:overflowPunct/>
                    <w:topLinePunct w:val="0"/>
                    <w:autoSpaceDE/>
                    <w:autoSpaceDN/>
                    <w:bidi w:val="0"/>
                    <w:spacing w:line="240" w:lineRule="auto"/>
                    <w:ind w:left="0" w:right="0" w:firstLine="0"/>
                    <w:jc w:val="center"/>
                    <w:textAlignment w:val="auto"/>
                    <w:rPr>
                      <w:color w:val="auto"/>
                      <w:sz w:val="21"/>
                      <w:highlight w:val="none"/>
                    </w:rPr>
                  </w:pPr>
                </w:p>
              </w:tc>
              <w:tc>
                <w:tcPr>
                  <w:tcW w:w="598" w:type="pct"/>
                  <w:noWrap w:val="0"/>
                  <w:vAlign w:val="center"/>
                </w:tcPr>
                <w:p w14:paraId="2347B644">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hint="default"/>
                      <w:color w:val="auto"/>
                      <w:sz w:val="21"/>
                      <w:highlight w:val="none"/>
                      <w:lang w:val="en-US" w:eastAsia="zh-CN"/>
                    </w:rPr>
                  </w:pPr>
                  <w:r>
                    <w:rPr>
                      <w:rFonts w:hint="eastAsia"/>
                      <w:color w:val="auto"/>
                      <w:sz w:val="21"/>
                      <w:highlight w:val="none"/>
                      <w:lang w:val="en-US" w:eastAsia="zh-CN"/>
                    </w:rPr>
                    <w:t>颗粒物</w:t>
                  </w:r>
                </w:p>
              </w:tc>
              <w:tc>
                <w:tcPr>
                  <w:tcW w:w="552" w:type="pct"/>
                  <w:noWrap w:val="0"/>
                  <w:vAlign w:val="center"/>
                </w:tcPr>
                <w:p w14:paraId="4C28C921">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hint="eastAsia" w:ascii="Times New Roman" w:hAnsi="Times New Roman" w:eastAsia="宋体"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颗粒物</w:t>
                  </w:r>
                </w:p>
              </w:tc>
              <w:tc>
                <w:tcPr>
                  <w:tcW w:w="598" w:type="pct"/>
                  <w:noWrap w:val="0"/>
                  <w:vAlign w:val="center"/>
                </w:tcPr>
                <w:p w14:paraId="7A769FD6">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eastAsia="宋体"/>
                      <w:color w:val="auto"/>
                      <w:sz w:val="21"/>
                      <w:highlight w:val="none"/>
                      <w:lang w:val="en-US" w:eastAsia="zh-CN"/>
                    </w:rPr>
                  </w:pPr>
                  <w:r>
                    <w:rPr>
                      <w:rFonts w:hint="eastAsia" w:ascii="Times New Roman"/>
                      <w:color w:val="auto"/>
                      <w:sz w:val="21"/>
                      <w:highlight w:val="none"/>
                      <w:lang w:val="en-US" w:eastAsia="zh-CN"/>
                    </w:rPr>
                    <w:t>0</w:t>
                  </w:r>
                </w:p>
              </w:tc>
              <w:tc>
                <w:tcPr>
                  <w:tcW w:w="704" w:type="pct"/>
                  <w:noWrap w:val="0"/>
                  <w:vAlign w:val="center"/>
                </w:tcPr>
                <w:p w14:paraId="102B7295">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eastAsia="宋体"/>
                      <w:color w:val="auto"/>
                      <w:sz w:val="21"/>
                      <w:highlight w:val="none"/>
                      <w:lang w:val="en-US" w:eastAsia="zh-CN"/>
                    </w:rPr>
                  </w:pPr>
                  <w:r>
                    <w:rPr>
                      <w:rFonts w:hint="eastAsia"/>
                      <w:color w:val="auto"/>
                      <w:kern w:val="24"/>
                      <w:szCs w:val="21"/>
                      <w:highlight w:val="none"/>
                      <w:lang w:val="en-US" w:eastAsia="zh-CN"/>
                    </w:rPr>
                    <w:t>0.008</w:t>
                  </w:r>
                </w:p>
              </w:tc>
              <w:tc>
                <w:tcPr>
                  <w:tcW w:w="679" w:type="pct"/>
                  <w:noWrap w:val="0"/>
                  <w:vAlign w:val="center"/>
                </w:tcPr>
                <w:p w14:paraId="190C4502">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eastAsia" w:ascii="Times New Roman" w:eastAsia="宋体"/>
                      <w:color w:val="auto"/>
                      <w:sz w:val="21"/>
                      <w:highlight w:val="none"/>
                      <w:lang w:val="en-US" w:eastAsia="zh-CN"/>
                    </w:rPr>
                  </w:pPr>
                  <w:r>
                    <w:rPr>
                      <w:rFonts w:hint="eastAsia" w:ascii="Times New Roman"/>
                      <w:color w:val="auto"/>
                      <w:sz w:val="21"/>
                      <w:highlight w:val="none"/>
                      <w:lang w:val="en-US" w:eastAsia="zh-CN"/>
                    </w:rPr>
                    <w:t>0</w:t>
                  </w:r>
                </w:p>
              </w:tc>
              <w:tc>
                <w:tcPr>
                  <w:tcW w:w="803" w:type="pct"/>
                  <w:noWrap w:val="0"/>
                  <w:vAlign w:val="center"/>
                </w:tcPr>
                <w:p w14:paraId="050248D1">
                  <w:pPr>
                    <w:keepNext w:val="0"/>
                    <w:keepLines w:val="0"/>
                    <w:pageBreakBefore w:val="0"/>
                    <w:widowControl/>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eastAsia="宋体"/>
                      <w:color w:val="auto"/>
                      <w:sz w:val="21"/>
                      <w:highlight w:val="none"/>
                      <w:lang w:val="en-US" w:eastAsia="zh-CN"/>
                    </w:rPr>
                  </w:pPr>
                  <w:r>
                    <w:rPr>
                      <w:rFonts w:hint="eastAsia"/>
                      <w:color w:val="auto"/>
                      <w:kern w:val="24"/>
                      <w:szCs w:val="21"/>
                      <w:highlight w:val="none"/>
                      <w:lang w:val="en-US" w:eastAsia="zh-CN"/>
                    </w:rPr>
                    <w:t>0.008</w:t>
                  </w:r>
                </w:p>
              </w:tc>
              <w:tc>
                <w:tcPr>
                  <w:tcW w:w="780" w:type="pct"/>
                  <w:noWrap w:val="0"/>
                  <w:vAlign w:val="center"/>
                </w:tcPr>
                <w:p w14:paraId="5AD800EB">
                  <w:pPr>
                    <w:pStyle w:val="62"/>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+0.008</w:t>
                  </w:r>
                </w:p>
              </w:tc>
            </w:tr>
            <w:tr w14:paraId="3F4D6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80" w:type="pct"/>
                  <w:vMerge w:val="restart"/>
                  <w:noWrap w:val="0"/>
                  <w:vAlign w:val="center"/>
                </w:tcPr>
                <w:p w14:paraId="0AFFBC65">
                  <w:pPr>
                    <w:pStyle w:val="62"/>
                    <w:keepNext w:val="0"/>
                    <w:keepLines w:val="0"/>
                    <w:pageBreakBefore w:val="0"/>
                    <w:kinsoku/>
                    <w:wordWrap/>
                    <w:overflowPunct/>
                    <w:topLinePunct w:val="0"/>
                    <w:autoSpaceDE/>
                    <w:autoSpaceDN/>
                    <w:bidi w:val="0"/>
                    <w:spacing w:line="240" w:lineRule="auto"/>
                    <w:ind w:left="0" w:right="0" w:firstLine="0"/>
                    <w:jc w:val="center"/>
                    <w:textAlignment w:val="auto"/>
                    <w:rPr>
                      <w:color w:val="auto"/>
                      <w:sz w:val="21"/>
                      <w:highlight w:val="none"/>
                    </w:rPr>
                  </w:pPr>
                  <w:r>
                    <w:rPr>
                      <w:color w:val="auto"/>
                      <w:sz w:val="21"/>
                      <w:highlight w:val="none"/>
                    </w:rPr>
                    <w:t>废水</w:t>
                  </w:r>
                </w:p>
              </w:tc>
              <w:tc>
                <w:tcPr>
                  <w:tcW w:w="598" w:type="pct"/>
                  <w:vMerge w:val="restart"/>
                  <w:noWrap w:val="0"/>
                  <w:vAlign w:val="center"/>
                </w:tcPr>
                <w:p w14:paraId="4015A53B">
                  <w:pPr>
                    <w:pStyle w:val="62"/>
                    <w:keepNext w:val="0"/>
                    <w:keepLines w:val="0"/>
                    <w:pageBreakBefore w:val="0"/>
                    <w:kinsoku/>
                    <w:wordWrap/>
                    <w:overflowPunct/>
                    <w:topLinePunct w:val="0"/>
                    <w:autoSpaceDE/>
                    <w:autoSpaceDN/>
                    <w:bidi w:val="0"/>
                    <w:spacing w:line="240" w:lineRule="auto"/>
                    <w:ind w:left="0" w:right="0" w:firstLine="0"/>
                    <w:jc w:val="center"/>
                    <w:textAlignment w:val="auto"/>
                    <w:rPr>
                      <w:color w:val="auto"/>
                      <w:sz w:val="21"/>
                      <w:highlight w:val="none"/>
                    </w:rPr>
                  </w:pPr>
                  <w:r>
                    <w:rPr>
                      <w:color w:val="auto"/>
                      <w:sz w:val="21"/>
                      <w:highlight w:val="none"/>
                    </w:rPr>
                    <w:t>尾水</w:t>
                  </w:r>
                </w:p>
              </w:tc>
              <w:tc>
                <w:tcPr>
                  <w:tcW w:w="552" w:type="pct"/>
                  <w:noWrap w:val="0"/>
                  <w:vAlign w:val="center"/>
                </w:tcPr>
                <w:p w14:paraId="17A06C0C">
                  <w:pPr>
                    <w:pStyle w:val="6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highlight w:val="none"/>
                      <w:lang w:eastAsia="zh-CN"/>
                    </w:rPr>
                  </w:pPr>
                  <w:r>
                    <w:rPr>
                      <w:rFonts w:hint="eastAsia"/>
                      <w:color w:val="auto"/>
                      <w:sz w:val="21"/>
                      <w:highlight w:val="none"/>
                      <w:lang w:eastAsia="zh-CN"/>
                    </w:rPr>
                    <w:t>尾水量</w:t>
                  </w:r>
                  <w:r>
                    <w:rPr>
                      <w:rFonts w:hint="default" w:ascii="Times New Roman" w:hAnsi="Times New Roman" w:cs="Times New Roman"/>
                      <w:color w:val="auto"/>
                      <w:sz w:val="21"/>
                      <w:highlight w:val="none"/>
                      <w:lang w:eastAsia="zh-CN"/>
                    </w:rPr>
                    <w:t>（万</w:t>
                  </w:r>
                  <w:r>
                    <w:rPr>
                      <w:rFonts w:hint="default" w:ascii="Times New Roman" w:hAnsi="Times New Roman" w:cs="Times New Roman"/>
                      <w:color w:val="auto"/>
                      <w:sz w:val="21"/>
                      <w:highlight w:val="none"/>
                      <w:lang w:val="en-US" w:eastAsia="zh-CN"/>
                    </w:rPr>
                    <w:t>m</w:t>
                  </w:r>
                  <w:r>
                    <w:rPr>
                      <w:rFonts w:hint="default" w:ascii="Times New Roman" w:hAnsi="Times New Roman" w:cs="Times New Roman"/>
                      <w:color w:val="auto"/>
                      <w:sz w:val="21"/>
                      <w:highlight w:val="none"/>
                      <w:vertAlign w:val="superscript"/>
                      <w:lang w:val="en-US" w:eastAsia="zh-CN"/>
                    </w:rPr>
                    <w:t>3</w:t>
                  </w:r>
                  <w:r>
                    <w:rPr>
                      <w:rFonts w:hint="default" w:ascii="Times New Roman" w:hAnsi="Times New Roman" w:cs="Times New Roman"/>
                      <w:color w:val="auto"/>
                      <w:sz w:val="21"/>
                      <w:highlight w:val="none"/>
                      <w:lang w:val="en-US" w:eastAsia="zh-CN"/>
                    </w:rPr>
                    <w:t>/a</w:t>
                  </w:r>
                  <w:r>
                    <w:rPr>
                      <w:rFonts w:hint="default" w:ascii="Times New Roman" w:hAnsi="Times New Roman" w:cs="Times New Roman"/>
                      <w:color w:val="auto"/>
                      <w:sz w:val="21"/>
                      <w:highlight w:val="none"/>
                      <w:lang w:eastAsia="zh-CN"/>
                    </w:rPr>
                    <w:t>）</w:t>
                  </w:r>
                </w:p>
              </w:tc>
              <w:tc>
                <w:tcPr>
                  <w:tcW w:w="598" w:type="pct"/>
                  <w:noWrap w:val="0"/>
                  <w:vAlign w:val="center"/>
                </w:tcPr>
                <w:p w14:paraId="6FEB6365">
                  <w:pPr>
                    <w:pStyle w:val="6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color w:val="auto"/>
                      <w:sz w:val="21"/>
                      <w:highlight w:val="none"/>
                      <w:lang w:val="en-US" w:eastAsia="zh-CN"/>
                    </w:rPr>
                    <w:t>0</w:t>
                  </w:r>
                </w:p>
              </w:tc>
              <w:tc>
                <w:tcPr>
                  <w:tcW w:w="704" w:type="pct"/>
                  <w:noWrap w:val="0"/>
                  <w:vAlign w:val="center"/>
                </w:tcPr>
                <w:p w14:paraId="352BC41C">
                  <w:pPr>
                    <w:pStyle w:val="6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highlight w:val="none"/>
                      <w:lang w:val="en-US"/>
                    </w:rPr>
                  </w:pPr>
                  <w:r>
                    <w:rPr>
                      <w:rFonts w:hint="eastAsia" w:ascii="Times New Roman"/>
                      <w:color w:val="auto"/>
                      <w:sz w:val="21"/>
                      <w:highlight w:val="none"/>
                      <w:lang w:val="en-US" w:eastAsia="zh-CN"/>
                    </w:rPr>
                    <w:t>0</w:t>
                  </w:r>
                </w:p>
              </w:tc>
              <w:tc>
                <w:tcPr>
                  <w:tcW w:w="679" w:type="pct"/>
                  <w:noWrap w:val="0"/>
                  <w:vAlign w:val="center"/>
                </w:tcPr>
                <w:p w14:paraId="184F1F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color w:val="auto"/>
                      <w:sz w:val="21"/>
                      <w:highlight w:val="none"/>
                      <w:lang w:val="en-US" w:eastAsia="zh-CN"/>
                    </w:rPr>
                    <w:t>0</w:t>
                  </w:r>
                </w:p>
              </w:tc>
              <w:tc>
                <w:tcPr>
                  <w:tcW w:w="803" w:type="pct"/>
                  <w:noWrap w:val="0"/>
                  <w:vAlign w:val="center"/>
                </w:tcPr>
                <w:p w14:paraId="3B454D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color w:val="auto"/>
                      <w:szCs w:val="24"/>
                      <w:highlight w:val="none"/>
                      <w:lang w:val="en-US"/>
                    </w:rPr>
                  </w:pPr>
                  <w:r>
                    <w:rPr>
                      <w:rFonts w:hint="eastAsia" w:ascii="Times New Roman"/>
                      <w:color w:val="auto"/>
                      <w:sz w:val="21"/>
                      <w:highlight w:val="none"/>
                      <w:lang w:val="en-US" w:eastAsia="zh-CN"/>
                    </w:rPr>
                    <w:t>0</w:t>
                  </w:r>
                </w:p>
              </w:tc>
              <w:tc>
                <w:tcPr>
                  <w:tcW w:w="780" w:type="pct"/>
                  <w:noWrap w:val="0"/>
                  <w:vAlign w:val="center"/>
                </w:tcPr>
                <w:p w14:paraId="4B0A904D">
                  <w:pPr>
                    <w:pStyle w:val="62"/>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0</w:t>
                  </w:r>
                </w:p>
              </w:tc>
            </w:tr>
            <w:tr w14:paraId="1DCDD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0" w:type="pct"/>
                  <w:vMerge w:val="continue"/>
                  <w:noWrap w:val="0"/>
                  <w:vAlign w:val="center"/>
                </w:tcPr>
                <w:p w14:paraId="72220E08">
                  <w:pPr>
                    <w:pStyle w:val="62"/>
                    <w:keepNext w:val="0"/>
                    <w:keepLines w:val="0"/>
                    <w:pageBreakBefore w:val="0"/>
                    <w:kinsoku/>
                    <w:wordWrap/>
                    <w:overflowPunct/>
                    <w:topLinePunct w:val="0"/>
                    <w:autoSpaceDE/>
                    <w:autoSpaceDN/>
                    <w:bidi w:val="0"/>
                    <w:spacing w:line="240" w:lineRule="auto"/>
                    <w:ind w:left="0" w:right="0" w:firstLine="0"/>
                    <w:textAlignment w:val="auto"/>
                    <w:rPr>
                      <w:color w:val="auto"/>
                      <w:sz w:val="21"/>
                      <w:highlight w:val="none"/>
                    </w:rPr>
                  </w:pPr>
                </w:p>
              </w:tc>
              <w:tc>
                <w:tcPr>
                  <w:tcW w:w="598" w:type="pct"/>
                  <w:vMerge w:val="continue"/>
                  <w:noWrap w:val="0"/>
                  <w:vAlign w:val="center"/>
                </w:tcPr>
                <w:p w14:paraId="34F67042">
                  <w:pPr>
                    <w:pStyle w:val="62"/>
                    <w:keepNext w:val="0"/>
                    <w:keepLines w:val="0"/>
                    <w:pageBreakBefore w:val="0"/>
                    <w:kinsoku/>
                    <w:wordWrap/>
                    <w:overflowPunct/>
                    <w:topLinePunct w:val="0"/>
                    <w:autoSpaceDE/>
                    <w:autoSpaceDN/>
                    <w:bidi w:val="0"/>
                    <w:spacing w:line="240" w:lineRule="auto"/>
                    <w:ind w:left="0" w:right="0" w:firstLine="0"/>
                    <w:textAlignment w:val="auto"/>
                    <w:rPr>
                      <w:color w:val="auto"/>
                      <w:sz w:val="21"/>
                      <w:highlight w:val="none"/>
                    </w:rPr>
                  </w:pPr>
                </w:p>
              </w:tc>
              <w:tc>
                <w:tcPr>
                  <w:tcW w:w="552" w:type="pct"/>
                  <w:noWrap w:val="0"/>
                  <w:vAlign w:val="center"/>
                </w:tcPr>
                <w:p w14:paraId="5A21463E">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CODcr</w:t>
                  </w:r>
                </w:p>
              </w:tc>
              <w:tc>
                <w:tcPr>
                  <w:tcW w:w="598" w:type="pct"/>
                  <w:noWrap w:val="0"/>
                  <w:vAlign w:val="center"/>
                </w:tcPr>
                <w:p w14:paraId="20135801">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hint="default" w:ascii="Times New Roman" w:eastAsia="宋体"/>
                      <w:color w:val="auto"/>
                      <w:sz w:val="21"/>
                      <w:highlight w:val="none"/>
                      <w:lang w:val="en-US" w:eastAsia="zh-CN"/>
                    </w:rPr>
                  </w:pPr>
                  <w:r>
                    <w:rPr>
                      <w:rFonts w:hint="eastAsia" w:ascii="Times New Roman"/>
                      <w:color w:val="auto"/>
                      <w:sz w:val="21"/>
                      <w:highlight w:val="none"/>
                      <w:lang w:val="en-US" w:eastAsia="zh-CN"/>
                    </w:rPr>
                    <w:t>0</w:t>
                  </w:r>
                </w:p>
              </w:tc>
              <w:tc>
                <w:tcPr>
                  <w:tcW w:w="704" w:type="pct"/>
                  <w:noWrap w:val="0"/>
                  <w:vAlign w:val="center"/>
                </w:tcPr>
                <w:p w14:paraId="7091C0DD">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679" w:type="pct"/>
                  <w:noWrap w:val="0"/>
                  <w:vAlign w:val="center"/>
                </w:tcPr>
                <w:p w14:paraId="6EE11968">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803" w:type="pct"/>
                  <w:noWrap w:val="0"/>
                  <w:vAlign w:val="center"/>
                </w:tcPr>
                <w:p w14:paraId="223FC3F1">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780" w:type="pct"/>
                  <w:noWrap w:val="0"/>
                  <w:vAlign w:val="center"/>
                </w:tcPr>
                <w:p w14:paraId="486BC211">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0</w:t>
                  </w:r>
                </w:p>
              </w:tc>
            </w:tr>
            <w:tr w14:paraId="7F608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0" w:type="pct"/>
                  <w:vMerge w:val="continue"/>
                  <w:noWrap w:val="0"/>
                  <w:vAlign w:val="center"/>
                </w:tcPr>
                <w:p w14:paraId="7FB1B06B">
                  <w:pPr>
                    <w:pStyle w:val="62"/>
                    <w:keepNext w:val="0"/>
                    <w:keepLines w:val="0"/>
                    <w:pageBreakBefore w:val="0"/>
                    <w:kinsoku/>
                    <w:wordWrap/>
                    <w:overflowPunct/>
                    <w:topLinePunct w:val="0"/>
                    <w:autoSpaceDE/>
                    <w:autoSpaceDN/>
                    <w:bidi w:val="0"/>
                    <w:spacing w:line="240" w:lineRule="auto"/>
                    <w:ind w:left="0" w:right="0" w:firstLine="0"/>
                    <w:textAlignment w:val="auto"/>
                    <w:rPr>
                      <w:color w:val="auto"/>
                      <w:sz w:val="21"/>
                      <w:highlight w:val="none"/>
                    </w:rPr>
                  </w:pPr>
                </w:p>
              </w:tc>
              <w:tc>
                <w:tcPr>
                  <w:tcW w:w="598" w:type="pct"/>
                  <w:vMerge w:val="continue"/>
                  <w:noWrap w:val="0"/>
                  <w:vAlign w:val="center"/>
                </w:tcPr>
                <w:p w14:paraId="53A6F317">
                  <w:pPr>
                    <w:pStyle w:val="62"/>
                    <w:keepNext w:val="0"/>
                    <w:keepLines w:val="0"/>
                    <w:pageBreakBefore w:val="0"/>
                    <w:kinsoku/>
                    <w:wordWrap/>
                    <w:overflowPunct/>
                    <w:topLinePunct w:val="0"/>
                    <w:autoSpaceDE/>
                    <w:autoSpaceDN/>
                    <w:bidi w:val="0"/>
                    <w:spacing w:line="240" w:lineRule="auto"/>
                    <w:ind w:left="0" w:right="0" w:firstLine="0"/>
                    <w:textAlignment w:val="auto"/>
                    <w:rPr>
                      <w:color w:val="auto"/>
                      <w:sz w:val="21"/>
                      <w:highlight w:val="none"/>
                    </w:rPr>
                  </w:pPr>
                </w:p>
              </w:tc>
              <w:tc>
                <w:tcPr>
                  <w:tcW w:w="552" w:type="pct"/>
                  <w:noWrap w:val="0"/>
                  <w:vAlign w:val="center"/>
                </w:tcPr>
                <w:p w14:paraId="2BB44E7E">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hint="default" w:ascii="Times New Roman" w:eastAsia="宋体"/>
                      <w:color w:val="auto"/>
                      <w:sz w:val="21"/>
                      <w:highlight w:val="none"/>
                      <w:lang w:val="en-US" w:eastAsia="zh-CN"/>
                    </w:rPr>
                  </w:pPr>
                  <w:r>
                    <w:rPr>
                      <w:rFonts w:hint="eastAsia" w:ascii="Times New Roman"/>
                      <w:color w:val="auto"/>
                      <w:sz w:val="21"/>
                      <w:highlight w:val="none"/>
                      <w:lang w:val="en-US" w:eastAsia="zh-CN"/>
                    </w:rPr>
                    <w:t>BOD</w:t>
                  </w:r>
                  <w:r>
                    <w:rPr>
                      <w:rFonts w:hint="eastAsia" w:ascii="Times New Roman"/>
                      <w:color w:val="auto"/>
                      <w:sz w:val="21"/>
                      <w:highlight w:val="none"/>
                      <w:vertAlign w:val="subscript"/>
                      <w:lang w:val="en-US" w:eastAsia="zh-CN"/>
                    </w:rPr>
                    <w:t>5</w:t>
                  </w:r>
                </w:p>
              </w:tc>
              <w:tc>
                <w:tcPr>
                  <w:tcW w:w="598" w:type="pct"/>
                  <w:noWrap w:val="0"/>
                  <w:vAlign w:val="center"/>
                </w:tcPr>
                <w:p w14:paraId="1A5683AA">
                  <w:pPr>
                    <w:keepNext w:val="0"/>
                    <w:keepLines w:val="0"/>
                    <w:pageBreakBefore w:val="0"/>
                    <w:kinsoku/>
                    <w:wordWrap/>
                    <w:overflowPunct/>
                    <w:topLinePunct w:val="0"/>
                    <w:autoSpaceDE/>
                    <w:autoSpaceDN/>
                    <w:bidi w:val="0"/>
                    <w:spacing w:line="240" w:lineRule="auto"/>
                    <w:ind w:left="0" w:right="0" w:firstLine="0"/>
                    <w:jc w:val="center"/>
                    <w:textAlignment w:val="auto"/>
                    <w:rPr>
                      <w:rFonts w:hint="default" w:ascii="Times New Roman" w:eastAsia="宋体"/>
                      <w:color w:val="auto"/>
                      <w:sz w:val="21"/>
                      <w:highlight w:val="none"/>
                      <w:lang w:val="en-US" w:eastAsia="zh-CN"/>
                    </w:rPr>
                  </w:pPr>
                  <w:r>
                    <w:rPr>
                      <w:rFonts w:hint="eastAsia" w:ascii="Times New Roman"/>
                      <w:color w:val="auto"/>
                      <w:sz w:val="21"/>
                      <w:highlight w:val="none"/>
                      <w:lang w:val="en-US" w:eastAsia="zh-CN"/>
                    </w:rPr>
                    <w:t>0</w:t>
                  </w:r>
                </w:p>
              </w:tc>
              <w:tc>
                <w:tcPr>
                  <w:tcW w:w="704" w:type="pct"/>
                  <w:noWrap w:val="0"/>
                  <w:vAlign w:val="center"/>
                </w:tcPr>
                <w:p w14:paraId="6A92DA09">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eastAsia" w:ascii="Times New Roman"/>
                      <w:color w:val="auto"/>
                      <w:sz w:val="21"/>
                      <w:highlight w:val="none"/>
                      <w:lang w:val="en-US" w:eastAsia="zh-CN"/>
                    </w:rPr>
                  </w:pPr>
                  <w:r>
                    <w:rPr>
                      <w:rFonts w:hint="eastAsia" w:ascii="Times New Roman"/>
                      <w:color w:val="auto"/>
                      <w:sz w:val="21"/>
                      <w:highlight w:val="none"/>
                      <w:lang w:val="en-US" w:eastAsia="zh-CN"/>
                    </w:rPr>
                    <w:t>0</w:t>
                  </w:r>
                </w:p>
              </w:tc>
              <w:tc>
                <w:tcPr>
                  <w:tcW w:w="679" w:type="pct"/>
                  <w:noWrap w:val="0"/>
                  <w:vAlign w:val="center"/>
                </w:tcPr>
                <w:p w14:paraId="2420E88C">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eastAsia" w:ascii="Times New Roman" w:eastAsia="宋体"/>
                      <w:color w:val="auto"/>
                      <w:sz w:val="21"/>
                      <w:highlight w:val="none"/>
                      <w:lang w:val="en-US" w:eastAsia="zh-CN"/>
                    </w:rPr>
                  </w:pPr>
                  <w:r>
                    <w:rPr>
                      <w:rFonts w:hint="eastAsia" w:ascii="Times New Roman"/>
                      <w:color w:val="auto"/>
                      <w:sz w:val="21"/>
                      <w:highlight w:val="none"/>
                      <w:lang w:val="en-US" w:eastAsia="zh-CN"/>
                    </w:rPr>
                    <w:t>0</w:t>
                  </w:r>
                </w:p>
              </w:tc>
              <w:tc>
                <w:tcPr>
                  <w:tcW w:w="803" w:type="pct"/>
                  <w:noWrap w:val="0"/>
                  <w:vAlign w:val="center"/>
                </w:tcPr>
                <w:p w14:paraId="02BFD219">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eastAsia" w:ascii="Times New Roman"/>
                      <w:color w:val="auto"/>
                      <w:sz w:val="21"/>
                      <w:highlight w:val="none"/>
                      <w:lang w:val="en-US" w:eastAsia="zh-CN"/>
                    </w:rPr>
                  </w:pPr>
                  <w:r>
                    <w:rPr>
                      <w:rFonts w:hint="eastAsia" w:ascii="Times New Roman"/>
                      <w:color w:val="auto"/>
                      <w:sz w:val="21"/>
                      <w:highlight w:val="none"/>
                      <w:lang w:val="en-US" w:eastAsia="zh-CN"/>
                    </w:rPr>
                    <w:t>0</w:t>
                  </w:r>
                </w:p>
              </w:tc>
              <w:tc>
                <w:tcPr>
                  <w:tcW w:w="780" w:type="pct"/>
                  <w:noWrap w:val="0"/>
                  <w:vAlign w:val="center"/>
                </w:tcPr>
                <w:p w14:paraId="40C21B4E">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hint="eastAsia" w:ascii="Times New Roman" w:eastAsia="宋体"/>
                      <w:color w:val="auto"/>
                      <w:sz w:val="21"/>
                      <w:highlight w:val="none"/>
                      <w:lang w:val="en-US" w:eastAsia="zh-CN"/>
                    </w:rPr>
                  </w:pPr>
                  <w:r>
                    <w:rPr>
                      <w:rFonts w:hint="eastAsia" w:ascii="Times New Roman"/>
                      <w:color w:val="auto"/>
                      <w:sz w:val="21"/>
                      <w:highlight w:val="none"/>
                      <w:lang w:val="en-US" w:eastAsia="zh-CN"/>
                    </w:rPr>
                    <w:t>0</w:t>
                  </w:r>
                </w:p>
              </w:tc>
            </w:tr>
            <w:tr w14:paraId="2B585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0" w:type="pct"/>
                  <w:vMerge w:val="continue"/>
                  <w:noWrap w:val="0"/>
                  <w:vAlign w:val="center"/>
                </w:tcPr>
                <w:p w14:paraId="499E9494">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598" w:type="pct"/>
                  <w:vMerge w:val="continue"/>
                  <w:noWrap w:val="0"/>
                  <w:vAlign w:val="center"/>
                </w:tcPr>
                <w:p w14:paraId="795E82B1">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552" w:type="pct"/>
                  <w:noWrap w:val="0"/>
                  <w:vAlign w:val="center"/>
                </w:tcPr>
                <w:p w14:paraId="54466C56">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SS</w:t>
                  </w:r>
                </w:p>
              </w:tc>
              <w:tc>
                <w:tcPr>
                  <w:tcW w:w="598" w:type="pct"/>
                  <w:noWrap w:val="0"/>
                  <w:vAlign w:val="center"/>
                </w:tcPr>
                <w:p w14:paraId="5DCD667D">
                  <w:pPr>
                    <w:keepNext w:val="0"/>
                    <w:keepLines w:val="0"/>
                    <w:pageBreakBefore w:val="0"/>
                    <w:kinsoku/>
                    <w:wordWrap/>
                    <w:overflowPunct/>
                    <w:topLinePunct w:val="0"/>
                    <w:autoSpaceDE/>
                    <w:autoSpaceDN/>
                    <w:bidi w:val="0"/>
                    <w:spacing w:line="240" w:lineRule="auto"/>
                    <w:ind w:left="0" w:right="0" w:firstLine="0"/>
                    <w:jc w:val="center"/>
                    <w:textAlignment w:val="auto"/>
                    <w:rPr>
                      <w:rFonts w:hint="default" w:ascii="Times New Roman" w:eastAsia="宋体"/>
                      <w:color w:val="auto"/>
                      <w:sz w:val="21"/>
                      <w:highlight w:val="none"/>
                      <w:lang w:val="en-US" w:eastAsia="zh-CN"/>
                    </w:rPr>
                  </w:pPr>
                  <w:r>
                    <w:rPr>
                      <w:rFonts w:hint="eastAsia" w:ascii="Times New Roman"/>
                      <w:color w:val="auto"/>
                      <w:sz w:val="21"/>
                      <w:highlight w:val="none"/>
                      <w:lang w:val="en-US" w:eastAsia="zh-CN"/>
                    </w:rPr>
                    <w:t>0</w:t>
                  </w:r>
                </w:p>
              </w:tc>
              <w:tc>
                <w:tcPr>
                  <w:tcW w:w="704" w:type="pct"/>
                  <w:noWrap w:val="0"/>
                  <w:vAlign w:val="center"/>
                </w:tcPr>
                <w:p w14:paraId="057D27E0">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679" w:type="pct"/>
                  <w:noWrap w:val="0"/>
                  <w:vAlign w:val="center"/>
                </w:tcPr>
                <w:p w14:paraId="4125FCEA">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803" w:type="pct"/>
                  <w:noWrap w:val="0"/>
                  <w:vAlign w:val="center"/>
                </w:tcPr>
                <w:p w14:paraId="1EB9F184">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780" w:type="pct"/>
                  <w:noWrap w:val="0"/>
                  <w:vAlign w:val="center"/>
                </w:tcPr>
                <w:p w14:paraId="2BA8DEB3">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0</w:t>
                  </w:r>
                </w:p>
              </w:tc>
            </w:tr>
            <w:tr w14:paraId="79493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280" w:type="pct"/>
                  <w:vMerge w:val="continue"/>
                  <w:noWrap w:val="0"/>
                  <w:vAlign w:val="center"/>
                </w:tcPr>
                <w:p w14:paraId="1F6BD95B">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598" w:type="pct"/>
                  <w:vMerge w:val="continue"/>
                  <w:noWrap w:val="0"/>
                  <w:vAlign w:val="center"/>
                </w:tcPr>
                <w:p w14:paraId="5D6DC89B">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552" w:type="pct"/>
                  <w:noWrap w:val="0"/>
                  <w:vAlign w:val="center"/>
                </w:tcPr>
                <w:p w14:paraId="2E6DAE5F">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TN</w:t>
                  </w:r>
                </w:p>
              </w:tc>
              <w:tc>
                <w:tcPr>
                  <w:tcW w:w="598" w:type="pct"/>
                  <w:noWrap w:val="0"/>
                  <w:vAlign w:val="center"/>
                </w:tcPr>
                <w:p w14:paraId="2016FE05">
                  <w:pPr>
                    <w:keepNext w:val="0"/>
                    <w:keepLines w:val="0"/>
                    <w:pageBreakBefore w:val="0"/>
                    <w:kinsoku/>
                    <w:wordWrap/>
                    <w:overflowPunct/>
                    <w:topLinePunct w:val="0"/>
                    <w:autoSpaceDE/>
                    <w:autoSpaceDN/>
                    <w:bidi w:val="0"/>
                    <w:spacing w:line="240" w:lineRule="auto"/>
                    <w:ind w:left="0" w:right="0" w:firstLine="0"/>
                    <w:jc w:val="center"/>
                    <w:textAlignment w:val="auto"/>
                    <w:rPr>
                      <w:rFonts w:hint="default" w:ascii="Times New Roman" w:eastAsia="宋体"/>
                      <w:color w:val="auto"/>
                      <w:sz w:val="21"/>
                      <w:highlight w:val="none"/>
                      <w:lang w:val="en-US" w:eastAsia="zh-CN"/>
                    </w:rPr>
                  </w:pPr>
                  <w:r>
                    <w:rPr>
                      <w:rFonts w:hint="eastAsia" w:ascii="Times New Roman"/>
                      <w:color w:val="auto"/>
                      <w:sz w:val="21"/>
                      <w:highlight w:val="none"/>
                      <w:lang w:val="en-US" w:eastAsia="zh-CN"/>
                    </w:rPr>
                    <w:t>0</w:t>
                  </w:r>
                </w:p>
              </w:tc>
              <w:tc>
                <w:tcPr>
                  <w:tcW w:w="704" w:type="pct"/>
                  <w:noWrap w:val="0"/>
                  <w:vAlign w:val="center"/>
                </w:tcPr>
                <w:p w14:paraId="3C42BA5A">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679" w:type="pct"/>
                  <w:noWrap w:val="0"/>
                  <w:vAlign w:val="center"/>
                </w:tcPr>
                <w:p w14:paraId="1DB9DE0D">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803" w:type="pct"/>
                  <w:noWrap w:val="0"/>
                  <w:vAlign w:val="center"/>
                </w:tcPr>
                <w:p w14:paraId="0C97AD04">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780" w:type="pct"/>
                  <w:noWrap w:val="0"/>
                  <w:vAlign w:val="center"/>
                </w:tcPr>
                <w:p w14:paraId="0B4427ED">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0</w:t>
                  </w:r>
                </w:p>
              </w:tc>
            </w:tr>
            <w:tr w14:paraId="4901D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0" w:type="pct"/>
                  <w:vMerge w:val="continue"/>
                  <w:noWrap w:val="0"/>
                  <w:vAlign w:val="center"/>
                </w:tcPr>
                <w:p w14:paraId="09618046">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598" w:type="pct"/>
                  <w:vMerge w:val="continue"/>
                  <w:noWrap w:val="0"/>
                  <w:vAlign w:val="center"/>
                </w:tcPr>
                <w:p w14:paraId="775F83E5">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552" w:type="pct"/>
                  <w:noWrap w:val="0"/>
                  <w:vAlign w:val="center"/>
                </w:tcPr>
                <w:p w14:paraId="6B82A093">
                  <w:pPr>
                    <w:pStyle w:val="62"/>
                    <w:keepNext w:val="0"/>
                    <w:keepLines w:val="0"/>
                    <w:pageBreakBefore w:val="0"/>
                    <w:kinsoku/>
                    <w:wordWrap/>
                    <w:overflowPunct/>
                    <w:topLinePunct w:val="0"/>
                    <w:autoSpaceDE/>
                    <w:autoSpaceDN/>
                    <w:bidi w:val="0"/>
                    <w:spacing w:line="240" w:lineRule="auto"/>
                    <w:ind w:left="0" w:right="0" w:firstLine="0"/>
                    <w:jc w:val="center"/>
                    <w:textAlignment w:val="auto"/>
                    <w:rPr>
                      <w:color w:val="auto"/>
                      <w:sz w:val="21"/>
                      <w:highlight w:val="none"/>
                    </w:rPr>
                  </w:pPr>
                  <w:r>
                    <w:rPr>
                      <w:color w:val="auto"/>
                      <w:sz w:val="21"/>
                      <w:highlight w:val="none"/>
                    </w:rPr>
                    <w:t>氨氮</w:t>
                  </w:r>
                </w:p>
              </w:tc>
              <w:tc>
                <w:tcPr>
                  <w:tcW w:w="598" w:type="pct"/>
                  <w:noWrap w:val="0"/>
                  <w:vAlign w:val="center"/>
                </w:tcPr>
                <w:p w14:paraId="02210924">
                  <w:pPr>
                    <w:keepNext w:val="0"/>
                    <w:keepLines w:val="0"/>
                    <w:pageBreakBefore w:val="0"/>
                    <w:kinsoku/>
                    <w:wordWrap/>
                    <w:overflowPunct/>
                    <w:topLinePunct w:val="0"/>
                    <w:autoSpaceDE/>
                    <w:autoSpaceDN/>
                    <w:bidi w:val="0"/>
                    <w:spacing w:line="240" w:lineRule="auto"/>
                    <w:ind w:left="0" w:right="0" w:firstLine="0"/>
                    <w:jc w:val="center"/>
                    <w:textAlignment w:val="auto"/>
                    <w:rPr>
                      <w:rFonts w:hint="default" w:ascii="Times New Roman" w:eastAsia="宋体"/>
                      <w:color w:val="auto"/>
                      <w:sz w:val="21"/>
                      <w:highlight w:val="none"/>
                      <w:lang w:val="en-US" w:eastAsia="zh-CN"/>
                    </w:rPr>
                  </w:pPr>
                  <w:r>
                    <w:rPr>
                      <w:rFonts w:hint="eastAsia" w:ascii="Times New Roman"/>
                      <w:color w:val="auto"/>
                      <w:sz w:val="21"/>
                      <w:highlight w:val="none"/>
                      <w:lang w:val="en-US" w:eastAsia="zh-CN"/>
                    </w:rPr>
                    <w:t>0</w:t>
                  </w:r>
                </w:p>
              </w:tc>
              <w:tc>
                <w:tcPr>
                  <w:tcW w:w="704" w:type="pct"/>
                  <w:noWrap w:val="0"/>
                  <w:vAlign w:val="center"/>
                </w:tcPr>
                <w:p w14:paraId="03840609">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679" w:type="pct"/>
                  <w:noWrap w:val="0"/>
                  <w:vAlign w:val="center"/>
                </w:tcPr>
                <w:p w14:paraId="0E14A79B">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803" w:type="pct"/>
                  <w:noWrap w:val="0"/>
                  <w:vAlign w:val="center"/>
                </w:tcPr>
                <w:p w14:paraId="63E35356">
                  <w:pPr>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ascii="Times New Roman"/>
                      <w:color w:val="auto"/>
                      <w:sz w:val="21"/>
                      <w:highlight w:val="none"/>
                    </w:rPr>
                  </w:pPr>
                  <w:r>
                    <w:rPr>
                      <w:rFonts w:hint="eastAsia" w:ascii="Times New Roman"/>
                      <w:color w:val="auto"/>
                      <w:sz w:val="21"/>
                      <w:highlight w:val="none"/>
                      <w:lang w:val="en-US" w:eastAsia="zh-CN"/>
                    </w:rPr>
                    <w:t>0</w:t>
                  </w:r>
                </w:p>
              </w:tc>
              <w:tc>
                <w:tcPr>
                  <w:tcW w:w="780" w:type="pct"/>
                  <w:noWrap w:val="0"/>
                  <w:vAlign w:val="center"/>
                </w:tcPr>
                <w:p w14:paraId="02E1D211">
                  <w:pPr>
                    <w:pStyle w:val="62"/>
                    <w:keepNext w:val="0"/>
                    <w:keepLines w:val="0"/>
                    <w:pageBreakBefore w:val="0"/>
                    <w:kinsoku/>
                    <w:wordWrap/>
                    <w:overflowPunct/>
                    <w:topLinePunct w:val="0"/>
                    <w:autoSpaceDE/>
                    <w:autoSpaceDN/>
                    <w:bidi w:val="0"/>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0</w:t>
                  </w:r>
                </w:p>
              </w:tc>
            </w:tr>
            <w:tr w14:paraId="7A02E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80" w:type="pct"/>
                  <w:vMerge w:val="restart"/>
                  <w:noWrap w:val="0"/>
                  <w:vAlign w:val="center"/>
                </w:tcPr>
                <w:p w14:paraId="7AA07044">
                  <w:pPr>
                    <w:pStyle w:val="62"/>
                    <w:keepNext w:val="0"/>
                    <w:keepLines w:val="0"/>
                    <w:pageBreakBefore w:val="0"/>
                    <w:kinsoku/>
                    <w:wordWrap/>
                    <w:overflowPunct/>
                    <w:topLinePunct w:val="0"/>
                    <w:autoSpaceDE/>
                    <w:autoSpaceDN/>
                    <w:bidi w:val="0"/>
                    <w:spacing w:line="240" w:lineRule="auto"/>
                    <w:ind w:left="0" w:right="0" w:firstLine="0"/>
                    <w:textAlignment w:val="auto"/>
                    <w:rPr>
                      <w:color w:val="auto"/>
                      <w:sz w:val="21"/>
                      <w:highlight w:val="none"/>
                    </w:rPr>
                  </w:pPr>
                  <w:r>
                    <w:rPr>
                      <w:color w:val="auto"/>
                      <w:sz w:val="21"/>
                      <w:highlight w:val="none"/>
                    </w:rPr>
                    <w:t>固废</w:t>
                  </w:r>
                </w:p>
              </w:tc>
              <w:tc>
                <w:tcPr>
                  <w:tcW w:w="1151" w:type="pct"/>
                  <w:gridSpan w:val="2"/>
                  <w:noWrap w:val="0"/>
                  <w:vAlign w:val="center"/>
                </w:tcPr>
                <w:p w14:paraId="276E53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auto"/>
                      <w:kern w:val="2"/>
                      <w:sz w:val="21"/>
                      <w:szCs w:val="24"/>
                      <w:highlight w:val="none"/>
                      <w:lang w:val="zh-CN" w:eastAsia="zh-CN" w:bidi="zh-CN"/>
                    </w:rPr>
                  </w:pPr>
                  <w:r>
                    <w:rPr>
                      <w:rFonts w:hint="eastAsia" w:cs="Times New Roman"/>
                      <w:color w:val="auto"/>
                      <w:sz w:val="21"/>
                      <w:szCs w:val="21"/>
                      <w:highlight w:val="none"/>
                      <w:lang w:val="en-US" w:eastAsia="zh-CN"/>
                    </w:rPr>
                    <w:t>浓缩液</w:t>
                  </w:r>
                </w:p>
              </w:tc>
              <w:tc>
                <w:tcPr>
                  <w:tcW w:w="598" w:type="pct"/>
                  <w:noWrap w:val="0"/>
                  <w:vAlign w:val="center"/>
                </w:tcPr>
                <w:p w14:paraId="12C4A3F2">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Times New Roman" w:eastAsia="宋体" w:cs="Times New Roman"/>
                      <w:color w:val="auto"/>
                      <w:kern w:val="2"/>
                      <w:sz w:val="21"/>
                      <w:szCs w:val="24"/>
                      <w:highlight w:val="none"/>
                      <w:lang w:val="en-US" w:eastAsia="zh-CN" w:bidi="zh-CN"/>
                    </w:rPr>
                  </w:pPr>
                  <w:r>
                    <w:rPr>
                      <w:rFonts w:hint="eastAsia" w:ascii="Times New Roman" w:hAnsi="Times New Roman" w:cs="Times New Roman"/>
                      <w:color w:val="auto"/>
                      <w:kern w:val="2"/>
                      <w:sz w:val="21"/>
                      <w:szCs w:val="24"/>
                      <w:highlight w:val="none"/>
                      <w:lang w:val="en-US" w:eastAsia="zh-CN" w:bidi="zh-CN"/>
                    </w:rPr>
                    <w:t>18250</w:t>
                  </w:r>
                </w:p>
              </w:tc>
              <w:tc>
                <w:tcPr>
                  <w:tcW w:w="704" w:type="pct"/>
                  <w:noWrap w:val="0"/>
                  <w:vAlign w:val="center"/>
                </w:tcPr>
                <w:p w14:paraId="6F6C72C4">
                  <w:pPr>
                    <w:keepNext w:val="0"/>
                    <w:keepLines w:val="0"/>
                    <w:pageBreakBefore w:val="0"/>
                    <w:kinsoku/>
                    <w:wordWrap/>
                    <w:overflowPunct/>
                    <w:topLinePunct w:val="0"/>
                    <w:autoSpaceDE/>
                    <w:autoSpaceDN/>
                    <w:bidi w:val="0"/>
                    <w:adjustRightInd w:val="0"/>
                    <w:snapToGrid w:val="0"/>
                    <w:spacing w:line="240" w:lineRule="auto"/>
                    <w:ind w:left="0" w:right="0" w:rightChars="0" w:firstLine="0"/>
                    <w:jc w:val="center"/>
                    <w:textAlignment w:val="auto"/>
                    <w:rPr>
                      <w:rFonts w:hint="default" w:ascii="Times New Roman" w:hAnsi="Times New Roman" w:eastAsia="宋体" w:cs="Times New Roman"/>
                      <w:color w:val="auto"/>
                      <w:kern w:val="2"/>
                      <w:sz w:val="21"/>
                      <w:szCs w:val="24"/>
                      <w:highlight w:val="none"/>
                      <w:lang w:val="en-US" w:eastAsia="zh-CN" w:bidi="zh-CN"/>
                    </w:rPr>
                  </w:pPr>
                  <w:r>
                    <w:rPr>
                      <w:rFonts w:hint="eastAsia" w:cs="Times New Roman"/>
                      <w:color w:val="auto"/>
                      <w:kern w:val="2"/>
                      <w:sz w:val="21"/>
                      <w:szCs w:val="24"/>
                      <w:highlight w:val="none"/>
                      <w:lang w:val="en-US" w:eastAsia="zh-CN" w:bidi="zh-CN"/>
                    </w:rPr>
                    <w:t>0</w:t>
                  </w:r>
                </w:p>
              </w:tc>
              <w:tc>
                <w:tcPr>
                  <w:tcW w:w="679" w:type="pct"/>
                  <w:noWrap w:val="0"/>
                  <w:vAlign w:val="center"/>
                </w:tcPr>
                <w:p w14:paraId="43BA27C0">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Times New Roman" w:eastAsia="宋体" w:cs="Times New Roman"/>
                      <w:color w:val="auto"/>
                      <w:kern w:val="2"/>
                      <w:sz w:val="21"/>
                      <w:szCs w:val="24"/>
                      <w:highlight w:val="none"/>
                      <w:lang w:val="en-US" w:eastAsia="zh-CN" w:bidi="zh-CN"/>
                    </w:rPr>
                  </w:pPr>
                  <w:r>
                    <w:rPr>
                      <w:rFonts w:hint="eastAsia" w:ascii="Times New Roman" w:hAnsi="Times New Roman" w:cs="Times New Roman"/>
                      <w:color w:val="auto"/>
                      <w:kern w:val="2"/>
                      <w:sz w:val="21"/>
                      <w:szCs w:val="24"/>
                      <w:highlight w:val="none"/>
                      <w:lang w:val="en-US" w:eastAsia="zh-CN" w:bidi="zh-CN"/>
                    </w:rPr>
                    <w:t>18250</w:t>
                  </w:r>
                </w:p>
              </w:tc>
              <w:tc>
                <w:tcPr>
                  <w:tcW w:w="803" w:type="pct"/>
                  <w:noWrap w:val="0"/>
                  <w:vAlign w:val="center"/>
                </w:tcPr>
                <w:p w14:paraId="533DA086">
                  <w:pPr>
                    <w:keepNext w:val="0"/>
                    <w:keepLines w:val="0"/>
                    <w:pageBreakBefore w:val="0"/>
                    <w:kinsoku/>
                    <w:wordWrap/>
                    <w:overflowPunct/>
                    <w:topLinePunct w:val="0"/>
                    <w:autoSpaceDE/>
                    <w:autoSpaceDN/>
                    <w:bidi w:val="0"/>
                    <w:adjustRightInd w:val="0"/>
                    <w:snapToGrid w:val="0"/>
                    <w:spacing w:line="240" w:lineRule="auto"/>
                    <w:ind w:left="0" w:right="0" w:rightChars="0" w:firstLine="0"/>
                    <w:jc w:val="center"/>
                    <w:textAlignment w:val="auto"/>
                    <w:rPr>
                      <w:rFonts w:hint="default" w:ascii="Times New Roman" w:hAnsi="Times New Roman" w:eastAsia="宋体" w:cs="Times New Roman"/>
                      <w:color w:val="auto"/>
                      <w:kern w:val="2"/>
                      <w:sz w:val="21"/>
                      <w:szCs w:val="24"/>
                      <w:highlight w:val="none"/>
                      <w:lang w:val="en-US" w:eastAsia="zh-CN" w:bidi="zh-CN"/>
                    </w:rPr>
                  </w:pPr>
                  <w:r>
                    <w:rPr>
                      <w:rFonts w:hint="eastAsia" w:cs="Times New Roman"/>
                      <w:color w:val="auto"/>
                      <w:kern w:val="2"/>
                      <w:sz w:val="21"/>
                      <w:szCs w:val="24"/>
                      <w:highlight w:val="none"/>
                      <w:lang w:val="en-US" w:eastAsia="zh-CN" w:bidi="zh-CN"/>
                    </w:rPr>
                    <w:t>0</w:t>
                  </w:r>
                </w:p>
              </w:tc>
              <w:tc>
                <w:tcPr>
                  <w:tcW w:w="780" w:type="pct"/>
                  <w:noWrap w:val="0"/>
                  <w:vAlign w:val="center"/>
                </w:tcPr>
                <w:p w14:paraId="30424FA2">
                  <w:pPr>
                    <w:pStyle w:val="62"/>
                    <w:keepNext w:val="0"/>
                    <w:keepLines w:val="0"/>
                    <w:pageBreakBefore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4"/>
                      <w:highlight w:val="none"/>
                      <w:lang w:val="en-US" w:eastAsia="zh-CN" w:bidi="zh-CN"/>
                    </w:rPr>
                  </w:pPr>
                  <w:r>
                    <w:rPr>
                      <w:rFonts w:hint="eastAsia" w:ascii="Times New Roman" w:hAnsi="Times New Roman" w:cs="Times New Roman"/>
                      <w:color w:val="auto"/>
                      <w:kern w:val="2"/>
                      <w:sz w:val="21"/>
                      <w:szCs w:val="24"/>
                      <w:highlight w:val="none"/>
                      <w:lang w:val="en-US" w:eastAsia="zh-CN" w:bidi="zh-CN"/>
                    </w:rPr>
                    <w:t>-18250</w:t>
                  </w:r>
                </w:p>
              </w:tc>
            </w:tr>
            <w:tr w14:paraId="0DAE9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280" w:type="pct"/>
                  <w:vMerge w:val="continue"/>
                  <w:noWrap w:val="0"/>
                  <w:vAlign w:val="center"/>
                </w:tcPr>
                <w:p w14:paraId="46A4BB5F">
                  <w:pPr>
                    <w:pStyle w:val="62"/>
                    <w:keepNext w:val="0"/>
                    <w:keepLines w:val="0"/>
                    <w:pageBreakBefore w:val="0"/>
                    <w:kinsoku/>
                    <w:wordWrap/>
                    <w:overflowPunct/>
                    <w:topLinePunct w:val="0"/>
                    <w:autoSpaceDE/>
                    <w:autoSpaceDN/>
                    <w:bidi w:val="0"/>
                    <w:spacing w:line="240" w:lineRule="auto"/>
                    <w:ind w:left="0" w:right="0" w:firstLine="0"/>
                    <w:textAlignment w:val="auto"/>
                    <w:rPr>
                      <w:color w:val="auto"/>
                      <w:sz w:val="21"/>
                      <w:highlight w:val="none"/>
                    </w:rPr>
                  </w:pPr>
                </w:p>
              </w:tc>
              <w:tc>
                <w:tcPr>
                  <w:tcW w:w="1151" w:type="pct"/>
                  <w:gridSpan w:val="2"/>
                  <w:shd w:val="clear" w:color="auto" w:fill="auto"/>
                  <w:noWrap w:val="0"/>
                  <w:vAlign w:val="center"/>
                </w:tcPr>
                <w:p w14:paraId="01102B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auto"/>
                      <w:kern w:val="2"/>
                      <w:sz w:val="21"/>
                      <w:szCs w:val="24"/>
                      <w:highlight w:val="none"/>
                      <w:lang w:val="zh-CN" w:eastAsia="zh-CN" w:bidi="zh-CN"/>
                    </w:rPr>
                  </w:pPr>
                  <w:r>
                    <w:rPr>
                      <w:rFonts w:hint="eastAsia" w:cs="Times New Roman"/>
                      <w:color w:val="auto"/>
                      <w:kern w:val="24"/>
                      <w:szCs w:val="21"/>
                      <w:highlight w:val="none"/>
                      <w:lang w:val="en-US" w:eastAsia="zh-CN"/>
                    </w:rPr>
                    <w:t>砂滤泥砂</w:t>
                  </w:r>
                </w:p>
              </w:tc>
              <w:tc>
                <w:tcPr>
                  <w:tcW w:w="598" w:type="pct"/>
                  <w:shd w:val="clear" w:color="auto" w:fill="auto"/>
                  <w:noWrap w:val="0"/>
                  <w:vAlign w:val="center"/>
                </w:tcPr>
                <w:p w14:paraId="57167A24">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36.5</w:t>
                  </w:r>
                </w:p>
              </w:tc>
              <w:tc>
                <w:tcPr>
                  <w:tcW w:w="704" w:type="pct"/>
                  <w:shd w:val="clear" w:color="auto" w:fill="auto"/>
                  <w:noWrap w:val="0"/>
                  <w:vAlign w:val="center"/>
                </w:tcPr>
                <w:p w14:paraId="73F00345">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eastAsia"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18.25</w:t>
                  </w:r>
                </w:p>
              </w:tc>
              <w:tc>
                <w:tcPr>
                  <w:tcW w:w="679" w:type="pct"/>
                  <w:shd w:val="clear" w:color="auto" w:fill="auto"/>
                  <w:noWrap w:val="0"/>
                  <w:vAlign w:val="center"/>
                </w:tcPr>
                <w:p w14:paraId="6E1CDF83">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18.25</w:t>
                  </w:r>
                </w:p>
              </w:tc>
              <w:tc>
                <w:tcPr>
                  <w:tcW w:w="803" w:type="pct"/>
                  <w:shd w:val="clear" w:color="auto" w:fill="auto"/>
                  <w:noWrap w:val="0"/>
                  <w:vAlign w:val="center"/>
                </w:tcPr>
                <w:p w14:paraId="7FFDC771">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18.25</w:t>
                  </w:r>
                </w:p>
              </w:tc>
              <w:tc>
                <w:tcPr>
                  <w:tcW w:w="780" w:type="pct"/>
                  <w:shd w:val="clear" w:color="auto" w:fill="auto"/>
                  <w:noWrap w:val="0"/>
                  <w:vAlign w:val="center"/>
                </w:tcPr>
                <w:p w14:paraId="2758F4C0">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-18.25</w:t>
                  </w:r>
                </w:p>
              </w:tc>
            </w:tr>
            <w:tr w14:paraId="44B75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280" w:type="pct"/>
                  <w:vMerge w:val="continue"/>
                  <w:noWrap w:val="0"/>
                  <w:vAlign w:val="center"/>
                </w:tcPr>
                <w:p w14:paraId="76CD3901">
                  <w:pPr>
                    <w:pStyle w:val="62"/>
                    <w:keepNext w:val="0"/>
                    <w:keepLines w:val="0"/>
                    <w:pageBreakBefore w:val="0"/>
                    <w:kinsoku/>
                    <w:wordWrap/>
                    <w:overflowPunct/>
                    <w:topLinePunct w:val="0"/>
                    <w:autoSpaceDE/>
                    <w:autoSpaceDN/>
                    <w:bidi w:val="0"/>
                    <w:spacing w:line="240" w:lineRule="auto"/>
                    <w:ind w:left="0" w:right="0" w:firstLine="0"/>
                    <w:textAlignment w:val="auto"/>
                    <w:rPr>
                      <w:color w:val="auto"/>
                      <w:sz w:val="21"/>
                      <w:highlight w:val="none"/>
                    </w:rPr>
                  </w:pPr>
                </w:p>
              </w:tc>
              <w:tc>
                <w:tcPr>
                  <w:tcW w:w="1151" w:type="pct"/>
                  <w:gridSpan w:val="2"/>
                  <w:shd w:val="clear" w:color="auto" w:fill="auto"/>
                  <w:noWrap w:val="0"/>
                  <w:vAlign w:val="center"/>
                </w:tcPr>
                <w:p w14:paraId="6891BEE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auto"/>
                      <w:kern w:val="2"/>
                      <w:sz w:val="21"/>
                      <w:szCs w:val="24"/>
                      <w:highlight w:val="none"/>
                      <w:lang w:val="zh-CN" w:eastAsia="zh-CN" w:bidi="zh-CN"/>
                    </w:rPr>
                  </w:pPr>
                  <w:r>
                    <w:rPr>
                      <w:rFonts w:hint="eastAsia"/>
                      <w:color w:val="auto"/>
                      <w:sz w:val="21"/>
                      <w:szCs w:val="21"/>
                      <w:highlight w:val="none"/>
                      <w:lang w:val="en-US" w:eastAsia="zh-CN"/>
                    </w:rPr>
                    <w:t>固化渣</w:t>
                  </w:r>
                </w:p>
              </w:tc>
              <w:tc>
                <w:tcPr>
                  <w:tcW w:w="598" w:type="pct"/>
                  <w:shd w:val="clear" w:color="auto" w:fill="auto"/>
                  <w:noWrap w:val="0"/>
                  <w:vAlign w:val="center"/>
                </w:tcPr>
                <w:p w14:paraId="08240F83">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w:t>
                  </w:r>
                </w:p>
              </w:tc>
              <w:tc>
                <w:tcPr>
                  <w:tcW w:w="704" w:type="pct"/>
                  <w:shd w:val="clear" w:color="auto" w:fill="auto"/>
                  <w:noWrap w:val="0"/>
                  <w:vAlign w:val="center"/>
                </w:tcPr>
                <w:p w14:paraId="7B9D5419">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4562.5</w:t>
                  </w:r>
                </w:p>
              </w:tc>
              <w:tc>
                <w:tcPr>
                  <w:tcW w:w="679" w:type="pct"/>
                  <w:shd w:val="clear" w:color="auto" w:fill="auto"/>
                  <w:noWrap w:val="0"/>
                  <w:vAlign w:val="center"/>
                </w:tcPr>
                <w:p w14:paraId="5ABB254E">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w:t>
                  </w:r>
                </w:p>
              </w:tc>
              <w:tc>
                <w:tcPr>
                  <w:tcW w:w="803" w:type="pct"/>
                  <w:shd w:val="clear" w:color="auto" w:fill="auto"/>
                  <w:noWrap w:val="0"/>
                  <w:vAlign w:val="center"/>
                </w:tcPr>
                <w:p w14:paraId="4A43C47F">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4562.5</w:t>
                  </w:r>
                </w:p>
              </w:tc>
              <w:tc>
                <w:tcPr>
                  <w:tcW w:w="780" w:type="pct"/>
                  <w:shd w:val="clear" w:color="auto" w:fill="auto"/>
                  <w:noWrap w:val="0"/>
                  <w:vAlign w:val="center"/>
                </w:tcPr>
                <w:p w14:paraId="56FB52A4">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w:t>
                  </w:r>
                  <w:r>
                    <w:rPr>
                      <w:rFonts w:hint="eastAsia" w:ascii="Times New Roman" w:cs="宋体"/>
                      <w:color w:val="auto"/>
                      <w:sz w:val="21"/>
                      <w:highlight w:val="none"/>
                      <w:lang w:val="en-US" w:eastAsia="zh-CN"/>
                    </w:rPr>
                    <w:t>4562.5</w:t>
                  </w:r>
                </w:p>
              </w:tc>
            </w:tr>
            <w:tr w14:paraId="6995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80" w:type="pct"/>
                  <w:vMerge w:val="continue"/>
                  <w:tcBorders>
                    <w:top w:val="nil"/>
                  </w:tcBorders>
                  <w:noWrap w:val="0"/>
                  <w:vAlign w:val="center"/>
                </w:tcPr>
                <w:p w14:paraId="546EB94A">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1151" w:type="pct"/>
                  <w:gridSpan w:val="2"/>
                  <w:shd w:val="clear" w:color="auto" w:fill="auto"/>
                  <w:noWrap w:val="0"/>
                  <w:vAlign w:val="center"/>
                </w:tcPr>
                <w:p w14:paraId="600DB9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szCs w:val="21"/>
                      <w:highlight w:val="none"/>
                      <w:lang w:val="en-US" w:eastAsia="zh-CN"/>
                    </w:rPr>
                    <w:t>消泡剂及阻垢剂包装桶</w:t>
                  </w:r>
                </w:p>
              </w:tc>
              <w:tc>
                <w:tcPr>
                  <w:tcW w:w="598" w:type="pct"/>
                  <w:shd w:val="clear" w:color="auto" w:fill="auto"/>
                  <w:noWrap w:val="0"/>
                  <w:vAlign w:val="center"/>
                </w:tcPr>
                <w:p w14:paraId="68CB9AA4">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0.5</w:t>
                  </w:r>
                </w:p>
              </w:tc>
              <w:tc>
                <w:tcPr>
                  <w:tcW w:w="704" w:type="pct"/>
                  <w:shd w:val="clear" w:color="auto" w:fill="auto"/>
                  <w:noWrap w:val="0"/>
                  <w:vAlign w:val="center"/>
                </w:tcPr>
                <w:p w14:paraId="49713706">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0.3</w:t>
                  </w:r>
                </w:p>
              </w:tc>
              <w:tc>
                <w:tcPr>
                  <w:tcW w:w="679" w:type="pct"/>
                  <w:shd w:val="clear" w:color="auto" w:fill="auto"/>
                  <w:noWrap w:val="0"/>
                  <w:vAlign w:val="center"/>
                </w:tcPr>
                <w:p w14:paraId="74645E70">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0.5</w:t>
                  </w:r>
                </w:p>
              </w:tc>
              <w:tc>
                <w:tcPr>
                  <w:tcW w:w="803" w:type="pct"/>
                  <w:shd w:val="clear" w:color="auto" w:fill="auto"/>
                  <w:noWrap w:val="0"/>
                  <w:vAlign w:val="center"/>
                </w:tcPr>
                <w:p w14:paraId="2AFB5865">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0.3</w:t>
                  </w:r>
                </w:p>
              </w:tc>
              <w:tc>
                <w:tcPr>
                  <w:tcW w:w="780" w:type="pct"/>
                  <w:shd w:val="clear" w:color="auto" w:fill="auto"/>
                  <w:noWrap w:val="0"/>
                  <w:vAlign w:val="center"/>
                </w:tcPr>
                <w:p w14:paraId="6EE46187">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-0.2</w:t>
                  </w:r>
                </w:p>
              </w:tc>
            </w:tr>
            <w:tr w14:paraId="35D6C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0" w:type="pct"/>
                  <w:vMerge w:val="continue"/>
                  <w:tcBorders>
                    <w:top w:val="nil"/>
                  </w:tcBorders>
                  <w:noWrap w:val="0"/>
                  <w:vAlign w:val="center"/>
                </w:tcPr>
                <w:p w14:paraId="4934D724">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1151" w:type="pct"/>
                  <w:gridSpan w:val="2"/>
                  <w:shd w:val="clear" w:color="auto" w:fill="auto"/>
                  <w:noWrap w:val="0"/>
                  <w:vAlign w:val="center"/>
                </w:tcPr>
                <w:p w14:paraId="0CDEDE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更换的反渗透膜</w:t>
                  </w:r>
                </w:p>
              </w:tc>
              <w:tc>
                <w:tcPr>
                  <w:tcW w:w="598" w:type="pct"/>
                  <w:shd w:val="clear" w:color="auto" w:fill="auto"/>
                  <w:noWrap w:val="0"/>
                  <w:vAlign w:val="center"/>
                </w:tcPr>
                <w:p w14:paraId="47E47CE2">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0.5</w:t>
                  </w:r>
                </w:p>
              </w:tc>
              <w:tc>
                <w:tcPr>
                  <w:tcW w:w="704" w:type="pct"/>
                  <w:shd w:val="clear" w:color="auto" w:fill="auto"/>
                  <w:noWrap w:val="0"/>
                  <w:vAlign w:val="center"/>
                </w:tcPr>
                <w:p w14:paraId="5EFC45F3">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0.5</w:t>
                  </w:r>
                </w:p>
              </w:tc>
              <w:tc>
                <w:tcPr>
                  <w:tcW w:w="679" w:type="pct"/>
                  <w:shd w:val="clear" w:color="auto" w:fill="auto"/>
                  <w:noWrap w:val="0"/>
                  <w:vAlign w:val="center"/>
                </w:tcPr>
                <w:p w14:paraId="0937ADE3">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0.5</w:t>
                  </w:r>
                </w:p>
              </w:tc>
              <w:tc>
                <w:tcPr>
                  <w:tcW w:w="803" w:type="pct"/>
                  <w:shd w:val="clear" w:color="auto" w:fill="auto"/>
                  <w:noWrap w:val="0"/>
                  <w:vAlign w:val="center"/>
                </w:tcPr>
                <w:p w14:paraId="275286B7">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0.5</w:t>
                  </w:r>
                </w:p>
              </w:tc>
              <w:tc>
                <w:tcPr>
                  <w:tcW w:w="780" w:type="pct"/>
                  <w:shd w:val="clear" w:color="auto" w:fill="auto"/>
                  <w:noWrap w:val="0"/>
                  <w:vAlign w:val="center"/>
                </w:tcPr>
                <w:p w14:paraId="412EAC98">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w:t>
                  </w:r>
                </w:p>
              </w:tc>
            </w:tr>
            <w:tr w14:paraId="69C97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0" w:type="pct"/>
                  <w:vMerge w:val="continue"/>
                  <w:tcBorders>
                    <w:top w:val="nil"/>
                  </w:tcBorders>
                  <w:noWrap w:val="0"/>
                  <w:vAlign w:val="center"/>
                </w:tcPr>
                <w:p w14:paraId="05AC6FF0">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1151" w:type="pct"/>
                  <w:gridSpan w:val="2"/>
                  <w:shd w:val="clear" w:color="auto" w:fill="auto"/>
                  <w:noWrap w:val="0"/>
                  <w:vAlign w:val="center"/>
                </w:tcPr>
                <w:p w14:paraId="794165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废离子交换树脂</w:t>
                  </w:r>
                </w:p>
              </w:tc>
              <w:tc>
                <w:tcPr>
                  <w:tcW w:w="598" w:type="pct"/>
                  <w:shd w:val="clear" w:color="auto" w:fill="auto"/>
                  <w:noWrap w:val="0"/>
                  <w:vAlign w:val="center"/>
                </w:tcPr>
                <w:p w14:paraId="614DC05A">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0.5</w:t>
                  </w:r>
                </w:p>
              </w:tc>
              <w:tc>
                <w:tcPr>
                  <w:tcW w:w="704" w:type="pct"/>
                  <w:shd w:val="clear" w:color="auto" w:fill="auto"/>
                  <w:noWrap w:val="0"/>
                  <w:vAlign w:val="center"/>
                </w:tcPr>
                <w:p w14:paraId="67A4BC68">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eastAsia" w:ascii="Times New Roman" w:hAnsi="宋体" w:eastAsia="宋体" w:cs="宋体"/>
                      <w:color w:val="auto"/>
                      <w:kern w:val="2"/>
                      <w:sz w:val="21"/>
                      <w:szCs w:val="24"/>
                      <w:highlight w:val="none"/>
                      <w:lang w:val="en-US" w:eastAsia="zh-CN" w:bidi="zh-CN"/>
                    </w:rPr>
                  </w:pPr>
                  <w:r>
                    <w:rPr>
                      <w:rFonts w:hint="eastAsia" w:ascii="Times New Roman" w:hAnsi="宋体" w:eastAsia="宋体" w:cs="宋体"/>
                      <w:color w:val="auto"/>
                      <w:sz w:val="21"/>
                      <w:highlight w:val="none"/>
                      <w:lang w:val="en-US" w:eastAsia="zh-CN"/>
                    </w:rPr>
                    <w:t>0.5</w:t>
                  </w:r>
                </w:p>
              </w:tc>
              <w:tc>
                <w:tcPr>
                  <w:tcW w:w="679" w:type="pct"/>
                  <w:shd w:val="clear" w:color="auto" w:fill="auto"/>
                  <w:noWrap w:val="0"/>
                  <w:vAlign w:val="center"/>
                </w:tcPr>
                <w:p w14:paraId="25ED46BE">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eastAsia" w:ascii="Times New Roman" w:hAnsi="宋体" w:eastAsia="宋体" w:cs="宋体"/>
                      <w:color w:val="auto"/>
                      <w:kern w:val="2"/>
                      <w:sz w:val="21"/>
                      <w:szCs w:val="24"/>
                      <w:highlight w:val="none"/>
                      <w:lang w:val="en-US" w:eastAsia="zh-CN" w:bidi="zh-CN"/>
                    </w:rPr>
                  </w:pPr>
                  <w:r>
                    <w:rPr>
                      <w:rFonts w:hint="eastAsia" w:ascii="Times New Roman" w:hAnsi="宋体" w:eastAsia="宋体" w:cs="宋体"/>
                      <w:color w:val="auto"/>
                      <w:sz w:val="21"/>
                      <w:highlight w:val="none"/>
                      <w:lang w:val="en-US" w:eastAsia="zh-CN"/>
                    </w:rPr>
                    <w:t>0.5</w:t>
                  </w:r>
                </w:p>
              </w:tc>
              <w:tc>
                <w:tcPr>
                  <w:tcW w:w="803" w:type="pct"/>
                  <w:shd w:val="clear" w:color="auto" w:fill="auto"/>
                  <w:noWrap w:val="0"/>
                  <w:vAlign w:val="center"/>
                </w:tcPr>
                <w:p w14:paraId="32D4274E">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eastAsia" w:ascii="Times New Roman" w:hAnsi="宋体" w:eastAsia="宋体" w:cs="宋体"/>
                      <w:color w:val="auto"/>
                      <w:kern w:val="2"/>
                      <w:sz w:val="21"/>
                      <w:szCs w:val="24"/>
                      <w:highlight w:val="none"/>
                      <w:lang w:val="en-US" w:eastAsia="zh-CN" w:bidi="zh-CN"/>
                    </w:rPr>
                  </w:pPr>
                  <w:r>
                    <w:rPr>
                      <w:rFonts w:hint="eastAsia" w:ascii="Times New Roman" w:hAnsi="宋体" w:eastAsia="宋体" w:cs="宋体"/>
                      <w:color w:val="auto"/>
                      <w:sz w:val="21"/>
                      <w:highlight w:val="none"/>
                      <w:lang w:val="en-US" w:eastAsia="zh-CN"/>
                    </w:rPr>
                    <w:t>0.5</w:t>
                  </w:r>
                </w:p>
              </w:tc>
              <w:tc>
                <w:tcPr>
                  <w:tcW w:w="780" w:type="pct"/>
                  <w:shd w:val="clear" w:color="auto" w:fill="auto"/>
                  <w:noWrap w:val="0"/>
                  <w:vAlign w:val="center"/>
                </w:tcPr>
                <w:p w14:paraId="4CA1B245">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eastAsia" w:ascii="Times New Roman" w:hAnsi="宋体" w:eastAsia="宋体" w:cs="宋体"/>
                      <w:color w:val="auto"/>
                      <w:kern w:val="2"/>
                      <w:sz w:val="21"/>
                      <w:szCs w:val="24"/>
                      <w:highlight w:val="none"/>
                      <w:lang w:val="en-US" w:eastAsia="zh-CN" w:bidi="zh-CN"/>
                    </w:rPr>
                  </w:pPr>
                  <w:r>
                    <w:rPr>
                      <w:rFonts w:hint="eastAsia" w:ascii="Times New Roman" w:hAnsi="宋体" w:eastAsia="宋体" w:cs="宋体"/>
                      <w:color w:val="auto"/>
                      <w:sz w:val="21"/>
                      <w:highlight w:val="none"/>
                      <w:lang w:val="en-US" w:eastAsia="zh-CN"/>
                    </w:rPr>
                    <w:t>0</w:t>
                  </w:r>
                </w:p>
              </w:tc>
            </w:tr>
            <w:tr w14:paraId="6CAA9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0" w:type="pct"/>
                  <w:vMerge w:val="continue"/>
                  <w:tcBorders>
                    <w:top w:val="nil"/>
                  </w:tcBorders>
                  <w:noWrap w:val="0"/>
                  <w:vAlign w:val="center"/>
                </w:tcPr>
                <w:p w14:paraId="73DEBE1D">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1151" w:type="pct"/>
                  <w:gridSpan w:val="2"/>
                  <w:shd w:val="clear" w:color="auto" w:fill="auto"/>
                  <w:noWrap w:val="0"/>
                  <w:vAlign w:val="center"/>
                </w:tcPr>
                <w:p w14:paraId="4C358B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在线监测废液</w:t>
                  </w:r>
                </w:p>
              </w:tc>
              <w:tc>
                <w:tcPr>
                  <w:tcW w:w="598" w:type="pct"/>
                  <w:shd w:val="clear" w:color="auto" w:fill="auto"/>
                  <w:noWrap w:val="0"/>
                  <w:vAlign w:val="center"/>
                </w:tcPr>
                <w:p w14:paraId="04F17C48">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w:t>
                  </w:r>
                </w:p>
              </w:tc>
              <w:tc>
                <w:tcPr>
                  <w:tcW w:w="704" w:type="pct"/>
                  <w:shd w:val="clear" w:color="auto" w:fill="auto"/>
                  <w:noWrap w:val="0"/>
                  <w:vAlign w:val="center"/>
                </w:tcPr>
                <w:p w14:paraId="7106F81F">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0.05</w:t>
                  </w:r>
                </w:p>
              </w:tc>
              <w:tc>
                <w:tcPr>
                  <w:tcW w:w="679" w:type="pct"/>
                  <w:shd w:val="clear" w:color="auto" w:fill="auto"/>
                  <w:noWrap w:val="0"/>
                  <w:vAlign w:val="center"/>
                </w:tcPr>
                <w:p w14:paraId="5928D1C6">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w:t>
                  </w:r>
                </w:p>
              </w:tc>
              <w:tc>
                <w:tcPr>
                  <w:tcW w:w="803" w:type="pct"/>
                  <w:shd w:val="clear" w:color="auto" w:fill="auto"/>
                  <w:noWrap w:val="0"/>
                  <w:vAlign w:val="center"/>
                </w:tcPr>
                <w:p w14:paraId="2E7CC8BC">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0.05</w:t>
                  </w:r>
                </w:p>
              </w:tc>
              <w:tc>
                <w:tcPr>
                  <w:tcW w:w="780" w:type="pct"/>
                  <w:shd w:val="clear" w:color="auto" w:fill="auto"/>
                  <w:noWrap w:val="0"/>
                  <w:vAlign w:val="center"/>
                </w:tcPr>
                <w:p w14:paraId="7B348E98">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+0.05</w:t>
                  </w:r>
                </w:p>
              </w:tc>
            </w:tr>
            <w:tr w14:paraId="7B28C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0" w:type="pct"/>
                  <w:vMerge w:val="continue"/>
                  <w:tcBorders>
                    <w:top w:val="nil"/>
                  </w:tcBorders>
                  <w:noWrap w:val="0"/>
                  <w:vAlign w:val="center"/>
                </w:tcPr>
                <w:p w14:paraId="761CB5A9">
                  <w:pPr>
                    <w:keepNext w:val="0"/>
                    <w:keepLines w:val="0"/>
                    <w:pageBreakBefore w:val="0"/>
                    <w:kinsoku/>
                    <w:wordWrap/>
                    <w:overflowPunct/>
                    <w:topLinePunct w:val="0"/>
                    <w:autoSpaceDE/>
                    <w:autoSpaceDN/>
                    <w:bidi w:val="0"/>
                    <w:spacing w:line="240" w:lineRule="auto"/>
                    <w:ind w:left="0" w:right="0" w:firstLine="0"/>
                    <w:textAlignment w:val="auto"/>
                    <w:rPr>
                      <w:color w:val="auto"/>
                      <w:sz w:val="2"/>
                      <w:szCs w:val="2"/>
                      <w:highlight w:val="none"/>
                    </w:rPr>
                  </w:pPr>
                </w:p>
              </w:tc>
              <w:tc>
                <w:tcPr>
                  <w:tcW w:w="1151" w:type="pct"/>
                  <w:gridSpan w:val="2"/>
                  <w:shd w:val="clear" w:color="auto" w:fill="auto"/>
                  <w:noWrap w:val="0"/>
                  <w:vAlign w:val="center"/>
                </w:tcPr>
                <w:p w14:paraId="145FC288">
                  <w:pPr>
                    <w:keepNext w:val="0"/>
                    <w:keepLines w:val="0"/>
                    <w:pageBreakBefore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4"/>
                      <w:szCs w:val="21"/>
                      <w:highlight w:val="none"/>
                    </w:rPr>
                    <w:t>生活垃圾</w:t>
                  </w:r>
                </w:p>
              </w:tc>
              <w:tc>
                <w:tcPr>
                  <w:tcW w:w="598" w:type="pct"/>
                  <w:shd w:val="clear" w:color="auto" w:fill="auto"/>
                  <w:noWrap w:val="0"/>
                  <w:vAlign w:val="center"/>
                </w:tcPr>
                <w:p w14:paraId="584C19E6">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1.1</w:t>
                  </w:r>
                </w:p>
              </w:tc>
              <w:tc>
                <w:tcPr>
                  <w:tcW w:w="704" w:type="pct"/>
                  <w:shd w:val="clear" w:color="auto" w:fill="auto"/>
                  <w:noWrap w:val="0"/>
                  <w:vAlign w:val="center"/>
                </w:tcPr>
                <w:p w14:paraId="0425CFE6">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1.83</w:t>
                  </w:r>
                </w:p>
              </w:tc>
              <w:tc>
                <w:tcPr>
                  <w:tcW w:w="679" w:type="pct"/>
                  <w:shd w:val="clear" w:color="auto" w:fill="auto"/>
                  <w:noWrap w:val="0"/>
                  <w:vAlign w:val="center"/>
                </w:tcPr>
                <w:p w14:paraId="20636D0E">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1.1</w:t>
                  </w:r>
                </w:p>
              </w:tc>
              <w:tc>
                <w:tcPr>
                  <w:tcW w:w="803" w:type="pct"/>
                  <w:shd w:val="clear" w:color="auto" w:fill="auto"/>
                  <w:noWrap w:val="0"/>
                  <w:vAlign w:val="center"/>
                </w:tcPr>
                <w:p w14:paraId="761EF5D9">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1.83</w:t>
                  </w:r>
                </w:p>
              </w:tc>
              <w:tc>
                <w:tcPr>
                  <w:tcW w:w="780" w:type="pct"/>
                  <w:shd w:val="clear" w:color="auto" w:fill="auto"/>
                  <w:noWrap w:val="0"/>
                  <w:vAlign w:val="center"/>
                </w:tcPr>
                <w:p w14:paraId="54B326A6">
                  <w:pPr>
                    <w:pStyle w:val="62"/>
                    <w:keepNext w:val="0"/>
                    <w:keepLines w:val="0"/>
                    <w:pageBreakBefore w:val="0"/>
                    <w:kinsoku/>
                    <w:wordWrap/>
                    <w:overflowPunct/>
                    <w:topLinePunct w:val="0"/>
                    <w:autoSpaceDE/>
                    <w:autoSpaceDN/>
                    <w:bidi w:val="0"/>
                    <w:spacing w:line="240" w:lineRule="auto"/>
                    <w:ind w:left="0" w:leftChars="0" w:right="0" w:rightChars="0" w:firstLine="0"/>
                    <w:jc w:val="center"/>
                    <w:textAlignment w:val="auto"/>
                    <w:rPr>
                      <w:rFonts w:hint="default" w:ascii="Times New Roman" w:hAnsi="宋体" w:eastAsia="宋体" w:cs="宋体"/>
                      <w:color w:val="auto"/>
                      <w:sz w:val="21"/>
                      <w:highlight w:val="none"/>
                      <w:lang w:val="en-US" w:eastAsia="zh-CN"/>
                    </w:rPr>
                  </w:pPr>
                  <w:r>
                    <w:rPr>
                      <w:rFonts w:hint="eastAsia" w:ascii="Times New Roman" w:hAnsi="宋体" w:eastAsia="宋体" w:cs="宋体"/>
                      <w:color w:val="auto"/>
                      <w:sz w:val="21"/>
                      <w:highlight w:val="none"/>
                      <w:lang w:val="en-US" w:eastAsia="zh-CN"/>
                    </w:rPr>
                    <w:t>-0.73</w:t>
                  </w:r>
                </w:p>
              </w:tc>
            </w:tr>
            <w:tr w14:paraId="056C1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8"/>
                  <w:noWrap w:val="0"/>
                  <w:vAlign w:val="center"/>
                </w:tcPr>
                <w:p w14:paraId="3ECE9AB3">
                  <w:pPr>
                    <w:pStyle w:val="26"/>
                    <w:keepNext w:val="0"/>
                    <w:keepLines w:val="0"/>
                    <w:pageBreakBefore w:val="0"/>
                    <w:widowControl/>
                    <w:numPr>
                      <w:ilvl w:val="0"/>
                      <w:numId w:val="0"/>
                    </w:numPr>
                    <w:kinsoku/>
                    <w:wordWrap/>
                    <w:overflowPunct/>
                    <w:topLinePunct w:val="0"/>
                    <w:autoSpaceDE/>
                    <w:autoSpaceDN/>
                    <w:bidi w:val="0"/>
                    <w:adjustRightInd/>
                    <w:snapToGrid/>
                    <w:spacing w:line="240" w:lineRule="auto"/>
                    <w:ind w:left="0" w:right="0" w:firstLine="0"/>
                    <w:jc w:val="left"/>
                    <w:textAlignment w:val="auto"/>
                    <w:rPr>
                      <w:color w:val="auto"/>
                      <w:sz w:val="21"/>
                      <w:highlight w:val="none"/>
                    </w:rPr>
                  </w:pPr>
                  <w:r>
                    <w:rPr>
                      <w:rFonts w:hint="eastAsia" w:ascii="Times New Roman" w:hAnsi="Times New Roman" w:eastAsia="宋体" w:cs="Times New Roman"/>
                      <w:b w:val="0"/>
                      <w:bCs/>
                      <w:color w:val="auto"/>
                      <w:kern w:val="2"/>
                      <w:sz w:val="21"/>
                      <w:szCs w:val="21"/>
                      <w:highlight w:val="none"/>
                      <w:lang w:val="en-US" w:eastAsia="zh-CN" w:bidi="ar-SA"/>
                    </w:rPr>
                    <w:t>备注：排放增减量一栏，“+”表示增加“-”表示减少</w:t>
                  </w:r>
                  <w:r>
                    <w:rPr>
                      <w:rFonts w:hint="eastAsia" w:ascii="Times New Roman" w:hAnsi="Times New Roman" w:cs="Times New Roman"/>
                      <w:b w:val="0"/>
                      <w:bCs/>
                      <w:color w:val="auto"/>
                      <w:kern w:val="2"/>
                      <w:sz w:val="21"/>
                      <w:szCs w:val="21"/>
                      <w:highlight w:val="none"/>
                      <w:lang w:val="en-US" w:eastAsia="zh-CN" w:bidi="ar-SA"/>
                    </w:rPr>
                    <w:t>。</w:t>
                  </w:r>
                </w:p>
              </w:tc>
            </w:tr>
          </w:tbl>
          <w:p w14:paraId="23BB2C2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bCs/>
                <w:color w:val="auto"/>
                <w:spacing w:val="-10"/>
                <w:sz w:val="24"/>
                <w:highlight w:val="none"/>
                <w:lang w:eastAsia="zh-CN"/>
              </w:rPr>
            </w:pPr>
          </w:p>
        </w:tc>
      </w:tr>
    </w:tbl>
    <w:p w14:paraId="2B7A5E56">
      <w:pPr>
        <w:adjustRightInd w:val="0"/>
        <w:snapToGrid w:val="0"/>
        <w:spacing w:line="360" w:lineRule="auto"/>
        <w:rPr>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F5779CA">
      <w:pPr>
        <w:pStyle w:val="27"/>
        <w:jc w:val="center"/>
        <w:outlineLvl w:val="0"/>
        <w:rPr>
          <w:rFonts w:ascii="Times New Roman" w:hAnsi="Times New Roman" w:eastAsia="黑体"/>
          <w:snapToGrid w:val="0"/>
          <w:color w:val="auto"/>
          <w:sz w:val="30"/>
          <w:szCs w:val="30"/>
          <w:highlight w:val="none"/>
        </w:rPr>
      </w:pPr>
      <w:bookmarkStart w:id="30" w:name="_Toc22794"/>
      <w:r>
        <w:rPr>
          <w:rFonts w:ascii="Times New Roman" w:hAnsi="黑体" w:eastAsia="黑体"/>
          <w:snapToGrid w:val="0"/>
          <w:color w:val="auto"/>
          <w:sz w:val="30"/>
          <w:szCs w:val="30"/>
          <w:highlight w:val="none"/>
        </w:rPr>
        <w:t>五、</w:t>
      </w:r>
      <w:bookmarkStart w:id="31" w:name="_Hlk54167917"/>
      <w:r>
        <w:rPr>
          <w:rFonts w:ascii="Times New Roman" w:hAnsi="黑体" w:eastAsia="黑体"/>
          <w:snapToGrid w:val="0"/>
          <w:color w:val="auto"/>
          <w:sz w:val="30"/>
          <w:szCs w:val="30"/>
          <w:highlight w:val="none"/>
        </w:rPr>
        <w:t>环境保护措施监督检查清单</w:t>
      </w:r>
      <w:bookmarkEnd w:id="30"/>
      <w:bookmarkEnd w:id="31"/>
    </w:p>
    <w:tbl>
      <w:tblPr>
        <w:tblStyle w:val="30"/>
        <w:tblW w:w="92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1922"/>
        <w:gridCol w:w="1473"/>
        <w:gridCol w:w="1986"/>
        <w:gridCol w:w="1916"/>
      </w:tblGrid>
      <w:tr w14:paraId="5B54B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tcBorders>
              <w:tl2br w:val="single" w:color="auto" w:sz="4" w:space="0"/>
            </w:tcBorders>
          </w:tcPr>
          <w:p w14:paraId="7B131AF8">
            <w:pPr>
              <w:adjustRightInd w:val="0"/>
              <w:snapToGrid w:val="0"/>
              <w:ind w:firstLine="840"/>
              <w:rPr>
                <w:color w:val="auto"/>
                <w:sz w:val="24"/>
                <w:szCs w:val="24"/>
                <w:highlight w:val="none"/>
              </w:rPr>
            </w:pPr>
            <w:r>
              <w:rPr>
                <w:rFonts w:hAnsi="宋体"/>
                <w:color w:val="auto"/>
                <w:sz w:val="24"/>
                <w:szCs w:val="24"/>
                <w:highlight w:val="none"/>
              </w:rPr>
              <w:t>内容</w:t>
            </w:r>
          </w:p>
          <w:p w14:paraId="0BBA6EFE">
            <w:pPr>
              <w:adjustRightInd w:val="0"/>
              <w:snapToGrid w:val="0"/>
              <w:rPr>
                <w:color w:val="auto"/>
                <w:sz w:val="24"/>
                <w:szCs w:val="24"/>
                <w:highlight w:val="none"/>
              </w:rPr>
            </w:pPr>
            <w:r>
              <w:rPr>
                <w:rFonts w:hAnsi="宋体"/>
                <w:color w:val="auto"/>
                <w:sz w:val="24"/>
                <w:szCs w:val="24"/>
                <w:highlight w:val="none"/>
              </w:rPr>
              <w:t>要素</w:t>
            </w:r>
          </w:p>
        </w:tc>
        <w:tc>
          <w:tcPr>
            <w:tcW w:w="1922" w:type="dxa"/>
            <w:vAlign w:val="center"/>
          </w:tcPr>
          <w:p w14:paraId="0498C621">
            <w:pPr>
              <w:adjustRightInd w:val="0"/>
              <w:snapToGrid w:val="0"/>
              <w:jc w:val="center"/>
              <w:rPr>
                <w:color w:val="auto"/>
                <w:sz w:val="24"/>
                <w:szCs w:val="24"/>
                <w:highlight w:val="none"/>
              </w:rPr>
            </w:pPr>
            <w:r>
              <w:rPr>
                <w:rFonts w:hAnsi="宋体"/>
                <w:color w:val="auto"/>
                <w:sz w:val="24"/>
                <w:szCs w:val="24"/>
                <w:highlight w:val="none"/>
              </w:rPr>
              <w:t>排放口</w:t>
            </w:r>
            <w:r>
              <w:rPr>
                <w:color w:val="auto"/>
                <w:sz w:val="24"/>
                <w:szCs w:val="24"/>
                <w:highlight w:val="none"/>
              </w:rPr>
              <w:t>(</w:t>
            </w:r>
            <w:r>
              <w:rPr>
                <w:rFonts w:hAnsi="宋体"/>
                <w:color w:val="auto"/>
                <w:sz w:val="24"/>
                <w:szCs w:val="24"/>
                <w:highlight w:val="none"/>
              </w:rPr>
              <w:t>编号、</w:t>
            </w:r>
          </w:p>
          <w:p w14:paraId="18CF3ECC">
            <w:pPr>
              <w:adjustRightInd w:val="0"/>
              <w:snapToGrid w:val="0"/>
              <w:jc w:val="center"/>
              <w:rPr>
                <w:color w:val="auto"/>
                <w:sz w:val="24"/>
                <w:szCs w:val="24"/>
                <w:highlight w:val="none"/>
              </w:rPr>
            </w:pPr>
            <w:r>
              <w:rPr>
                <w:rFonts w:hAnsi="宋体"/>
                <w:color w:val="auto"/>
                <w:sz w:val="24"/>
                <w:szCs w:val="24"/>
                <w:highlight w:val="none"/>
              </w:rPr>
              <w:t>名称</w:t>
            </w:r>
            <w:r>
              <w:rPr>
                <w:color w:val="auto"/>
                <w:sz w:val="24"/>
                <w:szCs w:val="24"/>
                <w:highlight w:val="none"/>
              </w:rPr>
              <w:t>)/</w:t>
            </w:r>
            <w:r>
              <w:rPr>
                <w:rFonts w:hAnsi="宋体"/>
                <w:color w:val="auto"/>
                <w:sz w:val="24"/>
                <w:szCs w:val="24"/>
                <w:highlight w:val="none"/>
              </w:rPr>
              <w:t>污染源</w:t>
            </w:r>
          </w:p>
        </w:tc>
        <w:tc>
          <w:tcPr>
            <w:tcW w:w="1473" w:type="dxa"/>
            <w:vAlign w:val="center"/>
          </w:tcPr>
          <w:p w14:paraId="19AE64EC">
            <w:pPr>
              <w:adjustRightInd w:val="0"/>
              <w:snapToGrid w:val="0"/>
              <w:jc w:val="center"/>
              <w:rPr>
                <w:color w:val="auto"/>
                <w:sz w:val="24"/>
                <w:szCs w:val="24"/>
                <w:highlight w:val="none"/>
              </w:rPr>
            </w:pPr>
            <w:r>
              <w:rPr>
                <w:rFonts w:hAnsi="宋体"/>
                <w:color w:val="auto"/>
                <w:sz w:val="24"/>
                <w:szCs w:val="24"/>
                <w:highlight w:val="none"/>
              </w:rPr>
              <w:t>污染物项目</w:t>
            </w:r>
          </w:p>
        </w:tc>
        <w:tc>
          <w:tcPr>
            <w:tcW w:w="1986" w:type="dxa"/>
            <w:vAlign w:val="center"/>
          </w:tcPr>
          <w:p w14:paraId="06F90F8A">
            <w:pPr>
              <w:adjustRightInd w:val="0"/>
              <w:snapToGrid w:val="0"/>
              <w:jc w:val="center"/>
              <w:rPr>
                <w:color w:val="auto"/>
                <w:sz w:val="24"/>
                <w:szCs w:val="24"/>
                <w:highlight w:val="none"/>
              </w:rPr>
            </w:pPr>
            <w:r>
              <w:rPr>
                <w:rFonts w:hAnsi="宋体"/>
                <w:color w:val="auto"/>
                <w:sz w:val="24"/>
                <w:szCs w:val="24"/>
                <w:highlight w:val="none"/>
              </w:rPr>
              <w:t>环境保护措施</w:t>
            </w:r>
          </w:p>
        </w:tc>
        <w:tc>
          <w:tcPr>
            <w:tcW w:w="1916" w:type="dxa"/>
            <w:vAlign w:val="center"/>
          </w:tcPr>
          <w:p w14:paraId="0E2FA5F8">
            <w:pPr>
              <w:adjustRightInd w:val="0"/>
              <w:snapToGrid w:val="0"/>
              <w:jc w:val="center"/>
              <w:rPr>
                <w:color w:val="auto"/>
                <w:sz w:val="24"/>
                <w:szCs w:val="24"/>
                <w:highlight w:val="none"/>
              </w:rPr>
            </w:pPr>
            <w:r>
              <w:rPr>
                <w:rFonts w:hAnsi="宋体"/>
                <w:color w:val="auto"/>
                <w:sz w:val="24"/>
                <w:szCs w:val="24"/>
                <w:highlight w:val="none"/>
              </w:rPr>
              <w:t>执行标准</w:t>
            </w:r>
          </w:p>
        </w:tc>
      </w:tr>
      <w:tr w14:paraId="1971D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restart"/>
            <w:vAlign w:val="center"/>
          </w:tcPr>
          <w:p w14:paraId="769B2210">
            <w:pPr>
              <w:adjustRightInd w:val="0"/>
              <w:snapToGrid w:val="0"/>
              <w:jc w:val="center"/>
              <w:rPr>
                <w:color w:val="auto"/>
                <w:sz w:val="24"/>
                <w:szCs w:val="24"/>
                <w:highlight w:val="none"/>
              </w:rPr>
            </w:pPr>
            <w:r>
              <w:rPr>
                <w:rFonts w:hAnsi="宋体"/>
                <w:color w:val="auto"/>
                <w:sz w:val="24"/>
                <w:szCs w:val="24"/>
                <w:highlight w:val="none"/>
              </w:rPr>
              <w:t>大气环境</w:t>
            </w:r>
          </w:p>
        </w:tc>
        <w:tc>
          <w:tcPr>
            <w:tcW w:w="1922" w:type="dxa"/>
            <w:vAlign w:val="center"/>
          </w:tcPr>
          <w:p w14:paraId="221E77BD">
            <w:pPr>
              <w:jc w:val="center"/>
              <w:rPr>
                <w:rFonts w:hint="eastAsia" w:ascii="Times New Roman" w:hAnsi="Times New Roman" w:eastAsia="宋体" w:cs="Times New Roman"/>
                <w:color w:val="auto"/>
                <w:kern w:val="24"/>
                <w:sz w:val="24"/>
                <w:szCs w:val="24"/>
                <w:highlight w:val="none"/>
                <w:lang w:val="en-US" w:eastAsia="zh-CN" w:bidi="ar-SA"/>
              </w:rPr>
            </w:pPr>
            <w:r>
              <w:rPr>
                <w:rFonts w:hint="eastAsia" w:cs="Times New Roman"/>
                <w:color w:val="auto"/>
                <w:kern w:val="24"/>
                <w:sz w:val="24"/>
                <w:szCs w:val="24"/>
                <w:highlight w:val="none"/>
                <w:lang w:val="en-US" w:eastAsia="zh-CN" w:bidi="ar-SA"/>
              </w:rPr>
              <w:t>化学洗涤塔排放口（DA001）</w:t>
            </w:r>
          </w:p>
        </w:tc>
        <w:tc>
          <w:tcPr>
            <w:tcW w:w="1473" w:type="dxa"/>
            <w:vAlign w:val="center"/>
          </w:tcPr>
          <w:p w14:paraId="6EC564DB">
            <w:pPr>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NH</w:t>
            </w:r>
            <w:r>
              <w:rPr>
                <w:rFonts w:hint="eastAsia" w:cs="Times New Roman"/>
                <w:color w:val="auto"/>
                <w:kern w:val="2"/>
                <w:sz w:val="24"/>
                <w:szCs w:val="24"/>
                <w:highlight w:val="none"/>
                <w:vertAlign w:val="subscript"/>
                <w:lang w:val="en-US" w:eastAsia="zh-CN" w:bidi="ar-SA"/>
              </w:rPr>
              <w:t>3</w:t>
            </w:r>
            <w:r>
              <w:rPr>
                <w:rFonts w:hint="eastAsia" w:cs="Times New Roman"/>
                <w:color w:val="auto"/>
                <w:kern w:val="2"/>
                <w:sz w:val="24"/>
                <w:szCs w:val="24"/>
                <w:highlight w:val="none"/>
                <w:lang w:val="en-US" w:eastAsia="zh-CN" w:bidi="ar-SA"/>
              </w:rPr>
              <w:t>、H</w:t>
            </w:r>
            <w:r>
              <w:rPr>
                <w:rFonts w:hint="eastAsia" w:cs="Times New Roman"/>
                <w:color w:val="auto"/>
                <w:kern w:val="2"/>
                <w:sz w:val="24"/>
                <w:szCs w:val="24"/>
                <w:highlight w:val="none"/>
                <w:vertAlign w:val="subscript"/>
                <w:lang w:val="en-US" w:eastAsia="zh-CN" w:bidi="ar-SA"/>
              </w:rPr>
              <w:t>2</w:t>
            </w:r>
            <w:r>
              <w:rPr>
                <w:rFonts w:hint="eastAsia" w:cs="Times New Roman"/>
                <w:color w:val="auto"/>
                <w:kern w:val="2"/>
                <w:sz w:val="24"/>
                <w:szCs w:val="24"/>
                <w:highlight w:val="none"/>
                <w:lang w:val="en-US" w:eastAsia="zh-CN" w:bidi="ar-SA"/>
              </w:rPr>
              <w:t>S、臭气浓度</w:t>
            </w:r>
          </w:p>
        </w:tc>
        <w:tc>
          <w:tcPr>
            <w:tcW w:w="1986" w:type="dxa"/>
            <w:vAlign w:val="center"/>
          </w:tcPr>
          <w:p w14:paraId="675A5EC8">
            <w:pPr>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各池体加盖+封闭厂房+负压管道收集+化学洗涤塔+15m排气筒</w:t>
            </w:r>
          </w:p>
        </w:tc>
        <w:tc>
          <w:tcPr>
            <w:tcW w:w="1916" w:type="dxa"/>
            <w:vAlign w:val="center"/>
          </w:tcPr>
          <w:p w14:paraId="461D26C8">
            <w:pPr>
              <w:jc w:val="center"/>
              <w:rPr>
                <w:rFonts w:hint="default" w:ascii="Times New Roman" w:hAnsi="Times New Roman" w:eastAsia="宋体" w:cs="Times New Roman"/>
                <w:color w:val="auto"/>
                <w:kern w:val="24"/>
                <w:sz w:val="24"/>
                <w:szCs w:val="24"/>
                <w:highlight w:val="none"/>
                <w:lang w:val="en-US" w:eastAsia="zh-CN" w:bidi="ar-SA"/>
              </w:rPr>
            </w:pPr>
            <w:r>
              <w:rPr>
                <w:rFonts w:hint="default" w:ascii="Times New Roman" w:hAnsi="Times New Roman" w:cs="Times New Roman"/>
                <w:color w:val="auto"/>
                <w:kern w:val="24"/>
                <w:sz w:val="24"/>
                <w:szCs w:val="24"/>
                <w:highlight w:val="none"/>
                <w:lang w:val="en-US"/>
              </w:rPr>
              <w:t>《恶臭污染物排放标准》（GB14554-93）中</w:t>
            </w:r>
            <w:r>
              <w:rPr>
                <w:rFonts w:hint="eastAsia" w:ascii="Times New Roman" w:hAnsi="Times New Roman" w:cs="Times New Roman"/>
                <w:color w:val="auto"/>
                <w:kern w:val="24"/>
                <w:sz w:val="24"/>
                <w:szCs w:val="24"/>
                <w:highlight w:val="none"/>
                <w:lang w:val="en-US" w:eastAsia="zh-CN"/>
              </w:rPr>
              <w:t>表2恶臭污染物排放标准限值要求</w:t>
            </w:r>
          </w:p>
        </w:tc>
      </w:tr>
      <w:tr w14:paraId="71519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continue"/>
            <w:vAlign w:val="center"/>
          </w:tcPr>
          <w:p w14:paraId="18EF91CA">
            <w:pPr>
              <w:adjustRightInd w:val="0"/>
              <w:snapToGrid w:val="0"/>
              <w:jc w:val="center"/>
              <w:rPr>
                <w:rFonts w:hAnsi="宋体"/>
                <w:color w:val="auto"/>
                <w:sz w:val="24"/>
                <w:szCs w:val="24"/>
                <w:highlight w:val="none"/>
              </w:rPr>
            </w:pPr>
          </w:p>
        </w:tc>
        <w:tc>
          <w:tcPr>
            <w:tcW w:w="1922" w:type="dxa"/>
            <w:vAlign w:val="center"/>
          </w:tcPr>
          <w:p w14:paraId="5E98F25C">
            <w:pPr>
              <w:jc w:val="center"/>
              <w:rPr>
                <w:rFonts w:hint="eastAsia" w:cs="Times New Roman"/>
                <w:color w:val="auto"/>
                <w:kern w:val="24"/>
                <w:sz w:val="24"/>
                <w:szCs w:val="24"/>
                <w:highlight w:val="none"/>
                <w:lang w:val="en-US" w:eastAsia="zh-CN"/>
              </w:rPr>
            </w:pPr>
            <w:r>
              <w:rPr>
                <w:rFonts w:hint="eastAsia" w:cs="Times New Roman"/>
                <w:color w:val="auto"/>
                <w:kern w:val="24"/>
                <w:sz w:val="24"/>
                <w:szCs w:val="24"/>
                <w:highlight w:val="none"/>
                <w:lang w:val="en-US" w:eastAsia="zh-CN"/>
              </w:rPr>
              <w:t>各污水处理单元、搅拌楼</w:t>
            </w:r>
          </w:p>
        </w:tc>
        <w:tc>
          <w:tcPr>
            <w:tcW w:w="1473" w:type="dxa"/>
            <w:vAlign w:val="center"/>
          </w:tcPr>
          <w:p w14:paraId="16AF3AA4">
            <w:pPr>
              <w:jc w:val="center"/>
              <w:rPr>
                <w:rFonts w:hint="eastAsia" w:cs="Times New Roman"/>
                <w:color w:val="auto"/>
                <w:sz w:val="24"/>
                <w:szCs w:val="24"/>
                <w:highlight w:val="none"/>
                <w:lang w:eastAsia="zh-CN"/>
              </w:rPr>
            </w:pPr>
            <w:r>
              <w:rPr>
                <w:rFonts w:hint="eastAsia" w:cs="Times New Roman"/>
                <w:color w:val="auto"/>
                <w:kern w:val="2"/>
                <w:sz w:val="24"/>
                <w:szCs w:val="24"/>
                <w:highlight w:val="none"/>
                <w:lang w:val="en-US" w:eastAsia="zh-CN" w:bidi="ar-SA"/>
              </w:rPr>
              <w:t>NH</w:t>
            </w:r>
            <w:r>
              <w:rPr>
                <w:rFonts w:hint="eastAsia" w:cs="Times New Roman"/>
                <w:color w:val="auto"/>
                <w:kern w:val="2"/>
                <w:sz w:val="24"/>
                <w:szCs w:val="24"/>
                <w:highlight w:val="none"/>
                <w:vertAlign w:val="subscript"/>
                <w:lang w:val="en-US" w:eastAsia="zh-CN" w:bidi="ar-SA"/>
              </w:rPr>
              <w:t>3</w:t>
            </w:r>
            <w:r>
              <w:rPr>
                <w:rFonts w:hint="eastAsia" w:cs="Times New Roman"/>
                <w:color w:val="auto"/>
                <w:kern w:val="2"/>
                <w:sz w:val="24"/>
                <w:szCs w:val="24"/>
                <w:highlight w:val="none"/>
                <w:lang w:val="en-US" w:eastAsia="zh-CN" w:bidi="ar-SA"/>
              </w:rPr>
              <w:t>、H</w:t>
            </w:r>
            <w:r>
              <w:rPr>
                <w:rFonts w:hint="eastAsia" w:cs="Times New Roman"/>
                <w:color w:val="auto"/>
                <w:kern w:val="2"/>
                <w:sz w:val="24"/>
                <w:szCs w:val="24"/>
                <w:highlight w:val="none"/>
                <w:vertAlign w:val="subscript"/>
                <w:lang w:val="en-US" w:eastAsia="zh-CN" w:bidi="ar-SA"/>
              </w:rPr>
              <w:t>2</w:t>
            </w:r>
            <w:r>
              <w:rPr>
                <w:rFonts w:hint="eastAsia" w:cs="Times New Roman"/>
                <w:color w:val="auto"/>
                <w:kern w:val="2"/>
                <w:sz w:val="24"/>
                <w:szCs w:val="24"/>
                <w:highlight w:val="none"/>
                <w:lang w:val="en-US" w:eastAsia="zh-CN" w:bidi="ar-SA"/>
              </w:rPr>
              <w:t>S、臭气浓度</w:t>
            </w:r>
          </w:p>
        </w:tc>
        <w:tc>
          <w:tcPr>
            <w:tcW w:w="1986" w:type="dxa"/>
            <w:vAlign w:val="center"/>
          </w:tcPr>
          <w:p w14:paraId="2DC001B7">
            <w:pPr>
              <w:jc w:val="center"/>
              <w:rPr>
                <w:rFonts w:hint="eastAsia"/>
                <w:color w:val="auto"/>
                <w:sz w:val="24"/>
                <w:szCs w:val="24"/>
                <w:highlight w:val="none"/>
                <w:lang w:val="en-US" w:eastAsia="zh-CN"/>
              </w:rPr>
            </w:pPr>
            <w:r>
              <w:rPr>
                <w:rFonts w:hint="eastAsia"/>
                <w:color w:val="auto"/>
                <w:sz w:val="24"/>
                <w:szCs w:val="24"/>
                <w:highlight w:val="none"/>
                <w:lang w:eastAsia="zh-CN"/>
              </w:rPr>
              <w:t>喷洒除臭剂、大气稀释扩散</w:t>
            </w:r>
          </w:p>
        </w:tc>
        <w:tc>
          <w:tcPr>
            <w:tcW w:w="1916" w:type="dxa"/>
            <w:vAlign w:val="center"/>
          </w:tcPr>
          <w:p w14:paraId="5AD4E762">
            <w:pPr>
              <w:jc w:val="center"/>
              <w:rPr>
                <w:rFonts w:hint="default" w:ascii="Times New Roman" w:hAnsi="Times New Roman" w:cs="Times New Roman"/>
                <w:color w:val="auto"/>
                <w:kern w:val="24"/>
                <w:sz w:val="24"/>
                <w:szCs w:val="24"/>
                <w:highlight w:val="none"/>
                <w:lang w:val="en-US"/>
              </w:rPr>
            </w:pPr>
            <w:r>
              <w:rPr>
                <w:rFonts w:hint="default" w:ascii="Times New Roman" w:hAnsi="Times New Roman" w:cs="Times New Roman"/>
                <w:color w:val="auto"/>
                <w:kern w:val="24"/>
                <w:sz w:val="24"/>
                <w:szCs w:val="24"/>
                <w:highlight w:val="none"/>
                <w:lang w:val="en-US"/>
              </w:rPr>
              <w:t>《</w:t>
            </w:r>
            <w:r>
              <w:rPr>
                <w:rFonts w:hint="eastAsia" w:cs="Times New Roman"/>
                <w:color w:val="auto"/>
                <w:kern w:val="24"/>
                <w:sz w:val="24"/>
                <w:szCs w:val="24"/>
                <w:highlight w:val="none"/>
                <w:lang w:val="en-US" w:eastAsia="zh-CN"/>
              </w:rPr>
              <w:t>城镇污水处理厂污染物排放标准</w:t>
            </w:r>
            <w:r>
              <w:rPr>
                <w:rFonts w:hint="default" w:ascii="Times New Roman" w:hAnsi="Times New Roman" w:cs="Times New Roman"/>
                <w:color w:val="auto"/>
                <w:kern w:val="24"/>
                <w:sz w:val="24"/>
                <w:szCs w:val="24"/>
                <w:highlight w:val="none"/>
                <w:lang w:val="en-US"/>
              </w:rPr>
              <w:t>》（GB</w:t>
            </w:r>
            <w:r>
              <w:rPr>
                <w:rFonts w:hint="eastAsia" w:cs="Times New Roman"/>
                <w:color w:val="auto"/>
                <w:kern w:val="24"/>
                <w:sz w:val="24"/>
                <w:szCs w:val="24"/>
                <w:highlight w:val="none"/>
                <w:lang w:val="en-US" w:eastAsia="zh-CN"/>
              </w:rPr>
              <w:t>18918-2002</w:t>
            </w:r>
            <w:r>
              <w:rPr>
                <w:rFonts w:hint="default" w:ascii="Times New Roman" w:hAnsi="Times New Roman" w:cs="Times New Roman"/>
                <w:color w:val="auto"/>
                <w:kern w:val="24"/>
                <w:sz w:val="24"/>
                <w:szCs w:val="24"/>
                <w:highlight w:val="none"/>
                <w:lang w:val="en-US"/>
              </w:rPr>
              <w:t>）中二级标准</w:t>
            </w:r>
          </w:p>
        </w:tc>
      </w:tr>
      <w:tr w14:paraId="02C53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continue"/>
            <w:vAlign w:val="center"/>
          </w:tcPr>
          <w:p w14:paraId="435DAF0F">
            <w:pPr>
              <w:adjustRightInd w:val="0"/>
              <w:snapToGrid w:val="0"/>
              <w:jc w:val="center"/>
              <w:rPr>
                <w:rFonts w:hAnsi="宋体"/>
                <w:color w:val="auto"/>
                <w:sz w:val="24"/>
                <w:szCs w:val="24"/>
                <w:highlight w:val="none"/>
              </w:rPr>
            </w:pPr>
          </w:p>
        </w:tc>
        <w:tc>
          <w:tcPr>
            <w:tcW w:w="1922" w:type="dxa"/>
            <w:vAlign w:val="center"/>
          </w:tcPr>
          <w:p w14:paraId="3C25E14F">
            <w:pPr>
              <w:jc w:val="center"/>
              <w:rPr>
                <w:rFonts w:hint="eastAsia" w:cs="Times New Roman"/>
                <w:color w:val="auto"/>
                <w:kern w:val="24"/>
                <w:sz w:val="24"/>
                <w:szCs w:val="24"/>
                <w:highlight w:val="none"/>
                <w:lang w:val="en-US" w:eastAsia="zh-CN"/>
              </w:rPr>
            </w:pPr>
            <w:r>
              <w:rPr>
                <w:rFonts w:hint="eastAsia" w:cs="Times New Roman"/>
                <w:color w:val="auto"/>
                <w:kern w:val="24"/>
                <w:sz w:val="24"/>
                <w:szCs w:val="24"/>
                <w:highlight w:val="none"/>
                <w:lang w:val="en-US" w:eastAsia="zh-CN"/>
              </w:rPr>
              <w:t>固化剂料仓</w:t>
            </w:r>
          </w:p>
        </w:tc>
        <w:tc>
          <w:tcPr>
            <w:tcW w:w="1473" w:type="dxa"/>
            <w:vAlign w:val="center"/>
          </w:tcPr>
          <w:p w14:paraId="167515C7">
            <w:pPr>
              <w:jc w:val="center"/>
              <w:rPr>
                <w:rFonts w:hint="eastAsia" w:cs="Times New Roman"/>
                <w:color w:val="auto"/>
                <w:sz w:val="24"/>
                <w:szCs w:val="24"/>
                <w:highlight w:val="none"/>
                <w:lang w:eastAsia="zh-CN"/>
              </w:rPr>
            </w:pPr>
            <w:r>
              <w:rPr>
                <w:rFonts w:hint="eastAsia" w:cs="Times New Roman"/>
                <w:color w:val="auto"/>
                <w:kern w:val="2"/>
                <w:sz w:val="24"/>
                <w:szCs w:val="24"/>
                <w:highlight w:val="none"/>
                <w:lang w:val="en-US" w:eastAsia="zh-CN" w:bidi="ar-SA"/>
              </w:rPr>
              <w:t>颗粒物</w:t>
            </w:r>
          </w:p>
        </w:tc>
        <w:tc>
          <w:tcPr>
            <w:tcW w:w="1986" w:type="dxa"/>
            <w:vAlign w:val="center"/>
          </w:tcPr>
          <w:p w14:paraId="3F12246A">
            <w:pPr>
              <w:jc w:val="center"/>
              <w:rPr>
                <w:rFonts w:hint="eastAsia"/>
                <w:color w:val="auto"/>
                <w:sz w:val="24"/>
                <w:szCs w:val="24"/>
                <w:highlight w:val="none"/>
                <w:lang w:eastAsia="zh-CN"/>
              </w:rPr>
            </w:pPr>
            <w:r>
              <w:rPr>
                <w:rFonts w:hint="eastAsia"/>
                <w:color w:val="auto"/>
                <w:sz w:val="24"/>
                <w:szCs w:val="24"/>
                <w:highlight w:val="none"/>
                <w:lang w:val="en-US" w:eastAsia="zh-CN"/>
              </w:rPr>
              <w:t>料仓仓顶配套设置袋式除尘器</w:t>
            </w:r>
          </w:p>
        </w:tc>
        <w:tc>
          <w:tcPr>
            <w:tcW w:w="1916" w:type="dxa"/>
            <w:vMerge w:val="restart"/>
            <w:vAlign w:val="center"/>
          </w:tcPr>
          <w:p w14:paraId="3139B7E7">
            <w:pPr>
              <w:jc w:val="center"/>
              <w:rPr>
                <w:rFonts w:hint="default" w:ascii="Times New Roman" w:hAnsi="Times New Roman" w:cs="Times New Roman"/>
                <w:color w:val="auto"/>
                <w:kern w:val="24"/>
                <w:sz w:val="24"/>
                <w:szCs w:val="24"/>
                <w:highlight w:val="none"/>
              </w:rPr>
            </w:pPr>
            <w:r>
              <w:rPr>
                <w:color w:val="auto"/>
                <w:sz w:val="24"/>
                <w:highlight w:val="none"/>
              </w:rPr>
              <w:t>大气污染物综合排放标准》（GB 16297-1996）表2新污染源大气污染物无组织排放浓度限值</w:t>
            </w:r>
          </w:p>
        </w:tc>
      </w:tr>
      <w:tr w14:paraId="29B58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continue"/>
            <w:vAlign w:val="center"/>
          </w:tcPr>
          <w:p w14:paraId="78ECA9FF">
            <w:pPr>
              <w:adjustRightInd w:val="0"/>
              <w:snapToGrid w:val="0"/>
              <w:jc w:val="center"/>
              <w:rPr>
                <w:rFonts w:hAnsi="宋体"/>
                <w:color w:val="auto"/>
                <w:sz w:val="24"/>
                <w:szCs w:val="24"/>
                <w:highlight w:val="none"/>
              </w:rPr>
            </w:pPr>
          </w:p>
        </w:tc>
        <w:tc>
          <w:tcPr>
            <w:tcW w:w="1922" w:type="dxa"/>
            <w:vAlign w:val="center"/>
          </w:tcPr>
          <w:p w14:paraId="7BD985D4">
            <w:pPr>
              <w:jc w:val="center"/>
              <w:rPr>
                <w:rFonts w:hint="default" w:cs="Times New Roman"/>
                <w:color w:val="auto"/>
                <w:kern w:val="24"/>
                <w:sz w:val="24"/>
                <w:szCs w:val="24"/>
                <w:highlight w:val="none"/>
                <w:lang w:val="en-US" w:eastAsia="zh-CN"/>
              </w:rPr>
            </w:pPr>
            <w:r>
              <w:rPr>
                <w:rFonts w:hint="eastAsia" w:cs="Times New Roman"/>
                <w:color w:val="auto"/>
                <w:kern w:val="24"/>
                <w:sz w:val="24"/>
                <w:szCs w:val="24"/>
                <w:highlight w:val="none"/>
                <w:lang w:val="en-US" w:eastAsia="zh-CN"/>
              </w:rPr>
              <w:t>固化系统搅拌机</w:t>
            </w:r>
          </w:p>
        </w:tc>
        <w:tc>
          <w:tcPr>
            <w:tcW w:w="1473" w:type="dxa"/>
            <w:vAlign w:val="center"/>
          </w:tcPr>
          <w:p w14:paraId="787C5EEA">
            <w:pPr>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颗粒物</w:t>
            </w:r>
          </w:p>
        </w:tc>
        <w:tc>
          <w:tcPr>
            <w:tcW w:w="1986" w:type="dxa"/>
            <w:vAlign w:val="center"/>
          </w:tcPr>
          <w:p w14:paraId="454AC9D4">
            <w:pPr>
              <w:jc w:val="center"/>
              <w:rPr>
                <w:rFonts w:hint="default"/>
                <w:color w:val="auto"/>
                <w:sz w:val="24"/>
                <w:szCs w:val="24"/>
                <w:highlight w:val="none"/>
                <w:lang w:val="en-US" w:eastAsia="zh-CN"/>
              </w:rPr>
            </w:pPr>
            <w:r>
              <w:rPr>
                <w:rFonts w:hint="eastAsia"/>
                <w:color w:val="auto"/>
                <w:sz w:val="24"/>
                <w:szCs w:val="24"/>
                <w:highlight w:val="none"/>
                <w:lang w:val="en-US" w:eastAsia="zh-CN"/>
              </w:rPr>
              <w:t>密闭搅拌</w:t>
            </w:r>
          </w:p>
        </w:tc>
        <w:tc>
          <w:tcPr>
            <w:tcW w:w="1916" w:type="dxa"/>
            <w:vMerge w:val="continue"/>
            <w:vAlign w:val="center"/>
          </w:tcPr>
          <w:p w14:paraId="13651C3C">
            <w:pPr>
              <w:jc w:val="center"/>
              <w:rPr>
                <w:rFonts w:hint="default" w:ascii="Times New Roman" w:hAnsi="Times New Roman" w:cs="Times New Roman"/>
                <w:color w:val="auto"/>
                <w:kern w:val="24"/>
                <w:sz w:val="24"/>
                <w:szCs w:val="24"/>
                <w:highlight w:val="none"/>
                <w:lang w:val="en-US"/>
              </w:rPr>
            </w:pPr>
          </w:p>
        </w:tc>
      </w:tr>
      <w:tr w14:paraId="7B9F9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continue"/>
            <w:vAlign w:val="center"/>
          </w:tcPr>
          <w:p w14:paraId="6E567065">
            <w:pPr>
              <w:adjustRightInd w:val="0"/>
              <w:snapToGrid w:val="0"/>
              <w:jc w:val="center"/>
              <w:rPr>
                <w:rFonts w:hAnsi="宋体"/>
                <w:color w:val="auto"/>
                <w:sz w:val="24"/>
                <w:szCs w:val="24"/>
                <w:highlight w:val="none"/>
              </w:rPr>
            </w:pPr>
          </w:p>
        </w:tc>
        <w:tc>
          <w:tcPr>
            <w:tcW w:w="1922" w:type="dxa"/>
            <w:vAlign w:val="center"/>
          </w:tcPr>
          <w:p w14:paraId="69781E37">
            <w:pPr>
              <w:jc w:val="center"/>
              <w:rPr>
                <w:rFonts w:hint="eastAsia" w:ascii="Times New Roman" w:hAnsi="Times New Roman" w:eastAsia="宋体" w:cs="Times New Roman"/>
                <w:color w:val="auto"/>
                <w:kern w:val="24"/>
                <w:sz w:val="24"/>
                <w:szCs w:val="24"/>
                <w:highlight w:val="none"/>
                <w:lang w:val="en-US" w:eastAsia="zh-CN" w:bidi="ar-SA"/>
              </w:rPr>
            </w:pPr>
            <w:r>
              <w:rPr>
                <w:rFonts w:hint="eastAsia" w:ascii="Times New Roman" w:hAnsi="Times New Roman" w:eastAsia="宋体" w:cs="Times New Roman"/>
                <w:color w:val="auto"/>
                <w:kern w:val="24"/>
                <w:sz w:val="24"/>
                <w:szCs w:val="24"/>
                <w:highlight w:val="none"/>
                <w:lang w:val="en-US" w:eastAsia="zh-CN" w:bidi="ar-SA"/>
              </w:rPr>
              <w:t>填埋场垃圾整理恶臭</w:t>
            </w:r>
          </w:p>
        </w:tc>
        <w:tc>
          <w:tcPr>
            <w:tcW w:w="1473" w:type="dxa"/>
            <w:vAlign w:val="center"/>
          </w:tcPr>
          <w:p w14:paraId="330A9C40">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S、臭气浓度</w:t>
            </w:r>
          </w:p>
        </w:tc>
        <w:tc>
          <w:tcPr>
            <w:tcW w:w="1986" w:type="dxa"/>
            <w:vAlign w:val="center"/>
          </w:tcPr>
          <w:p w14:paraId="0F1D05B4">
            <w:pPr>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修整过程中避开雨季，严格划分单元进行修整，做到当日修整完成当日覆土，控制作业面的面积，对作业面及时覆盖，及时喷洒除臭药剂</w:t>
            </w:r>
          </w:p>
        </w:tc>
        <w:tc>
          <w:tcPr>
            <w:tcW w:w="1916" w:type="dxa"/>
            <w:vAlign w:val="center"/>
          </w:tcPr>
          <w:p w14:paraId="2A0161F7">
            <w:pPr>
              <w:jc w:val="center"/>
              <w:rPr>
                <w:rFonts w:hint="eastAsia" w:ascii="Times New Roman" w:hAnsi="Times New Roman" w:eastAsia="宋体" w:cs="Times New Roman"/>
                <w:color w:val="auto"/>
                <w:kern w:val="24"/>
                <w:sz w:val="24"/>
                <w:szCs w:val="24"/>
                <w:highlight w:val="none"/>
                <w:lang w:val="en-US" w:eastAsia="zh-CN" w:bidi="ar-SA"/>
              </w:rPr>
            </w:pPr>
            <w:r>
              <w:rPr>
                <w:rFonts w:hint="eastAsia" w:cs="Times New Roman"/>
                <w:color w:val="auto"/>
                <w:sz w:val="24"/>
                <w:highlight w:val="none"/>
                <w:lang w:val="en-US" w:eastAsia="zh-CN"/>
              </w:rPr>
              <w:t>《恶臭污染物排放标准》（GB14554-93）中表1中恶臭污染物排放标准限值</w:t>
            </w:r>
          </w:p>
        </w:tc>
      </w:tr>
      <w:tr w14:paraId="7D2FB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Align w:val="center"/>
          </w:tcPr>
          <w:p w14:paraId="05C81408">
            <w:pPr>
              <w:adjustRightInd w:val="0"/>
              <w:snapToGrid w:val="0"/>
              <w:jc w:val="center"/>
              <w:rPr>
                <w:color w:val="auto"/>
                <w:sz w:val="24"/>
                <w:szCs w:val="24"/>
                <w:highlight w:val="none"/>
              </w:rPr>
            </w:pPr>
            <w:r>
              <w:rPr>
                <w:rFonts w:hAnsi="宋体"/>
                <w:color w:val="auto"/>
                <w:sz w:val="24"/>
                <w:szCs w:val="24"/>
                <w:highlight w:val="none"/>
              </w:rPr>
              <w:t>地表水环境</w:t>
            </w:r>
          </w:p>
        </w:tc>
        <w:tc>
          <w:tcPr>
            <w:tcW w:w="1922" w:type="dxa"/>
            <w:vAlign w:val="center"/>
          </w:tcPr>
          <w:p w14:paraId="5E9CB87D">
            <w:pPr>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处理站出水口</w:t>
            </w:r>
          </w:p>
        </w:tc>
        <w:tc>
          <w:tcPr>
            <w:tcW w:w="1473" w:type="dxa"/>
            <w:vAlign w:val="center"/>
          </w:tcPr>
          <w:p w14:paraId="26B540AB">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pH、CODcr、BOD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、SS、NH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-N、TP</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TN等</w:t>
            </w:r>
          </w:p>
        </w:tc>
        <w:tc>
          <w:tcPr>
            <w:tcW w:w="1986" w:type="dxa"/>
            <w:vAlign w:val="center"/>
          </w:tcPr>
          <w:p w14:paraId="72D047BB">
            <w:pPr>
              <w:pStyle w:val="86"/>
              <w:jc w:val="center"/>
              <w:rPr>
                <w:rFonts w:hint="eastAsia" w:cs="Times New Roman"/>
                <w:color w:val="auto"/>
                <w:sz w:val="24"/>
                <w:szCs w:val="24"/>
                <w:highlight w:val="none"/>
                <w:lang w:val="en-US" w:eastAsia="zh-CN"/>
              </w:rPr>
            </w:pPr>
            <w:r>
              <w:rPr>
                <w:rFonts w:hint="eastAsia"/>
                <w:color w:val="auto"/>
                <w:sz w:val="24"/>
                <w:szCs w:val="24"/>
                <w:highlight w:val="none"/>
                <w:lang w:val="en-US"/>
              </w:rPr>
              <w:t>1套全量化处理站，设计处理能力为50吨/天，采用“预处理+两级DTRO+低温真空蒸发+固化”工艺</w:t>
            </w:r>
          </w:p>
        </w:tc>
        <w:tc>
          <w:tcPr>
            <w:tcW w:w="1916" w:type="dxa"/>
            <w:vAlign w:val="center"/>
          </w:tcPr>
          <w:p w14:paraId="4EECA799">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达到《城镇污水处理厂污染物排放标准》（GB18918-2002）中一级A标排放标准及《城市污水再生利用 城市杂用水水质》（GB/T18920-2020）中城市绿化水质标准要求后，</w:t>
            </w:r>
            <w:r>
              <w:rPr>
                <w:rFonts w:hint="eastAsia" w:cs="Times New Roman"/>
                <w:color w:val="auto"/>
                <w:kern w:val="2"/>
                <w:sz w:val="24"/>
                <w:szCs w:val="24"/>
                <w:highlight w:val="none"/>
                <w:lang w:val="en-US" w:eastAsia="zh-CN" w:bidi="ar-SA"/>
              </w:rPr>
              <w:t>回用于</w:t>
            </w:r>
            <w:r>
              <w:rPr>
                <w:rFonts w:hint="default" w:ascii="Times New Roman" w:hAnsi="Times New Roman" w:eastAsia="宋体" w:cs="Times New Roman"/>
                <w:color w:val="auto"/>
                <w:kern w:val="2"/>
                <w:sz w:val="24"/>
                <w:szCs w:val="24"/>
                <w:highlight w:val="none"/>
                <w:lang w:val="en-US" w:eastAsia="zh-CN" w:bidi="ar-SA"/>
              </w:rPr>
              <w:t>填埋场区绿化灌溉，不外排</w:t>
            </w:r>
          </w:p>
        </w:tc>
      </w:tr>
      <w:tr w14:paraId="5E4B9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Align w:val="center"/>
          </w:tcPr>
          <w:p w14:paraId="2F97F520">
            <w:pPr>
              <w:adjustRightInd w:val="0"/>
              <w:snapToGrid w:val="0"/>
              <w:jc w:val="center"/>
              <w:rPr>
                <w:color w:val="auto"/>
                <w:sz w:val="24"/>
                <w:szCs w:val="24"/>
                <w:highlight w:val="none"/>
              </w:rPr>
            </w:pPr>
            <w:r>
              <w:rPr>
                <w:rFonts w:hAnsi="宋体"/>
                <w:color w:val="auto"/>
                <w:sz w:val="24"/>
                <w:szCs w:val="24"/>
                <w:highlight w:val="none"/>
              </w:rPr>
              <w:t>声环境</w:t>
            </w:r>
          </w:p>
        </w:tc>
        <w:tc>
          <w:tcPr>
            <w:tcW w:w="1922" w:type="dxa"/>
            <w:vAlign w:val="center"/>
          </w:tcPr>
          <w:p w14:paraId="65001857">
            <w:pPr>
              <w:adjustRightInd w:val="0"/>
              <w:snapToGrid w:val="0"/>
              <w:jc w:val="center"/>
              <w:rPr>
                <w:color w:val="auto"/>
                <w:sz w:val="24"/>
                <w:szCs w:val="24"/>
                <w:highlight w:val="none"/>
              </w:rPr>
            </w:pPr>
            <w:r>
              <w:rPr>
                <w:color w:val="auto"/>
                <w:sz w:val="24"/>
                <w:szCs w:val="24"/>
                <w:highlight w:val="none"/>
              </w:rPr>
              <w:t>生产设备</w:t>
            </w:r>
          </w:p>
        </w:tc>
        <w:tc>
          <w:tcPr>
            <w:tcW w:w="1473" w:type="dxa"/>
            <w:vAlign w:val="center"/>
          </w:tcPr>
          <w:p w14:paraId="029CD6BE">
            <w:pPr>
              <w:adjustRightInd w:val="0"/>
              <w:snapToGrid w:val="0"/>
              <w:jc w:val="center"/>
              <w:rPr>
                <w:color w:val="auto"/>
                <w:sz w:val="24"/>
                <w:szCs w:val="24"/>
                <w:highlight w:val="none"/>
              </w:rPr>
            </w:pPr>
            <w:r>
              <w:rPr>
                <w:rFonts w:hint="default"/>
                <w:color w:val="auto"/>
                <w:sz w:val="24"/>
                <w:szCs w:val="24"/>
                <w:highlight w:val="none"/>
              </w:rPr>
              <w:t>等效连续A 声级</w:t>
            </w:r>
          </w:p>
        </w:tc>
        <w:tc>
          <w:tcPr>
            <w:tcW w:w="1986" w:type="dxa"/>
            <w:vAlign w:val="center"/>
          </w:tcPr>
          <w:p w14:paraId="0EBFB360">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rPr>
              <w:t>合理布局、</w:t>
            </w:r>
            <w:r>
              <w:rPr>
                <w:rFonts w:hint="eastAsia"/>
                <w:color w:val="auto"/>
                <w:sz w:val="24"/>
                <w:szCs w:val="24"/>
                <w:highlight w:val="none"/>
                <w:lang w:val="en-US" w:eastAsia="zh-CN"/>
              </w:rPr>
              <w:t>设备置于室内</w:t>
            </w:r>
          </w:p>
        </w:tc>
        <w:tc>
          <w:tcPr>
            <w:tcW w:w="1916" w:type="dxa"/>
            <w:vAlign w:val="center"/>
          </w:tcPr>
          <w:p w14:paraId="7F7D9A73">
            <w:pPr>
              <w:adjustRightInd w:val="0"/>
              <w:snapToGrid w:val="0"/>
              <w:jc w:val="center"/>
              <w:rPr>
                <w:color w:val="auto"/>
                <w:sz w:val="24"/>
                <w:szCs w:val="24"/>
                <w:highlight w:val="none"/>
              </w:rPr>
            </w:pPr>
            <w:r>
              <w:rPr>
                <w:rFonts w:hint="eastAsia"/>
                <w:color w:val="auto"/>
                <w:sz w:val="24"/>
                <w:szCs w:val="24"/>
                <w:highlight w:val="none"/>
              </w:rPr>
              <w:t>《工业企业厂界环境噪声排放标准》（GB12348-2008）</w:t>
            </w:r>
            <w:r>
              <w:rPr>
                <w:rFonts w:hint="eastAsia"/>
                <w:color w:val="auto"/>
                <w:sz w:val="24"/>
                <w:szCs w:val="24"/>
                <w:highlight w:val="none"/>
                <w:lang w:val="en-US" w:eastAsia="zh-CN"/>
              </w:rPr>
              <w:t>2</w:t>
            </w:r>
            <w:r>
              <w:rPr>
                <w:rFonts w:hint="eastAsia"/>
                <w:color w:val="auto"/>
                <w:sz w:val="24"/>
                <w:szCs w:val="24"/>
                <w:highlight w:val="none"/>
              </w:rPr>
              <w:t>类标准</w:t>
            </w:r>
          </w:p>
        </w:tc>
      </w:tr>
      <w:tr w14:paraId="125BD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Align w:val="center"/>
          </w:tcPr>
          <w:p w14:paraId="51DBE0EA">
            <w:pPr>
              <w:adjustRightInd w:val="0"/>
              <w:snapToGrid w:val="0"/>
              <w:jc w:val="center"/>
              <w:rPr>
                <w:color w:val="auto"/>
                <w:sz w:val="24"/>
                <w:szCs w:val="24"/>
                <w:highlight w:val="none"/>
              </w:rPr>
            </w:pPr>
            <w:r>
              <w:rPr>
                <w:rFonts w:hAnsi="宋体"/>
                <w:color w:val="auto"/>
                <w:sz w:val="24"/>
                <w:szCs w:val="24"/>
                <w:highlight w:val="none"/>
              </w:rPr>
              <w:t>电磁辐射</w:t>
            </w:r>
          </w:p>
        </w:tc>
        <w:tc>
          <w:tcPr>
            <w:tcW w:w="7297" w:type="dxa"/>
            <w:gridSpan w:val="4"/>
            <w:vAlign w:val="center"/>
          </w:tcPr>
          <w:p w14:paraId="2F27DBE5">
            <w:pPr>
              <w:adjustRightInd w:val="0"/>
              <w:snapToGrid w:val="0"/>
              <w:jc w:val="center"/>
              <w:rPr>
                <w:color w:val="auto"/>
                <w:sz w:val="24"/>
                <w:szCs w:val="24"/>
                <w:highlight w:val="none"/>
              </w:rPr>
            </w:pPr>
            <w:r>
              <w:rPr>
                <w:rFonts w:hint="eastAsia"/>
                <w:color w:val="auto"/>
                <w:sz w:val="24"/>
                <w:szCs w:val="24"/>
                <w:highlight w:val="none"/>
              </w:rPr>
              <w:t>/</w:t>
            </w:r>
          </w:p>
        </w:tc>
      </w:tr>
      <w:tr w14:paraId="3F42C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restart"/>
            <w:vAlign w:val="center"/>
          </w:tcPr>
          <w:p w14:paraId="246E620F">
            <w:pPr>
              <w:adjustRightInd w:val="0"/>
              <w:snapToGrid w:val="0"/>
              <w:jc w:val="center"/>
              <w:rPr>
                <w:rFonts w:hAnsi="宋体"/>
                <w:color w:val="auto"/>
                <w:sz w:val="24"/>
                <w:szCs w:val="24"/>
                <w:highlight w:val="none"/>
              </w:rPr>
            </w:pPr>
            <w:r>
              <w:rPr>
                <w:rFonts w:hAnsi="宋体"/>
                <w:color w:val="auto"/>
                <w:sz w:val="24"/>
                <w:szCs w:val="24"/>
                <w:highlight w:val="none"/>
              </w:rPr>
              <w:t>固体废物</w:t>
            </w:r>
          </w:p>
        </w:tc>
        <w:tc>
          <w:tcPr>
            <w:tcW w:w="1922" w:type="dxa"/>
            <w:vAlign w:val="center"/>
          </w:tcPr>
          <w:p w14:paraId="4CCCB91E">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4"/>
                <w:sz w:val="24"/>
                <w:szCs w:val="24"/>
                <w:highlight w:val="none"/>
              </w:rPr>
              <w:t>办公、生活</w:t>
            </w:r>
          </w:p>
        </w:tc>
        <w:tc>
          <w:tcPr>
            <w:tcW w:w="1473" w:type="dxa"/>
            <w:vAlign w:val="center"/>
          </w:tcPr>
          <w:p w14:paraId="02992034">
            <w:pPr>
              <w:adjustRightInd w:val="0"/>
              <w:snapToGrid w:val="0"/>
              <w:jc w:val="center"/>
              <w:rPr>
                <w:rFonts w:hint="eastAsia" w:ascii="Times New Roman" w:hAnsi="Times New Roman" w:eastAsia="宋体" w:cs="Times New Roman"/>
                <w:color w:val="auto"/>
                <w:kern w:val="24"/>
                <w:sz w:val="24"/>
                <w:szCs w:val="24"/>
                <w:highlight w:val="none"/>
                <w:lang w:val="en-US" w:eastAsia="zh-CN" w:bidi="ar-SA"/>
              </w:rPr>
            </w:pPr>
            <w:r>
              <w:rPr>
                <w:rFonts w:hint="default" w:ascii="Times New Roman" w:hAnsi="Times New Roman" w:cs="Times New Roman"/>
                <w:color w:val="auto"/>
                <w:kern w:val="24"/>
                <w:sz w:val="24"/>
                <w:szCs w:val="24"/>
                <w:highlight w:val="none"/>
              </w:rPr>
              <w:t>生活垃圾</w:t>
            </w:r>
          </w:p>
        </w:tc>
        <w:tc>
          <w:tcPr>
            <w:tcW w:w="1986" w:type="dxa"/>
            <w:vMerge w:val="restart"/>
            <w:vAlign w:val="center"/>
          </w:tcPr>
          <w:p w14:paraId="7C77BB7E">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目前运至二期填埋区填埋，二期填埋区封场后运至澄江市垃圾焚烧发电厂处理</w:t>
            </w:r>
          </w:p>
        </w:tc>
        <w:tc>
          <w:tcPr>
            <w:tcW w:w="1916" w:type="dxa"/>
            <w:vMerge w:val="restart"/>
            <w:vAlign w:val="center"/>
          </w:tcPr>
          <w:p w14:paraId="5E6B8EFC">
            <w:pPr>
              <w:jc w:val="center"/>
              <w:rPr>
                <w:color w:val="auto"/>
                <w:sz w:val="24"/>
                <w:szCs w:val="24"/>
                <w:highlight w:val="none"/>
              </w:rPr>
            </w:pPr>
            <w:r>
              <w:rPr>
                <w:rFonts w:ascii="Times New Roman" w:hAnsi="Times New Roman" w:cs="Times New Roman"/>
                <w:color w:val="auto"/>
                <w:kern w:val="24"/>
                <w:sz w:val="24"/>
                <w:szCs w:val="24"/>
                <w:highlight w:val="none"/>
              </w:rPr>
              <w:t>《</w:t>
            </w:r>
            <w:r>
              <w:rPr>
                <w:rFonts w:hint="eastAsia" w:ascii="Times New Roman" w:hAnsi="Times New Roman" w:cs="Times New Roman"/>
                <w:color w:val="auto"/>
                <w:kern w:val="24"/>
                <w:sz w:val="24"/>
                <w:szCs w:val="24"/>
                <w:highlight w:val="none"/>
              </w:rPr>
              <w:t>一般工业固体废物贮存和填埋污染控制标准</w:t>
            </w:r>
            <w:r>
              <w:rPr>
                <w:rFonts w:ascii="Times New Roman" w:hAnsi="Times New Roman" w:cs="Times New Roman"/>
                <w:color w:val="auto"/>
                <w:kern w:val="24"/>
                <w:sz w:val="24"/>
                <w:szCs w:val="24"/>
                <w:highlight w:val="none"/>
              </w:rPr>
              <w:t>》（GB</w:t>
            </w:r>
            <w:r>
              <w:rPr>
                <w:rFonts w:hint="eastAsia" w:ascii="Times New Roman" w:hAnsi="Times New Roman" w:cs="Times New Roman"/>
                <w:color w:val="auto"/>
                <w:kern w:val="24"/>
                <w:sz w:val="24"/>
                <w:szCs w:val="24"/>
                <w:highlight w:val="none"/>
              </w:rPr>
              <w:t>18599-2020</w:t>
            </w:r>
            <w:r>
              <w:rPr>
                <w:rFonts w:ascii="Times New Roman" w:hAnsi="Times New Roman" w:cs="Times New Roman"/>
                <w:color w:val="auto"/>
                <w:kern w:val="24"/>
                <w:sz w:val="24"/>
                <w:szCs w:val="24"/>
                <w:highlight w:val="none"/>
              </w:rPr>
              <w:t>）</w:t>
            </w:r>
          </w:p>
        </w:tc>
      </w:tr>
      <w:tr w14:paraId="1EB4C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948" w:type="dxa"/>
            <w:vMerge w:val="continue"/>
            <w:vAlign w:val="center"/>
          </w:tcPr>
          <w:p w14:paraId="535E8E7D">
            <w:pPr>
              <w:adjustRightInd w:val="0"/>
              <w:snapToGrid w:val="0"/>
              <w:jc w:val="center"/>
              <w:rPr>
                <w:rFonts w:hAnsi="宋体"/>
                <w:color w:val="auto"/>
                <w:sz w:val="24"/>
                <w:szCs w:val="24"/>
                <w:highlight w:val="none"/>
              </w:rPr>
            </w:pPr>
          </w:p>
        </w:tc>
        <w:tc>
          <w:tcPr>
            <w:tcW w:w="1922" w:type="dxa"/>
            <w:vAlign w:val="center"/>
          </w:tcPr>
          <w:p w14:paraId="19ACCE0A">
            <w:pPr>
              <w:adjustRightInd w:val="0"/>
              <w:snapToGrid w:val="0"/>
              <w:jc w:val="center"/>
              <w:rPr>
                <w:rFonts w:hint="eastAsia" w:ascii="Times New Roman" w:hAnsi="Times New Roman" w:eastAsia="宋体" w:cs="Times New Roman"/>
                <w:color w:val="auto"/>
                <w:kern w:val="24"/>
                <w:sz w:val="24"/>
                <w:szCs w:val="24"/>
                <w:highlight w:val="none"/>
                <w:lang w:eastAsia="zh-CN"/>
              </w:rPr>
            </w:pPr>
            <w:r>
              <w:rPr>
                <w:rFonts w:hint="eastAsia" w:ascii="Times New Roman" w:hAnsi="Times New Roman" w:eastAsia="宋体" w:cs="Times New Roman"/>
                <w:color w:val="auto"/>
                <w:kern w:val="24"/>
                <w:sz w:val="24"/>
                <w:szCs w:val="24"/>
                <w:highlight w:val="none"/>
                <w:lang w:val="en-US" w:eastAsia="zh-CN"/>
              </w:rPr>
              <w:t>砂滤泥砂</w:t>
            </w:r>
          </w:p>
        </w:tc>
        <w:tc>
          <w:tcPr>
            <w:tcW w:w="1473" w:type="dxa"/>
            <w:vAlign w:val="center"/>
          </w:tcPr>
          <w:p w14:paraId="19BD4B14">
            <w:pPr>
              <w:adjustRightInd w:val="0"/>
              <w:snapToGrid w:val="0"/>
              <w:jc w:val="center"/>
              <w:rPr>
                <w:rFonts w:hint="default" w:ascii="Times New Roman" w:hAnsi="Times New Roman" w:cs="Times New Roman"/>
                <w:color w:val="auto"/>
                <w:kern w:val="24"/>
                <w:sz w:val="24"/>
                <w:szCs w:val="24"/>
                <w:highlight w:val="none"/>
              </w:rPr>
            </w:pPr>
            <w:r>
              <w:rPr>
                <w:rFonts w:hint="eastAsia" w:cs="Times New Roman"/>
                <w:color w:val="auto"/>
                <w:kern w:val="2"/>
                <w:sz w:val="24"/>
                <w:szCs w:val="24"/>
                <w:highlight w:val="none"/>
                <w:lang w:val="en-US" w:eastAsia="zh-CN" w:bidi="ar-SA"/>
              </w:rPr>
              <w:t>泥砂</w:t>
            </w:r>
          </w:p>
        </w:tc>
        <w:tc>
          <w:tcPr>
            <w:tcW w:w="1986" w:type="dxa"/>
            <w:vMerge w:val="continue"/>
            <w:vAlign w:val="center"/>
          </w:tcPr>
          <w:p w14:paraId="2FE92123">
            <w:pPr>
              <w:adjustRightInd w:val="0"/>
              <w:snapToGrid w:val="0"/>
              <w:jc w:val="center"/>
              <w:rPr>
                <w:rFonts w:hint="eastAsia" w:cs="Times New Roman"/>
                <w:color w:val="auto"/>
                <w:kern w:val="24"/>
                <w:sz w:val="24"/>
                <w:szCs w:val="24"/>
                <w:highlight w:val="none"/>
                <w:lang w:eastAsia="zh-CN"/>
              </w:rPr>
            </w:pPr>
          </w:p>
        </w:tc>
        <w:tc>
          <w:tcPr>
            <w:tcW w:w="1916" w:type="dxa"/>
            <w:vMerge w:val="continue"/>
            <w:vAlign w:val="center"/>
          </w:tcPr>
          <w:p w14:paraId="785EBB78">
            <w:pPr>
              <w:jc w:val="center"/>
              <w:rPr>
                <w:rFonts w:ascii="Times New Roman" w:hAnsi="Times New Roman" w:cs="Times New Roman"/>
                <w:color w:val="auto"/>
                <w:kern w:val="24"/>
                <w:sz w:val="24"/>
                <w:szCs w:val="24"/>
                <w:highlight w:val="none"/>
              </w:rPr>
            </w:pPr>
          </w:p>
        </w:tc>
      </w:tr>
      <w:tr w14:paraId="087D2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continue"/>
            <w:vAlign w:val="center"/>
          </w:tcPr>
          <w:p w14:paraId="3E3CA9AE">
            <w:pPr>
              <w:adjustRightInd w:val="0"/>
              <w:snapToGrid w:val="0"/>
              <w:jc w:val="center"/>
              <w:rPr>
                <w:rFonts w:hAnsi="宋体"/>
                <w:color w:val="auto"/>
                <w:sz w:val="24"/>
                <w:szCs w:val="24"/>
                <w:highlight w:val="none"/>
              </w:rPr>
            </w:pPr>
          </w:p>
        </w:tc>
        <w:tc>
          <w:tcPr>
            <w:tcW w:w="1922" w:type="dxa"/>
            <w:vAlign w:val="center"/>
          </w:tcPr>
          <w:p w14:paraId="2B930BB6">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消泡剂及阻垢剂包装桶</w:t>
            </w:r>
          </w:p>
        </w:tc>
        <w:tc>
          <w:tcPr>
            <w:tcW w:w="1473" w:type="dxa"/>
            <w:vAlign w:val="center"/>
          </w:tcPr>
          <w:p w14:paraId="60D584C8">
            <w:pPr>
              <w:adjustRightInd w:val="0"/>
              <w:snapToGrid w:val="0"/>
              <w:jc w:val="center"/>
              <w:rPr>
                <w:rFonts w:hint="eastAsia" w:ascii="Times New Roman" w:hAnsi="Times New Roman" w:eastAsia="宋体" w:cs="Times New Roman"/>
                <w:color w:val="auto"/>
                <w:kern w:val="24"/>
                <w:sz w:val="24"/>
                <w:szCs w:val="24"/>
                <w:highlight w:val="none"/>
                <w:lang w:val="en-US" w:eastAsia="zh-CN" w:bidi="ar-SA"/>
              </w:rPr>
            </w:pPr>
            <w:r>
              <w:rPr>
                <w:rFonts w:hint="eastAsia" w:ascii="Times New Roman" w:hAnsi="Times New Roman" w:eastAsia="宋体" w:cs="Times New Roman"/>
                <w:color w:val="auto"/>
                <w:kern w:val="24"/>
                <w:sz w:val="24"/>
                <w:szCs w:val="24"/>
                <w:highlight w:val="none"/>
                <w:lang w:val="en-US" w:eastAsia="zh-CN" w:bidi="ar-SA"/>
              </w:rPr>
              <w:t>包装桶</w:t>
            </w:r>
          </w:p>
        </w:tc>
        <w:tc>
          <w:tcPr>
            <w:tcW w:w="1986" w:type="dxa"/>
            <w:vAlign w:val="center"/>
          </w:tcPr>
          <w:p w14:paraId="411E30B8">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由渗滤液处理站运维方回收处置</w:t>
            </w:r>
          </w:p>
        </w:tc>
        <w:tc>
          <w:tcPr>
            <w:tcW w:w="1916" w:type="dxa"/>
            <w:vMerge w:val="continue"/>
            <w:vAlign w:val="center"/>
          </w:tcPr>
          <w:p w14:paraId="05C119E8">
            <w:pPr>
              <w:jc w:val="center"/>
              <w:rPr>
                <w:rFonts w:ascii="Times New Roman" w:hAnsi="Times New Roman" w:cs="Times New Roman"/>
                <w:color w:val="auto"/>
                <w:kern w:val="24"/>
                <w:sz w:val="24"/>
                <w:szCs w:val="24"/>
                <w:highlight w:val="none"/>
              </w:rPr>
            </w:pPr>
          </w:p>
        </w:tc>
      </w:tr>
      <w:tr w14:paraId="48F3A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continue"/>
            <w:vAlign w:val="center"/>
          </w:tcPr>
          <w:p w14:paraId="7C2EEF4A">
            <w:pPr>
              <w:adjustRightInd w:val="0"/>
              <w:snapToGrid w:val="0"/>
              <w:jc w:val="center"/>
              <w:rPr>
                <w:rFonts w:hAnsi="宋体"/>
                <w:color w:val="auto"/>
                <w:sz w:val="24"/>
                <w:szCs w:val="24"/>
                <w:highlight w:val="none"/>
              </w:rPr>
            </w:pPr>
          </w:p>
        </w:tc>
        <w:tc>
          <w:tcPr>
            <w:tcW w:w="1922" w:type="dxa"/>
            <w:vAlign w:val="center"/>
          </w:tcPr>
          <w:p w14:paraId="2469E95F">
            <w:pPr>
              <w:adjustRightInd w:val="0"/>
              <w:snapToGrid w:val="0"/>
              <w:jc w:val="center"/>
              <w:rPr>
                <w:rFonts w:hint="default" w:ascii="Times New Roman" w:hAnsi="Times New Roman" w:cs="Times New Roman"/>
                <w:color w:val="auto"/>
                <w:kern w:val="24"/>
                <w:sz w:val="24"/>
                <w:szCs w:val="24"/>
                <w:highlight w:val="none"/>
                <w:lang w:val="en-US" w:eastAsia="zh-CN"/>
              </w:rPr>
            </w:pPr>
            <w:r>
              <w:rPr>
                <w:rFonts w:hint="eastAsia" w:cs="Times New Roman"/>
                <w:color w:val="auto"/>
                <w:kern w:val="24"/>
                <w:sz w:val="24"/>
                <w:szCs w:val="24"/>
                <w:highlight w:val="none"/>
                <w:lang w:val="en-US" w:eastAsia="zh-CN"/>
              </w:rPr>
              <w:t>更换的反渗透膜</w:t>
            </w:r>
          </w:p>
        </w:tc>
        <w:tc>
          <w:tcPr>
            <w:tcW w:w="1473" w:type="dxa"/>
            <w:vAlign w:val="center"/>
          </w:tcPr>
          <w:p w14:paraId="72B0BC57">
            <w:pPr>
              <w:adjustRightInd w:val="0"/>
              <w:snapToGrid w:val="0"/>
              <w:jc w:val="center"/>
              <w:rPr>
                <w:rFonts w:hint="eastAsia" w:ascii="Times New Roman" w:hAnsi="Times New Roman" w:cs="Times New Roman"/>
                <w:color w:val="auto"/>
                <w:kern w:val="24"/>
                <w:sz w:val="24"/>
                <w:szCs w:val="24"/>
                <w:highlight w:val="none"/>
                <w:lang w:val="en-US" w:eastAsia="zh-CN"/>
              </w:rPr>
            </w:pPr>
            <w:r>
              <w:rPr>
                <w:rFonts w:hint="eastAsia" w:ascii="Times New Roman" w:hAnsi="Times New Roman" w:cs="Times New Roman"/>
                <w:color w:val="auto"/>
                <w:kern w:val="24"/>
                <w:sz w:val="24"/>
                <w:szCs w:val="24"/>
                <w:highlight w:val="none"/>
                <w:lang w:val="en-US" w:eastAsia="zh-CN"/>
              </w:rPr>
              <w:t>反渗透膜</w:t>
            </w:r>
          </w:p>
        </w:tc>
        <w:tc>
          <w:tcPr>
            <w:tcW w:w="1986" w:type="dxa"/>
            <w:vAlign w:val="center"/>
          </w:tcPr>
          <w:p w14:paraId="019E2398">
            <w:pPr>
              <w:adjustRightInd w:val="0"/>
              <w:snapToGrid w:val="0"/>
              <w:jc w:val="center"/>
              <w:rPr>
                <w:rFonts w:hint="default" w:ascii="Times New Roman" w:hAnsi="Times New Roman" w:cs="Times New Roman"/>
                <w:color w:val="auto"/>
                <w:kern w:val="24"/>
                <w:sz w:val="24"/>
                <w:szCs w:val="24"/>
                <w:highlight w:val="none"/>
                <w:lang w:val="en-US" w:eastAsia="zh-CN"/>
              </w:rPr>
            </w:pPr>
            <w:r>
              <w:rPr>
                <w:rFonts w:hint="default" w:ascii="Times New Roman" w:hAnsi="Times New Roman" w:cs="Times New Roman"/>
                <w:color w:val="auto"/>
                <w:kern w:val="24"/>
                <w:sz w:val="24"/>
                <w:szCs w:val="24"/>
                <w:highlight w:val="none"/>
                <w:lang w:val="en-US" w:eastAsia="zh-CN"/>
              </w:rPr>
              <w:t>由设备厂家更换带走</w:t>
            </w:r>
          </w:p>
        </w:tc>
        <w:tc>
          <w:tcPr>
            <w:tcW w:w="1916" w:type="dxa"/>
            <w:vMerge w:val="continue"/>
            <w:vAlign w:val="center"/>
          </w:tcPr>
          <w:p w14:paraId="5CFDA76B">
            <w:pPr>
              <w:jc w:val="center"/>
              <w:rPr>
                <w:rFonts w:ascii="Times New Roman" w:hAnsi="Times New Roman" w:cs="Times New Roman"/>
                <w:color w:val="auto"/>
                <w:kern w:val="24"/>
                <w:sz w:val="24"/>
                <w:szCs w:val="24"/>
                <w:highlight w:val="none"/>
              </w:rPr>
            </w:pPr>
          </w:p>
        </w:tc>
      </w:tr>
      <w:tr w14:paraId="637CE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continue"/>
            <w:vAlign w:val="center"/>
          </w:tcPr>
          <w:p w14:paraId="7AE976E2">
            <w:pPr>
              <w:adjustRightInd w:val="0"/>
              <w:snapToGrid w:val="0"/>
              <w:jc w:val="center"/>
              <w:rPr>
                <w:rFonts w:hAnsi="宋体"/>
                <w:color w:val="auto"/>
                <w:sz w:val="24"/>
                <w:szCs w:val="24"/>
                <w:highlight w:val="none"/>
              </w:rPr>
            </w:pPr>
          </w:p>
        </w:tc>
        <w:tc>
          <w:tcPr>
            <w:tcW w:w="1922" w:type="dxa"/>
            <w:vAlign w:val="center"/>
          </w:tcPr>
          <w:p w14:paraId="3B9B60B4">
            <w:pPr>
              <w:adjustRightInd w:val="0"/>
              <w:snapToGrid w:val="0"/>
              <w:jc w:val="center"/>
              <w:rPr>
                <w:rFonts w:hint="default" w:cs="Times New Roman"/>
                <w:color w:val="auto"/>
                <w:kern w:val="24"/>
                <w:sz w:val="24"/>
                <w:szCs w:val="24"/>
                <w:highlight w:val="none"/>
                <w:lang w:val="en-US" w:eastAsia="zh-CN"/>
              </w:rPr>
            </w:pPr>
            <w:r>
              <w:rPr>
                <w:rFonts w:hint="eastAsia" w:cs="Times New Roman"/>
                <w:color w:val="auto"/>
                <w:kern w:val="24"/>
                <w:sz w:val="24"/>
                <w:szCs w:val="24"/>
                <w:highlight w:val="none"/>
                <w:lang w:val="en-US" w:eastAsia="zh-CN"/>
              </w:rPr>
              <w:t>废离子交换树脂</w:t>
            </w:r>
          </w:p>
        </w:tc>
        <w:tc>
          <w:tcPr>
            <w:tcW w:w="1473" w:type="dxa"/>
            <w:vAlign w:val="center"/>
          </w:tcPr>
          <w:p w14:paraId="6B2C80F2">
            <w:pPr>
              <w:adjustRightInd w:val="0"/>
              <w:snapToGrid w:val="0"/>
              <w:jc w:val="center"/>
              <w:rPr>
                <w:rFonts w:hint="eastAsia" w:ascii="Times New Roman" w:hAnsi="Times New Roman" w:cs="Times New Roman"/>
                <w:color w:val="auto"/>
                <w:kern w:val="24"/>
                <w:sz w:val="24"/>
                <w:szCs w:val="24"/>
                <w:highlight w:val="none"/>
                <w:lang w:val="en-US" w:eastAsia="zh-CN"/>
              </w:rPr>
            </w:pPr>
            <w:r>
              <w:rPr>
                <w:rFonts w:hint="eastAsia" w:cs="Times New Roman"/>
                <w:color w:val="auto"/>
                <w:kern w:val="24"/>
                <w:sz w:val="24"/>
                <w:szCs w:val="24"/>
                <w:highlight w:val="none"/>
                <w:lang w:val="en-US" w:eastAsia="zh-CN"/>
              </w:rPr>
              <w:t>离子交换树脂</w:t>
            </w:r>
          </w:p>
        </w:tc>
        <w:tc>
          <w:tcPr>
            <w:tcW w:w="1986" w:type="dxa"/>
            <w:vAlign w:val="center"/>
          </w:tcPr>
          <w:p w14:paraId="17D1D813">
            <w:pPr>
              <w:adjustRightInd w:val="0"/>
              <w:snapToGrid w:val="0"/>
              <w:jc w:val="center"/>
              <w:rPr>
                <w:rFonts w:hint="default" w:ascii="Times New Roman" w:hAnsi="Times New Roman" w:cs="Times New Roman"/>
                <w:color w:val="auto"/>
                <w:kern w:val="24"/>
                <w:sz w:val="24"/>
                <w:szCs w:val="24"/>
                <w:highlight w:val="none"/>
                <w:lang w:val="en-US" w:eastAsia="zh-CN"/>
              </w:rPr>
            </w:pPr>
            <w:r>
              <w:rPr>
                <w:rFonts w:hint="default" w:ascii="Times New Roman" w:hAnsi="Times New Roman" w:cs="Times New Roman"/>
                <w:color w:val="auto"/>
                <w:kern w:val="24"/>
                <w:sz w:val="24"/>
                <w:szCs w:val="24"/>
                <w:highlight w:val="none"/>
                <w:lang w:val="en-US" w:eastAsia="zh-CN"/>
              </w:rPr>
              <w:t>由设备厂家更换带走</w:t>
            </w:r>
          </w:p>
        </w:tc>
        <w:tc>
          <w:tcPr>
            <w:tcW w:w="1916" w:type="dxa"/>
            <w:vMerge w:val="continue"/>
            <w:vAlign w:val="center"/>
          </w:tcPr>
          <w:p w14:paraId="2BE3ECD6">
            <w:pPr>
              <w:jc w:val="center"/>
              <w:rPr>
                <w:rFonts w:ascii="Times New Roman" w:hAnsi="Times New Roman" w:cs="Times New Roman"/>
                <w:color w:val="auto"/>
                <w:kern w:val="24"/>
                <w:sz w:val="24"/>
                <w:szCs w:val="24"/>
                <w:highlight w:val="none"/>
              </w:rPr>
            </w:pPr>
          </w:p>
        </w:tc>
      </w:tr>
      <w:tr w14:paraId="55AC2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continue"/>
            <w:vAlign w:val="center"/>
          </w:tcPr>
          <w:p w14:paraId="27FC1CDC">
            <w:pPr>
              <w:adjustRightInd w:val="0"/>
              <w:snapToGrid w:val="0"/>
              <w:jc w:val="center"/>
              <w:rPr>
                <w:rFonts w:hAnsi="宋体"/>
                <w:color w:val="auto"/>
                <w:sz w:val="24"/>
                <w:szCs w:val="24"/>
                <w:highlight w:val="none"/>
              </w:rPr>
            </w:pPr>
          </w:p>
        </w:tc>
        <w:tc>
          <w:tcPr>
            <w:tcW w:w="1922" w:type="dxa"/>
            <w:vAlign w:val="center"/>
          </w:tcPr>
          <w:p w14:paraId="22C20811">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固化渣</w:t>
            </w:r>
          </w:p>
        </w:tc>
        <w:tc>
          <w:tcPr>
            <w:tcW w:w="1473" w:type="dxa"/>
            <w:vAlign w:val="center"/>
          </w:tcPr>
          <w:p w14:paraId="52E703D7">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水泥、粉煤灰、蒸发母液</w:t>
            </w:r>
          </w:p>
        </w:tc>
        <w:tc>
          <w:tcPr>
            <w:tcW w:w="1986" w:type="dxa"/>
            <w:vAlign w:val="center"/>
          </w:tcPr>
          <w:p w14:paraId="15E4ED5A">
            <w:pPr>
              <w:adjustRightInd w:val="0"/>
              <w:snapToGrid w:val="0"/>
              <w:jc w:val="center"/>
              <w:rPr>
                <w:rFonts w:hint="eastAsia"/>
                <w:color w:val="auto"/>
                <w:sz w:val="24"/>
                <w:szCs w:val="24"/>
                <w:highlight w:val="none"/>
                <w:lang w:eastAsia="zh-CN"/>
              </w:rPr>
            </w:pPr>
            <w:r>
              <w:rPr>
                <w:color w:val="auto"/>
                <w:kern w:val="24"/>
                <w:szCs w:val="21"/>
                <w:highlight w:val="none"/>
              </w:rPr>
              <w:t>待全量化处理设施运行后对固化渣进行固废属性鉴定</w:t>
            </w:r>
            <w:r>
              <w:rPr>
                <w:rFonts w:hint="eastAsia"/>
                <w:color w:val="auto"/>
                <w:kern w:val="24"/>
                <w:szCs w:val="21"/>
                <w:highlight w:val="none"/>
              </w:rPr>
              <w:t>。</w:t>
            </w:r>
            <w:r>
              <w:rPr>
                <w:color w:val="auto"/>
                <w:kern w:val="24"/>
                <w:szCs w:val="21"/>
                <w:highlight w:val="none"/>
              </w:rPr>
              <w:t>经鉴定若为一般固体废物，满足《一般工业固体废物贮存和填埋污染控制标准》（GB18599-2020）</w:t>
            </w:r>
            <w:r>
              <w:rPr>
                <w:rFonts w:hint="eastAsia"/>
                <w:color w:val="auto"/>
                <w:kern w:val="24"/>
                <w:szCs w:val="21"/>
                <w:highlight w:val="none"/>
                <w:lang w:eastAsia="zh-CN"/>
              </w:rPr>
              <w:t>、《</w:t>
            </w:r>
            <w:r>
              <w:rPr>
                <w:rFonts w:hint="eastAsia"/>
                <w:color w:val="auto"/>
                <w:kern w:val="24"/>
                <w:szCs w:val="21"/>
                <w:highlight w:val="none"/>
                <w:lang w:val="en-US" w:eastAsia="zh-CN"/>
              </w:rPr>
              <w:t>生活垃圾填埋场污染控制标准</w:t>
            </w:r>
            <w:r>
              <w:rPr>
                <w:rFonts w:hint="eastAsia"/>
                <w:color w:val="auto"/>
                <w:kern w:val="24"/>
                <w:szCs w:val="21"/>
                <w:highlight w:val="none"/>
                <w:lang w:eastAsia="zh-CN"/>
              </w:rPr>
              <w:t>》（</w:t>
            </w:r>
            <w:r>
              <w:rPr>
                <w:rFonts w:hint="eastAsia"/>
                <w:color w:val="auto"/>
                <w:kern w:val="24"/>
                <w:szCs w:val="21"/>
                <w:highlight w:val="none"/>
                <w:lang w:val="en-US" w:eastAsia="zh-CN"/>
              </w:rPr>
              <w:t>GB16889-2024</w:t>
            </w:r>
            <w:r>
              <w:rPr>
                <w:rFonts w:hint="eastAsia"/>
                <w:color w:val="auto"/>
                <w:kern w:val="24"/>
                <w:szCs w:val="21"/>
                <w:highlight w:val="none"/>
                <w:lang w:eastAsia="zh-CN"/>
              </w:rPr>
              <w:t>）</w:t>
            </w:r>
            <w:r>
              <w:rPr>
                <w:color w:val="auto"/>
                <w:kern w:val="24"/>
                <w:szCs w:val="21"/>
                <w:highlight w:val="none"/>
              </w:rPr>
              <w:t>中填埋入场标准后进行填埋处置；若鉴定为危险废物则暂存于厂区固化渣暂存间内，及时委托有资质的单位进行处置。</w:t>
            </w:r>
          </w:p>
        </w:tc>
        <w:tc>
          <w:tcPr>
            <w:tcW w:w="1916" w:type="dxa"/>
            <w:vMerge w:val="restart"/>
            <w:vAlign w:val="center"/>
          </w:tcPr>
          <w:p w14:paraId="4B3FFB03">
            <w:pPr>
              <w:jc w:val="center"/>
              <w:rPr>
                <w:rFonts w:hint="eastAsia"/>
                <w:color w:val="auto"/>
                <w:sz w:val="24"/>
                <w:szCs w:val="24"/>
                <w:highlight w:val="none"/>
              </w:rPr>
            </w:pPr>
            <w:r>
              <w:rPr>
                <w:color w:val="auto"/>
                <w:kern w:val="24"/>
                <w:sz w:val="24"/>
                <w:highlight w:val="none"/>
              </w:rPr>
              <w:t>《危险废物贮存污染控制标准》（GB18597-2023）</w:t>
            </w:r>
            <w:r>
              <w:rPr>
                <w:rFonts w:hint="eastAsia"/>
                <w:color w:val="auto"/>
                <w:kern w:val="24"/>
                <w:sz w:val="24"/>
                <w:highlight w:val="none"/>
              </w:rPr>
              <w:t>、</w:t>
            </w:r>
            <w:r>
              <w:rPr>
                <w:color w:val="auto"/>
                <w:kern w:val="24"/>
                <w:sz w:val="24"/>
                <w:highlight w:val="none"/>
              </w:rPr>
              <w:t>《</w:t>
            </w:r>
            <w:r>
              <w:rPr>
                <w:rFonts w:hint="eastAsia"/>
                <w:color w:val="auto"/>
                <w:kern w:val="24"/>
                <w:sz w:val="24"/>
                <w:highlight w:val="none"/>
              </w:rPr>
              <w:t>一般工业固体废物贮存和填埋污染控制标准</w:t>
            </w:r>
            <w:r>
              <w:rPr>
                <w:color w:val="auto"/>
                <w:kern w:val="24"/>
                <w:sz w:val="24"/>
                <w:highlight w:val="none"/>
              </w:rPr>
              <w:t>》（GB</w:t>
            </w:r>
            <w:r>
              <w:rPr>
                <w:rFonts w:hint="eastAsia"/>
                <w:color w:val="auto"/>
                <w:kern w:val="24"/>
                <w:sz w:val="24"/>
                <w:highlight w:val="none"/>
              </w:rPr>
              <w:t>18599-2020</w:t>
            </w:r>
            <w:r>
              <w:rPr>
                <w:color w:val="auto"/>
                <w:kern w:val="24"/>
                <w:sz w:val="24"/>
                <w:highlight w:val="none"/>
              </w:rPr>
              <w:t>）</w:t>
            </w:r>
          </w:p>
        </w:tc>
      </w:tr>
      <w:tr w14:paraId="4E21F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48" w:type="dxa"/>
            <w:vMerge w:val="continue"/>
            <w:vAlign w:val="center"/>
          </w:tcPr>
          <w:p w14:paraId="4160342E">
            <w:pPr>
              <w:adjustRightInd w:val="0"/>
              <w:snapToGrid w:val="0"/>
              <w:jc w:val="center"/>
              <w:rPr>
                <w:rFonts w:hAnsi="宋体"/>
                <w:color w:val="auto"/>
                <w:sz w:val="24"/>
                <w:szCs w:val="24"/>
                <w:highlight w:val="none"/>
              </w:rPr>
            </w:pPr>
          </w:p>
        </w:tc>
        <w:tc>
          <w:tcPr>
            <w:tcW w:w="1922" w:type="dxa"/>
            <w:vAlign w:val="center"/>
          </w:tcPr>
          <w:p w14:paraId="233883C5">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在线监测室</w:t>
            </w:r>
          </w:p>
        </w:tc>
        <w:tc>
          <w:tcPr>
            <w:tcW w:w="1473" w:type="dxa"/>
            <w:vAlign w:val="center"/>
          </w:tcPr>
          <w:p w14:paraId="544581BE">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在线监测废液</w:t>
            </w:r>
          </w:p>
        </w:tc>
        <w:tc>
          <w:tcPr>
            <w:tcW w:w="1986" w:type="dxa"/>
            <w:vAlign w:val="center"/>
          </w:tcPr>
          <w:p w14:paraId="130E5E2F">
            <w:pPr>
              <w:adjustRightInd w:val="0"/>
              <w:snapToGrid w:val="0"/>
              <w:jc w:val="center"/>
              <w:rPr>
                <w:color w:val="auto"/>
                <w:kern w:val="24"/>
                <w:sz w:val="24"/>
                <w:szCs w:val="24"/>
                <w:highlight w:val="none"/>
              </w:rPr>
            </w:pPr>
            <w:r>
              <w:rPr>
                <w:rFonts w:hint="eastAsia"/>
                <w:color w:val="auto"/>
                <w:kern w:val="24"/>
                <w:sz w:val="24"/>
                <w:szCs w:val="24"/>
                <w:highlight w:val="none"/>
              </w:rPr>
              <w:t>委托有资质的单位处置</w:t>
            </w:r>
          </w:p>
        </w:tc>
        <w:tc>
          <w:tcPr>
            <w:tcW w:w="1916" w:type="dxa"/>
            <w:vMerge w:val="continue"/>
            <w:vAlign w:val="center"/>
          </w:tcPr>
          <w:p w14:paraId="66EB986C">
            <w:pPr>
              <w:jc w:val="center"/>
              <w:rPr>
                <w:color w:val="auto"/>
                <w:kern w:val="24"/>
                <w:sz w:val="24"/>
                <w:highlight w:val="none"/>
              </w:rPr>
            </w:pPr>
          </w:p>
        </w:tc>
      </w:tr>
      <w:tr w14:paraId="70132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948" w:type="dxa"/>
            <w:vAlign w:val="center"/>
          </w:tcPr>
          <w:p w14:paraId="049ECA96">
            <w:pPr>
              <w:adjustRightInd w:val="0"/>
              <w:snapToGrid w:val="0"/>
              <w:jc w:val="center"/>
              <w:rPr>
                <w:color w:val="auto"/>
                <w:sz w:val="24"/>
                <w:szCs w:val="24"/>
                <w:highlight w:val="none"/>
              </w:rPr>
            </w:pPr>
            <w:r>
              <w:rPr>
                <w:rFonts w:hAnsi="宋体"/>
                <w:color w:val="auto"/>
                <w:sz w:val="24"/>
                <w:szCs w:val="24"/>
                <w:highlight w:val="none"/>
              </w:rPr>
              <w:t>土壤及地下水</w:t>
            </w:r>
          </w:p>
          <w:p w14:paraId="6280F850">
            <w:pPr>
              <w:adjustRightInd w:val="0"/>
              <w:snapToGrid w:val="0"/>
              <w:jc w:val="center"/>
              <w:rPr>
                <w:color w:val="auto"/>
                <w:sz w:val="24"/>
                <w:szCs w:val="24"/>
                <w:highlight w:val="none"/>
              </w:rPr>
            </w:pPr>
            <w:r>
              <w:rPr>
                <w:rFonts w:hAnsi="宋体"/>
                <w:color w:val="auto"/>
                <w:sz w:val="24"/>
                <w:szCs w:val="24"/>
                <w:highlight w:val="none"/>
              </w:rPr>
              <w:t>污染防治措施</w:t>
            </w:r>
          </w:p>
        </w:tc>
        <w:tc>
          <w:tcPr>
            <w:tcW w:w="7297" w:type="dxa"/>
            <w:gridSpan w:val="4"/>
            <w:vAlign w:val="center"/>
          </w:tcPr>
          <w:p w14:paraId="61F6765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1、源头控制</w:t>
            </w:r>
          </w:p>
          <w:p w14:paraId="0A25AD6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①制订完善的管理制度和操作流程；</w:t>
            </w:r>
          </w:p>
          <w:p w14:paraId="6403410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②加强调节池、各水罐及管道的检查，确保调节池、水罐及管道的防渗、防漏性能，及时发现泄漏点并处理，避免泄漏物质进入地下水环境；</w:t>
            </w:r>
          </w:p>
          <w:p w14:paraId="2EBD022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本项目使用先进、成熟、可靠的工艺技术工艺，良好合格的防渗材料，尽可能从源头上减少污染物产生。严格按照国家相关规范要求，对厂区采取相应的防渗措施，以防止和降低污染物的跑、冒、滴、漏，将环境风险事故降低到最低。各污水处理构筑物及其管道要经常巡查，杜绝“跑、冒、滴、漏”等事故的发生，尤其是污水处理构筑物和污水输送管道等周边要进行严格的防渗处理，从源头上防止污水污染周围土壤进而进行地下水含水层中。</w:t>
            </w:r>
          </w:p>
          <w:p w14:paraId="400702C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2、分区防渗</w:t>
            </w:r>
          </w:p>
          <w:p w14:paraId="0C6ACBB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olor w:val="auto"/>
                <w:sz w:val="24"/>
                <w:szCs w:val="24"/>
                <w:highlight w:val="none"/>
              </w:rPr>
            </w:pPr>
            <w:r>
              <w:rPr>
                <w:rFonts w:hint="default"/>
                <w:color w:val="auto"/>
                <w:sz w:val="24"/>
                <w:szCs w:val="24"/>
                <w:highlight w:val="none"/>
                <w:lang w:eastAsia="zh-CN"/>
              </w:rPr>
              <w:t>按分区防渗原则，分为</w:t>
            </w:r>
            <w:r>
              <w:rPr>
                <w:rFonts w:hint="eastAsia" w:cs="Times New Roman"/>
                <w:color w:val="auto"/>
                <w:sz w:val="24"/>
                <w:szCs w:val="24"/>
                <w:highlight w:val="none"/>
                <w:lang w:val="en-US" w:eastAsia="zh-CN"/>
              </w:rPr>
              <w:t>（1）重点防渗区：</w:t>
            </w:r>
            <w:r>
              <w:rPr>
                <w:rFonts w:hint="eastAsia"/>
                <w:color w:val="auto"/>
                <w:sz w:val="24"/>
                <w:szCs w:val="24"/>
                <w:highlight w:val="none"/>
                <w:lang w:val="en-US" w:eastAsia="zh-CN"/>
              </w:rPr>
              <w:t>渗滤液收集池、调节池、产水收集池、</w:t>
            </w:r>
            <w:r>
              <w:rPr>
                <w:rFonts w:hint="eastAsia"/>
                <w:color w:val="auto"/>
                <w:sz w:val="24"/>
                <w:szCs w:val="24"/>
                <w:highlight w:val="none"/>
                <w:vertAlign w:val="baseline"/>
                <w:lang w:val="en-US" w:eastAsia="zh-CN"/>
              </w:rPr>
              <w:t>全量化处理站、固化渣暂存间、危废暂存间、硫酸储罐、污水收集管道</w:t>
            </w:r>
            <w:r>
              <w:rPr>
                <w:rFonts w:hint="eastAsia" w:cs="Times New Roman"/>
                <w:color w:val="auto"/>
                <w:sz w:val="24"/>
                <w:szCs w:val="24"/>
                <w:highlight w:val="none"/>
                <w:lang w:val="en-US" w:eastAsia="zh-CN"/>
              </w:rPr>
              <w:t>，防渗要：</w:t>
            </w:r>
            <w:r>
              <w:rPr>
                <w:rFonts w:hint="eastAsia"/>
                <w:color w:val="auto"/>
                <w:sz w:val="24"/>
                <w:szCs w:val="24"/>
                <w:highlight w:val="none"/>
                <w:vertAlign w:val="baseline"/>
                <w:lang w:val="en-US" w:eastAsia="zh-CN"/>
              </w:rPr>
              <w:t>等效黏土防渗层 Mb≥6.0m，K≤1.0×10</w:t>
            </w:r>
            <w:r>
              <w:rPr>
                <w:rFonts w:hint="eastAsia"/>
                <w:color w:val="auto"/>
                <w:sz w:val="24"/>
                <w:szCs w:val="24"/>
                <w:highlight w:val="none"/>
                <w:vertAlign w:val="superscript"/>
                <w:lang w:val="en-US" w:eastAsia="zh-CN"/>
              </w:rPr>
              <w:t>-7</w:t>
            </w:r>
            <w:r>
              <w:rPr>
                <w:rFonts w:hint="eastAsia"/>
                <w:color w:val="auto"/>
                <w:sz w:val="24"/>
                <w:szCs w:val="24"/>
                <w:highlight w:val="none"/>
                <w:vertAlign w:val="baseline"/>
                <w:lang w:val="en-US" w:eastAsia="zh-CN"/>
              </w:rPr>
              <w:t>cm/s，或参照GB18598执行，其中固化渣暂存间、危废暂存间防渗要求</w:t>
            </w:r>
            <w:r>
              <w:rPr>
                <w:rFonts w:hint="eastAsia"/>
                <w:color w:val="auto"/>
                <w:sz w:val="24"/>
                <w:szCs w:val="24"/>
                <w:highlight w:val="none"/>
                <w:lang w:val="en-US" w:eastAsia="zh-CN"/>
              </w:rPr>
              <w:t>至少为1m厚黏土层，渗透系数K≤1×10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cm/s或至少2mm厚高密度氯乙烯膜等人工防渗材料（渗透系数K≤1×10</w:t>
            </w:r>
            <w:r>
              <w:rPr>
                <w:rFonts w:hint="eastAsia"/>
                <w:color w:val="auto"/>
                <w:sz w:val="24"/>
                <w:szCs w:val="24"/>
                <w:highlight w:val="none"/>
                <w:vertAlign w:val="superscript"/>
                <w:lang w:val="en-US" w:eastAsia="zh-CN"/>
              </w:rPr>
              <w:t>-10</w:t>
            </w:r>
            <w:r>
              <w:rPr>
                <w:rFonts w:hint="eastAsia"/>
                <w:color w:val="auto"/>
                <w:sz w:val="24"/>
                <w:szCs w:val="24"/>
                <w:highlight w:val="none"/>
                <w:lang w:val="en-US" w:eastAsia="zh-CN"/>
              </w:rPr>
              <w:t>cm/s），或其他防渗性能等效的材料</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一般防渗区：</w:t>
            </w:r>
            <w:r>
              <w:rPr>
                <w:rFonts w:hint="eastAsia" w:cs="Times New Roman"/>
                <w:color w:val="auto"/>
                <w:sz w:val="24"/>
                <w:szCs w:val="24"/>
                <w:highlight w:val="none"/>
                <w:lang w:val="en-US" w:eastAsia="zh-CN"/>
              </w:rPr>
              <w:t>配电室、在线监测室、空压房、控制室，</w:t>
            </w:r>
            <w:r>
              <w:rPr>
                <w:rFonts w:hint="default" w:ascii="Times New Roman" w:hAnsi="Times New Roman" w:cs="Times New Roman"/>
                <w:color w:val="auto"/>
                <w:sz w:val="24"/>
                <w:szCs w:val="24"/>
                <w:highlight w:val="none"/>
                <w:lang w:val="en-US" w:eastAsia="zh-CN"/>
              </w:rPr>
              <w:t>防渗要求：等效黏土防渗层Mb≥1.5m，渗透系数K≤10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简单防渗区：</w:t>
            </w:r>
            <w:r>
              <w:rPr>
                <w:rFonts w:hint="eastAsia" w:cs="Times New Roman"/>
                <w:color w:val="auto"/>
                <w:sz w:val="24"/>
                <w:szCs w:val="24"/>
                <w:highlight w:val="none"/>
                <w:lang w:val="en-US" w:eastAsia="zh-CN"/>
              </w:rPr>
              <w:t>厂区道路</w:t>
            </w:r>
            <w:r>
              <w:rPr>
                <w:rFonts w:hint="default" w:ascii="Times New Roman" w:hAnsi="Times New Roman" w:cs="Times New Roman"/>
                <w:color w:val="auto"/>
                <w:sz w:val="24"/>
                <w:szCs w:val="24"/>
                <w:highlight w:val="none"/>
                <w:lang w:val="en-US" w:eastAsia="zh-CN"/>
              </w:rPr>
              <w:t>全部硬化处理</w:t>
            </w:r>
            <w:r>
              <w:rPr>
                <w:rFonts w:hint="default"/>
                <w:color w:val="auto"/>
                <w:sz w:val="24"/>
                <w:szCs w:val="24"/>
                <w:highlight w:val="none"/>
              </w:rPr>
              <w:t>。通过上述措施，可大大减少污染物进入地下水和土壤的可能性，项目的建设对地下水和土壤影响不大。</w:t>
            </w:r>
          </w:p>
          <w:p w14:paraId="50DA4F7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olor w:val="auto"/>
                <w:sz w:val="24"/>
                <w:szCs w:val="24"/>
                <w:highlight w:val="none"/>
              </w:rPr>
            </w:pP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污染监控</w:t>
            </w:r>
          </w:p>
          <w:p w14:paraId="7B0F369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4"/>
                <w:szCs w:val="24"/>
                <w:highlight w:val="none"/>
                <w:lang w:eastAsia="zh-CN"/>
              </w:rPr>
            </w:pPr>
            <w:r>
              <w:rPr>
                <w:rFonts w:hint="eastAsia"/>
                <w:color w:val="auto"/>
                <w:sz w:val="24"/>
                <w:szCs w:val="24"/>
                <w:highlight w:val="none"/>
                <w:lang w:val="en-US" w:eastAsia="zh-CN"/>
              </w:rPr>
              <w:t xml:space="preserve">本次环评要求建设单位按照《生活垃圾填埋场污染控制标准》（GB16889-2024）中地下水监测井的布设要求，尽快完善本底井、污染监视井的布设。即填埋场共需设置5个地下水监测井，分别为地下水流上游30-50m设本底井1眼；填埋场地下水主管出口处设1眼，填埋场两旁各30~50m污染扩散井1眼；地下水下游设监测井1眼，监测因子为：pH、水温、总硬度(以 CaCO3计)、硫酸盐、氯化物、氟化物、溶解性总固体、硝酸盐(以N计)、亚硝酸盐(以N计)、耗氧量(COD法，以O计)、氨氮(以N计)、汞、砷、铅、铁、锰、铜、锌、铬(六价)、挥发性酚类(以苯酚计)、总大肠菌群、氰化物。 </w:t>
            </w:r>
          </w:p>
          <w:p w14:paraId="07FB41C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监测频次按《生活垃圾填埋场污染控制标准》（GB16889-2024）中要求设置。遇特殊情况或发生污染事故，应随时增加采样频次。</w:t>
            </w:r>
          </w:p>
          <w:p w14:paraId="55148EA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4、应急响应</w:t>
            </w:r>
          </w:p>
          <w:p w14:paraId="4F7F351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为最大程度的减少运营期构（建）筑物渗漏对周边环境的影响，建设单位应采取措施，防止污水“跑、冒、滴、漏”的现象发生。 </w:t>
            </w:r>
          </w:p>
          <w:p w14:paraId="4BD25BE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1）选择符合技术规范的污水管道，定期对污水管道进行检查，一旦发现渗漏立即维修或更换；对厂内各渗滤液处理构（建）筑物进行防渗处理； </w:t>
            </w:r>
          </w:p>
          <w:p w14:paraId="7F4A07F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color w:val="auto"/>
                <w:sz w:val="24"/>
                <w:szCs w:val="24"/>
                <w:highlight w:val="none"/>
                <w:lang w:eastAsia="zh-CN"/>
              </w:rPr>
            </w:pPr>
            <w:r>
              <w:rPr>
                <w:rFonts w:hint="eastAsia"/>
                <w:color w:val="auto"/>
                <w:sz w:val="24"/>
                <w:szCs w:val="24"/>
                <w:highlight w:val="none"/>
                <w:lang w:val="en-US" w:eastAsia="zh-CN"/>
              </w:rPr>
              <w:t>2）一旦地下水监测网监测出地下水受到污染或一旦发现防渗层或管道发生破裂污染地下水，立即对渗漏处进行封堵，并启动下游监测井作为抽水井，将污染的地下水抽出至调节池，并进一步输送至渗滤液处理系统进行处理，直至污染晕消除</w:t>
            </w:r>
            <w:r>
              <w:rPr>
                <w:rFonts w:hint="eastAsia"/>
                <w:color w:val="auto"/>
                <w:sz w:val="24"/>
                <w:szCs w:val="24"/>
                <w:highlight w:val="none"/>
                <w:lang w:eastAsia="zh-CN"/>
              </w:rPr>
              <w:t>。</w:t>
            </w:r>
          </w:p>
        </w:tc>
      </w:tr>
      <w:tr w14:paraId="084AE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48" w:type="dxa"/>
            <w:vAlign w:val="center"/>
          </w:tcPr>
          <w:p w14:paraId="77D9A01A">
            <w:pPr>
              <w:adjustRightInd w:val="0"/>
              <w:snapToGrid w:val="0"/>
              <w:jc w:val="center"/>
              <w:rPr>
                <w:color w:val="auto"/>
                <w:sz w:val="24"/>
                <w:szCs w:val="24"/>
                <w:highlight w:val="none"/>
              </w:rPr>
            </w:pPr>
            <w:r>
              <w:rPr>
                <w:rFonts w:hAnsi="宋体"/>
                <w:color w:val="auto"/>
                <w:sz w:val="24"/>
                <w:szCs w:val="24"/>
                <w:highlight w:val="none"/>
              </w:rPr>
              <w:t>生态保护措施</w:t>
            </w:r>
          </w:p>
        </w:tc>
        <w:tc>
          <w:tcPr>
            <w:tcW w:w="7297" w:type="dxa"/>
            <w:gridSpan w:val="4"/>
            <w:shd w:val="clear" w:color="auto" w:fill="auto"/>
            <w:vAlign w:val="center"/>
          </w:tcPr>
          <w:p w14:paraId="6083ABD9">
            <w:pPr>
              <w:pStyle w:val="7"/>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r>
      <w:tr w14:paraId="56F1E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948" w:type="dxa"/>
            <w:vAlign w:val="center"/>
          </w:tcPr>
          <w:p w14:paraId="67F7B03B">
            <w:pPr>
              <w:adjustRightInd w:val="0"/>
              <w:snapToGrid w:val="0"/>
              <w:jc w:val="center"/>
              <w:rPr>
                <w:color w:val="auto"/>
                <w:sz w:val="24"/>
                <w:szCs w:val="24"/>
                <w:highlight w:val="none"/>
              </w:rPr>
            </w:pPr>
            <w:r>
              <w:rPr>
                <w:rFonts w:hAnsi="宋体"/>
                <w:color w:val="auto"/>
                <w:sz w:val="24"/>
                <w:szCs w:val="24"/>
                <w:highlight w:val="none"/>
              </w:rPr>
              <w:t>环境风险</w:t>
            </w:r>
          </w:p>
          <w:p w14:paraId="4A63AAAB">
            <w:pPr>
              <w:adjustRightInd w:val="0"/>
              <w:snapToGrid w:val="0"/>
              <w:jc w:val="center"/>
              <w:rPr>
                <w:color w:val="auto"/>
                <w:sz w:val="24"/>
                <w:szCs w:val="24"/>
                <w:highlight w:val="none"/>
              </w:rPr>
            </w:pPr>
            <w:r>
              <w:rPr>
                <w:rFonts w:hAnsi="宋体"/>
                <w:color w:val="auto"/>
                <w:sz w:val="24"/>
                <w:szCs w:val="24"/>
                <w:highlight w:val="none"/>
              </w:rPr>
              <w:t>防范措施</w:t>
            </w:r>
          </w:p>
        </w:tc>
        <w:tc>
          <w:tcPr>
            <w:tcW w:w="7297" w:type="dxa"/>
            <w:gridSpan w:val="4"/>
            <w:vAlign w:val="center"/>
          </w:tcPr>
          <w:p w14:paraId="183F695B">
            <w:pPr>
              <w:pStyle w:val="7"/>
              <w:bidi w:val="0"/>
              <w:ind w:firstLine="0" w:firstLineChars="0"/>
              <w:jc w:val="left"/>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一、</w:t>
            </w:r>
            <w:r>
              <w:rPr>
                <w:rFonts w:hint="eastAsia" w:ascii="Times New Roman" w:hAnsi="Times New Roman" w:eastAsia="宋体" w:cs="Times New Roman"/>
                <w:b/>
                <w:bCs/>
                <w:color w:val="auto"/>
                <w:sz w:val="24"/>
                <w:szCs w:val="24"/>
                <w:highlight w:val="none"/>
                <w:lang w:val="en-US" w:eastAsia="zh-CN"/>
              </w:rPr>
              <w:t>大气环境风险防范措施</w:t>
            </w:r>
          </w:p>
          <w:p w14:paraId="4E378C71">
            <w:pPr>
              <w:pStyle w:val="7"/>
              <w:bidi w:val="0"/>
              <w:ind w:firstLine="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为杜绝非正常性废气排放，建议采用以下防范措施确保废气达标排放：</w:t>
            </w:r>
          </w:p>
          <w:p w14:paraId="6C309A5E">
            <w:pPr>
              <w:pStyle w:val="7"/>
              <w:bidi w:val="0"/>
              <w:ind w:firstLine="0" w:firstLineChars="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平时加强</w:t>
            </w:r>
            <w:r>
              <w:rPr>
                <w:rFonts w:hint="eastAsia" w:ascii="Times New Roman" w:hAnsi="Times New Roman" w:eastAsia="宋体" w:cs="Times New Roman"/>
                <w:color w:val="auto"/>
                <w:sz w:val="24"/>
                <w:szCs w:val="24"/>
                <w:highlight w:val="none"/>
                <w:lang w:val="en-US" w:eastAsia="zh-CN"/>
              </w:rPr>
              <w:t>废</w:t>
            </w:r>
            <w:r>
              <w:rPr>
                <w:rFonts w:hint="default" w:ascii="Times New Roman" w:hAnsi="Times New Roman" w:eastAsia="宋体" w:cs="Times New Roman"/>
                <w:color w:val="auto"/>
                <w:sz w:val="24"/>
                <w:szCs w:val="24"/>
                <w:highlight w:val="none"/>
              </w:rPr>
              <w:t>气</w:t>
            </w:r>
            <w:r>
              <w:rPr>
                <w:rFonts w:hint="eastAsia" w:ascii="Times New Roman" w:hAnsi="Times New Roman" w:eastAsia="宋体" w:cs="Times New Roman"/>
                <w:color w:val="auto"/>
                <w:sz w:val="24"/>
                <w:szCs w:val="24"/>
                <w:highlight w:val="none"/>
                <w:lang w:val="en-US" w:eastAsia="zh-CN"/>
              </w:rPr>
              <w:t>收集管道及化学洗涤塔</w:t>
            </w:r>
            <w:r>
              <w:rPr>
                <w:rFonts w:hint="default" w:ascii="Times New Roman" w:hAnsi="Times New Roman" w:eastAsia="宋体" w:cs="Times New Roman"/>
                <w:color w:val="auto"/>
                <w:sz w:val="24"/>
                <w:szCs w:val="24"/>
                <w:highlight w:val="none"/>
              </w:rPr>
              <w:t>处理设施的维护保养，及时发现处理设备的隐患，并及时进行维修，确保</w:t>
            </w:r>
            <w:r>
              <w:rPr>
                <w:rFonts w:hint="eastAsia" w:ascii="Times New Roman" w:hAnsi="Times New Roman" w:eastAsia="宋体" w:cs="Times New Roman"/>
                <w:color w:val="auto"/>
                <w:sz w:val="24"/>
                <w:szCs w:val="24"/>
                <w:highlight w:val="none"/>
                <w:lang w:val="en-US" w:eastAsia="zh-CN"/>
              </w:rPr>
              <w:t>恶臭</w:t>
            </w:r>
            <w:r>
              <w:rPr>
                <w:rFonts w:hint="default" w:ascii="Times New Roman" w:hAnsi="Times New Roman" w:eastAsia="宋体" w:cs="Times New Roman"/>
                <w:color w:val="auto"/>
                <w:sz w:val="24"/>
                <w:szCs w:val="24"/>
                <w:highlight w:val="none"/>
              </w:rPr>
              <w:t>处理系统正常运行，避免非正常排放对环境造成不利影响</w:t>
            </w:r>
            <w:r>
              <w:rPr>
                <w:rFonts w:hint="eastAsia" w:ascii="Times New Roman" w:hAnsi="Times New Roman" w:eastAsia="宋体" w:cs="Times New Roman"/>
                <w:color w:val="auto"/>
                <w:sz w:val="24"/>
                <w:szCs w:val="24"/>
                <w:highlight w:val="none"/>
                <w:lang w:eastAsia="zh-CN"/>
              </w:rPr>
              <w:t>。</w:t>
            </w:r>
          </w:p>
          <w:p w14:paraId="7F321A4C">
            <w:pPr>
              <w:pStyle w:val="7"/>
              <w:bidi w:val="0"/>
              <w:ind w:firstLine="0" w:firstLineChars="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建立健全的环保机构，配置必要的监测仪器，对管理人员和技术人员进行岗位培训，对废气处理实行全过程跟踪控制</w:t>
            </w:r>
            <w:r>
              <w:rPr>
                <w:rFonts w:hint="eastAsia" w:ascii="Times New Roman" w:hAnsi="Times New Roman" w:eastAsia="宋体" w:cs="Times New Roman"/>
                <w:color w:val="auto"/>
                <w:sz w:val="24"/>
                <w:szCs w:val="24"/>
                <w:highlight w:val="none"/>
                <w:lang w:eastAsia="zh-CN"/>
              </w:rPr>
              <w:t>。</w:t>
            </w:r>
          </w:p>
          <w:p w14:paraId="1D8125CC">
            <w:pPr>
              <w:pStyle w:val="7"/>
              <w:bidi w:val="0"/>
              <w:ind w:firstLine="0" w:firstLineChars="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项目应设有备用电源和</w:t>
            </w:r>
            <w:r>
              <w:rPr>
                <w:rFonts w:hint="eastAsia" w:ascii="Times New Roman" w:hAnsi="Times New Roman" w:eastAsia="宋体" w:cs="Times New Roman"/>
                <w:color w:val="auto"/>
                <w:sz w:val="24"/>
                <w:szCs w:val="24"/>
                <w:highlight w:val="none"/>
                <w:lang w:val="en-US" w:eastAsia="zh-CN"/>
              </w:rPr>
              <w:t>恶臭气体</w:t>
            </w:r>
            <w:r>
              <w:rPr>
                <w:rFonts w:hint="default" w:ascii="Times New Roman" w:hAnsi="Times New Roman" w:eastAsia="宋体" w:cs="Times New Roman"/>
                <w:color w:val="auto"/>
                <w:sz w:val="24"/>
                <w:szCs w:val="24"/>
                <w:highlight w:val="none"/>
              </w:rPr>
              <w:t>备用处理设备，以备停电或设备出现故障时保障</w:t>
            </w:r>
            <w:r>
              <w:rPr>
                <w:rFonts w:hint="eastAsia" w:ascii="Times New Roman" w:hAnsi="Times New Roman" w:eastAsia="宋体" w:cs="Times New Roman"/>
                <w:color w:val="auto"/>
                <w:sz w:val="24"/>
                <w:szCs w:val="24"/>
                <w:highlight w:val="none"/>
                <w:lang w:val="en-US" w:eastAsia="zh-CN"/>
              </w:rPr>
              <w:t>恶臭气体</w:t>
            </w:r>
            <w:r>
              <w:rPr>
                <w:rFonts w:hint="default" w:ascii="Times New Roman" w:hAnsi="Times New Roman" w:eastAsia="宋体" w:cs="Times New Roman"/>
                <w:color w:val="auto"/>
                <w:sz w:val="24"/>
                <w:szCs w:val="24"/>
                <w:highlight w:val="none"/>
              </w:rPr>
              <w:t>全部抽入净化系统进行处理以达标排放。</w:t>
            </w:r>
          </w:p>
          <w:p w14:paraId="4753B822">
            <w:pPr>
              <w:pStyle w:val="7"/>
              <w:bidi w:val="0"/>
              <w:ind w:firstLine="0" w:firstLineChars="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设置备用的</w:t>
            </w:r>
            <w:r>
              <w:rPr>
                <w:rFonts w:hint="eastAsia" w:ascii="Times New Roman" w:hAnsi="Times New Roman" w:eastAsia="宋体" w:cs="Times New Roman"/>
                <w:color w:val="auto"/>
                <w:sz w:val="24"/>
                <w:szCs w:val="24"/>
                <w:highlight w:val="none"/>
                <w:lang w:val="en-US" w:eastAsia="zh-CN"/>
              </w:rPr>
              <w:t>恶臭气体</w:t>
            </w:r>
            <w:r>
              <w:rPr>
                <w:rFonts w:hint="default" w:ascii="Times New Roman" w:hAnsi="Times New Roman" w:eastAsia="宋体" w:cs="Times New Roman"/>
                <w:color w:val="auto"/>
                <w:sz w:val="24"/>
                <w:szCs w:val="24"/>
                <w:highlight w:val="none"/>
              </w:rPr>
              <w:t>治理措施，在常用处理设施出现故障的情况下可采用备用处理设施进行处理，防止因此而造成废气的事故性排放。</w:t>
            </w:r>
          </w:p>
          <w:p w14:paraId="3FEC1430">
            <w:pPr>
              <w:pStyle w:val="7"/>
              <w:bidi w:val="0"/>
              <w:ind w:firstLine="0" w:firstLineChars="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采用PLC自动控制系统，并定期巡查，一旦发现事故排放且备用设施无法切换时，应立即停产检修，响应时间控制在1小时内。</w:t>
            </w:r>
          </w:p>
          <w:p w14:paraId="5A1FE9FA">
            <w:pPr>
              <w:pStyle w:val="7"/>
              <w:bidi w:val="0"/>
              <w:ind w:firstLine="0" w:firstLineChars="0"/>
              <w:jc w:val="left"/>
              <w:rPr>
                <w:rFonts w:hint="default" w:ascii="Times New Roman" w:hAnsi="Times New Roman" w:eastAsia="宋体" w:cs="Times New Roman"/>
                <w:b/>
                <w:bCs/>
                <w:color w:val="auto"/>
                <w:sz w:val="24"/>
                <w:szCs w:val="24"/>
                <w:highlight w:val="none"/>
                <w:lang w:val="en-US" w:eastAsia="zh-CN"/>
              </w:rPr>
            </w:pPr>
            <w:bookmarkStart w:id="32" w:name="_Toc23013"/>
            <w:r>
              <w:rPr>
                <w:rFonts w:hint="eastAsia"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val="en-US" w:eastAsia="zh-CN"/>
              </w:rPr>
              <w:t>地表水环境风险防范措施</w:t>
            </w:r>
            <w:bookmarkEnd w:id="32"/>
          </w:p>
          <w:p w14:paraId="7D9D3544">
            <w:pPr>
              <w:pStyle w:val="7"/>
              <w:bidi w:val="0"/>
              <w:ind w:firstLine="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渗滤液泄漏风险防范措施</w:t>
            </w:r>
          </w:p>
          <w:p w14:paraId="06A10F18">
            <w:pPr>
              <w:pStyle w:val="7"/>
              <w:bidi w:val="0"/>
              <w:ind w:firstLine="0" w:firstLineChars="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加强对现有调节池、渗滤液收集池防渗层的检测，定期维护管理；</w:t>
            </w:r>
            <w:r>
              <w:rPr>
                <w:rFonts w:hint="eastAsia" w:ascii="Times New Roman" w:hAnsi="Times New Roman" w:eastAsia="宋体" w:cs="Times New Roman"/>
                <w:color w:val="auto"/>
                <w:sz w:val="24"/>
                <w:szCs w:val="24"/>
                <w:highlight w:val="none"/>
                <w:lang w:val="en-US" w:eastAsia="zh-CN"/>
              </w:rPr>
              <w:t>并</w:t>
            </w:r>
            <w:r>
              <w:rPr>
                <w:rFonts w:hint="default" w:ascii="Times New Roman" w:hAnsi="Times New Roman" w:eastAsia="宋体" w:cs="Times New Roman"/>
                <w:color w:val="auto"/>
                <w:sz w:val="24"/>
                <w:szCs w:val="24"/>
                <w:highlight w:val="none"/>
              </w:rPr>
              <w:t>定期检查</w:t>
            </w:r>
            <w:r>
              <w:rPr>
                <w:rFonts w:hint="eastAsia" w:ascii="Times New Roman" w:hAnsi="Times New Roman" w:eastAsia="宋体" w:cs="Times New Roman"/>
                <w:color w:val="auto"/>
                <w:sz w:val="24"/>
                <w:szCs w:val="24"/>
                <w:highlight w:val="none"/>
                <w:lang w:val="en-US" w:eastAsia="zh-CN"/>
              </w:rPr>
              <w:t>现有调节池及新建全量化处理站</w:t>
            </w:r>
            <w:r>
              <w:rPr>
                <w:rFonts w:hint="default" w:ascii="Times New Roman" w:hAnsi="Times New Roman" w:eastAsia="宋体" w:cs="Times New Roman"/>
                <w:color w:val="auto"/>
                <w:sz w:val="24"/>
                <w:szCs w:val="24"/>
                <w:highlight w:val="none"/>
              </w:rPr>
              <w:t>各管道、构筑物池体防渗性，落实专门管理人员，制定相关责任制度；</w:t>
            </w:r>
          </w:p>
          <w:p w14:paraId="45472859">
            <w:pPr>
              <w:pStyle w:val="7"/>
              <w:bidi w:val="0"/>
              <w:ind w:firstLine="0" w:firstLineChars="0"/>
              <w:jc w:val="left"/>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污水处理</w:t>
            </w:r>
            <w:r>
              <w:rPr>
                <w:rFonts w:hint="eastAsia" w:ascii="Times New Roman" w:hAnsi="Times New Roman" w:eastAsia="宋体" w:cs="Times New Roman"/>
                <w:color w:val="auto"/>
                <w:sz w:val="24"/>
                <w:szCs w:val="24"/>
                <w:highlight w:val="none"/>
              </w:rPr>
              <w:t>站</w:t>
            </w:r>
            <w:r>
              <w:rPr>
                <w:rFonts w:ascii="Times New Roman" w:hAnsi="Times New Roman" w:eastAsia="宋体" w:cs="Times New Roman"/>
                <w:color w:val="auto"/>
                <w:sz w:val="24"/>
                <w:szCs w:val="24"/>
                <w:highlight w:val="none"/>
              </w:rPr>
              <w:t>进水口、出水口设监测井，并安装在线监测装置，并与切换阀连锁，一旦出现超标排放，立即启动切换阀，将超标废水泵入工序前段调节池或</w:t>
            </w:r>
            <w:r>
              <w:rPr>
                <w:rFonts w:hint="eastAsia" w:ascii="Times New Roman" w:hAnsi="Times New Roman" w:eastAsia="宋体" w:cs="Times New Roman"/>
                <w:color w:val="auto"/>
                <w:sz w:val="24"/>
                <w:szCs w:val="24"/>
                <w:highlight w:val="none"/>
              </w:rPr>
              <w:t>渗滤液收集</w:t>
            </w:r>
            <w:r>
              <w:rPr>
                <w:rFonts w:ascii="Times New Roman" w:hAnsi="Times New Roman" w:eastAsia="宋体" w:cs="Times New Roman"/>
                <w:color w:val="auto"/>
                <w:sz w:val="24"/>
                <w:szCs w:val="24"/>
                <w:highlight w:val="none"/>
              </w:rPr>
              <w:t>池内，并对废水处理系统进行检修。同时，设置备用水泵，一旦发生事故，及时更换。</w:t>
            </w:r>
          </w:p>
          <w:p w14:paraId="59FB8419">
            <w:pPr>
              <w:pStyle w:val="7"/>
              <w:bidi w:val="0"/>
              <w:ind w:firstLine="0" w:firstLineChars="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加强设备的维护与管理，提高设施的完好率；</w:t>
            </w:r>
          </w:p>
          <w:p w14:paraId="0436B550">
            <w:pPr>
              <w:pStyle w:val="7"/>
              <w:bidi w:val="0"/>
              <w:ind w:firstLine="0" w:firstLineChars="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加强职工操作技能培训，建立和严格执行各部门的运行管理制度，杜绝操作事故隐患</w:t>
            </w:r>
            <w:r>
              <w:rPr>
                <w:rFonts w:hint="eastAsia" w:ascii="Times New Roman" w:hAnsi="Times New Roman" w:eastAsia="宋体" w:cs="Times New Roman"/>
                <w:color w:val="auto"/>
                <w:sz w:val="24"/>
                <w:szCs w:val="24"/>
                <w:highlight w:val="none"/>
                <w:lang w:eastAsia="zh-CN"/>
              </w:rPr>
              <w:t>。</w:t>
            </w:r>
          </w:p>
          <w:p w14:paraId="00E5FA47">
            <w:pPr>
              <w:pStyle w:val="7"/>
              <w:bidi w:val="0"/>
              <w:ind w:firstLine="0" w:firstLineChars="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项目所有废水须明管或高架输送至</w:t>
            </w:r>
            <w:r>
              <w:rPr>
                <w:rFonts w:hint="eastAsia" w:ascii="Times New Roman" w:hAnsi="Times New Roman" w:eastAsia="宋体" w:cs="Times New Roman"/>
                <w:color w:val="auto"/>
                <w:sz w:val="24"/>
                <w:szCs w:val="24"/>
                <w:highlight w:val="none"/>
                <w:lang w:val="en-US" w:eastAsia="zh-CN"/>
              </w:rPr>
              <w:t>全量化处理</w:t>
            </w:r>
            <w:r>
              <w:rPr>
                <w:rFonts w:hint="default" w:ascii="Times New Roman" w:hAnsi="Times New Roman" w:eastAsia="宋体" w:cs="Times New Roman"/>
                <w:color w:val="auto"/>
                <w:sz w:val="24"/>
                <w:szCs w:val="24"/>
                <w:highlight w:val="none"/>
                <w:lang w:val="en-US" w:eastAsia="zh-CN"/>
              </w:rPr>
              <w:t>系统。</w:t>
            </w:r>
            <w:r>
              <w:rPr>
                <w:rFonts w:hint="default" w:ascii="Times New Roman" w:hAnsi="Times New Roman" w:eastAsia="宋体" w:cs="Times New Roman"/>
                <w:color w:val="auto"/>
                <w:sz w:val="24"/>
                <w:szCs w:val="24"/>
                <w:highlight w:val="none"/>
              </w:rPr>
              <w:t>一旦发生渗滤液泄漏，需立即排查泄露点，封堵泄露源，收容泄漏物，防止泄漏物进入下水道、地表水和地下水等造成环境污染。当小量泄漏时，用砂土、干灰混合，也可用水冲洗，冲洗后排入</w:t>
            </w:r>
            <w:r>
              <w:rPr>
                <w:rFonts w:hint="eastAsia" w:ascii="Times New Roman" w:hAnsi="Times New Roman" w:eastAsia="宋体" w:cs="Times New Roman"/>
                <w:color w:val="auto"/>
                <w:sz w:val="24"/>
                <w:szCs w:val="24"/>
                <w:highlight w:val="none"/>
                <w:lang w:val="en-US" w:eastAsia="zh-CN"/>
              </w:rPr>
              <w:t>全量化处理系统</w:t>
            </w:r>
            <w:r>
              <w:rPr>
                <w:rFonts w:hint="default" w:ascii="Times New Roman" w:hAnsi="Times New Roman" w:eastAsia="宋体" w:cs="Times New Roman"/>
                <w:color w:val="auto"/>
                <w:sz w:val="24"/>
                <w:szCs w:val="24"/>
                <w:highlight w:val="none"/>
              </w:rPr>
              <w:t>，防止渗滤液漫流和污染土壤及地下水。当发生大量泄漏时，应尽可能收集进入渗滤液调节池，集中进行妥善处理，防止漫流。</w:t>
            </w:r>
          </w:p>
          <w:p w14:paraId="1BCA549E">
            <w:pPr>
              <w:pStyle w:val="7"/>
              <w:bidi w:val="0"/>
              <w:ind w:firstLine="0" w:firstLineChars="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进一步细化事故应对措施；平时进行职工教育和信息发布，并加强应急培训与演练；一旦发生泄漏事故，则应积极组织应急处置，并做好相关善后恢复措施。</w:t>
            </w:r>
          </w:p>
          <w:p w14:paraId="22570089">
            <w:pPr>
              <w:pStyle w:val="7"/>
              <w:bidi w:val="0"/>
              <w:ind w:firstLine="0" w:firstLineChars="0"/>
              <w:jc w:val="left"/>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重视污水处理</w:t>
            </w:r>
            <w:r>
              <w:rPr>
                <w:rFonts w:hint="eastAsia" w:ascii="Times New Roman" w:hAnsi="Times New Roman" w:eastAsia="宋体" w:cs="Times New Roman"/>
                <w:color w:val="auto"/>
                <w:sz w:val="24"/>
                <w:szCs w:val="24"/>
                <w:highlight w:val="none"/>
              </w:rPr>
              <w:t>站</w:t>
            </w:r>
            <w:r>
              <w:rPr>
                <w:rFonts w:ascii="Times New Roman" w:hAnsi="Times New Roman" w:eastAsia="宋体" w:cs="Times New Roman"/>
                <w:color w:val="auto"/>
                <w:sz w:val="24"/>
                <w:szCs w:val="24"/>
                <w:highlight w:val="none"/>
              </w:rPr>
              <w:t>的运行管理，建立完善的规章制度，明确岗位职责。</w:t>
            </w:r>
          </w:p>
          <w:p w14:paraId="6CF8354B">
            <w:pPr>
              <w:pStyle w:val="7"/>
              <w:bidi w:val="0"/>
              <w:ind w:firstLine="0" w:firstLineChars="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严格执行污水监控制度，做好原始记录，确保每天对进、出水水质进行监测分析的频率，以便及时发现问题并加以纠正，除本岗位工人及时检查外，应设安全巡检员。定期对管线进行检查、维修，发现问题及时补救。</w:t>
            </w:r>
          </w:p>
          <w:p w14:paraId="4F508CFB">
            <w:pPr>
              <w:pStyle w:val="7"/>
              <w:bidi w:val="0"/>
              <w:ind w:firstLine="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渗滤液事故性排放环境风险防范措施</w:t>
            </w:r>
          </w:p>
          <w:p w14:paraId="69E92257">
            <w:pPr>
              <w:pStyle w:val="7"/>
              <w:bidi w:val="0"/>
              <w:ind w:firstLine="0" w:firstLineChars="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严格制定各设备、工艺操作规程，落实专门管理人员，制定相关责任制度</w:t>
            </w:r>
            <w:r>
              <w:rPr>
                <w:rFonts w:hint="eastAsia" w:ascii="Times New Roman" w:hAnsi="Times New Roman" w:eastAsia="宋体" w:cs="Times New Roman"/>
                <w:color w:val="auto"/>
                <w:sz w:val="24"/>
                <w:szCs w:val="24"/>
                <w:highlight w:val="none"/>
                <w:lang w:eastAsia="zh-CN"/>
              </w:rPr>
              <w:t>。</w:t>
            </w:r>
          </w:p>
          <w:p w14:paraId="37C1CBAA">
            <w:pPr>
              <w:pStyle w:val="7"/>
              <w:bidi w:val="0"/>
              <w:ind w:firstLine="0" w:firstLineChars="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严格执行设备操作规程，保证</w:t>
            </w:r>
            <w:r>
              <w:rPr>
                <w:rFonts w:hint="eastAsia" w:ascii="Times New Roman" w:hAnsi="Times New Roman" w:eastAsia="宋体" w:cs="Times New Roman"/>
                <w:color w:val="auto"/>
                <w:sz w:val="24"/>
                <w:szCs w:val="24"/>
                <w:highlight w:val="none"/>
                <w:lang w:val="en-US" w:eastAsia="zh-CN"/>
              </w:rPr>
              <w:t>全量化处理站</w:t>
            </w:r>
            <w:r>
              <w:rPr>
                <w:rFonts w:hint="default" w:ascii="Times New Roman" w:hAnsi="Times New Roman" w:eastAsia="宋体" w:cs="Times New Roman"/>
                <w:color w:val="auto"/>
                <w:sz w:val="24"/>
                <w:szCs w:val="24"/>
                <w:highlight w:val="none"/>
              </w:rPr>
              <w:t>处理系统安全稳定运行</w:t>
            </w:r>
            <w:r>
              <w:rPr>
                <w:rFonts w:hint="eastAsia" w:ascii="Times New Roman" w:hAnsi="Times New Roman" w:eastAsia="宋体" w:cs="Times New Roman"/>
                <w:color w:val="auto"/>
                <w:sz w:val="24"/>
                <w:szCs w:val="24"/>
                <w:highlight w:val="none"/>
                <w:lang w:eastAsia="zh-CN"/>
              </w:rPr>
              <w:t>。</w:t>
            </w:r>
          </w:p>
          <w:p w14:paraId="587BD8EC">
            <w:pPr>
              <w:pStyle w:val="7"/>
              <w:bidi w:val="0"/>
              <w:ind w:firstLine="0" w:firstLineChars="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加强对出水水质及流量的监测，做好每日记录，一旦发现出水水质异常或水量超量，应立即通知厂区应急指挥中心，启动应急预案，通知或上报相关部门和单位作出处理。</w:t>
            </w:r>
          </w:p>
          <w:p w14:paraId="406DF4F5">
            <w:pPr>
              <w:pStyle w:val="7"/>
              <w:bidi w:val="0"/>
              <w:ind w:firstLine="0" w:firstLineChars="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本渗滤液</w:t>
            </w:r>
            <w:r>
              <w:rPr>
                <w:rFonts w:hint="eastAsia" w:ascii="Times New Roman" w:hAnsi="Times New Roman" w:eastAsia="宋体" w:cs="Times New Roman"/>
                <w:color w:val="auto"/>
                <w:sz w:val="24"/>
                <w:szCs w:val="24"/>
                <w:highlight w:val="none"/>
                <w:lang w:val="en-US" w:eastAsia="zh-CN"/>
              </w:rPr>
              <w:t>全量化</w:t>
            </w:r>
            <w:r>
              <w:rPr>
                <w:rFonts w:hint="default" w:ascii="Times New Roman" w:hAnsi="Times New Roman" w:eastAsia="宋体" w:cs="Times New Roman"/>
                <w:color w:val="auto"/>
                <w:sz w:val="24"/>
                <w:szCs w:val="24"/>
                <w:highlight w:val="none"/>
                <w:lang w:val="en-US" w:eastAsia="zh-CN"/>
              </w:rPr>
              <w:t>处理站是</w:t>
            </w:r>
            <w:r>
              <w:rPr>
                <w:rFonts w:hint="eastAsia" w:ascii="Times New Roman" w:hAnsi="Times New Roman" w:eastAsia="宋体" w:cs="Times New Roman"/>
                <w:color w:val="auto"/>
                <w:sz w:val="24"/>
                <w:szCs w:val="24"/>
                <w:highlight w:val="none"/>
                <w:lang w:val="en-US" w:eastAsia="zh-CN"/>
              </w:rPr>
              <w:t>大山生活垃圾</w:t>
            </w:r>
            <w:r>
              <w:rPr>
                <w:rFonts w:hint="default" w:ascii="Times New Roman" w:hAnsi="Times New Roman" w:eastAsia="宋体" w:cs="Times New Roman"/>
                <w:color w:val="auto"/>
                <w:sz w:val="24"/>
                <w:szCs w:val="24"/>
                <w:highlight w:val="none"/>
                <w:lang w:val="en-US" w:eastAsia="zh-CN"/>
              </w:rPr>
              <w:t>填埋场的辅助生产区，本项目</w:t>
            </w:r>
            <w:r>
              <w:rPr>
                <w:rFonts w:hint="default" w:ascii="Times New Roman" w:hAnsi="Times New Roman" w:eastAsia="宋体" w:cs="Times New Roman"/>
                <w:color w:val="auto"/>
                <w:sz w:val="24"/>
                <w:szCs w:val="24"/>
                <w:highlight w:val="none"/>
                <w:lang w:eastAsia="zh-CN"/>
              </w:rPr>
              <w:t>依</w:t>
            </w:r>
            <w:r>
              <w:rPr>
                <w:rFonts w:hint="eastAsia" w:ascii="Times New Roman" w:hAnsi="Times New Roman" w:eastAsia="宋体" w:cs="Times New Roman"/>
                <w:color w:val="auto"/>
                <w:sz w:val="24"/>
                <w:szCs w:val="24"/>
                <w:highlight w:val="none"/>
                <w:lang w:val="en-US" w:eastAsia="zh-CN"/>
              </w:rPr>
              <w:t>托大山生活垃圾</w:t>
            </w:r>
            <w:r>
              <w:rPr>
                <w:rFonts w:hint="default" w:ascii="Times New Roman" w:hAnsi="Times New Roman" w:eastAsia="宋体" w:cs="Times New Roman"/>
                <w:color w:val="auto"/>
                <w:sz w:val="24"/>
                <w:szCs w:val="24"/>
                <w:highlight w:val="none"/>
                <w:lang w:val="en-US" w:eastAsia="zh-CN"/>
              </w:rPr>
              <w:t>填埋场</w:t>
            </w:r>
            <w:r>
              <w:rPr>
                <w:rFonts w:hint="default" w:ascii="Times New Roman" w:hAnsi="Times New Roman" w:eastAsia="宋体" w:cs="Times New Roman"/>
                <w:color w:val="auto"/>
                <w:sz w:val="24"/>
                <w:szCs w:val="24"/>
                <w:highlight w:val="none"/>
                <w:lang w:eastAsia="zh-CN"/>
              </w:rPr>
              <w:t>渗沥液调节池，</w:t>
            </w:r>
            <w:r>
              <w:rPr>
                <w:rFonts w:hint="default" w:ascii="Times New Roman" w:hAnsi="Times New Roman" w:eastAsia="宋体" w:cs="Times New Roman"/>
                <w:color w:val="auto"/>
                <w:sz w:val="24"/>
                <w:szCs w:val="24"/>
                <w:highlight w:val="none"/>
              </w:rPr>
              <w:t>建设项目出现最大事故时产生的污水</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大山生活垃圾</w:t>
            </w:r>
            <w:r>
              <w:rPr>
                <w:rFonts w:hint="default" w:ascii="Times New Roman" w:hAnsi="Times New Roman" w:eastAsia="宋体" w:cs="Times New Roman"/>
                <w:color w:val="auto"/>
                <w:sz w:val="24"/>
                <w:szCs w:val="24"/>
                <w:highlight w:val="none"/>
                <w:lang w:val="en-US" w:eastAsia="zh-CN"/>
              </w:rPr>
              <w:t>填埋场</w:t>
            </w:r>
            <w:r>
              <w:rPr>
                <w:rFonts w:hint="eastAsia" w:ascii="Times New Roman" w:hAnsi="Times New Roman" w:eastAsia="宋体" w:cs="Times New Roman"/>
                <w:color w:val="auto"/>
                <w:sz w:val="24"/>
                <w:szCs w:val="24"/>
                <w:highlight w:val="none"/>
                <w:lang w:val="en-US" w:eastAsia="zh-CN"/>
              </w:rPr>
              <w:t>渗滤液</w:t>
            </w:r>
            <w:r>
              <w:rPr>
                <w:rFonts w:hint="default" w:ascii="Times New Roman" w:hAnsi="Times New Roman" w:eastAsia="宋体" w:cs="Times New Roman"/>
                <w:color w:val="auto"/>
                <w:sz w:val="24"/>
                <w:szCs w:val="24"/>
                <w:highlight w:val="none"/>
                <w:lang w:val="en-US" w:eastAsia="zh-CN"/>
              </w:rPr>
              <w:t>调节池</w:t>
            </w:r>
            <w:r>
              <w:rPr>
                <w:rFonts w:hint="eastAsia" w:ascii="Times New Roman" w:hAnsi="Times New Roman" w:eastAsia="宋体" w:cs="Times New Roman"/>
                <w:color w:val="auto"/>
                <w:sz w:val="24"/>
                <w:szCs w:val="24"/>
                <w:highlight w:val="none"/>
                <w:lang w:val="en-US" w:eastAsia="zh-CN"/>
              </w:rPr>
              <w:t>紧邻项目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容积10</w:t>
            </w:r>
            <w:r>
              <w:rPr>
                <w:rFonts w:hint="default" w:ascii="Times New Roman" w:hAnsi="Times New Roman" w:eastAsia="宋体" w:cs="Times New Roman"/>
                <w:color w:val="auto"/>
                <w:sz w:val="24"/>
                <w:szCs w:val="24"/>
                <w:highlight w:val="none"/>
                <w:lang w:val="en-US" w:eastAsia="zh-CN"/>
              </w:rPr>
              <w:t>00m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渗滤液调节池可</w:t>
            </w:r>
            <w:r>
              <w:rPr>
                <w:rFonts w:hint="default" w:ascii="Times New Roman" w:hAnsi="Times New Roman" w:eastAsia="宋体" w:cs="Times New Roman"/>
                <w:color w:val="auto"/>
                <w:sz w:val="24"/>
                <w:szCs w:val="24"/>
                <w:highlight w:val="none"/>
                <w:lang w:eastAsia="zh-CN"/>
              </w:rPr>
              <w:t>蓄存约</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天的渗滤液。当发生出水可能不达标的情况下时可以立即关闭调节池取水泵，停止取水，使</w:t>
            </w:r>
            <w:r>
              <w:rPr>
                <w:rFonts w:hint="eastAsia" w:ascii="Times New Roman" w:hAnsi="Times New Roman" w:eastAsia="宋体" w:cs="Times New Roman"/>
                <w:color w:val="auto"/>
                <w:sz w:val="24"/>
                <w:szCs w:val="24"/>
                <w:highlight w:val="none"/>
                <w:lang w:val="en-US" w:eastAsia="zh-CN"/>
              </w:rPr>
              <w:t>渗滤液</w:t>
            </w:r>
            <w:r>
              <w:rPr>
                <w:rFonts w:hint="default" w:ascii="Times New Roman" w:hAnsi="Times New Roman" w:eastAsia="宋体" w:cs="Times New Roman"/>
                <w:color w:val="auto"/>
                <w:sz w:val="24"/>
                <w:szCs w:val="24"/>
                <w:highlight w:val="none"/>
                <w:lang w:val="en-US" w:eastAsia="zh-CN"/>
              </w:rPr>
              <w:t>回流到系统中进一步处理，污水指标恢复正常时再重新取水。如果发生池体泄漏的情况，可将污水返回至调节池，维护好池体后再重新自调节池取水。</w:t>
            </w:r>
            <w:r>
              <w:rPr>
                <w:rFonts w:hint="default" w:ascii="Times New Roman" w:hAnsi="Times New Roman" w:eastAsia="宋体" w:cs="Times New Roman"/>
                <w:color w:val="auto"/>
                <w:sz w:val="24"/>
                <w:szCs w:val="24"/>
                <w:highlight w:val="none"/>
                <w:lang w:eastAsia="zh-CN"/>
              </w:rPr>
              <w:t>经采取以上措施后，可</w:t>
            </w:r>
            <w:r>
              <w:rPr>
                <w:rFonts w:hint="default" w:ascii="Times New Roman" w:hAnsi="Times New Roman" w:eastAsia="宋体" w:cs="Times New Roman"/>
                <w:color w:val="auto"/>
                <w:sz w:val="24"/>
                <w:szCs w:val="24"/>
                <w:highlight w:val="none"/>
              </w:rPr>
              <w:t>确保项目事故废水不外排。</w:t>
            </w:r>
          </w:p>
          <w:p w14:paraId="39342A8E">
            <w:pPr>
              <w:pStyle w:val="7"/>
              <w:bidi w:val="0"/>
              <w:ind w:firstLine="0" w:firstLineChars="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污水处理</w:t>
            </w:r>
            <w:r>
              <w:rPr>
                <w:rFonts w:hint="eastAsia" w:ascii="Times New Roman" w:hAnsi="Times New Roman" w:eastAsia="宋体" w:cs="Times New Roman"/>
                <w:color w:val="auto"/>
                <w:sz w:val="24"/>
                <w:szCs w:val="24"/>
                <w:highlight w:val="none"/>
              </w:rPr>
              <w:t>站</w:t>
            </w:r>
            <w:r>
              <w:rPr>
                <w:rFonts w:ascii="Times New Roman" w:hAnsi="Times New Roman" w:eastAsia="宋体" w:cs="Times New Roman"/>
                <w:color w:val="auto"/>
                <w:sz w:val="24"/>
                <w:szCs w:val="24"/>
                <w:highlight w:val="none"/>
              </w:rPr>
              <w:t>在设计时对关键设备均设有备用，并由双路电源供电，此类事件发生概率极小。对于特殊情况下发生此类事件应及时查找原因，尽快恢复电力和设备运行，将事故时间降至最短。加强运行管理和设备维护工作，关键设备一用一备，保持设备的完好率和处理的高效率。备用设备或替换下来的设备要及时检修，并定期检查，使其在需要时能及时使用。加强事故苗头监控。定期巡查、调节、保养、维修，及时发现有可能引起的事故异常运行苗头，消除事故隐患。须建立可靠的污水处理</w:t>
            </w:r>
            <w:r>
              <w:rPr>
                <w:rFonts w:hint="eastAsia" w:ascii="Times New Roman" w:hAnsi="Times New Roman" w:eastAsia="宋体" w:cs="Times New Roman"/>
                <w:color w:val="auto"/>
                <w:sz w:val="24"/>
                <w:szCs w:val="24"/>
                <w:highlight w:val="none"/>
              </w:rPr>
              <w:t>站</w:t>
            </w:r>
            <w:r>
              <w:rPr>
                <w:rFonts w:ascii="Times New Roman" w:hAnsi="Times New Roman" w:eastAsia="宋体" w:cs="Times New Roman"/>
                <w:color w:val="auto"/>
                <w:sz w:val="24"/>
                <w:szCs w:val="24"/>
                <w:highlight w:val="none"/>
              </w:rPr>
              <w:t>运行监控系统，并设立标准排污口并安装在线监测和视频监控系统，时刻监控和预防发生事故性排放。</w:t>
            </w:r>
          </w:p>
          <w:p w14:paraId="30B09CB2">
            <w:pPr>
              <w:pStyle w:val="7"/>
              <w:bidi w:val="0"/>
              <w:ind w:firstLine="0" w:firstLineChars="0"/>
              <w:jc w:val="left"/>
              <w:rPr>
                <w:rFonts w:hint="default" w:ascii="Times New Roman" w:hAnsi="Times New Roman" w:eastAsia="宋体" w:cs="Times New Roman"/>
                <w:b/>
                <w:bCs/>
                <w:color w:val="auto"/>
                <w:sz w:val="24"/>
                <w:szCs w:val="24"/>
                <w:highlight w:val="none"/>
                <w:lang w:val="en-US" w:eastAsia="zh-CN"/>
              </w:rPr>
            </w:pPr>
            <w:bookmarkStart w:id="33" w:name="_Toc120817667"/>
            <w:bookmarkStart w:id="34" w:name="_Toc31657"/>
            <w:bookmarkStart w:id="35" w:name="_Toc6430"/>
            <w:bookmarkStart w:id="36" w:name="_Toc120819037"/>
            <w:r>
              <w:rPr>
                <w:rFonts w:hint="eastAsia" w:cs="Times New Roman"/>
                <w:b/>
                <w:bCs/>
                <w:color w:val="auto"/>
                <w:sz w:val="24"/>
                <w:szCs w:val="24"/>
                <w:highlight w:val="none"/>
                <w:lang w:val="en-US" w:eastAsia="zh-CN"/>
              </w:rPr>
              <w:t>三、</w:t>
            </w:r>
            <w:r>
              <w:rPr>
                <w:rFonts w:hint="default" w:ascii="Times New Roman" w:hAnsi="Times New Roman" w:eastAsia="宋体" w:cs="Times New Roman"/>
                <w:b/>
                <w:bCs/>
                <w:color w:val="auto"/>
                <w:sz w:val="24"/>
                <w:szCs w:val="24"/>
                <w:highlight w:val="none"/>
                <w:lang w:val="en-US" w:eastAsia="zh-CN"/>
              </w:rPr>
              <w:t>地下水环境风险防范措施</w:t>
            </w:r>
            <w:bookmarkEnd w:id="33"/>
            <w:bookmarkEnd w:id="34"/>
            <w:bookmarkEnd w:id="35"/>
            <w:bookmarkEnd w:id="36"/>
          </w:p>
          <w:p w14:paraId="6D7A6BA0">
            <w:pPr>
              <w:pStyle w:val="7"/>
              <w:bidi w:val="0"/>
              <w:ind w:firstLine="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项目发生</w:t>
            </w:r>
            <w:r>
              <w:rPr>
                <w:rFonts w:hint="default" w:ascii="Times New Roman" w:hAnsi="Times New Roman" w:eastAsia="宋体" w:cs="Times New Roman"/>
                <w:color w:val="auto"/>
                <w:sz w:val="24"/>
                <w:szCs w:val="24"/>
                <w:highlight w:val="none"/>
                <w:lang w:val="en-US" w:eastAsia="zh-CN"/>
              </w:rPr>
              <w:t>可能</w:t>
            </w:r>
            <w:r>
              <w:rPr>
                <w:rFonts w:hint="default" w:ascii="Times New Roman" w:hAnsi="Times New Roman" w:eastAsia="宋体" w:cs="Times New Roman"/>
                <w:color w:val="auto"/>
                <w:sz w:val="24"/>
                <w:szCs w:val="24"/>
                <w:highlight w:val="none"/>
              </w:rPr>
              <w:t>泄漏</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主要</w:t>
            </w:r>
            <w:r>
              <w:rPr>
                <w:rFonts w:hint="eastAsia" w:ascii="Times New Roman" w:hAnsi="Times New Roman" w:eastAsia="宋体" w:cs="Times New Roman"/>
                <w:color w:val="auto"/>
                <w:sz w:val="24"/>
                <w:szCs w:val="24"/>
                <w:highlight w:val="none"/>
                <w:lang w:val="en-US" w:eastAsia="zh-CN"/>
              </w:rPr>
              <w:t>有现有渗滤液调节池、新建的全量化处理站内的浓缩液、蒸发母液储罐、硫酸储罐等</w:t>
            </w:r>
            <w:r>
              <w:rPr>
                <w:rFonts w:hint="default" w:ascii="Times New Roman" w:hAnsi="Times New Roman" w:eastAsia="宋体" w:cs="Times New Roman"/>
                <w:color w:val="auto"/>
                <w:sz w:val="24"/>
                <w:szCs w:val="24"/>
                <w:highlight w:val="none"/>
              </w:rPr>
              <w:t>，具体防范措施如下：</w:t>
            </w:r>
          </w:p>
          <w:p w14:paraId="7EC1B191">
            <w:pPr>
              <w:pStyle w:val="7"/>
              <w:bidi w:val="0"/>
              <w:ind w:firstLine="0" w:firstLineChars="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选用的管线、管件、垫片及阀门的材料保证有足够的机械强度、耐腐蚀性及使用期限，管线的设计、制造、安装及试压等技术条件符合国家现行标准和规范，防止因选材强度不达标或安装不规范造成跑冒滴漏</w:t>
            </w:r>
            <w:r>
              <w:rPr>
                <w:rFonts w:hint="eastAsia" w:ascii="Times New Roman" w:hAnsi="Times New Roman" w:eastAsia="宋体" w:cs="Times New Roman"/>
                <w:color w:val="auto"/>
                <w:sz w:val="24"/>
                <w:szCs w:val="24"/>
                <w:highlight w:val="none"/>
                <w:lang w:eastAsia="zh-CN"/>
              </w:rPr>
              <w:t>。</w:t>
            </w:r>
          </w:p>
          <w:p w14:paraId="053D4235">
            <w:pPr>
              <w:pStyle w:val="7"/>
              <w:bidi w:val="0"/>
              <w:ind w:firstLine="0" w:firstLineChars="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设备选用有资质的正规厂家生产的设备，保证设备的加工质量，防止因设备焊接质量或密封形式选取错误而导致跑冒滴漏</w:t>
            </w:r>
            <w:r>
              <w:rPr>
                <w:rFonts w:hint="eastAsia" w:ascii="Times New Roman" w:hAnsi="Times New Roman" w:eastAsia="宋体" w:cs="Times New Roman"/>
                <w:color w:val="auto"/>
                <w:sz w:val="24"/>
                <w:szCs w:val="24"/>
                <w:highlight w:val="none"/>
                <w:lang w:eastAsia="zh-CN"/>
              </w:rPr>
              <w:t>。</w:t>
            </w:r>
          </w:p>
          <w:p w14:paraId="26A12C02">
            <w:pPr>
              <w:pStyle w:val="7"/>
              <w:bidi w:val="0"/>
              <w:ind w:firstLine="0" w:firstLineChars="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严格按照国家相关规范要求，对厂区采取相应的防渗措施，以防止和降低污染物的跑、冒、滴、漏，将环境风险事故降低到最低。各污水处理构筑物及其管道要经常巡查，杜绝“跑、冒、滴、漏”等事故的发生，尤其是污水处理构筑物和污水输送管道等周边要进行严格的防渗处理，从源头上防止污水污染周围土壤进而进行地下水含水层中</w:t>
            </w:r>
            <w:r>
              <w:rPr>
                <w:rFonts w:hint="eastAsia" w:ascii="Times New Roman" w:hAnsi="Times New Roman" w:eastAsia="宋体" w:cs="Times New Roman"/>
                <w:color w:val="auto"/>
                <w:sz w:val="24"/>
                <w:szCs w:val="24"/>
                <w:highlight w:val="none"/>
                <w:lang w:eastAsia="zh-CN"/>
              </w:rPr>
              <w:t>。</w:t>
            </w:r>
          </w:p>
          <w:p w14:paraId="6F6D26AE">
            <w:pPr>
              <w:pStyle w:val="7"/>
              <w:bidi w:val="0"/>
              <w:ind w:firstLine="0" w:firstLineChars="0"/>
              <w:jc w:val="left"/>
              <w:rPr>
                <w:rFonts w:hint="default" w:ascii="Times New Roman" w:hAnsi="Times New Roman" w:cs="Times New Roman"/>
                <w:color w:val="auto"/>
                <w:kern w:val="0"/>
                <w:sz w:val="24"/>
                <w:szCs w:val="24"/>
                <w:highlight w:val="none"/>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根据《环境影响评价导则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地下水环境》（HJ610-2016）防渗要求，</w:t>
            </w:r>
            <w:r>
              <w:rPr>
                <w:rFonts w:hint="eastAsia" w:ascii="Times New Roman" w:hAnsi="Times New Roman" w:eastAsia="宋体" w:cs="Times New Roman"/>
                <w:color w:val="auto"/>
                <w:sz w:val="24"/>
                <w:szCs w:val="24"/>
                <w:highlight w:val="none"/>
                <w:lang w:val="en-US" w:eastAsia="zh-CN"/>
              </w:rPr>
              <w:t>渗滤液收集池、调节池、产水收集池、全量化处理站、固化渣暂存间、危废暂存间、硫酸储罐、污水收集管道等</w:t>
            </w:r>
            <w:r>
              <w:rPr>
                <w:rFonts w:hint="default" w:ascii="Times New Roman" w:hAnsi="Times New Roman" w:eastAsia="宋体" w:cs="Times New Roman"/>
                <w:color w:val="auto"/>
                <w:sz w:val="24"/>
                <w:szCs w:val="24"/>
                <w:highlight w:val="none"/>
              </w:rPr>
              <w:t>区域划分为重点防渗区，采取重点防渗措施，其余内容参照</w:t>
            </w:r>
            <w:r>
              <w:rPr>
                <w:rFonts w:hint="eastAsia" w:ascii="Times New Roman" w:hAnsi="Times New Roman" w:eastAsia="宋体" w:cs="Times New Roman"/>
                <w:color w:val="auto"/>
                <w:sz w:val="24"/>
                <w:szCs w:val="24"/>
                <w:highlight w:val="none"/>
                <w:lang w:val="en-US" w:eastAsia="zh-CN"/>
              </w:rPr>
              <w:t>报告中</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营期地下水、</w:t>
            </w:r>
            <w:r>
              <w:rPr>
                <w:rFonts w:hint="default" w:ascii="Times New Roman" w:hAnsi="Times New Roman" w:eastAsia="宋体" w:cs="Times New Roman"/>
                <w:color w:val="auto"/>
                <w:sz w:val="24"/>
                <w:szCs w:val="24"/>
                <w:highlight w:val="none"/>
                <w:lang w:val="en-US" w:eastAsia="zh-CN"/>
              </w:rPr>
              <w:t>土壤</w:t>
            </w:r>
            <w:r>
              <w:rPr>
                <w:rFonts w:hint="default" w:ascii="Times New Roman" w:hAnsi="Times New Roman" w:eastAsia="宋体" w:cs="Times New Roman"/>
                <w:color w:val="auto"/>
                <w:sz w:val="24"/>
                <w:szCs w:val="24"/>
                <w:highlight w:val="none"/>
                <w:lang w:eastAsia="zh-CN"/>
              </w:rPr>
              <w:t>环境影响和保护措施</w:t>
            </w:r>
            <w:r>
              <w:rPr>
                <w:rFonts w:hint="default" w:ascii="Times New Roman" w:hAnsi="Times New Roman" w:eastAsia="宋体" w:cs="Times New Roman"/>
                <w:color w:val="auto"/>
                <w:sz w:val="24"/>
                <w:szCs w:val="24"/>
                <w:highlight w:val="none"/>
              </w:rPr>
              <w:t>”进行分区防渗及地下水监控预警等</w:t>
            </w:r>
            <w:r>
              <w:rPr>
                <w:rFonts w:ascii="Times New Roman" w:hAnsi="Times New Roman" w:eastAsia="宋体" w:cs="Times New Roman"/>
                <w:color w:val="auto"/>
                <w:sz w:val="24"/>
                <w:szCs w:val="24"/>
                <w:highlight w:val="none"/>
              </w:rPr>
              <w:t>。</w:t>
            </w:r>
          </w:p>
        </w:tc>
      </w:tr>
      <w:tr w14:paraId="61D2A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948" w:type="dxa"/>
            <w:vAlign w:val="center"/>
          </w:tcPr>
          <w:p w14:paraId="1D6A45DC">
            <w:pPr>
              <w:adjustRightInd w:val="0"/>
              <w:snapToGrid w:val="0"/>
              <w:jc w:val="center"/>
              <w:rPr>
                <w:color w:val="auto"/>
                <w:sz w:val="24"/>
                <w:szCs w:val="24"/>
                <w:highlight w:val="none"/>
              </w:rPr>
            </w:pPr>
            <w:r>
              <w:rPr>
                <w:rFonts w:hAnsi="宋体"/>
                <w:color w:val="auto"/>
                <w:sz w:val="24"/>
                <w:szCs w:val="24"/>
                <w:highlight w:val="none"/>
              </w:rPr>
              <w:t>其他环境</w:t>
            </w:r>
          </w:p>
          <w:p w14:paraId="0E789A2A">
            <w:pPr>
              <w:adjustRightInd w:val="0"/>
              <w:snapToGrid w:val="0"/>
              <w:jc w:val="center"/>
              <w:rPr>
                <w:color w:val="auto"/>
                <w:spacing w:val="-8"/>
                <w:sz w:val="24"/>
                <w:szCs w:val="24"/>
                <w:highlight w:val="none"/>
              </w:rPr>
            </w:pPr>
            <w:r>
              <w:rPr>
                <w:rFonts w:hAnsi="宋体"/>
                <w:color w:val="auto"/>
                <w:sz w:val="24"/>
                <w:szCs w:val="24"/>
                <w:highlight w:val="none"/>
              </w:rPr>
              <w:t>管理要求</w:t>
            </w:r>
          </w:p>
        </w:tc>
        <w:tc>
          <w:tcPr>
            <w:tcW w:w="7297" w:type="dxa"/>
            <w:gridSpan w:val="4"/>
            <w:vAlign w:val="center"/>
          </w:tcPr>
          <w:p w14:paraId="7FD1A12C">
            <w:pPr>
              <w:adjustRightInd w:val="0"/>
              <w:snapToGrid w:val="0"/>
              <w:spacing w:line="360" w:lineRule="auto"/>
              <w:rPr>
                <w:b/>
                <w:color w:val="auto"/>
                <w:sz w:val="24"/>
                <w:szCs w:val="24"/>
                <w:highlight w:val="none"/>
              </w:rPr>
            </w:pPr>
            <w:r>
              <w:rPr>
                <w:rFonts w:hint="eastAsia"/>
                <w:b/>
                <w:color w:val="auto"/>
                <w:sz w:val="24"/>
                <w:szCs w:val="24"/>
                <w:highlight w:val="none"/>
              </w:rPr>
              <w:t>1、环境管理</w:t>
            </w:r>
          </w:p>
          <w:p w14:paraId="237A49CF">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建立环境保护管理机构，根据工程环境影响评价中提出的施工期和营运期环境保护措施，落实环境保护经费，实施环境保护对策措施；协调政府环境管理与工程环境管理间的关系，具体管理内容如下：</w:t>
            </w:r>
          </w:p>
          <w:p w14:paraId="6BCCE92E">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（1）项目在建设和运行中应认真执行国家、地方环境保护的有关规定和要求。按照环境保护局的要求及时反映发生的环保问题，随时接受各级环保部门的检查监督。</w:t>
            </w:r>
          </w:p>
          <w:p w14:paraId="33A315C9">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（2）项目建成运行后，建设单位应自主组织相关人员进行环保验收，并编制《突发事故环境风险应急预案》报送环保主管部门进行备案。</w:t>
            </w:r>
          </w:p>
          <w:p w14:paraId="1FD4B6A5">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（3）加强管理，使污染物尽量消除在源头。</w:t>
            </w:r>
          </w:p>
          <w:p w14:paraId="742E70FB">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（4）加强风险事故防范机制，避免污染性的突发事件发生。</w:t>
            </w:r>
          </w:p>
          <w:p w14:paraId="58C02562">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（5）加强宣传教育，增强施工及管理人员的环保意识。</w:t>
            </w:r>
          </w:p>
          <w:p w14:paraId="6F7EB601">
            <w:pPr>
              <w:adjustRightInd w:val="0"/>
              <w:snapToGrid w:val="0"/>
              <w:spacing w:line="360" w:lineRule="auto"/>
              <w:rPr>
                <w:b/>
                <w:color w:val="auto"/>
                <w:sz w:val="24"/>
                <w:szCs w:val="24"/>
                <w:highlight w:val="none"/>
              </w:rPr>
            </w:pPr>
            <w:r>
              <w:rPr>
                <w:rFonts w:hint="eastAsia"/>
                <w:b/>
                <w:color w:val="auto"/>
                <w:sz w:val="24"/>
                <w:szCs w:val="24"/>
                <w:highlight w:val="none"/>
              </w:rPr>
              <w:t>2、排污口规范化设置</w:t>
            </w:r>
          </w:p>
          <w:p w14:paraId="5BFB63F0">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本项目废水不外排，</w:t>
            </w:r>
            <w:r>
              <w:rPr>
                <w:rFonts w:hint="eastAsia"/>
                <w:color w:val="auto"/>
                <w:sz w:val="24"/>
                <w:szCs w:val="24"/>
                <w:highlight w:val="none"/>
              </w:rPr>
              <w:t>设置</w:t>
            </w:r>
            <w:r>
              <w:rPr>
                <w:rFonts w:hint="eastAsia"/>
                <w:color w:val="auto"/>
                <w:sz w:val="24"/>
                <w:szCs w:val="24"/>
                <w:highlight w:val="none"/>
                <w:lang w:val="en-US" w:eastAsia="zh-CN"/>
              </w:rPr>
              <w:t>1</w:t>
            </w:r>
            <w:r>
              <w:rPr>
                <w:rFonts w:hint="eastAsia"/>
                <w:color w:val="auto"/>
                <w:sz w:val="24"/>
                <w:szCs w:val="24"/>
                <w:highlight w:val="none"/>
              </w:rPr>
              <w:t>个废气排放口，应设置便于采样、监测的采样口。采样口的设置应符合《污染源监测技术规范》要求。</w:t>
            </w:r>
          </w:p>
          <w:p w14:paraId="2B51B1DB">
            <w:pPr>
              <w:adjustRightInd w:val="0"/>
              <w:snapToGrid w:val="0"/>
              <w:spacing w:line="360" w:lineRule="auto"/>
              <w:rPr>
                <w:b/>
                <w:color w:val="auto"/>
                <w:sz w:val="24"/>
                <w:szCs w:val="24"/>
                <w:highlight w:val="none"/>
              </w:rPr>
            </w:pPr>
            <w:r>
              <w:rPr>
                <w:rFonts w:hint="eastAsia"/>
                <w:b/>
                <w:color w:val="auto"/>
                <w:sz w:val="24"/>
                <w:szCs w:val="24"/>
                <w:highlight w:val="none"/>
                <w:lang w:val="en-US" w:eastAsia="zh-CN"/>
              </w:rPr>
              <w:t>3、</w:t>
            </w:r>
            <w:r>
              <w:rPr>
                <w:rFonts w:hint="eastAsia"/>
                <w:b/>
                <w:color w:val="auto"/>
                <w:sz w:val="24"/>
                <w:szCs w:val="24"/>
                <w:highlight w:val="none"/>
              </w:rPr>
              <w:t>建设项目竣工环境保护验收</w:t>
            </w:r>
          </w:p>
          <w:p w14:paraId="562A3D23">
            <w:pPr>
              <w:adjustRightInd w:val="0"/>
              <w:snapToGrid w:val="0"/>
              <w:spacing w:line="360" w:lineRule="auto"/>
              <w:ind w:firstLine="480" w:firstLineChars="200"/>
              <w:rPr>
                <w:bCs/>
                <w:color w:val="auto"/>
                <w:sz w:val="24"/>
                <w:szCs w:val="24"/>
                <w:highlight w:val="none"/>
              </w:rPr>
            </w:pPr>
            <w:r>
              <w:rPr>
                <w:bCs/>
                <w:color w:val="auto"/>
                <w:sz w:val="24"/>
                <w:szCs w:val="24"/>
                <w:highlight w:val="none"/>
              </w:rPr>
              <w:t>本项目环保设施竣工验收由</w:t>
            </w:r>
            <w:r>
              <w:rPr>
                <w:rFonts w:hint="eastAsia"/>
                <w:bCs/>
                <w:color w:val="auto"/>
                <w:sz w:val="24"/>
                <w:szCs w:val="24"/>
                <w:highlight w:val="none"/>
              </w:rPr>
              <w:t>建设单位</w:t>
            </w:r>
            <w:r>
              <w:rPr>
                <w:rFonts w:hint="eastAsia"/>
                <w:bCs/>
                <w:color w:val="auto"/>
                <w:sz w:val="24"/>
                <w:szCs w:val="24"/>
                <w:highlight w:val="none"/>
                <w:lang w:eastAsia="zh-CN"/>
              </w:rPr>
              <w:t>自己</w:t>
            </w:r>
            <w:r>
              <w:rPr>
                <w:bCs/>
                <w:color w:val="auto"/>
                <w:sz w:val="24"/>
                <w:szCs w:val="24"/>
                <w:highlight w:val="none"/>
              </w:rPr>
              <w:t>组织实施验收。</w:t>
            </w:r>
          </w:p>
          <w:p w14:paraId="47D385DA">
            <w:pPr>
              <w:tabs>
                <w:tab w:val="left" w:pos="951"/>
              </w:tabs>
              <w:spacing w:line="360" w:lineRule="auto"/>
              <w:ind w:firstLine="480" w:firstLineChars="200"/>
              <w:rPr>
                <w:rFonts w:hint="eastAsia"/>
                <w:bCs/>
                <w:color w:val="auto"/>
                <w:sz w:val="24"/>
                <w:szCs w:val="24"/>
                <w:highlight w:val="none"/>
              </w:rPr>
            </w:pPr>
            <w:r>
              <w:rPr>
                <w:rFonts w:hint="eastAsia"/>
                <w:bCs/>
                <w:color w:val="auto"/>
                <w:sz w:val="24"/>
                <w:szCs w:val="24"/>
                <w:highlight w:val="none"/>
              </w:rPr>
              <w:t>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3FA0CF48">
            <w:pPr>
              <w:adjustRightInd w:val="0"/>
              <w:snapToGrid w:val="0"/>
              <w:spacing w:line="360" w:lineRule="auto"/>
              <w:rPr>
                <w:rFonts w:hint="default" w:ascii="Times New Roman" w:hAnsi="Times New Roman" w:cs="Times New Roman"/>
                <w:b/>
                <w:color w:val="auto"/>
                <w:sz w:val="24"/>
                <w:szCs w:val="24"/>
                <w:highlight w:val="none"/>
              </w:rPr>
            </w:pPr>
            <w:r>
              <w:rPr>
                <w:rFonts w:hint="eastAsia"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w:t>
            </w:r>
            <w:r>
              <w:rPr>
                <w:rFonts w:hint="default" w:ascii="Times New Roman" w:hAnsi="Times New Roman" w:cs="Times New Roman"/>
                <w:b/>
                <w:color w:val="auto"/>
                <w:sz w:val="24"/>
                <w:szCs w:val="24"/>
                <w:highlight w:val="none"/>
              </w:rPr>
              <w:t>排污许可</w:t>
            </w:r>
          </w:p>
          <w:p w14:paraId="64D6477A">
            <w:pPr>
              <w:spacing w:line="360" w:lineRule="auto"/>
              <w:ind w:firstLine="480" w:firstLineChars="200"/>
              <w:rPr>
                <w:rFonts w:hint="default"/>
                <w:color w:val="auto"/>
                <w:sz w:val="24"/>
                <w:szCs w:val="24"/>
                <w:highlight w:val="none"/>
              </w:rPr>
            </w:pPr>
            <w:r>
              <w:rPr>
                <w:rFonts w:hint="default"/>
                <w:color w:val="auto"/>
                <w:sz w:val="24"/>
                <w:szCs w:val="24"/>
                <w:highlight w:val="none"/>
              </w:rPr>
              <w:t>根据《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w:t>
            </w:r>
          </w:p>
          <w:p w14:paraId="1930DEC8">
            <w:pPr>
              <w:spacing w:line="360" w:lineRule="auto"/>
              <w:ind w:firstLine="480" w:firstLineChars="200"/>
              <w:rPr>
                <w:color w:val="auto"/>
                <w:sz w:val="24"/>
                <w:szCs w:val="24"/>
                <w:highlight w:val="none"/>
              </w:rPr>
            </w:pPr>
            <w:r>
              <w:rPr>
                <w:rFonts w:hint="eastAsia"/>
                <w:color w:val="auto"/>
                <w:sz w:val="24"/>
                <w:szCs w:val="24"/>
                <w:highlight w:val="none"/>
                <w:lang w:eastAsia="zh-CN"/>
              </w:rPr>
              <w:t>本项目已于</w:t>
            </w:r>
            <w:r>
              <w:rPr>
                <w:rFonts w:hint="eastAsia"/>
                <w:color w:val="auto"/>
                <w:sz w:val="24"/>
                <w:szCs w:val="24"/>
                <w:highlight w:val="none"/>
                <w:lang w:val="en-US" w:eastAsia="zh-CN"/>
              </w:rPr>
              <w:t>2023年9月6日取得了排污许可证，证书编号11530422015184439E001V</w:t>
            </w:r>
            <w:r>
              <w:rPr>
                <w:color w:val="auto"/>
                <w:sz w:val="24"/>
                <w:szCs w:val="24"/>
                <w:highlight w:val="none"/>
              </w:rPr>
              <w:t>。</w:t>
            </w:r>
          </w:p>
          <w:p w14:paraId="3053ED90">
            <w:pPr>
              <w:spacing w:line="360" w:lineRule="auto"/>
              <w:ind w:firstLine="480" w:firstLineChars="200"/>
              <w:rPr>
                <w:color w:val="auto"/>
                <w:sz w:val="24"/>
                <w:szCs w:val="24"/>
                <w:highlight w:val="none"/>
              </w:rPr>
            </w:pPr>
            <w:r>
              <w:rPr>
                <w:rFonts w:hint="eastAsia"/>
                <w:color w:val="auto"/>
                <w:sz w:val="24"/>
                <w:highlight w:val="none"/>
              </w:rPr>
              <w:t>根据《排污许可管理条例》（中华人民共和国国务院令 第736号），本项目应当在启动生产设施或者发生实际排污之前，向玉溪市生态环境局申请变更排污许可证。</w:t>
            </w:r>
          </w:p>
          <w:p w14:paraId="721C3126">
            <w:pPr>
              <w:spacing w:line="360" w:lineRule="auto"/>
              <w:jc w:val="left"/>
              <w:rPr>
                <w:rFonts w:hint="default" w:hAnsi="宋体" w:eastAsia="宋体"/>
                <w:b/>
                <w:color w:val="auto"/>
                <w:sz w:val="24"/>
                <w:szCs w:val="24"/>
                <w:highlight w:val="none"/>
                <w:lang w:val="en-US" w:eastAsia="zh-CN"/>
              </w:rPr>
            </w:pPr>
            <w:r>
              <w:rPr>
                <w:rFonts w:hint="eastAsia" w:hAnsi="宋体"/>
                <w:b/>
                <w:color w:val="auto"/>
                <w:sz w:val="24"/>
                <w:szCs w:val="24"/>
                <w:highlight w:val="none"/>
                <w:lang w:val="en-US" w:eastAsia="zh-CN"/>
              </w:rPr>
              <w:t>5</w:t>
            </w:r>
            <w:r>
              <w:rPr>
                <w:rFonts w:hint="eastAsia" w:hAnsi="宋体"/>
                <w:b/>
                <w:color w:val="auto"/>
                <w:sz w:val="24"/>
                <w:szCs w:val="24"/>
                <w:highlight w:val="none"/>
              </w:rPr>
              <w:t>、</w:t>
            </w:r>
            <w:r>
              <w:rPr>
                <w:rFonts w:hint="eastAsia" w:hAnsi="宋体"/>
                <w:b/>
                <w:color w:val="auto"/>
                <w:sz w:val="24"/>
                <w:highlight w:val="none"/>
              </w:rPr>
              <w:t>项目运营期自行监测计划汇总</w:t>
            </w:r>
          </w:p>
          <w:p w14:paraId="703216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表</w:t>
            </w:r>
            <w:r>
              <w:rPr>
                <w:rFonts w:hint="eastAsia" w:cs="Times New Roman"/>
                <w:b/>
                <w:bCs w:val="0"/>
                <w:color w:val="auto"/>
                <w:sz w:val="24"/>
                <w:szCs w:val="24"/>
                <w:highlight w:val="none"/>
                <w:lang w:val="en-US" w:eastAsia="zh-CN"/>
              </w:rPr>
              <w:t xml:space="preserve">5-1     </w:t>
            </w:r>
            <w:r>
              <w:rPr>
                <w:rFonts w:hint="eastAsia" w:ascii="Times New Roman" w:hAnsi="Times New Roman" w:cs="Times New Roman"/>
                <w:b/>
                <w:bCs w:val="0"/>
                <w:color w:val="auto"/>
                <w:sz w:val="24"/>
                <w:szCs w:val="24"/>
                <w:highlight w:val="none"/>
                <w:lang w:val="en-US" w:eastAsia="zh-CN"/>
              </w:rPr>
              <w:t>有组织废气排放</w:t>
            </w:r>
            <w:r>
              <w:rPr>
                <w:rFonts w:hint="eastAsia" w:cs="Times New Roman"/>
                <w:b/>
                <w:bCs w:val="0"/>
                <w:color w:val="auto"/>
                <w:sz w:val="24"/>
                <w:szCs w:val="24"/>
                <w:highlight w:val="none"/>
                <w:lang w:val="en-US" w:eastAsia="zh-CN"/>
              </w:rPr>
              <w:t>监测指标及最低监测频次</w:t>
            </w:r>
            <w:r>
              <w:rPr>
                <w:rFonts w:hint="default" w:ascii="Times New Roman" w:hAnsi="Times New Roman" w:cs="Times New Roman"/>
                <w:b/>
                <w:bCs w:val="0"/>
                <w:color w:val="auto"/>
                <w:sz w:val="24"/>
                <w:szCs w:val="24"/>
                <w:highlight w:val="none"/>
                <w:lang w:val="en-US" w:eastAsia="zh-CN"/>
              </w:rPr>
              <w:t>要求</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887"/>
              <w:gridCol w:w="959"/>
              <w:gridCol w:w="2943"/>
            </w:tblGrid>
            <w:tr w14:paraId="6DD5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03" w:type="pct"/>
                  <w:noWrap w:val="0"/>
                  <w:vAlign w:val="center"/>
                </w:tcPr>
                <w:p w14:paraId="1CC77C34">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监测点位</w:t>
                  </w:r>
                </w:p>
              </w:tc>
              <w:tc>
                <w:tcPr>
                  <w:tcW w:w="1335" w:type="pct"/>
                  <w:noWrap w:val="0"/>
                  <w:vAlign w:val="center"/>
                </w:tcPr>
                <w:p w14:paraId="0A7DB32B">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w:t>
                  </w:r>
                  <w:r>
                    <w:rPr>
                      <w:rFonts w:hint="eastAsia" w:ascii="Times New Roman" w:hAnsi="Times New Roman" w:cs="Times New Roman"/>
                      <w:color w:val="auto"/>
                      <w:sz w:val="21"/>
                      <w:szCs w:val="21"/>
                      <w:highlight w:val="none"/>
                      <w:vertAlign w:val="baseline"/>
                      <w:lang w:val="en-US" w:eastAsia="zh-CN"/>
                    </w:rPr>
                    <w:t>指标</w:t>
                  </w:r>
                </w:p>
              </w:tc>
              <w:tc>
                <w:tcPr>
                  <w:tcW w:w="678" w:type="pct"/>
                  <w:noWrap w:val="0"/>
                  <w:vAlign w:val="center"/>
                </w:tcPr>
                <w:p w14:paraId="2633403A">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监测频次</w:t>
                  </w:r>
                </w:p>
              </w:tc>
              <w:tc>
                <w:tcPr>
                  <w:tcW w:w="2082" w:type="pct"/>
                  <w:noWrap w:val="0"/>
                  <w:vAlign w:val="center"/>
                </w:tcPr>
                <w:p w14:paraId="5353884F">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olor w:val="auto"/>
                      <w:highlight w:val="none"/>
                    </w:rPr>
                    <w:t>执行标准</w:t>
                  </w:r>
                </w:p>
              </w:tc>
            </w:tr>
            <w:tr w14:paraId="3CF8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03" w:type="pct"/>
                  <w:noWrap w:val="0"/>
                  <w:vAlign w:val="center"/>
                </w:tcPr>
                <w:p w14:paraId="1829DF7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化学洗涤塔排气筒DA001</w:t>
                  </w:r>
                </w:p>
              </w:tc>
              <w:tc>
                <w:tcPr>
                  <w:tcW w:w="1335" w:type="pct"/>
                  <w:noWrap w:val="0"/>
                  <w:vAlign w:val="center"/>
                </w:tcPr>
                <w:p w14:paraId="3DB6A8BD">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臭气浓度、硫化氢、氨</w:t>
                  </w:r>
                </w:p>
              </w:tc>
              <w:tc>
                <w:tcPr>
                  <w:tcW w:w="678" w:type="pct"/>
                  <w:noWrap w:val="0"/>
                  <w:vAlign w:val="center"/>
                </w:tcPr>
                <w:p w14:paraId="12597800">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半年</w:t>
                  </w:r>
                </w:p>
              </w:tc>
              <w:tc>
                <w:tcPr>
                  <w:tcW w:w="2082" w:type="pct"/>
                  <w:noWrap w:val="0"/>
                  <w:vAlign w:val="center"/>
                </w:tcPr>
                <w:p w14:paraId="1D07A5C7">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《恶臭污染物排放标准》（GB14554-93）中表2中恶臭污染物排放标准限值</w:t>
                  </w:r>
                </w:p>
              </w:tc>
            </w:tr>
          </w:tbl>
          <w:p w14:paraId="531A2D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表</w:t>
            </w:r>
            <w:r>
              <w:rPr>
                <w:rFonts w:hint="eastAsia" w:cs="Times New Roman"/>
                <w:b/>
                <w:bCs w:val="0"/>
                <w:color w:val="auto"/>
                <w:sz w:val="24"/>
                <w:szCs w:val="24"/>
                <w:highlight w:val="none"/>
                <w:lang w:val="en-US" w:eastAsia="zh-CN"/>
              </w:rPr>
              <w:t xml:space="preserve">5-2    </w:t>
            </w:r>
            <w:r>
              <w:rPr>
                <w:rFonts w:hint="eastAsia" w:ascii="Times New Roman" w:hAnsi="Times New Roman" w:cs="Times New Roman"/>
                <w:b/>
                <w:bCs w:val="0"/>
                <w:color w:val="auto"/>
                <w:sz w:val="24"/>
                <w:szCs w:val="24"/>
                <w:highlight w:val="none"/>
                <w:lang w:val="en-US" w:eastAsia="zh-CN"/>
              </w:rPr>
              <w:t>无组织废气</w:t>
            </w:r>
            <w:r>
              <w:rPr>
                <w:rFonts w:hint="eastAsia" w:cs="Times New Roman"/>
                <w:b/>
                <w:bCs w:val="0"/>
                <w:color w:val="auto"/>
                <w:sz w:val="24"/>
                <w:szCs w:val="24"/>
                <w:highlight w:val="none"/>
                <w:lang w:val="en-US" w:eastAsia="zh-CN"/>
              </w:rPr>
              <w:t>监测指标及最低监测频次</w:t>
            </w:r>
            <w:r>
              <w:rPr>
                <w:rFonts w:hint="default" w:ascii="Times New Roman" w:hAnsi="Times New Roman" w:cs="Times New Roman"/>
                <w:b/>
                <w:bCs w:val="0"/>
                <w:color w:val="auto"/>
                <w:sz w:val="24"/>
                <w:szCs w:val="24"/>
                <w:highlight w:val="none"/>
                <w:lang w:val="en-US" w:eastAsia="zh-CN"/>
              </w:rPr>
              <w:t>要求</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852"/>
              <w:gridCol w:w="1014"/>
              <w:gridCol w:w="2930"/>
            </w:tblGrid>
            <w:tr w14:paraId="2C5A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97" w:type="pct"/>
                  <w:noWrap w:val="0"/>
                  <w:vAlign w:val="center"/>
                </w:tcPr>
                <w:p w14:paraId="4109519D">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监测点位</w:t>
                  </w:r>
                </w:p>
              </w:tc>
              <w:tc>
                <w:tcPr>
                  <w:tcW w:w="1310" w:type="pct"/>
                  <w:noWrap w:val="0"/>
                  <w:vAlign w:val="center"/>
                </w:tcPr>
                <w:p w14:paraId="6A49FD2F">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w:t>
                  </w:r>
                  <w:r>
                    <w:rPr>
                      <w:rFonts w:hint="eastAsia" w:ascii="Times New Roman" w:hAnsi="Times New Roman" w:cs="Times New Roman"/>
                      <w:color w:val="auto"/>
                      <w:sz w:val="21"/>
                      <w:szCs w:val="21"/>
                      <w:highlight w:val="none"/>
                      <w:vertAlign w:val="baseline"/>
                      <w:lang w:val="en-US" w:eastAsia="zh-CN"/>
                    </w:rPr>
                    <w:t>指标</w:t>
                  </w:r>
                </w:p>
              </w:tc>
              <w:tc>
                <w:tcPr>
                  <w:tcW w:w="717" w:type="pct"/>
                  <w:noWrap w:val="0"/>
                  <w:vAlign w:val="center"/>
                </w:tcPr>
                <w:p w14:paraId="7A41E4BE">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监测频次</w:t>
                  </w:r>
                </w:p>
              </w:tc>
              <w:tc>
                <w:tcPr>
                  <w:tcW w:w="2073" w:type="pct"/>
                  <w:noWrap w:val="0"/>
                  <w:vAlign w:val="center"/>
                </w:tcPr>
                <w:p w14:paraId="53E65716">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olor w:val="auto"/>
                      <w:highlight w:val="none"/>
                    </w:rPr>
                    <w:t>执行标准</w:t>
                  </w:r>
                </w:p>
              </w:tc>
            </w:tr>
            <w:tr w14:paraId="23C8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97" w:type="pct"/>
                  <w:noWrap w:val="0"/>
                  <w:vAlign w:val="center"/>
                </w:tcPr>
                <w:p w14:paraId="588265AD">
                  <w:pPr>
                    <w:spacing w:line="240" w:lineRule="auto"/>
                    <w:jc w:val="center"/>
                    <w:rPr>
                      <w:rFonts w:hint="default" w:ascii="Times New Roman" w:hAnsi="Times New Roman" w:cs="Times New Roman"/>
                      <w:color w:val="auto"/>
                      <w:sz w:val="21"/>
                      <w:szCs w:val="21"/>
                      <w:highlight w:val="none"/>
                      <w:vertAlign w:val="superscript"/>
                      <w:lang w:val="en-US" w:eastAsia="zh-CN"/>
                    </w:rPr>
                  </w:pPr>
                  <w:r>
                    <w:rPr>
                      <w:rFonts w:hint="eastAsia" w:cs="Times New Roman"/>
                      <w:color w:val="auto"/>
                      <w:sz w:val="21"/>
                      <w:szCs w:val="21"/>
                      <w:highlight w:val="none"/>
                      <w:vertAlign w:val="baseline"/>
                      <w:lang w:val="en-US" w:eastAsia="zh-CN"/>
                    </w:rPr>
                    <w:t>厂界</w:t>
                  </w:r>
                </w:p>
              </w:tc>
              <w:tc>
                <w:tcPr>
                  <w:tcW w:w="1310" w:type="pct"/>
                  <w:noWrap w:val="0"/>
                  <w:vAlign w:val="center"/>
                </w:tcPr>
                <w:p w14:paraId="66F84D1D">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硫化氢、氨、臭气浓度</w:t>
                  </w:r>
                  <w:r>
                    <w:rPr>
                      <w:rFonts w:hint="eastAsia" w:cs="Times New Roman"/>
                      <w:color w:val="auto"/>
                      <w:sz w:val="21"/>
                      <w:szCs w:val="21"/>
                      <w:highlight w:val="none"/>
                      <w:vertAlign w:val="baseline"/>
                      <w:lang w:val="en-US" w:eastAsia="zh-CN"/>
                    </w:rPr>
                    <w:t>、颗粒物</w:t>
                  </w:r>
                </w:p>
              </w:tc>
              <w:tc>
                <w:tcPr>
                  <w:tcW w:w="717" w:type="pct"/>
                  <w:noWrap w:val="0"/>
                  <w:vAlign w:val="center"/>
                </w:tcPr>
                <w:p w14:paraId="19C959F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月</w:t>
                  </w:r>
                </w:p>
              </w:tc>
              <w:tc>
                <w:tcPr>
                  <w:tcW w:w="2073" w:type="pct"/>
                  <w:noWrap w:val="0"/>
                  <w:vAlign w:val="center"/>
                </w:tcPr>
                <w:p w14:paraId="5DD1D879">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《恶臭污染物排放标准》（GB14554-93）中表1中恶臭污染物排放标准限值</w:t>
                  </w:r>
                </w:p>
              </w:tc>
            </w:tr>
          </w:tbl>
          <w:p w14:paraId="7A0BAF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表</w:t>
            </w:r>
            <w:r>
              <w:rPr>
                <w:rFonts w:hint="eastAsia" w:cs="Times New Roman"/>
                <w:b/>
                <w:bCs w:val="0"/>
                <w:color w:val="auto"/>
                <w:sz w:val="24"/>
                <w:szCs w:val="24"/>
                <w:highlight w:val="none"/>
                <w:lang w:val="en-US" w:eastAsia="zh-CN"/>
              </w:rPr>
              <w:t>5-3</w:t>
            </w:r>
            <w:r>
              <w:rPr>
                <w:rFonts w:hint="default" w:ascii="Times New Roman" w:hAnsi="Times New Roman" w:cs="Times New Roman"/>
                <w:b/>
                <w:bCs w:val="0"/>
                <w:color w:val="auto"/>
                <w:sz w:val="24"/>
                <w:szCs w:val="24"/>
                <w:highlight w:val="none"/>
                <w:lang w:val="en-US" w:eastAsia="zh-CN"/>
              </w:rPr>
              <w:t xml:space="preserve"> </w:t>
            </w:r>
            <w:r>
              <w:rPr>
                <w:rFonts w:hint="eastAsia" w:cs="Times New Roman"/>
                <w:b/>
                <w:bCs w:val="0"/>
                <w:color w:val="auto"/>
                <w:sz w:val="24"/>
                <w:szCs w:val="24"/>
                <w:highlight w:val="none"/>
                <w:lang w:val="en-US" w:eastAsia="zh-CN"/>
              </w:rPr>
              <w:t>污水监测指标及最低监测频次</w:t>
            </w:r>
            <w:r>
              <w:rPr>
                <w:rFonts w:hint="default" w:ascii="Times New Roman" w:hAnsi="Times New Roman" w:cs="Times New Roman"/>
                <w:b/>
                <w:bCs w:val="0"/>
                <w:color w:val="auto"/>
                <w:sz w:val="24"/>
                <w:szCs w:val="24"/>
                <w:highlight w:val="none"/>
                <w:lang w:val="en-US" w:eastAsia="zh-CN"/>
              </w:rPr>
              <w:t>要求</w:t>
            </w:r>
          </w:p>
          <w:tbl>
            <w:tblPr>
              <w:tblStyle w:val="31"/>
              <w:tblW w:w="7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589"/>
              <w:gridCol w:w="1050"/>
              <w:gridCol w:w="2640"/>
            </w:tblGrid>
            <w:tr w14:paraId="4597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78" w:type="pct"/>
                  <w:noWrap w:val="0"/>
                  <w:vAlign w:val="center"/>
                </w:tcPr>
                <w:p w14:paraId="6630532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监测点位</w:t>
                  </w:r>
                </w:p>
              </w:tc>
              <w:tc>
                <w:tcPr>
                  <w:tcW w:w="1823" w:type="pct"/>
                  <w:noWrap w:val="0"/>
                  <w:vAlign w:val="center"/>
                </w:tcPr>
                <w:p w14:paraId="1D83F9F1">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监测因子</w:t>
                  </w:r>
                </w:p>
              </w:tc>
              <w:tc>
                <w:tcPr>
                  <w:tcW w:w="739" w:type="pct"/>
                  <w:noWrap w:val="0"/>
                  <w:vAlign w:val="center"/>
                </w:tcPr>
                <w:p w14:paraId="2EED9A17">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监测频次</w:t>
                  </w:r>
                </w:p>
              </w:tc>
              <w:tc>
                <w:tcPr>
                  <w:tcW w:w="1859" w:type="pct"/>
                  <w:noWrap w:val="0"/>
                  <w:vAlign w:val="center"/>
                </w:tcPr>
                <w:p w14:paraId="336FA2F0">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执行标准</w:t>
                  </w:r>
                </w:p>
              </w:tc>
            </w:tr>
            <w:tr w14:paraId="152D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78" w:type="pct"/>
                  <w:vMerge w:val="restart"/>
                  <w:noWrap w:val="0"/>
                  <w:vAlign w:val="center"/>
                </w:tcPr>
                <w:p w14:paraId="0BD9CA2A">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全量化处理站出水口</w:t>
                  </w:r>
                </w:p>
              </w:tc>
              <w:tc>
                <w:tcPr>
                  <w:tcW w:w="1823" w:type="pct"/>
                  <w:noWrap w:val="0"/>
                  <w:vAlign w:val="center"/>
                </w:tcPr>
                <w:p w14:paraId="4D2C5FAA">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pH值、流量、</w:t>
                  </w:r>
                  <w:r>
                    <w:rPr>
                      <w:rFonts w:hint="default" w:cs="Times New Roman"/>
                      <w:color w:val="auto"/>
                      <w:sz w:val="21"/>
                      <w:szCs w:val="21"/>
                      <w:highlight w:val="none"/>
                      <w:vertAlign w:val="baseline"/>
                      <w:lang w:val="en-US" w:eastAsia="zh-CN"/>
                    </w:rPr>
                    <w:t>化学需氧量、氨氮</w:t>
                  </w:r>
                </w:p>
              </w:tc>
              <w:tc>
                <w:tcPr>
                  <w:tcW w:w="739" w:type="pct"/>
                  <w:noWrap w:val="0"/>
                  <w:vAlign w:val="center"/>
                </w:tcPr>
                <w:p w14:paraId="7BCE0733">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自动监测</w:t>
                  </w:r>
                </w:p>
              </w:tc>
              <w:tc>
                <w:tcPr>
                  <w:tcW w:w="1859" w:type="pct"/>
                  <w:vMerge w:val="restart"/>
                  <w:noWrap w:val="0"/>
                  <w:vAlign w:val="center"/>
                </w:tcPr>
                <w:p w14:paraId="437D0683">
                  <w:pPr>
                    <w:spacing w:line="240" w:lineRule="auto"/>
                    <w:jc w:val="center"/>
                    <w:rPr>
                      <w:rFonts w:hint="eastAsia" w:cs="Times New Roman"/>
                      <w:color w:val="auto"/>
                      <w:sz w:val="21"/>
                      <w:szCs w:val="21"/>
                      <w:highlight w:val="none"/>
                      <w:vertAlign w:val="baseline"/>
                      <w:lang w:val="en-US" w:eastAsia="zh-CN"/>
                    </w:rPr>
                  </w:pPr>
                  <w:r>
                    <w:rPr>
                      <w:rFonts w:hint="eastAsia"/>
                      <w:color w:val="auto"/>
                      <w:szCs w:val="21"/>
                      <w:highlight w:val="none"/>
                    </w:rPr>
                    <w:t>《城镇污水处理厂污染物排放标准》（GB18918-2002）表1 中一级A标准及《城市污水再生利用 城市杂用水水质》（GB/T18920-2020）中城市绿化水质标准限值</w:t>
                  </w:r>
                </w:p>
              </w:tc>
            </w:tr>
            <w:tr w14:paraId="29D4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78" w:type="pct"/>
                  <w:vMerge w:val="continue"/>
                  <w:noWrap w:val="0"/>
                  <w:vAlign w:val="center"/>
                </w:tcPr>
                <w:p w14:paraId="533EE568">
                  <w:pPr>
                    <w:spacing w:line="240" w:lineRule="auto"/>
                    <w:jc w:val="center"/>
                    <w:rPr>
                      <w:rFonts w:hint="eastAsia" w:cs="Times New Roman"/>
                      <w:color w:val="auto"/>
                      <w:sz w:val="21"/>
                      <w:szCs w:val="21"/>
                      <w:highlight w:val="none"/>
                      <w:vertAlign w:val="baseline"/>
                      <w:lang w:val="en-US" w:eastAsia="zh-CN"/>
                    </w:rPr>
                  </w:pPr>
                </w:p>
              </w:tc>
              <w:tc>
                <w:tcPr>
                  <w:tcW w:w="1823" w:type="pct"/>
                  <w:noWrap w:val="0"/>
                  <w:vAlign w:val="center"/>
                </w:tcPr>
                <w:p w14:paraId="2AA2A714">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色度、悬浮物、</w:t>
                  </w:r>
                  <w:r>
                    <w:rPr>
                      <w:rFonts w:hint="default" w:cs="Times New Roman"/>
                      <w:color w:val="auto"/>
                      <w:sz w:val="21"/>
                      <w:szCs w:val="21"/>
                      <w:highlight w:val="none"/>
                      <w:vertAlign w:val="baseline"/>
                      <w:lang w:val="en-US" w:eastAsia="zh-CN"/>
                    </w:rPr>
                    <w:t>五日生化需氧量、总氮、</w:t>
                  </w:r>
                  <w:r>
                    <w:rPr>
                      <w:rFonts w:hint="eastAsia" w:cs="Times New Roman"/>
                      <w:color w:val="auto"/>
                      <w:sz w:val="21"/>
                      <w:szCs w:val="21"/>
                      <w:highlight w:val="none"/>
                      <w:vertAlign w:val="baseline"/>
                      <w:lang w:val="en-US" w:eastAsia="zh-CN"/>
                    </w:rPr>
                    <w:t>总磷、粪大肠菌群数、总汞、总镉、总铬、六价铬、总砷、总铅</w:t>
                  </w:r>
                </w:p>
              </w:tc>
              <w:tc>
                <w:tcPr>
                  <w:tcW w:w="739" w:type="pct"/>
                  <w:noWrap w:val="0"/>
                  <w:vAlign w:val="center"/>
                </w:tcPr>
                <w:p w14:paraId="78CC8960">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季度</w:t>
                  </w:r>
                </w:p>
              </w:tc>
              <w:tc>
                <w:tcPr>
                  <w:tcW w:w="1859" w:type="pct"/>
                  <w:vMerge w:val="continue"/>
                  <w:noWrap w:val="0"/>
                  <w:vAlign w:val="center"/>
                </w:tcPr>
                <w:p w14:paraId="12FF75F3">
                  <w:pPr>
                    <w:spacing w:line="240" w:lineRule="auto"/>
                    <w:jc w:val="center"/>
                    <w:rPr>
                      <w:rFonts w:hint="eastAsia" w:cs="Times New Roman"/>
                      <w:color w:val="auto"/>
                      <w:sz w:val="21"/>
                      <w:szCs w:val="21"/>
                      <w:highlight w:val="none"/>
                      <w:vertAlign w:val="baseline"/>
                      <w:lang w:val="en-US" w:eastAsia="zh-CN"/>
                    </w:rPr>
                  </w:pPr>
                </w:p>
              </w:tc>
            </w:tr>
          </w:tbl>
          <w:p w14:paraId="3D3E706C">
            <w:pPr>
              <w:pStyle w:val="37"/>
              <w:keepNext w:val="0"/>
              <w:keepLines w:val="0"/>
              <w:pageBreakBefore w:val="0"/>
              <w:widowControl w:val="0"/>
              <w:kinsoku/>
              <w:wordWrap/>
              <w:overflowPunct/>
              <w:topLinePunct w:val="0"/>
              <w:bidi w:val="0"/>
              <w:adjustRightInd w:val="0"/>
              <w:spacing w:line="360" w:lineRule="auto"/>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表</w:t>
            </w:r>
            <w:r>
              <w:rPr>
                <w:rFonts w:hint="eastAsia" w:ascii="Times New Roman" w:cs="Times New Roman"/>
                <w:b/>
                <w:bCs/>
                <w:color w:val="auto"/>
                <w:sz w:val="24"/>
                <w:szCs w:val="24"/>
                <w:highlight w:val="none"/>
                <w:lang w:val="en-US" w:eastAsia="zh-CN"/>
              </w:rPr>
              <w:t>5-4</w:t>
            </w:r>
            <w:r>
              <w:rPr>
                <w:rFonts w:hint="default" w:ascii="Times New Roman" w:hAnsi="Times New Roman" w:cs="Times New Roman"/>
                <w:b/>
                <w:bCs/>
                <w:color w:val="auto"/>
                <w:sz w:val="24"/>
                <w:szCs w:val="24"/>
                <w:highlight w:val="none"/>
                <w:lang w:val="en-US" w:eastAsia="zh-CN"/>
              </w:rPr>
              <w:t xml:space="preserve">   噪声</w:t>
            </w:r>
            <w:r>
              <w:rPr>
                <w:rFonts w:hint="eastAsia" w:cs="Times New Roman"/>
                <w:b/>
                <w:bCs w:val="0"/>
                <w:color w:val="auto"/>
                <w:sz w:val="24"/>
                <w:szCs w:val="24"/>
                <w:highlight w:val="none"/>
                <w:lang w:val="en-US" w:eastAsia="zh-CN"/>
              </w:rPr>
              <w:t>自行</w:t>
            </w:r>
            <w:r>
              <w:rPr>
                <w:rFonts w:hint="default" w:ascii="Times New Roman" w:hAnsi="Times New Roman" w:cs="Times New Roman"/>
                <w:b/>
                <w:bCs/>
                <w:color w:val="auto"/>
                <w:sz w:val="24"/>
                <w:szCs w:val="24"/>
                <w:highlight w:val="none"/>
                <w:lang w:val="en-US" w:eastAsia="zh-CN"/>
              </w:rPr>
              <w:t>监测要求一览表</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768"/>
              <w:gridCol w:w="1123"/>
              <w:gridCol w:w="2413"/>
            </w:tblGrid>
            <w:tr w14:paraId="4D7B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49" w:type="pct"/>
                  <w:vAlign w:val="center"/>
                </w:tcPr>
                <w:p w14:paraId="5E9377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监测点位</w:t>
                  </w:r>
                </w:p>
              </w:tc>
              <w:tc>
                <w:tcPr>
                  <w:tcW w:w="1250" w:type="pct"/>
                  <w:vAlign w:val="center"/>
                </w:tcPr>
                <w:p w14:paraId="5B4FBC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监测因子</w:t>
                  </w:r>
                </w:p>
              </w:tc>
              <w:tc>
                <w:tcPr>
                  <w:tcW w:w="794" w:type="pct"/>
                  <w:vAlign w:val="center"/>
                </w:tcPr>
                <w:p w14:paraId="4239A9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监测频次</w:t>
                  </w:r>
                </w:p>
              </w:tc>
              <w:tc>
                <w:tcPr>
                  <w:tcW w:w="1706" w:type="pct"/>
                  <w:vAlign w:val="center"/>
                </w:tcPr>
                <w:p w14:paraId="4BCF3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执行标准</w:t>
                  </w:r>
                </w:p>
              </w:tc>
            </w:tr>
            <w:tr w14:paraId="34D4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9" w:type="pct"/>
                  <w:vAlign w:val="center"/>
                </w:tcPr>
                <w:p w14:paraId="1619AD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厂界东、南、西、北边界</w:t>
                  </w:r>
                </w:p>
              </w:tc>
              <w:tc>
                <w:tcPr>
                  <w:tcW w:w="1250" w:type="pct"/>
                  <w:vAlign w:val="center"/>
                </w:tcPr>
                <w:p w14:paraId="41A282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b w:val="0"/>
                      <w:bCs w:val="0"/>
                      <w:color w:val="auto"/>
                      <w:sz w:val="21"/>
                      <w:szCs w:val="21"/>
                      <w:highlight w:val="none"/>
                      <w:vertAlign w:val="baseline"/>
                      <w:lang w:val="en-US" w:eastAsia="zh-CN"/>
                    </w:rPr>
                  </w:pPr>
                  <w:r>
                    <w:rPr>
                      <w:rFonts w:hint="eastAsia"/>
                      <w:color w:val="auto"/>
                      <w:sz w:val="21"/>
                      <w:szCs w:val="21"/>
                      <w:highlight w:val="none"/>
                    </w:rPr>
                    <w:t>昼间、夜间等效声级 Leq(A)</w:t>
                  </w:r>
                </w:p>
              </w:tc>
              <w:tc>
                <w:tcPr>
                  <w:tcW w:w="794" w:type="pct"/>
                  <w:vAlign w:val="center"/>
                </w:tcPr>
                <w:p w14:paraId="517F63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b w:val="0"/>
                      <w:bCs w:val="0"/>
                      <w:color w:val="auto"/>
                      <w:sz w:val="21"/>
                      <w:szCs w:val="21"/>
                      <w:highlight w:val="none"/>
                      <w:vertAlign w:val="baseline"/>
                      <w:lang w:val="en-US" w:eastAsia="zh-CN"/>
                    </w:rPr>
                    <w:t>1次/</w:t>
                  </w:r>
                  <w:r>
                    <w:rPr>
                      <w:rFonts w:hint="eastAsia" w:ascii="Times New Roman"/>
                      <w:b w:val="0"/>
                      <w:bCs w:val="0"/>
                      <w:color w:val="auto"/>
                      <w:sz w:val="21"/>
                      <w:szCs w:val="21"/>
                      <w:highlight w:val="none"/>
                      <w:vertAlign w:val="baseline"/>
                      <w:lang w:eastAsia="zh-CN"/>
                    </w:rPr>
                    <w:t>季度</w:t>
                  </w:r>
                </w:p>
              </w:tc>
              <w:tc>
                <w:tcPr>
                  <w:tcW w:w="1706" w:type="pct"/>
                  <w:vAlign w:val="center"/>
                </w:tcPr>
                <w:p w14:paraId="50B9DB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b w:val="0"/>
                      <w:bCs w:val="0"/>
                      <w:color w:val="auto"/>
                      <w:sz w:val="21"/>
                      <w:szCs w:val="21"/>
                      <w:highlight w:val="none"/>
                      <w:vertAlign w:val="baseline"/>
                      <w:lang w:eastAsia="zh-CN"/>
                    </w:rPr>
                  </w:pPr>
                  <w:r>
                    <w:rPr>
                      <w:rFonts w:hint="eastAsia" w:ascii="Times New Roman"/>
                      <w:b w:val="0"/>
                      <w:bCs w:val="0"/>
                      <w:color w:val="auto"/>
                      <w:sz w:val="21"/>
                      <w:szCs w:val="21"/>
                      <w:highlight w:val="none"/>
                      <w:vertAlign w:val="baseline"/>
                      <w:lang w:eastAsia="zh-CN"/>
                    </w:rPr>
                    <w:t>《工业企业厂界环境噪声排放标准》（GB12348-2008）</w:t>
                  </w:r>
                  <w:r>
                    <w:rPr>
                      <w:rFonts w:hint="eastAsia"/>
                      <w:b w:val="0"/>
                      <w:bCs w:val="0"/>
                      <w:color w:val="auto"/>
                      <w:sz w:val="21"/>
                      <w:szCs w:val="21"/>
                      <w:highlight w:val="none"/>
                      <w:vertAlign w:val="baseline"/>
                      <w:lang w:val="en-US" w:eastAsia="zh-CN"/>
                    </w:rPr>
                    <w:t>2</w:t>
                  </w:r>
                  <w:r>
                    <w:rPr>
                      <w:rFonts w:hint="eastAsia" w:ascii="Times New Roman"/>
                      <w:b w:val="0"/>
                      <w:bCs w:val="0"/>
                      <w:color w:val="auto"/>
                      <w:sz w:val="21"/>
                      <w:szCs w:val="21"/>
                      <w:highlight w:val="none"/>
                      <w:vertAlign w:val="baseline"/>
                      <w:lang w:eastAsia="zh-CN"/>
                    </w:rPr>
                    <w:t>类标准限值</w:t>
                  </w:r>
                </w:p>
              </w:tc>
            </w:tr>
          </w:tbl>
          <w:p w14:paraId="29E103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表</w:t>
            </w:r>
            <w:r>
              <w:rPr>
                <w:rFonts w:hint="eastAsia" w:cs="Times New Roman"/>
                <w:b/>
                <w:bCs w:val="0"/>
                <w:color w:val="auto"/>
                <w:sz w:val="24"/>
                <w:szCs w:val="24"/>
                <w:highlight w:val="none"/>
                <w:lang w:val="en-US" w:eastAsia="zh-CN"/>
              </w:rPr>
              <w:t>5-3</w:t>
            </w:r>
            <w:r>
              <w:rPr>
                <w:rFonts w:hint="default" w:ascii="Times New Roman" w:hAnsi="Times New Roman" w:cs="Times New Roman"/>
                <w:b/>
                <w:bCs w:val="0"/>
                <w:color w:val="auto"/>
                <w:sz w:val="24"/>
                <w:szCs w:val="24"/>
                <w:highlight w:val="none"/>
                <w:lang w:val="en-US" w:eastAsia="zh-CN"/>
              </w:rPr>
              <w:t xml:space="preserve"> </w:t>
            </w:r>
            <w:r>
              <w:rPr>
                <w:rFonts w:hint="eastAsia" w:cs="Times New Roman"/>
                <w:b/>
                <w:bCs w:val="0"/>
                <w:color w:val="auto"/>
                <w:sz w:val="24"/>
                <w:szCs w:val="24"/>
                <w:highlight w:val="none"/>
                <w:lang w:val="en-US" w:eastAsia="zh-CN"/>
              </w:rPr>
              <w:t>地下水监测指标及最低监测频次</w:t>
            </w:r>
            <w:r>
              <w:rPr>
                <w:rFonts w:hint="default" w:ascii="Times New Roman" w:hAnsi="Times New Roman" w:cs="Times New Roman"/>
                <w:b/>
                <w:bCs w:val="0"/>
                <w:color w:val="auto"/>
                <w:sz w:val="24"/>
                <w:szCs w:val="24"/>
                <w:highlight w:val="none"/>
                <w:lang w:val="en-US" w:eastAsia="zh-CN"/>
              </w:rPr>
              <w:t>要求</w:t>
            </w:r>
          </w:p>
          <w:tbl>
            <w:tblPr>
              <w:tblStyle w:val="31"/>
              <w:tblW w:w="49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2040"/>
              <w:gridCol w:w="2370"/>
              <w:gridCol w:w="1243"/>
            </w:tblGrid>
            <w:tr w14:paraId="36BF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75" w:type="pct"/>
                  <w:noWrap w:val="0"/>
                  <w:vAlign w:val="center"/>
                </w:tcPr>
                <w:p w14:paraId="496F24F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监测点位</w:t>
                  </w:r>
                </w:p>
              </w:tc>
              <w:tc>
                <w:tcPr>
                  <w:tcW w:w="1452" w:type="pct"/>
                  <w:noWrap w:val="0"/>
                  <w:vAlign w:val="center"/>
                </w:tcPr>
                <w:p w14:paraId="62AFC898">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监测因子</w:t>
                  </w:r>
                </w:p>
              </w:tc>
              <w:tc>
                <w:tcPr>
                  <w:tcW w:w="1687" w:type="pct"/>
                  <w:noWrap w:val="0"/>
                  <w:vAlign w:val="center"/>
                </w:tcPr>
                <w:p w14:paraId="131301D7">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监测频次</w:t>
                  </w:r>
                </w:p>
              </w:tc>
              <w:tc>
                <w:tcPr>
                  <w:tcW w:w="884" w:type="pct"/>
                  <w:noWrap w:val="0"/>
                  <w:vAlign w:val="center"/>
                </w:tcPr>
                <w:p w14:paraId="605ECBA9">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执行标准</w:t>
                  </w:r>
                </w:p>
              </w:tc>
            </w:tr>
            <w:tr w14:paraId="72D8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975" w:type="pct"/>
                  <w:noWrap w:val="0"/>
                  <w:vAlign w:val="center"/>
                </w:tcPr>
                <w:p w14:paraId="16AAE242">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本底井</w:t>
                  </w:r>
                </w:p>
              </w:tc>
              <w:tc>
                <w:tcPr>
                  <w:tcW w:w="1452" w:type="pct"/>
                  <w:vMerge w:val="restart"/>
                  <w:noWrap w:val="0"/>
                  <w:vAlign w:val="center"/>
                </w:tcPr>
                <w:p w14:paraId="7E50DCAD">
                  <w:pPr>
                    <w:spacing w:line="240" w:lineRule="auto"/>
                    <w:jc w:val="left"/>
                    <w:rPr>
                      <w:rFonts w:hint="default"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pH值、总硬度、溶解性总固体、耗氧量（CODCr法）、氨氮、硝酸盐、亚硝酸盐、硫酸盐、氯化物、挥发性酚类、氰化物、砷、汞、总铬、六价铬、铅、氟化物、镉、铁、锰、铜、锌、镍、铍、总大肠菌群</w:t>
                  </w:r>
                </w:p>
              </w:tc>
              <w:tc>
                <w:tcPr>
                  <w:tcW w:w="1687" w:type="pct"/>
                  <w:vMerge w:val="restart"/>
                  <w:noWrap w:val="0"/>
                  <w:vAlign w:val="center"/>
                </w:tcPr>
                <w:p w14:paraId="1AA9479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填埋场运行期间，对地下水导排系统的导排管出口处污染监测井的水质监测频率应不少于每周1次，对污染扩散井和污染监视井的水质监测频率应不少于每2周1次，对本底井的水质监测频率应不少于每月1次；封场后，频率至少每季度1次。</w:t>
                  </w:r>
                </w:p>
              </w:tc>
              <w:tc>
                <w:tcPr>
                  <w:tcW w:w="884" w:type="pct"/>
                  <w:vMerge w:val="restart"/>
                  <w:noWrap w:val="0"/>
                  <w:vAlign w:val="center"/>
                </w:tcPr>
                <w:p w14:paraId="20B68437">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olor w:val="auto"/>
                      <w:szCs w:val="21"/>
                      <w:highlight w:val="none"/>
                    </w:rPr>
                    <w:t>《地下水质量标准》(GB/T14848-2017)中的Ⅲ类水质标准</w:t>
                  </w:r>
                </w:p>
              </w:tc>
            </w:tr>
            <w:tr w14:paraId="1603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975" w:type="pct"/>
                  <w:noWrap w:val="0"/>
                  <w:vAlign w:val="center"/>
                </w:tcPr>
                <w:p w14:paraId="3C839978">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污染扩散井</w:t>
                  </w:r>
                </w:p>
              </w:tc>
              <w:tc>
                <w:tcPr>
                  <w:tcW w:w="1452" w:type="pct"/>
                  <w:vMerge w:val="continue"/>
                  <w:noWrap w:val="0"/>
                  <w:vAlign w:val="center"/>
                </w:tcPr>
                <w:p w14:paraId="38BCB3B9">
                  <w:pPr>
                    <w:spacing w:line="240" w:lineRule="auto"/>
                    <w:jc w:val="center"/>
                    <w:rPr>
                      <w:rFonts w:hint="eastAsia" w:cs="Times New Roman"/>
                      <w:color w:val="auto"/>
                      <w:sz w:val="21"/>
                      <w:szCs w:val="21"/>
                      <w:highlight w:val="none"/>
                      <w:vertAlign w:val="baseline"/>
                      <w:lang w:val="en-US" w:eastAsia="zh-CN"/>
                    </w:rPr>
                  </w:pPr>
                </w:p>
              </w:tc>
              <w:tc>
                <w:tcPr>
                  <w:tcW w:w="1687" w:type="pct"/>
                  <w:vMerge w:val="continue"/>
                  <w:noWrap w:val="0"/>
                  <w:vAlign w:val="center"/>
                </w:tcPr>
                <w:p w14:paraId="0BD5DF5A">
                  <w:pPr>
                    <w:spacing w:line="240" w:lineRule="auto"/>
                    <w:jc w:val="center"/>
                    <w:rPr>
                      <w:rFonts w:hint="eastAsia" w:cs="Times New Roman"/>
                      <w:color w:val="auto"/>
                      <w:sz w:val="21"/>
                      <w:szCs w:val="21"/>
                      <w:highlight w:val="none"/>
                      <w:vertAlign w:val="baseline"/>
                      <w:lang w:val="en-US" w:eastAsia="zh-CN"/>
                    </w:rPr>
                  </w:pPr>
                </w:p>
              </w:tc>
              <w:tc>
                <w:tcPr>
                  <w:tcW w:w="884" w:type="pct"/>
                  <w:vMerge w:val="continue"/>
                  <w:noWrap w:val="0"/>
                  <w:vAlign w:val="center"/>
                </w:tcPr>
                <w:p w14:paraId="0C755B68">
                  <w:pPr>
                    <w:spacing w:line="240" w:lineRule="auto"/>
                    <w:jc w:val="center"/>
                    <w:rPr>
                      <w:rFonts w:hint="eastAsia" w:cs="Times New Roman"/>
                      <w:color w:val="auto"/>
                      <w:sz w:val="21"/>
                      <w:szCs w:val="21"/>
                      <w:highlight w:val="none"/>
                      <w:vertAlign w:val="baseline"/>
                      <w:lang w:val="en-US" w:eastAsia="zh-CN"/>
                    </w:rPr>
                  </w:pPr>
                </w:p>
              </w:tc>
            </w:tr>
            <w:tr w14:paraId="648A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75" w:type="pct"/>
                  <w:noWrap w:val="0"/>
                  <w:vAlign w:val="center"/>
                </w:tcPr>
                <w:p w14:paraId="0102C55E">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污染监视井</w:t>
                  </w:r>
                </w:p>
              </w:tc>
              <w:tc>
                <w:tcPr>
                  <w:tcW w:w="1452" w:type="pct"/>
                  <w:vMerge w:val="continue"/>
                  <w:noWrap w:val="0"/>
                  <w:vAlign w:val="center"/>
                </w:tcPr>
                <w:p w14:paraId="1CE3BBE4">
                  <w:pPr>
                    <w:spacing w:line="240" w:lineRule="auto"/>
                    <w:jc w:val="center"/>
                    <w:rPr>
                      <w:rFonts w:hint="eastAsia" w:cs="Times New Roman"/>
                      <w:color w:val="auto"/>
                      <w:sz w:val="21"/>
                      <w:szCs w:val="21"/>
                      <w:highlight w:val="none"/>
                      <w:vertAlign w:val="baseline"/>
                      <w:lang w:val="en-US" w:eastAsia="zh-CN"/>
                    </w:rPr>
                  </w:pPr>
                </w:p>
              </w:tc>
              <w:tc>
                <w:tcPr>
                  <w:tcW w:w="1687" w:type="pct"/>
                  <w:vMerge w:val="continue"/>
                  <w:noWrap w:val="0"/>
                  <w:vAlign w:val="center"/>
                </w:tcPr>
                <w:p w14:paraId="4075A2B1">
                  <w:pPr>
                    <w:spacing w:line="240" w:lineRule="auto"/>
                    <w:jc w:val="center"/>
                    <w:rPr>
                      <w:rFonts w:hint="eastAsia" w:cs="Times New Roman"/>
                      <w:color w:val="auto"/>
                      <w:sz w:val="21"/>
                      <w:szCs w:val="21"/>
                      <w:highlight w:val="none"/>
                      <w:vertAlign w:val="baseline"/>
                      <w:lang w:val="en-US" w:eastAsia="zh-CN"/>
                    </w:rPr>
                  </w:pPr>
                </w:p>
              </w:tc>
              <w:tc>
                <w:tcPr>
                  <w:tcW w:w="884" w:type="pct"/>
                  <w:vMerge w:val="continue"/>
                  <w:noWrap w:val="0"/>
                  <w:vAlign w:val="center"/>
                </w:tcPr>
                <w:p w14:paraId="7105ED00">
                  <w:pPr>
                    <w:spacing w:line="240" w:lineRule="auto"/>
                    <w:jc w:val="center"/>
                    <w:rPr>
                      <w:rFonts w:hint="eastAsia" w:cs="Times New Roman"/>
                      <w:color w:val="auto"/>
                      <w:sz w:val="21"/>
                      <w:szCs w:val="21"/>
                      <w:highlight w:val="none"/>
                      <w:vertAlign w:val="baseline"/>
                      <w:lang w:val="en-US" w:eastAsia="zh-CN"/>
                    </w:rPr>
                  </w:pPr>
                </w:p>
              </w:tc>
            </w:tr>
            <w:tr w14:paraId="08F1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75" w:type="pct"/>
                  <w:noWrap w:val="0"/>
                  <w:vAlign w:val="center"/>
                </w:tcPr>
                <w:p w14:paraId="24915A21">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污染监测井</w:t>
                  </w:r>
                </w:p>
              </w:tc>
              <w:tc>
                <w:tcPr>
                  <w:tcW w:w="1452" w:type="pct"/>
                  <w:vMerge w:val="continue"/>
                  <w:noWrap w:val="0"/>
                  <w:vAlign w:val="center"/>
                </w:tcPr>
                <w:p w14:paraId="21B43AAB">
                  <w:pPr>
                    <w:spacing w:line="240" w:lineRule="auto"/>
                    <w:jc w:val="center"/>
                    <w:rPr>
                      <w:rFonts w:hint="eastAsia" w:cs="Times New Roman"/>
                      <w:color w:val="auto"/>
                      <w:sz w:val="21"/>
                      <w:szCs w:val="21"/>
                      <w:highlight w:val="none"/>
                      <w:vertAlign w:val="baseline"/>
                      <w:lang w:val="en-US" w:eastAsia="zh-CN"/>
                    </w:rPr>
                  </w:pPr>
                </w:p>
              </w:tc>
              <w:tc>
                <w:tcPr>
                  <w:tcW w:w="1687" w:type="pct"/>
                  <w:vMerge w:val="continue"/>
                  <w:noWrap w:val="0"/>
                  <w:vAlign w:val="center"/>
                </w:tcPr>
                <w:p w14:paraId="1C31A867">
                  <w:pPr>
                    <w:spacing w:line="240" w:lineRule="auto"/>
                    <w:jc w:val="center"/>
                    <w:rPr>
                      <w:rFonts w:hint="eastAsia" w:cs="Times New Roman"/>
                      <w:color w:val="auto"/>
                      <w:sz w:val="21"/>
                      <w:szCs w:val="21"/>
                      <w:highlight w:val="none"/>
                      <w:vertAlign w:val="baseline"/>
                      <w:lang w:val="en-US" w:eastAsia="zh-CN"/>
                    </w:rPr>
                  </w:pPr>
                </w:p>
              </w:tc>
              <w:tc>
                <w:tcPr>
                  <w:tcW w:w="884" w:type="pct"/>
                  <w:vMerge w:val="continue"/>
                  <w:noWrap w:val="0"/>
                  <w:vAlign w:val="center"/>
                </w:tcPr>
                <w:p w14:paraId="149FE2B0">
                  <w:pPr>
                    <w:spacing w:line="240" w:lineRule="auto"/>
                    <w:jc w:val="center"/>
                    <w:rPr>
                      <w:rFonts w:hint="eastAsia" w:cs="Times New Roman"/>
                      <w:color w:val="auto"/>
                      <w:sz w:val="21"/>
                      <w:szCs w:val="21"/>
                      <w:highlight w:val="none"/>
                      <w:vertAlign w:val="baseline"/>
                      <w:lang w:val="en-US" w:eastAsia="zh-CN"/>
                    </w:rPr>
                  </w:pPr>
                </w:p>
              </w:tc>
            </w:tr>
          </w:tbl>
          <w:p w14:paraId="2A1BE0A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auto"/>
                <w:sz w:val="24"/>
                <w:szCs w:val="24"/>
                <w:highlight w:val="none"/>
                <w:lang w:val="en-US" w:eastAsia="zh-CN"/>
              </w:rPr>
            </w:pPr>
          </w:p>
          <w:p w14:paraId="515FD789">
            <w:pPr>
              <w:adjustRightInd w:val="0"/>
              <w:snapToGrid w:val="0"/>
              <w:spacing w:line="360" w:lineRule="auto"/>
              <w:rPr>
                <w:bCs/>
                <w:color w:val="auto"/>
                <w:sz w:val="24"/>
                <w:szCs w:val="24"/>
                <w:highlight w:val="none"/>
              </w:rPr>
            </w:pPr>
          </w:p>
          <w:p w14:paraId="752E89FB">
            <w:pPr>
              <w:adjustRightInd w:val="0"/>
              <w:snapToGrid w:val="0"/>
              <w:spacing w:line="360" w:lineRule="auto"/>
              <w:ind w:firstLine="480" w:firstLineChars="200"/>
              <w:rPr>
                <w:bCs/>
                <w:color w:val="auto"/>
                <w:sz w:val="24"/>
                <w:szCs w:val="24"/>
                <w:highlight w:val="none"/>
              </w:rPr>
            </w:pPr>
          </w:p>
          <w:p w14:paraId="5EFEFBA5">
            <w:pPr>
              <w:adjustRightInd w:val="0"/>
              <w:snapToGrid w:val="0"/>
              <w:spacing w:line="360" w:lineRule="auto"/>
              <w:rPr>
                <w:rFonts w:hint="eastAsia"/>
                <w:color w:val="auto"/>
                <w:sz w:val="24"/>
                <w:szCs w:val="24"/>
                <w:highlight w:val="none"/>
                <w:lang w:val="en-US" w:eastAsia="zh-CN"/>
              </w:rPr>
            </w:pPr>
          </w:p>
          <w:p w14:paraId="716C749D">
            <w:pPr>
              <w:adjustRightInd w:val="0"/>
              <w:snapToGrid w:val="0"/>
              <w:spacing w:line="360" w:lineRule="auto"/>
              <w:rPr>
                <w:rFonts w:hint="eastAsia"/>
                <w:color w:val="auto"/>
                <w:sz w:val="24"/>
                <w:szCs w:val="24"/>
                <w:highlight w:val="none"/>
                <w:lang w:val="en-US" w:eastAsia="zh-CN"/>
              </w:rPr>
            </w:pPr>
          </w:p>
          <w:p w14:paraId="466197ED">
            <w:pPr>
              <w:adjustRightInd w:val="0"/>
              <w:snapToGrid w:val="0"/>
              <w:spacing w:line="360" w:lineRule="auto"/>
              <w:rPr>
                <w:rFonts w:hint="eastAsia"/>
                <w:color w:val="auto"/>
                <w:sz w:val="24"/>
                <w:szCs w:val="24"/>
                <w:highlight w:val="none"/>
                <w:lang w:val="en-US" w:eastAsia="zh-CN"/>
              </w:rPr>
            </w:pPr>
          </w:p>
          <w:p w14:paraId="75F6C40F">
            <w:pPr>
              <w:adjustRightInd w:val="0"/>
              <w:snapToGrid w:val="0"/>
              <w:spacing w:line="360" w:lineRule="auto"/>
              <w:rPr>
                <w:rFonts w:hint="eastAsia"/>
                <w:color w:val="auto"/>
                <w:sz w:val="24"/>
                <w:szCs w:val="24"/>
                <w:highlight w:val="none"/>
                <w:lang w:val="en-US" w:eastAsia="zh-CN"/>
              </w:rPr>
            </w:pPr>
          </w:p>
          <w:p w14:paraId="5D48D976">
            <w:pPr>
              <w:adjustRightInd w:val="0"/>
              <w:snapToGrid w:val="0"/>
              <w:spacing w:line="360" w:lineRule="auto"/>
              <w:rPr>
                <w:rFonts w:hint="eastAsia"/>
                <w:color w:val="auto"/>
                <w:sz w:val="24"/>
                <w:szCs w:val="24"/>
                <w:highlight w:val="none"/>
                <w:lang w:val="en-US" w:eastAsia="zh-CN"/>
              </w:rPr>
            </w:pPr>
          </w:p>
          <w:p w14:paraId="64A9E0FA">
            <w:pPr>
              <w:adjustRightInd w:val="0"/>
              <w:snapToGrid w:val="0"/>
              <w:spacing w:line="360" w:lineRule="auto"/>
              <w:rPr>
                <w:rFonts w:hint="eastAsia"/>
                <w:color w:val="auto"/>
                <w:sz w:val="24"/>
                <w:szCs w:val="24"/>
                <w:highlight w:val="none"/>
                <w:lang w:val="en-US" w:eastAsia="zh-CN"/>
              </w:rPr>
            </w:pPr>
          </w:p>
          <w:p w14:paraId="79E8035E">
            <w:pPr>
              <w:adjustRightInd w:val="0"/>
              <w:snapToGrid w:val="0"/>
              <w:spacing w:line="360" w:lineRule="auto"/>
              <w:rPr>
                <w:rFonts w:hint="eastAsia"/>
                <w:color w:val="auto"/>
                <w:sz w:val="24"/>
                <w:szCs w:val="24"/>
                <w:highlight w:val="none"/>
                <w:lang w:val="en-US" w:eastAsia="zh-CN"/>
              </w:rPr>
            </w:pPr>
          </w:p>
          <w:p w14:paraId="56FE18C6">
            <w:pPr>
              <w:adjustRightInd w:val="0"/>
              <w:snapToGrid w:val="0"/>
              <w:spacing w:line="360" w:lineRule="auto"/>
              <w:rPr>
                <w:rFonts w:hint="eastAsia"/>
                <w:color w:val="auto"/>
                <w:sz w:val="24"/>
                <w:szCs w:val="24"/>
                <w:highlight w:val="none"/>
                <w:lang w:val="en-US" w:eastAsia="zh-CN"/>
              </w:rPr>
            </w:pPr>
          </w:p>
          <w:p w14:paraId="6FEB3F7D">
            <w:pPr>
              <w:adjustRightInd w:val="0"/>
              <w:snapToGrid w:val="0"/>
              <w:spacing w:line="360" w:lineRule="auto"/>
              <w:rPr>
                <w:rFonts w:hint="eastAsia"/>
                <w:color w:val="auto"/>
                <w:sz w:val="24"/>
                <w:szCs w:val="24"/>
                <w:highlight w:val="none"/>
                <w:lang w:val="en-US" w:eastAsia="zh-CN"/>
              </w:rPr>
            </w:pPr>
          </w:p>
          <w:p w14:paraId="72AEA492">
            <w:pPr>
              <w:adjustRightInd w:val="0"/>
              <w:snapToGrid w:val="0"/>
              <w:spacing w:line="360" w:lineRule="auto"/>
              <w:rPr>
                <w:rFonts w:hint="eastAsia"/>
                <w:color w:val="auto"/>
                <w:sz w:val="24"/>
                <w:szCs w:val="24"/>
                <w:highlight w:val="none"/>
                <w:lang w:val="en-US" w:eastAsia="zh-CN"/>
              </w:rPr>
            </w:pPr>
          </w:p>
          <w:p w14:paraId="194E2AE7">
            <w:pPr>
              <w:adjustRightInd w:val="0"/>
              <w:snapToGrid w:val="0"/>
              <w:spacing w:line="360" w:lineRule="auto"/>
              <w:rPr>
                <w:rFonts w:hint="eastAsia"/>
                <w:color w:val="auto"/>
                <w:sz w:val="24"/>
                <w:szCs w:val="24"/>
                <w:highlight w:val="none"/>
                <w:lang w:val="en-US" w:eastAsia="zh-CN"/>
              </w:rPr>
            </w:pPr>
          </w:p>
          <w:p w14:paraId="0661C6CF">
            <w:pPr>
              <w:adjustRightInd w:val="0"/>
              <w:snapToGrid w:val="0"/>
              <w:spacing w:line="360" w:lineRule="auto"/>
              <w:rPr>
                <w:rFonts w:hint="eastAsia"/>
                <w:color w:val="auto"/>
                <w:sz w:val="24"/>
                <w:szCs w:val="24"/>
                <w:highlight w:val="none"/>
                <w:lang w:val="en-US" w:eastAsia="zh-CN"/>
              </w:rPr>
            </w:pPr>
          </w:p>
          <w:p w14:paraId="0CFD1D41">
            <w:pPr>
              <w:adjustRightInd w:val="0"/>
              <w:snapToGrid w:val="0"/>
              <w:spacing w:line="360" w:lineRule="auto"/>
              <w:rPr>
                <w:rFonts w:hint="eastAsia"/>
                <w:color w:val="auto"/>
                <w:sz w:val="24"/>
                <w:szCs w:val="24"/>
                <w:highlight w:val="none"/>
                <w:lang w:val="en-US" w:eastAsia="zh-CN"/>
              </w:rPr>
            </w:pPr>
          </w:p>
          <w:p w14:paraId="138D8F57">
            <w:pPr>
              <w:adjustRightInd w:val="0"/>
              <w:snapToGrid w:val="0"/>
              <w:spacing w:line="360" w:lineRule="auto"/>
              <w:rPr>
                <w:rFonts w:hint="eastAsia"/>
                <w:color w:val="auto"/>
                <w:sz w:val="24"/>
                <w:szCs w:val="24"/>
                <w:highlight w:val="none"/>
                <w:lang w:val="en-US" w:eastAsia="zh-CN"/>
              </w:rPr>
            </w:pPr>
          </w:p>
          <w:p w14:paraId="23E061EF">
            <w:pPr>
              <w:adjustRightInd w:val="0"/>
              <w:snapToGrid w:val="0"/>
              <w:spacing w:line="360" w:lineRule="auto"/>
              <w:rPr>
                <w:rFonts w:hint="eastAsia"/>
                <w:color w:val="auto"/>
                <w:sz w:val="24"/>
                <w:szCs w:val="24"/>
                <w:highlight w:val="none"/>
                <w:lang w:val="en-US" w:eastAsia="zh-CN"/>
              </w:rPr>
            </w:pPr>
          </w:p>
          <w:p w14:paraId="3BBAD45E">
            <w:pPr>
              <w:adjustRightInd w:val="0"/>
              <w:snapToGrid w:val="0"/>
              <w:spacing w:line="360" w:lineRule="auto"/>
              <w:rPr>
                <w:rFonts w:hint="eastAsia"/>
                <w:color w:val="auto"/>
                <w:sz w:val="24"/>
                <w:szCs w:val="24"/>
                <w:highlight w:val="none"/>
                <w:lang w:val="en-US" w:eastAsia="zh-CN"/>
              </w:rPr>
            </w:pPr>
          </w:p>
          <w:p w14:paraId="7E8DB6AE">
            <w:pPr>
              <w:adjustRightInd w:val="0"/>
              <w:snapToGrid w:val="0"/>
              <w:spacing w:line="360" w:lineRule="auto"/>
              <w:rPr>
                <w:rFonts w:hint="default" w:eastAsia="宋体"/>
                <w:color w:val="auto"/>
                <w:sz w:val="24"/>
                <w:szCs w:val="24"/>
                <w:highlight w:val="none"/>
                <w:lang w:val="en-US" w:eastAsia="zh-CN"/>
              </w:rPr>
            </w:pPr>
          </w:p>
        </w:tc>
      </w:tr>
    </w:tbl>
    <w:p w14:paraId="132E3696">
      <w:pPr>
        <w:pStyle w:val="27"/>
        <w:jc w:val="center"/>
        <w:outlineLvl w:val="0"/>
        <w:rPr>
          <w:rFonts w:ascii="Times New Roman" w:hAnsi="Times New Roman" w:eastAsia="黑体"/>
          <w:snapToGrid w:val="0"/>
          <w:color w:val="auto"/>
          <w:sz w:val="30"/>
          <w:szCs w:val="30"/>
          <w:highlight w:val="none"/>
        </w:rPr>
      </w:pPr>
      <w:r>
        <w:rPr>
          <w:rFonts w:ascii="Times New Roman" w:hAnsi="Times New Roman"/>
          <w:snapToGrid w:val="0"/>
          <w:color w:val="auto"/>
          <w:highlight w:val="none"/>
        </w:rPr>
        <w:br w:type="page"/>
      </w:r>
      <w:bookmarkStart w:id="37" w:name="_Toc215"/>
      <w:r>
        <w:rPr>
          <w:rFonts w:ascii="Times New Roman" w:hAnsi="黑体" w:eastAsia="黑体"/>
          <w:snapToGrid w:val="0"/>
          <w:color w:val="auto"/>
          <w:sz w:val="30"/>
          <w:szCs w:val="30"/>
          <w:highlight w:val="none"/>
        </w:rPr>
        <w:t>六、结论</w:t>
      </w:r>
      <w:bookmarkEnd w:id="37"/>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3916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506642CD">
            <w:pPr>
              <w:spacing w:line="360" w:lineRule="auto"/>
              <w:ind w:firstLine="480" w:firstLineChars="200"/>
              <w:rPr>
                <w:rFonts w:ascii="Times New Roman" w:hAnsi="Times New Roman" w:cs="Times New Roman"/>
                <w:color w:val="auto"/>
                <w:kern w:val="24"/>
                <w:sz w:val="24"/>
                <w:highlight w:val="none"/>
              </w:rPr>
            </w:pPr>
            <w:r>
              <w:rPr>
                <w:color w:val="auto"/>
                <w:kern w:val="24"/>
                <w:sz w:val="24"/>
                <w:highlight w:val="none"/>
              </w:rPr>
              <w:t>综上所述，本项目</w:t>
            </w:r>
            <w:r>
              <w:rPr>
                <w:rFonts w:ascii="Times New Roman" w:hAnsi="Times New Roman"/>
                <w:color w:val="auto"/>
                <w:sz w:val="24"/>
                <w:szCs w:val="24"/>
                <w:highlight w:val="none"/>
              </w:rPr>
              <w:t>属</w:t>
            </w:r>
            <w:r>
              <w:rPr>
                <w:rFonts w:ascii="Times New Roman" w:hAnsi="Times New Roman" w:cs="Times New Roman"/>
                <w:color w:val="auto"/>
                <w:kern w:val="24"/>
                <w:sz w:val="24"/>
                <w:highlight w:val="none"/>
              </w:rPr>
              <w:t>于</w:t>
            </w:r>
            <w:r>
              <w:rPr>
                <w:rFonts w:hint="eastAsia" w:ascii="Times New Roman" w:hAnsi="Times New Roman" w:cs="Times New Roman"/>
                <w:color w:val="auto"/>
                <w:kern w:val="24"/>
                <w:sz w:val="24"/>
                <w:highlight w:val="none"/>
                <w:lang w:val="en-US" w:eastAsia="zh-CN"/>
              </w:rPr>
              <w:t>污水处理及其再生利用</w:t>
            </w:r>
            <w:r>
              <w:rPr>
                <w:rFonts w:ascii="Times New Roman" w:hAnsi="Times New Roman" w:cs="Times New Roman"/>
                <w:color w:val="auto"/>
                <w:kern w:val="24"/>
                <w:sz w:val="24"/>
                <w:highlight w:val="none"/>
              </w:rPr>
              <w:t>，建设符合国家产业政策，选址合理</w:t>
            </w:r>
            <w:r>
              <w:rPr>
                <w:rFonts w:hint="eastAsia" w:ascii="Times New Roman" w:hAnsi="Times New Roman" w:cs="Times New Roman"/>
                <w:color w:val="auto"/>
                <w:kern w:val="24"/>
                <w:sz w:val="24"/>
                <w:highlight w:val="none"/>
                <w:lang w:eastAsia="zh-CN"/>
              </w:rPr>
              <w:t>，</w:t>
            </w:r>
            <w:r>
              <w:rPr>
                <w:rFonts w:ascii="Times New Roman" w:hAnsi="Times New Roman" w:cs="Times New Roman"/>
                <w:color w:val="auto"/>
                <w:kern w:val="24"/>
                <w:sz w:val="24"/>
                <w:highlight w:val="none"/>
              </w:rPr>
              <w:t>项目选址不涉及自然保护区、风景名胜区、世界文化和自然遗产地、饮用水水源保护区。</w:t>
            </w:r>
            <w:r>
              <w:rPr>
                <w:rFonts w:hint="default"/>
                <w:color w:val="auto"/>
                <w:kern w:val="24"/>
                <w:sz w:val="24"/>
                <w:highlight w:val="none"/>
              </w:rPr>
              <w:t>项目建设符合</w:t>
            </w:r>
            <w:r>
              <w:rPr>
                <w:rFonts w:hint="eastAsia"/>
                <w:color w:val="auto"/>
                <w:kern w:val="24"/>
                <w:sz w:val="24"/>
                <w:highlight w:val="none"/>
              </w:rPr>
              <w:t>所在地“三线一单”（生态保护红线、环境质量底线、资源利用上线和生态环境准入清单）中相关要求，符合相关生态环境保护法律法规政策</w:t>
            </w:r>
            <w:r>
              <w:rPr>
                <w:rFonts w:hint="default"/>
                <w:color w:val="auto"/>
                <w:kern w:val="24"/>
                <w:sz w:val="24"/>
                <w:highlight w:val="none"/>
              </w:rPr>
              <w:t>。项目运营期产生的废气、废水、噪声、固废通过采取相应的措施处理、处置后，能够达标排放，不会对项目区及外环境造成大的影响。通过分析，项目采取的污染控制措施有效、可行。在认真落实环评中提出的污染防治对策措施，保证治理设施正常运转，确保污染物达标排放的情况下，项目建设不会降低和改变该区域的环境质量和环境功能。从环境保护角度看，项目的建设是可行的</w:t>
            </w:r>
            <w:r>
              <w:rPr>
                <w:rFonts w:hint="eastAsia" w:cs="Times New Roman"/>
                <w:color w:val="auto"/>
                <w:sz w:val="24"/>
                <w:highlight w:val="none"/>
                <w:lang w:val="en-US" w:eastAsia="zh-CN"/>
              </w:rPr>
              <w:t>。</w:t>
            </w:r>
          </w:p>
          <w:p w14:paraId="3DFA7125">
            <w:pPr>
              <w:spacing w:line="360" w:lineRule="auto"/>
              <w:ind w:firstLine="480" w:firstLineChars="200"/>
              <w:rPr>
                <w:color w:val="auto"/>
                <w:sz w:val="24"/>
                <w:highlight w:val="none"/>
              </w:rPr>
            </w:pPr>
          </w:p>
        </w:tc>
      </w:tr>
    </w:tbl>
    <w:p w14:paraId="354D9D10">
      <w:pPr>
        <w:rPr>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98FBBC9">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Times New Roman" w:hAnsi="Times New Roman" w:eastAsia="黑体"/>
          <w:snapToGrid w:val="0"/>
          <w:color w:val="auto"/>
          <w:sz w:val="32"/>
          <w:szCs w:val="32"/>
          <w:highlight w:val="none"/>
        </w:rPr>
      </w:pPr>
      <w:bookmarkStart w:id="38" w:name="_Toc31220"/>
      <w:r>
        <w:rPr>
          <w:rFonts w:ascii="Times New Roman" w:hAnsi="黑体" w:eastAsia="黑体"/>
          <w:snapToGrid w:val="0"/>
          <w:color w:val="auto"/>
          <w:sz w:val="32"/>
          <w:szCs w:val="32"/>
          <w:highlight w:val="none"/>
        </w:rPr>
        <w:t>附表</w:t>
      </w:r>
      <w:bookmarkEnd w:id="38"/>
    </w:p>
    <w:p w14:paraId="22ED7281">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hAnsi="Times New Roman" w:eastAsia="方正小标宋_GBK"/>
          <w:snapToGrid w:val="0"/>
          <w:color w:val="auto"/>
          <w:sz w:val="38"/>
          <w:szCs w:val="38"/>
          <w:highlight w:val="none"/>
        </w:rPr>
      </w:pPr>
      <w:bookmarkStart w:id="39" w:name="_Toc25086"/>
      <w:r>
        <w:rPr>
          <w:rFonts w:ascii="Times New Roman" w:hAnsi="Times New Roman" w:eastAsia="方正小标宋_GBK"/>
          <w:snapToGrid w:val="0"/>
          <w:color w:val="auto"/>
          <w:sz w:val="38"/>
          <w:szCs w:val="38"/>
          <w:highlight w:val="none"/>
        </w:rPr>
        <w:t>建设项目污染物排放量汇总表</w:t>
      </w:r>
      <w:bookmarkEnd w:id="39"/>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00"/>
        <w:gridCol w:w="1600"/>
        <w:gridCol w:w="1711"/>
        <w:gridCol w:w="1701"/>
        <w:gridCol w:w="1559"/>
        <w:gridCol w:w="1761"/>
        <w:gridCol w:w="1742"/>
        <w:gridCol w:w="1043"/>
      </w:tblGrid>
      <w:tr w14:paraId="07B2D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71" w:type="dxa"/>
            <w:tcBorders>
              <w:tl2br w:val="single" w:color="auto" w:sz="4" w:space="0"/>
            </w:tcBorders>
            <w:tcMar>
              <w:left w:w="28" w:type="dxa"/>
              <w:right w:w="28" w:type="dxa"/>
            </w:tcMar>
            <w:vAlign w:val="center"/>
          </w:tcPr>
          <w:p w14:paraId="184B93E1">
            <w:pPr>
              <w:pStyle w:val="51"/>
              <w:keepNext w:val="0"/>
              <w:keepLines w:val="0"/>
              <w:pageBreakBefore w:val="0"/>
              <w:kinsoku/>
              <w:wordWrap/>
              <w:overflowPunct/>
              <w:topLinePunct w:val="0"/>
              <w:autoSpaceDE/>
              <w:autoSpaceDN/>
              <w:bidi w:val="0"/>
              <w:spacing w:before="0" w:beforeLines="0" w:after="0" w:afterLines="0" w:line="240" w:lineRule="auto"/>
              <w:ind w:right="0"/>
              <w:jc w:val="right"/>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项目</w:t>
            </w:r>
          </w:p>
          <w:p w14:paraId="565DFD0F">
            <w:pPr>
              <w:pStyle w:val="51"/>
              <w:keepNext w:val="0"/>
              <w:keepLines w:val="0"/>
              <w:pageBreakBefore w:val="0"/>
              <w:kinsoku/>
              <w:wordWrap/>
              <w:overflowPunct/>
              <w:topLinePunct w:val="0"/>
              <w:autoSpaceDE/>
              <w:autoSpaceDN/>
              <w:bidi w:val="0"/>
              <w:spacing w:before="0" w:beforeLines="0" w:after="0" w:afterLines="0" w:line="240" w:lineRule="auto"/>
              <w:ind w:right="0"/>
              <w:jc w:val="left"/>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分类</w:t>
            </w:r>
          </w:p>
        </w:tc>
        <w:tc>
          <w:tcPr>
            <w:tcW w:w="1400" w:type="dxa"/>
            <w:tcMar>
              <w:left w:w="28" w:type="dxa"/>
              <w:right w:w="28" w:type="dxa"/>
            </w:tcMar>
            <w:vAlign w:val="center"/>
          </w:tcPr>
          <w:p w14:paraId="4CC7AA72">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污染物名称</w:t>
            </w:r>
          </w:p>
        </w:tc>
        <w:tc>
          <w:tcPr>
            <w:tcW w:w="1600" w:type="dxa"/>
            <w:tcMar>
              <w:left w:w="28" w:type="dxa"/>
              <w:right w:w="28" w:type="dxa"/>
            </w:tcMar>
            <w:vAlign w:val="center"/>
          </w:tcPr>
          <w:p w14:paraId="268F1872">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现有工程</w:t>
            </w:r>
          </w:p>
          <w:p w14:paraId="79CB42DE">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排放量（固体废物产生量）</w:t>
            </w: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1 \* GB3 \* MERGEFORMAT </w:instrText>
            </w:r>
            <w:r>
              <w:rPr>
                <w:rFonts w:ascii="Times New Roman" w:eastAsia="黑体"/>
                <w:snapToGrid w:val="0"/>
                <w:color w:val="auto"/>
                <w:spacing w:val="-6"/>
                <w:kern w:val="21"/>
                <w:sz w:val="21"/>
                <w:szCs w:val="21"/>
                <w:highlight w:val="none"/>
              </w:rPr>
              <w:fldChar w:fldCharType="separate"/>
            </w:r>
            <w:r>
              <w:rPr>
                <w:rFonts w:ascii="Times New Roman" w:hAnsi="黑体" w:eastAsia="黑体"/>
                <w:color w:val="auto"/>
                <w:kern w:val="2"/>
                <w:sz w:val="21"/>
                <w:szCs w:val="21"/>
                <w:highlight w:val="none"/>
              </w:rPr>
              <w:t>①</w:t>
            </w:r>
            <w:r>
              <w:rPr>
                <w:rFonts w:ascii="Times New Roman" w:eastAsia="黑体"/>
                <w:snapToGrid w:val="0"/>
                <w:color w:val="auto"/>
                <w:spacing w:val="-6"/>
                <w:kern w:val="21"/>
                <w:sz w:val="21"/>
                <w:szCs w:val="21"/>
                <w:highlight w:val="none"/>
              </w:rPr>
              <w:fldChar w:fldCharType="end"/>
            </w:r>
          </w:p>
        </w:tc>
        <w:tc>
          <w:tcPr>
            <w:tcW w:w="1711" w:type="dxa"/>
            <w:tcMar>
              <w:left w:w="28" w:type="dxa"/>
              <w:right w:w="28" w:type="dxa"/>
            </w:tcMar>
            <w:vAlign w:val="center"/>
          </w:tcPr>
          <w:p w14:paraId="47C2325A">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现有工程</w:t>
            </w:r>
          </w:p>
          <w:p w14:paraId="28F4197E">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许可排放量</w:t>
            </w:r>
          </w:p>
          <w:p w14:paraId="6B850E53">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2 \* GB3 \* MERGEFORMAT </w:instrText>
            </w:r>
            <w:r>
              <w:rPr>
                <w:rFonts w:ascii="Times New Roman" w:eastAsia="黑体"/>
                <w:snapToGrid w:val="0"/>
                <w:color w:val="auto"/>
                <w:spacing w:val="-6"/>
                <w:kern w:val="21"/>
                <w:sz w:val="21"/>
                <w:szCs w:val="21"/>
                <w:highlight w:val="none"/>
              </w:rPr>
              <w:fldChar w:fldCharType="separate"/>
            </w:r>
            <w:r>
              <w:rPr>
                <w:rFonts w:ascii="Times New Roman" w:hAnsi="黑体" w:eastAsia="黑体"/>
                <w:snapToGrid w:val="0"/>
                <w:color w:val="auto"/>
                <w:spacing w:val="-6"/>
                <w:kern w:val="21"/>
                <w:sz w:val="21"/>
                <w:szCs w:val="21"/>
                <w:highlight w:val="none"/>
              </w:rPr>
              <w:t>②</w:t>
            </w:r>
            <w:r>
              <w:rPr>
                <w:rFonts w:ascii="Times New Roman" w:eastAsia="黑体"/>
                <w:snapToGrid w:val="0"/>
                <w:color w:val="auto"/>
                <w:spacing w:val="-6"/>
                <w:kern w:val="21"/>
                <w:sz w:val="21"/>
                <w:szCs w:val="21"/>
                <w:highlight w:val="none"/>
              </w:rPr>
              <w:fldChar w:fldCharType="end"/>
            </w:r>
          </w:p>
        </w:tc>
        <w:tc>
          <w:tcPr>
            <w:tcW w:w="1701" w:type="dxa"/>
            <w:tcMar>
              <w:left w:w="28" w:type="dxa"/>
              <w:right w:w="28" w:type="dxa"/>
            </w:tcMar>
            <w:vAlign w:val="center"/>
          </w:tcPr>
          <w:p w14:paraId="3981F097">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在建工程</w:t>
            </w:r>
          </w:p>
          <w:p w14:paraId="443CFCB8">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排放量（固体废物产生量）</w:t>
            </w: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3 \* GB3 \* MERGEFORMAT </w:instrText>
            </w:r>
            <w:r>
              <w:rPr>
                <w:rFonts w:ascii="Times New Roman" w:eastAsia="黑体"/>
                <w:snapToGrid w:val="0"/>
                <w:color w:val="auto"/>
                <w:spacing w:val="-6"/>
                <w:kern w:val="21"/>
                <w:sz w:val="21"/>
                <w:szCs w:val="21"/>
                <w:highlight w:val="none"/>
              </w:rPr>
              <w:fldChar w:fldCharType="separate"/>
            </w:r>
            <w:r>
              <w:rPr>
                <w:rFonts w:ascii="Times New Roman" w:hAnsi="黑体" w:eastAsia="黑体"/>
                <w:color w:val="auto"/>
                <w:kern w:val="2"/>
                <w:sz w:val="21"/>
                <w:szCs w:val="21"/>
                <w:highlight w:val="none"/>
              </w:rPr>
              <w:t>③</w:t>
            </w:r>
            <w:r>
              <w:rPr>
                <w:rFonts w:ascii="Times New Roman" w:eastAsia="黑体"/>
                <w:snapToGrid w:val="0"/>
                <w:color w:val="auto"/>
                <w:spacing w:val="-6"/>
                <w:kern w:val="21"/>
                <w:sz w:val="21"/>
                <w:szCs w:val="21"/>
                <w:highlight w:val="none"/>
              </w:rPr>
              <w:fldChar w:fldCharType="end"/>
            </w:r>
          </w:p>
        </w:tc>
        <w:tc>
          <w:tcPr>
            <w:tcW w:w="1559" w:type="dxa"/>
            <w:tcMar>
              <w:left w:w="28" w:type="dxa"/>
              <w:right w:w="28" w:type="dxa"/>
            </w:tcMar>
            <w:vAlign w:val="center"/>
          </w:tcPr>
          <w:p w14:paraId="1308687A">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本项目</w:t>
            </w:r>
          </w:p>
          <w:p w14:paraId="5F452528">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排放量（固体废物产生量）</w:t>
            </w: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4 \* GB3 \* MERGEFORMAT </w:instrText>
            </w:r>
            <w:r>
              <w:rPr>
                <w:rFonts w:ascii="Times New Roman" w:eastAsia="黑体"/>
                <w:snapToGrid w:val="0"/>
                <w:color w:val="auto"/>
                <w:spacing w:val="-6"/>
                <w:kern w:val="21"/>
                <w:sz w:val="21"/>
                <w:szCs w:val="21"/>
                <w:highlight w:val="none"/>
              </w:rPr>
              <w:fldChar w:fldCharType="separate"/>
            </w:r>
            <w:r>
              <w:rPr>
                <w:rFonts w:ascii="Times New Roman" w:hAnsi="黑体" w:eastAsia="黑体"/>
                <w:color w:val="auto"/>
                <w:kern w:val="2"/>
                <w:sz w:val="21"/>
                <w:szCs w:val="21"/>
                <w:highlight w:val="none"/>
              </w:rPr>
              <w:t>④</w:t>
            </w:r>
            <w:r>
              <w:rPr>
                <w:rFonts w:ascii="Times New Roman" w:eastAsia="黑体"/>
                <w:snapToGrid w:val="0"/>
                <w:color w:val="auto"/>
                <w:spacing w:val="-6"/>
                <w:kern w:val="21"/>
                <w:sz w:val="21"/>
                <w:szCs w:val="21"/>
                <w:highlight w:val="none"/>
              </w:rPr>
              <w:fldChar w:fldCharType="end"/>
            </w:r>
          </w:p>
        </w:tc>
        <w:tc>
          <w:tcPr>
            <w:tcW w:w="1761" w:type="dxa"/>
            <w:tcMar>
              <w:left w:w="28" w:type="dxa"/>
              <w:right w:w="28" w:type="dxa"/>
            </w:tcMar>
            <w:vAlign w:val="center"/>
          </w:tcPr>
          <w:p w14:paraId="08F98853">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16"/>
                <w:kern w:val="21"/>
                <w:sz w:val="21"/>
                <w:szCs w:val="21"/>
                <w:highlight w:val="none"/>
              </w:rPr>
            </w:pPr>
            <w:r>
              <w:rPr>
                <w:rFonts w:ascii="Times New Roman" w:hAnsi="黑体" w:eastAsia="黑体"/>
                <w:snapToGrid w:val="0"/>
                <w:color w:val="auto"/>
                <w:spacing w:val="-16"/>
                <w:kern w:val="21"/>
                <w:sz w:val="21"/>
                <w:szCs w:val="21"/>
                <w:highlight w:val="none"/>
              </w:rPr>
              <w:t>以新带老削减量</w:t>
            </w:r>
          </w:p>
          <w:p w14:paraId="302E5782">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16"/>
                <w:kern w:val="21"/>
                <w:sz w:val="21"/>
                <w:szCs w:val="21"/>
                <w:highlight w:val="none"/>
              </w:rPr>
            </w:pPr>
            <w:r>
              <w:rPr>
                <w:rFonts w:ascii="Times New Roman" w:hAnsi="黑体" w:eastAsia="黑体"/>
                <w:snapToGrid w:val="0"/>
                <w:color w:val="auto"/>
                <w:spacing w:val="-16"/>
                <w:kern w:val="21"/>
                <w:sz w:val="21"/>
                <w:szCs w:val="21"/>
                <w:highlight w:val="none"/>
              </w:rPr>
              <w:t>（新建项目不填）</w:t>
            </w:r>
            <w:r>
              <w:rPr>
                <w:rFonts w:ascii="Times New Roman" w:eastAsia="黑体"/>
                <w:snapToGrid w:val="0"/>
                <w:color w:val="auto"/>
                <w:spacing w:val="-16"/>
                <w:kern w:val="21"/>
                <w:sz w:val="21"/>
                <w:szCs w:val="21"/>
                <w:highlight w:val="none"/>
              </w:rPr>
              <w:fldChar w:fldCharType="begin"/>
            </w:r>
            <w:r>
              <w:rPr>
                <w:rFonts w:ascii="Times New Roman" w:eastAsia="黑体"/>
                <w:snapToGrid w:val="0"/>
                <w:color w:val="auto"/>
                <w:spacing w:val="-16"/>
                <w:kern w:val="21"/>
                <w:sz w:val="21"/>
                <w:szCs w:val="21"/>
                <w:highlight w:val="none"/>
              </w:rPr>
              <w:instrText xml:space="preserve"> = 5 \* GB3 \* MERGEFORMAT </w:instrText>
            </w:r>
            <w:r>
              <w:rPr>
                <w:rFonts w:ascii="Times New Roman" w:eastAsia="黑体"/>
                <w:snapToGrid w:val="0"/>
                <w:color w:val="auto"/>
                <w:spacing w:val="-16"/>
                <w:kern w:val="21"/>
                <w:sz w:val="21"/>
                <w:szCs w:val="21"/>
                <w:highlight w:val="none"/>
              </w:rPr>
              <w:fldChar w:fldCharType="separate"/>
            </w:r>
            <w:r>
              <w:rPr>
                <w:rFonts w:ascii="Times New Roman" w:hAnsi="黑体" w:eastAsia="黑体"/>
                <w:color w:val="auto"/>
                <w:kern w:val="2"/>
                <w:sz w:val="21"/>
                <w:szCs w:val="21"/>
                <w:highlight w:val="none"/>
              </w:rPr>
              <w:t>⑤</w:t>
            </w:r>
            <w:r>
              <w:rPr>
                <w:rFonts w:ascii="Times New Roman" w:eastAsia="黑体"/>
                <w:snapToGrid w:val="0"/>
                <w:color w:val="auto"/>
                <w:spacing w:val="-16"/>
                <w:kern w:val="21"/>
                <w:sz w:val="21"/>
                <w:szCs w:val="21"/>
                <w:highlight w:val="none"/>
              </w:rPr>
              <w:fldChar w:fldCharType="end"/>
            </w:r>
          </w:p>
        </w:tc>
        <w:tc>
          <w:tcPr>
            <w:tcW w:w="1742" w:type="dxa"/>
            <w:tcMar>
              <w:left w:w="28" w:type="dxa"/>
              <w:right w:w="28" w:type="dxa"/>
            </w:tcMar>
            <w:vAlign w:val="center"/>
          </w:tcPr>
          <w:p w14:paraId="6C536A17">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16"/>
                <w:kern w:val="21"/>
                <w:sz w:val="21"/>
                <w:szCs w:val="21"/>
                <w:highlight w:val="none"/>
              </w:rPr>
            </w:pPr>
            <w:r>
              <w:rPr>
                <w:rFonts w:ascii="Times New Roman" w:hAnsi="黑体" w:eastAsia="黑体"/>
                <w:snapToGrid w:val="0"/>
                <w:color w:val="auto"/>
                <w:spacing w:val="-16"/>
                <w:kern w:val="21"/>
                <w:sz w:val="21"/>
                <w:szCs w:val="21"/>
                <w:highlight w:val="none"/>
              </w:rPr>
              <w:t>本项目建成后</w:t>
            </w:r>
          </w:p>
          <w:p w14:paraId="7F913E4C">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16"/>
                <w:kern w:val="21"/>
                <w:sz w:val="21"/>
                <w:szCs w:val="21"/>
                <w:highlight w:val="none"/>
              </w:rPr>
            </w:pPr>
            <w:r>
              <w:rPr>
                <w:rFonts w:ascii="Times New Roman" w:hAnsi="黑体" w:eastAsia="黑体"/>
                <w:snapToGrid w:val="0"/>
                <w:color w:val="auto"/>
                <w:spacing w:val="-16"/>
                <w:kern w:val="21"/>
                <w:sz w:val="21"/>
                <w:szCs w:val="21"/>
                <w:highlight w:val="none"/>
              </w:rPr>
              <w:t>全厂排放量（固体废物产生量）</w:t>
            </w:r>
            <w:r>
              <w:rPr>
                <w:rFonts w:ascii="Times New Roman" w:eastAsia="黑体"/>
                <w:snapToGrid w:val="0"/>
                <w:color w:val="auto"/>
                <w:spacing w:val="-16"/>
                <w:kern w:val="21"/>
                <w:sz w:val="21"/>
                <w:szCs w:val="21"/>
                <w:highlight w:val="none"/>
              </w:rPr>
              <w:fldChar w:fldCharType="begin"/>
            </w:r>
            <w:r>
              <w:rPr>
                <w:rFonts w:ascii="Times New Roman" w:eastAsia="黑体"/>
                <w:snapToGrid w:val="0"/>
                <w:color w:val="auto"/>
                <w:spacing w:val="-16"/>
                <w:kern w:val="21"/>
                <w:sz w:val="21"/>
                <w:szCs w:val="21"/>
                <w:highlight w:val="none"/>
              </w:rPr>
              <w:instrText xml:space="preserve"> = 6 \* GB3 \* MERGEFORMAT </w:instrText>
            </w:r>
            <w:r>
              <w:rPr>
                <w:rFonts w:ascii="Times New Roman" w:eastAsia="黑体"/>
                <w:snapToGrid w:val="0"/>
                <w:color w:val="auto"/>
                <w:spacing w:val="-16"/>
                <w:kern w:val="21"/>
                <w:sz w:val="21"/>
                <w:szCs w:val="21"/>
                <w:highlight w:val="none"/>
              </w:rPr>
              <w:fldChar w:fldCharType="separate"/>
            </w:r>
            <w:r>
              <w:rPr>
                <w:rFonts w:ascii="Times New Roman" w:hAnsi="黑体" w:eastAsia="黑体"/>
                <w:color w:val="auto"/>
                <w:kern w:val="2"/>
                <w:sz w:val="21"/>
                <w:szCs w:val="21"/>
                <w:highlight w:val="none"/>
              </w:rPr>
              <w:t>⑥</w:t>
            </w:r>
            <w:r>
              <w:rPr>
                <w:rFonts w:ascii="Times New Roman" w:eastAsia="黑体"/>
                <w:snapToGrid w:val="0"/>
                <w:color w:val="auto"/>
                <w:spacing w:val="-16"/>
                <w:kern w:val="21"/>
                <w:sz w:val="21"/>
                <w:szCs w:val="21"/>
                <w:highlight w:val="none"/>
              </w:rPr>
              <w:fldChar w:fldCharType="end"/>
            </w:r>
          </w:p>
        </w:tc>
        <w:tc>
          <w:tcPr>
            <w:tcW w:w="1043" w:type="dxa"/>
            <w:tcMar>
              <w:left w:w="28" w:type="dxa"/>
              <w:right w:w="28" w:type="dxa"/>
            </w:tcMar>
            <w:vAlign w:val="center"/>
          </w:tcPr>
          <w:p w14:paraId="026C41BC">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hAnsi="黑体" w:eastAsia="黑体"/>
                <w:snapToGrid w:val="0"/>
                <w:color w:val="auto"/>
                <w:spacing w:val="-6"/>
                <w:kern w:val="21"/>
                <w:sz w:val="21"/>
                <w:szCs w:val="21"/>
                <w:highlight w:val="none"/>
              </w:rPr>
              <w:t>变化量</w:t>
            </w:r>
          </w:p>
          <w:p w14:paraId="00FF0A59">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7 \* GB3 \* MERGEFORMAT </w:instrText>
            </w:r>
            <w:r>
              <w:rPr>
                <w:rFonts w:ascii="Times New Roman" w:eastAsia="黑体"/>
                <w:snapToGrid w:val="0"/>
                <w:color w:val="auto"/>
                <w:spacing w:val="-6"/>
                <w:kern w:val="21"/>
                <w:sz w:val="21"/>
                <w:szCs w:val="21"/>
                <w:highlight w:val="none"/>
              </w:rPr>
              <w:fldChar w:fldCharType="separate"/>
            </w:r>
            <w:r>
              <w:rPr>
                <w:rFonts w:ascii="Times New Roman" w:hAnsi="黑体" w:eastAsia="黑体"/>
                <w:color w:val="auto"/>
                <w:kern w:val="2"/>
                <w:sz w:val="21"/>
                <w:szCs w:val="21"/>
                <w:highlight w:val="none"/>
              </w:rPr>
              <w:t>⑦</w:t>
            </w:r>
            <w:r>
              <w:rPr>
                <w:rFonts w:ascii="Times New Roman" w:eastAsia="黑体"/>
                <w:snapToGrid w:val="0"/>
                <w:color w:val="auto"/>
                <w:spacing w:val="-6"/>
                <w:kern w:val="21"/>
                <w:sz w:val="21"/>
                <w:szCs w:val="21"/>
                <w:highlight w:val="none"/>
              </w:rPr>
              <w:fldChar w:fldCharType="end"/>
            </w:r>
          </w:p>
        </w:tc>
      </w:tr>
      <w:tr w14:paraId="449DB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1" w:type="dxa"/>
            <w:vMerge w:val="restart"/>
            <w:vAlign w:val="center"/>
          </w:tcPr>
          <w:p w14:paraId="529E9708">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hAnsi="宋体" w:eastAsia="宋体"/>
                <w:snapToGrid w:val="0"/>
                <w:color w:val="auto"/>
                <w:kern w:val="21"/>
                <w:sz w:val="21"/>
                <w:szCs w:val="21"/>
                <w:highlight w:val="none"/>
                <w:lang w:eastAsia="zh-CN"/>
              </w:rPr>
            </w:pPr>
            <w:r>
              <w:rPr>
                <w:rFonts w:hint="eastAsia" w:ascii="Times New Roman" w:hAnsi="宋体"/>
                <w:snapToGrid w:val="0"/>
                <w:color w:val="auto"/>
                <w:kern w:val="21"/>
                <w:sz w:val="21"/>
                <w:szCs w:val="21"/>
                <w:highlight w:val="none"/>
                <w:lang w:eastAsia="zh-CN"/>
              </w:rPr>
              <w:t>废气</w:t>
            </w:r>
          </w:p>
        </w:tc>
        <w:tc>
          <w:tcPr>
            <w:tcW w:w="1400" w:type="dxa"/>
            <w:shd w:val="clear" w:color="auto" w:fill="auto"/>
            <w:vAlign w:val="center"/>
          </w:tcPr>
          <w:p w14:paraId="6B00975C">
            <w:pPr>
              <w:pStyle w:val="17"/>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olor w:val="auto"/>
                <w:kern w:val="24"/>
                <w:sz w:val="21"/>
                <w:szCs w:val="21"/>
                <w:highlight w:val="none"/>
                <w:lang w:val="en-US" w:eastAsia="zh-CN"/>
              </w:rPr>
              <w:t>NH</w:t>
            </w:r>
            <w:r>
              <w:rPr>
                <w:rFonts w:hint="eastAsia"/>
                <w:color w:val="auto"/>
                <w:kern w:val="24"/>
                <w:sz w:val="21"/>
                <w:szCs w:val="21"/>
                <w:highlight w:val="none"/>
                <w:vertAlign w:val="subscript"/>
                <w:lang w:val="en-US" w:eastAsia="zh-CN"/>
              </w:rPr>
              <w:t>3</w:t>
            </w:r>
          </w:p>
        </w:tc>
        <w:tc>
          <w:tcPr>
            <w:tcW w:w="1600" w:type="dxa"/>
            <w:shd w:val="clear" w:color="auto" w:fill="auto"/>
            <w:vAlign w:val="center"/>
          </w:tcPr>
          <w:p w14:paraId="3F66DBE8">
            <w:pPr>
              <w:pStyle w:val="62"/>
              <w:spacing w:before="48"/>
              <w:ind w:left="95" w:leftChars="0" w:right="87" w:right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olor w:val="auto"/>
                <w:sz w:val="21"/>
                <w:highlight w:val="none"/>
                <w:lang w:val="en-US" w:eastAsia="zh-CN"/>
              </w:rPr>
              <w:t>0.395</w:t>
            </w:r>
          </w:p>
        </w:tc>
        <w:tc>
          <w:tcPr>
            <w:tcW w:w="1711" w:type="dxa"/>
            <w:shd w:val="clear" w:color="auto" w:fill="auto"/>
            <w:vAlign w:val="center"/>
          </w:tcPr>
          <w:p w14:paraId="0038CCAD">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 w:val="21"/>
                <w:szCs w:val="21"/>
                <w:highlight w:val="none"/>
                <w:lang w:val="en-US" w:eastAsia="zh-CN"/>
              </w:rPr>
              <w:t>/</w:t>
            </w:r>
          </w:p>
        </w:tc>
        <w:tc>
          <w:tcPr>
            <w:tcW w:w="1701" w:type="dxa"/>
            <w:shd w:val="clear" w:color="auto" w:fill="auto"/>
            <w:vAlign w:val="center"/>
          </w:tcPr>
          <w:p w14:paraId="59A3031C">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 w:val="21"/>
                <w:szCs w:val="21"/>
                <w:highlight w:val="none"/>
                <w:lang w:val="en-US" w:eastAsia="zh-CN"/>
              </w:rPr>
              <w:t>/</w:t>
            </w:r>
          </w:p>
        </w:tc>
        <w:tc>
          <w:tcPr>
            <w:tcW w:w="1559" w:type="dxa"/>
            <w:shd w:val="clear" w:color="auto" w:fill="auto"/>
            <w:vAlign w:val="center"/>
          </w:tcPr>
          <w:p w14:paraId="1E7FC142">
            <w:pPr>
              <w:keepNext w:val="0"/>
              <w:keepLines w:val="0"/>
              <w:pageBreakBefore w:val="0"/>
              <w:widowControl/>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24"/>
                <w:szCs w:val="21"/>
                <w:highlight w:val="none"/>
                <w:lang w:val="en-US" w:eastAsia="zh-CN"/>
              </w:rPr>
              <w:t>0.098</w:t>
            </w:r>
          </w:p>
        </w:tc>
        <w:tc>
          <w:tcPr>
            <w:tcW w:w="1761" w:type="dxa"/>
            <w:shd w:val="clear" w:color="auto" w:fill="auto"/>
            <w:vAlign w:val="center"/>
          </w:tcPr>
          <w:p w14:paraId="72F97A01">
            <w:pPr>
              <w:pStyle w:val="62"/>
              <w:spacing w:before="48"/>
              <w:ind w:left="95" w:leftChars="0" w:right="87" w:right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olor w:val="auto"/>
                <w:sz w:val="21"/>
                <w:highlight w:val="none"/>
                <w:lang w:val="en-US" w:eastAsia="zh-CN"/>
              </w:rPr>
              <w:t>0.395</w:t>
            </w:r>
          </w:p>
        </w:tc>
        <w:tc>
          <w:tcPr>
            <w:tcW w:w="1742" w:type="dxa"/>
            <w:shd w:val="clear" w:color="auto" w:fill="auto"/>
            <w:vAlign w:val="center"/>
          </w:tcPr>
          <w:p w14:paraId="72FDF2F8">
            <w:pPr>
              <w:keepNext w:val="0"/>
              <w:keepLines w:val="0"/>
              <w:pageBreakBefore w:val="0"/>
              <w:widowControl/>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24"/>
                <w:szCs w:val="21"/>
                <w:highlight w:val="none"/>
                <w:lang w:val="en-US" w:eastAsia="zh-CN"/>
              </w:rPr>
              <w:t>0.098</w:t>
            </w:r>
          </w:p>
        </w:tc>
        <w:tc>
          <w:tcPr>
            <w:tcW w:w="1043" w:type="dxa"/>
            <w:shd w:val="clear" w:color="auto" w:fill="auto"/>
            <w:vAlign w:val="center"/>
          </w:tcPr>
          <w:p w14:paraId="19596345">
            <w:pPr>
              <w:pStyle w:val="62"/>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color w:val="auto"/>
                <w:szCs w:val="24"/>
                <w:highlight w:val="none"/>
                <w:lang w:val="en-US" w:eastAsia="zh-CN"/>
              </w:rPr>
              <w:t>-0.297</w:t>
            </w:r>
          </w:p>
        </w:tc>
      </w:tr>
      <w:tr w14:paraId="1AEC6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271" w:type="dxa"/>
            <w:vMerge w:val="continue"/>
            <w:vAlign w:val="center"/>
          </w:tcPr>
          <w:p w14:paraId="56DB0D4C">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shd w:val="clear" w:color="auto" w:fill="auto"/>
            <w:vAlign w:val="center"/>
          </w:tcPr>
          <w:p w14:paraId="5962FFE1">
            <w:pPr>
              <w:pStyle w:val="17"/>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olor w:val="auto"/>
                <w:kern w:val="24"/>
                <w:sz w:val="21"/>
                <w:szCs w:val="21"/>
                <w:highlight w:val="none"/>
                <w:lang w:val="en-US" w:eastAsia="zh-CN"/>
              </w:rPr>
              <w:t>H</w:t>
            </w:r>
            <w:r>
              <w:rPr>
                <w:rFonts w:hint="eastAsia"/>
                <w:color w:val="auto"/>
                <w:kern w:val="24"/>
                <w:sz w:val="21"/>
                <w:szCs w:val="21"/>
                <w:highlight w:val="none"/>
                <w:vertAlign w:val="subscript"/>
                <w:lang w:val="en-US" w:eastAsia="zh-CN"/>
              </w:rPr>
              <w:t>2</w:t>
            </w:r>
            <w:r>
              <w:rPr>
                <w:rFonts w:hint="eastAsia"/>
                <w:color w:val="auto"/>
                <w:kern w:val="24"/>
                <w:sz w:val="21"/>
                <w:szCs w:val="21"/>
                <w:highlight w:val="none"/>
                <w:lang w:val="en-US" w:eastAsia="zh-CN"/>
              </w:rPr>
              <w:t>S</w:t>
            </w:r>
          </w:p>
        </w:tc>
        <w:tc>
          <w:tcPr>
            <w:tcW w:w="1600" w:type="dxa"/>
            <w:shd w:val="clear" w:color="auto" w:fill="auto"/>
            <w:vAlign w:val="center"/>
          </w:tcPr>
          <w:p w14:paraId="7318D3B6">
            <w:pPr>
              <w:pStyle w:val="62"/>
              <w:spacing w:before="48"/>
              <w:ind w:left="95" w:leftChars="0" w:right="87" w:right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olor w:val="auto"/>
                <w:sz w:val="21"/>
                <w:highlight w:val="none"/>
                <w:lang w:val="en-US" w:eastAsia="zh-CN"/>
              </w:rPr>
              <w:t>0.015</w:t>
            </w:r>
          </w:p>
        </w:tc>
        <w:tc>
          <w:tcPr>
            <w:tcW w:w="1711" w:type="dxa"/>
            <w:shd w:val="clear" w:color="auto" w:fill="auto"/>
            <w:vAlign w:val="center"/>
          </w:tcPr>
          <w:p w14:paraId="452C7473">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 w:val="21"/>
                <w:szCs w:val="21"/>
                <w:highlight w:val="none"/>
                <w:lang w:val="en-US" w:eastAsia="zh-CN"/>
              </w:rPr>
              <w:t>/</w:t>
            </w:r>
          </w:p>
        </w:tc>
        <w:tc>
          <w:tcPr>
            <w:tcW w:w="1701" w:type="dxa"/>
            <w:shd w:val="clear" w:color="auto" w:fill="auto"/>
            <w:vAlign w:val="center"/>
          </w:tcPr>
          <w:p w14:paraId="51F270E2">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 w:val="21"/>
                <w:szCs w:val="21"/>
                <w:highlight w:val="none"/>
                <w:lang w:val="en-US" w:eastAsia="zh-CN"/>
              </w:rPr>
              <w:t>/</w:t>
            </w:r>
          </w:p>
        </w:tc>
        <w:tc>
          <w:tcPr>
            <w:tcW w:w="1559" w:type="dxa"/>
            <w:shd w:val="clear" w:color="auto" w:fill="auto"/>
            <w:vAlign w:val="center"/>
          </w:tcPr>
          <w:p w14:paraId="7D5555A0">
            <w:pPr>
              <w:keepNext w:val="0"/>
              <w:keepLines w:val="0"/>
              <w:pageBreakBefore w:val="0"/>
              <w:widowControl/>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24"/>
                <w:szCs w:val="21"/>
                <w:highlight w:val="none"/>
                <w:lang w:val="en-US" w:eastAsia="zh-CN"/>
              </w:rPr>
              <w:t>0.0033</w:t>
            </w:r>
          </w:p>
        </w:tc>
        <w:tc>
          <w:tcPr>
            <w:tcW w:w="1761" w:type="dxa"/>
            <w:shd w:val="clear" w:color="auto" w:fill="auto"/>
            <w:vAlign w:val="center"/>
          </w:tcPr>
          <w:p w14:paraId="6A216C11">
            <w:pPr>
              <w:pStyle w:val="62"/>
              <w:spacing w:before="48"/>
              <w:ind w:left="95" w:leftChars="0" w:right="87" w:right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olor w:val="auto"/>
                <w:sz w:val="21"/>
                <w:highlight w:val="none"/>
                <w:lang w:val="en-US" w:eastAsia="zh-CN"/>
              </w:rPr>
              <w:t>0.015</w:t>
            </w:r>
          </w:p>
        </w:tc>
        <w:tc>
          <w:tcPr>
            <w:tcW w:w="1742" w:type="dxa"/>
            <w:shd w:val="clear" w:color="auto" w:fill="auto"/>
            <w:vAlign w:val="center"/>
          </w:tcPr>
          <w:p w14:paraId="0DBF79B2">
            <w:pPr>
              <w:keepNext w:val="0"/>
              <w:keepLines w:val="0"/>
              <w:pageBreakBefore w:val="0"/>
              <w:widowControl/>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kern w:val="24"/>
                <w:szCs w:val="21"/>
                <w:highlight w:val="none"/>
                <w:lang w:val="en-US" w:eastAsia="zh-CN"/>
              </w:rPr>
              <w:t>0.0033</w:t>
            </w:r>
          </w:p>
        </w:tc>
        <w:tc>
          <w:tcPr>
            <w:tcW w:w="1043" w:type="dxa"/>
            <w:shd w:val="clear" w:color="auto" w:fill="auto"/>
            <w:vAlign w:val="center"/>
          </w:tcPr>
          <w:p w14:paraId="23B2F6C0">
            <w:pPr>
              <w:pStyle w:val="62"/>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color w:val="auto"/>
                <w:szCs w:val="24"/>
                <w:highlight w:val="none"/>
                <w:lang w:val="en-US" w:eastAsia="zh-CN"/>
              </w:rPr>
              <w:t>-0.0117</w:t>
            </w:r>
          </w:p>
        </w:tc>
      </w:tr>
      <w:tr w14:paraId="646F3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271" w:type="dxa"/>
            <w:vMerge w:val="continue"/>
            <w:vAlign w:val="center"/>
          </w:tcPr>
          <w:p w14:paraId="1ADF6E82">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shd w:val="clear" w:color="auto" w:fill="auto"/>
            <w:vAlign w:val="center"/>
          </w:tcPr>
          <w:p w14:paraId="3F1BCD18">
            <w:pPr>
              <w:pStyle w:val="17"/>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color w:val="auto"/>
                <w:kern w:val="24"/>
                <w:sz w:val="21"/>
                <w:szCs w:val="21"/>
                <w:highlight w:val="none"/>
                <w:lang w:val="en-US" w:eastAsia="zh-CN"/>
              </w:rPr>
            </w:pPr>
            <w:r>
              <w:rPr>
                <w:rFonts w:hint="eastAsia"/>
                <w:color w:val="auto"/>
                <w:kern w:val="24"/>
                <w:sz w:val="21"/>
                <w:szCs w:val="21"/>
                <w:highlight w:val="none"/>
                <w:lang w:val="en-US" w:eastAsia="zh-CN"/>
              </w:rPr>
              <w:t>颗粒物</w:t>
            </w:r>
          </w:p>
        </w:tc>
        <w:tc>
          <w:tcPr>
            <w:tcW w:w="1600" w:type="dxa"/>
            <w:shd w:val="clear" w:color="auto" w:fill="auto"/>
            <w:vAlign w:val="center"/>
          </w:tcPr>
          <w:p w14:paraId="2DCBFBA1">
            <w:pPr>
              <w:pStyle w:val="62"/>
              <w:spacing w:before="48"/>
              <w:ind w:left="95" w:leftChars="0" w:right="87" w:rightChars="0"/>
              <w:jc w:val="center"/>
              <w:rPr>
                <w:rFonts w:hint="eastAsia" w:ascii="Times New Roman"/>
                <w:snapToGrid w:val="0"/>
                <w:color w:val="auto"/>
                <w:kern w:val="21"/>
                <w:sz w:val="21"/>
                <w:szCs w:val="21"/>
                <w:highlight w:val="none"/>
                <w:lang w:val="en-US" w:eastAsia="zh-CN"/>
              </w:rPr>
            </w:pPr>
            <w:r>
              <w:rPr>
                <w:rFonts w:hint="eastAsia" w:ascii="Times New Roman"/>
                <w:color w:val="auto"/>
                <w:sz w:val="21"/>
                <w:highlight w:val="none"/>
                <w:lang w:val="en-US" w:eastAsia="zh-CN"/>
              </w:rPr>
              <w:t>0</w:t>
            </w:r>
          </w:p>
        </w:tc>
        <w:tc>
          <w:tcPr>
            <w:tcW w:w="1711" w:type="dxa"/>
            <w:shd w:val="clear" w:color="auto" w:fill="auto"/>
            <w:vAlign w:val="center"/>
          </w:tcPr>
          <w:p w14:paraId="53696D27">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default"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701" w:type="dxa"/>
            <w:shd w:val="clear" w:color="auto" w:fill="auto"/>
            <w:vAlign w:val="center"/>
          </w:tcPr>
          <w:p w14:paraId="279DFADF">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default"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559" w:type="dxa"/>
            <w:shd w:val="clear" w:color="auto" w:fill="auto"/>
            <w:vAlign w:val="center"/>
          </w:tcPr>
          <w:p w14:paraId="21B6C209">
            <w:pPr>
              <w:keepNext w:val="0"/>
              <w:keepLines w:val="0"/>
              <w:pageBreakBefore w:val="0"/>
              <w:widowControl/>
              <w:kinsoku/>
              <w:wordWrap/>
              <w:overflowPunct/>
              <w:topLinePunct w:val="0"/>
              <w:autoSpaceDE/>
              <w:autoSpaceDN/>
              <w:bidi w:val="0"/>
              <w:adjustRightInd/>
              <w:snapToGrid/>
              <w:ind w:left="0" w:leftChars="0"/>
              <w:jc w:val="center"/>
              <w:textAlignment w:val="auto"/>
              <w:rPr>
                <w:rFonts w:hint="default" w:ascii="Times New Roman"/>
                <w:snapToGrid w:val="0"/>
                <w:color w:val="auto"/>
                <w:kern w:val="21"/>
                <w:sz w:val="21"/>
                <w:szCs w:val="21"/>
                <w:highlight w:val="none"/>
                <w:lang w:val="en-US" w:eastAsia="zh-CN"/>
              </w:rPr>
            </w:pPr>
            <w:r>
              <w:rPr>
                <w:rFonts w:hint="eastAsia"/>
                <w:color w:val="auto"/>
                <w:kern w:val="24"/>
                <w:szCs w:val="21"/>
                <w:highlight w:val="none"/>
                <w:lang w:val="en-US" w:eastAsia="zh-CN"/>
              </w:rPr>
              <w:t>0.058</w:t>
            </w:r>
          </w:p>
        </w:tc>
        <w:tc>
          <w:tcPr>
            <w:tcW w:w="1761" w:type="dxa"/>
            <w:shd w:val="clear" w:color="auto" w:fill="auto"/>
            <w:vAlign w:val="center"/>
          </w:tcPr>
          <w:p w14:paraId="08183FEF">
            <w:pPr>
              <w:pStyle w:val="62"/>
              <w:spacing w:before="48"/>
              <w:ind w:left="95" w:leftChars="0" w:right="87" w:rightChars="0"/>
              <w:jc w:val="center"/>
              <w:rPr>
                <w:rFonts w:hint="eastAsia" w:ascii="Times New Roman"/>
                <w:snapToGrid w:val="0"/>
                <w:color w:val="auto"/>
                <w:kern w:val="21"/>
                <w:sz w:val="21"/>
                <w:szCs w:val="21"/>
                <w:highlight w:val="none"/>
                <w:lang w:val="en-US" w:eastAsia="zh-CN"/>
              </w:rPr>
            </w:pPr>
            <w:r>
              <w:rPr>
                <w:rFonts w:hint="eastAsia" w:ascii="Times New Roman"/>
                <w:color w:val="auto"/>
                <w:sz w:val="21"/>
                <w:highlight w:val="none"/>
                <w:lang w:val="en-US" w:eastAsia="zh-CN"/>
              </w:rPr>
              <w:t>0</w:t>
            </w:r>
          </w:p>
        </w:tc>
        <w:tc>
          <w:tcPr>
            <w:tcW w:w="1742" w:type="dxa"/>
            <w:shd w:val="clear" w:color="auto" w:fill="auto"/>
            <w:vAlign w:val="center"/>
          </w:tcPr>
          <w:p w14:paraId="53297ADC">
            <w:pPr>
              <w:keepNext w:val="0"/>
              <w:keepLines w:val="0"/>
              <w:pageBreakBefore w:val="0"/>
              <w:widowControl/>
              <w:kinsoku/>
              <w:wordWrap/>
              <w:overflowPunct/>
              <w:topLinePunct w:val="0"/>
              <w:autoSpaceDE/>
              <w:autoSpaceDN/>
              <w:bidi w:val="0"/>
              <w:adjustRightInd/>
              <w:snapToGrid/>
              <w:ind w:left="0" w:leftChars="0"/>
              <w:jc w:val="center"/>
              <w:textAlignment w:val="auto"/>
              <w:rPr>
                <w:rFonts w:hint="eastAsia" w:ascii="Times New Roman"/>
                <w:snapToGrid w:val="0"/>
                <w:color w:val="auto"/>
                <w:kern w:val="21"/>
                <w:sz w:val="21"/>
                <w:szCs w:val="21"/>
                <w:highlight w:val="none"/>
                <w:lang w:val="en-US" w:eastAsia="zh-CN"/>
              </w:rPr>
            </w:pPr>
            <w:r>
              <w:rPr>
                <w:rFonts w:hint="eastAsia"/>
                <w:color w:val="auto"/>
                <w:kern w:val="24"/>
                <w:szCs w:val="21"/>
                <w:highlight w:val="none"/>
                <w:lang w:val="en-US" w:eastAsia="zh-CN"/>
              </w:rPr>
              <w:t>0.058</w:t>
            </w:r>
          </w:p>
        </w:tc>
        <w:tc>
          <w:tcPr>
            <w:tcW w:w="1043" w:type="dxa"/>
            <w:shd w:val="clear" w:color="auto" w:fill="auto"/>
            <w:vAlign w:val="center"/>
          </w:tcPr>
          <w:p w14:paraId="08560255">
            <w:pPr>
              <w:pStyle w:val="62"/>
              <w:keepNext w:val="0"/>
              <w:keepLines w:val="0"/>
              <w:pageBreakBefore w:val="0"/>
              <w:kinsoku/>
              <w:wordWrap/>
              <w:overflowPunct/>
              <w:topLinePunct w:val="0"/>
              <w:autoSpaceDE/>
              <w:autoSpaceDN/>
              <w:bidi w:val="0"/>
              <w:adjustRightInd/>
              <w:snapToGrid/>
              <w:spacing w:line="240" w:lineRule="auto"/>
              <w:jc w:val="center"/>
              <w:rPr>
                <w:rFonts w:hint="eastAsia" w:ascii="Times New Roman"/>
                <w:snapToGrid w:val="0"/>
                <w:color w:val="auto"/>
                <w:kern w:val="21"/>
                <w:sz w:val="21"/>
                <w:szCs w:val="21"/>
                <w:highlight w:val="none"/>
                <w:lang w:val="en-US" w:eastAsia="zh-CN"/>
              </w:rPr>
            </w:pPr>
            <w:r>
              <w:rPr>
                <w:rFonts w:hint="eastAsia" w:ascii="Times New Roman" w:hAnsi="Times New Roman" w:cs="Times New Roman"/>
                <w:color w:val="auto"/>
                <w:szCs w:val="24"/>
                <w:highlight w:val="none"/>
                <w:lang w:val="en-US" w:eastAsia="zh-CN"/>
              </w:rPr>
              <w:t>+0.058</w:t>
            </w:r>
          </w:p>
        </w:tc>
      </w:tr>
      <w:tr w14:paraId="6E645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71" w:type="dxa"/>
            <w:vMerge w:val="restart"/>
            <w:vAlign w:val="center"/>
          </w:tcPr>
          <w:p w14:paraId="6BFCB8CB">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snapToGrid w:val="0"/>
                <w:color w:val="auto"/>
                <w:kern w:val="21"/>
                <w:sz w:val="21"/>
                <w:szCs w:val="21"/>
                <w:highlight w:val="none"/>
              </w:rPr>
            </w:pPr>
            <w:r>
              <w:rPr>
                <w:rFonts w:ascii="Times New Roman" w:hAnsi="宋体"/>
                <w:snapToGrid w:val="0"/>
                <w:color w:val="auto"/>
                <w:kern w:val="21"/>
                <w:sz w:val="21"/>
                <w:szCs w:val="21"/>
                <w:highlight w:val="none"/>
              </w:rPr>
              <w:t>废水</w:t>
            </w:r>
          </w:p>
        </w:tc>
        <w:tc>
          <w:tcPr>
            <w:tcW w:w="1400" w:type="dxa"/>
            <w:vAlign w:val="center"/>
          </w:tcPr>
          <w:p w14:paraId="3D19805E">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eastAsia="宋体"/>
                <w:color w:val="auto"/>
                <w:kern w:val="24"/>
                <w:sz w:val="21"/>
                <w:szCs w:val="21"/>
                <w:highlight w:val="none"/>
                <w:lang w:eastAsia="zh-CN"/>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600" w:type="dxa"/>
            <w:vAlign w:val="center"/>
          </w:tcPr>
          <w:p w14:paraId="356F2F1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711" w:type="dxa"/>
            <w:vAlign w:val="center"/>
          </w:tcPr>
          <w:p w14:paraId="6891DD2D">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01" w:type="dxa"/>
            <w:vAlign w:val="center"/>
          </w:tcPr>
          <w:p w14:paraId="7BF56AF3">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9" w:type="dxa"/>
            <w:vAlign w:val="center"/>
          </w:tcPr>
          <w:p w14:paraId="5CABB1B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eastAsia="宋体"/>
                <w:bCs/>
                <w:color w:val="auto"/>
                <w:kern w:val="24"/>
                <w:sz w:val="21"/>
                <w:szCs w:val="21"/>
                <w:highlight w:val="none"/>
                <w:lang w:val="en-US" w:eastAsia="zh-CN"/>
              </w:rPr>
            </w:pPr>
            <w:r>
              <w:rPr>
                <w:rFonts w:hint="eastAsia"/>
                <w:snapToGrid w:val="0"/>
                <w:color w:val="auto"/>
                <w:kern w:val="21"/>
                <w:sz w:val="21"/>
                <w:szCs w:val="21"/>
                <w:highlight w:val="none"/>
                <w:lang w:val="en-US" w:eastAsia="zh-CN"/>
              </w:rPr>
              <w:t>0</w:t>
            </w:r>
          </w:p>
        </w:tc>
        <w:tc>
          <w:tcPr>
            <w:tcW w:w="1761" w:type="dxa"/>
            <w:vAlign w:val="center"/>
          </w:tcPr>
          <w:p w14:paraId="36A83D3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eastAsia="宋体"/>
                <w:snapToGrid w:val="0"/>
                <w:color w:val="auto"/>
                <w:kern w:val="21"/>
                <w:sz w:val="21"/>
                <w:szCs w:val="21"/>
                <w:highlight w:val="none"/>
                <w:lang w:eastAsia="zh-CN"/>
              </w:rPr>
            </w:pPr>
            <w:r>
              <w:rPr>
                <w:rFonts w:hint="eastAsia"/>
                <w:snapToGrid w:val="0"/>
                <w:color w:val="auto"/>
                <w:kern w:val="21"/>
                <w:sz w:val="21"/>
                <w:szCs w:val="21"/>
                <w:highlight w:val="none"/>
                <w:lang w:val="en-US" w:eastAsia="zh-CN"/>
              </w:rPr>
              <w:t>0</w:t>
            </w:r>
          </w:p>
        </w:tc>
        <w:tc>
          <w:tcPr>
            <w:tcW w:w="1742" w:type="dxa"/>
            <w:vAlign w:val="center"/>
          </w:tcPr>
          <w:p w14:paraId="4D748B9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eastAsia="宋体"/>
                <w:bCs/>
                <w:color w:val="auto"/>
                <w:kern w:val="24"/>
                <w:sz w:val="21"/>
                <w:szCs w:val="21"/>
                <w:highlight w:val="none"/>
                <w:lang w:eastAsia="zh-CN"/>
              </w:rPr>
            </w:pPr>
            <w:r>
              <w:rPr>
                <w:rFonts w:hint="eastAsia"/>
                <w:snapToGrid w:val="0"/>
                <w:color w:val="auto"/>
                <w:kern w:val="21"/>
                <w:sz w:val="21"/>
                <w:szCs w:val="21"/>
                <w:highlight w:val="none"/>
                <w:lang w:val="en-US" w:eastAsia="zh-CN"/>
              </w:rPr>
              <w:t>0</w:t>
            </w:r>
          </w:p>
        </w:tc>
        <w:tc>
          <w:tcPr>
            <w:tcW w:w="1043" w:type="dxa"/>
            <w:vAlign w:val="center"/>
          </w:tcPr>
          <w:p w14:paraId="0E8FAED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09EF0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1" w:type="dxa"/>
            <w:vMerge w:val="continue"/>
            <w:vAlign w:val="center"/>
          </w:tcPr>
          <w:p w14:paraId="0542A3BB">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vAlign w:val="center"/>
          </w:tcPr>
          <w:p w14:paraId="398FEB1A">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color w:val="auto"/>
                <w:sz w:val="21"/>
                <w:szCs w:val="21"/>
                <w:highlight w:val="none"/>
                <w:lang w:val="en-US" w:eastAsia="zh-CN"/>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600" w:type="dxa"/>
            <w:vAlign w:val="center"/>
          </w:tcPr>
          <w:p w14:paraId="61ADCEB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711" w:type="dxa"/>
            <w:vAlign w:val="center"/>
          </w:tcPr>
          <w:p w14:paraId="602677B2">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01" w:type="dxa"/>
            <w:vAlign w:val="center"/>
          </w:tcPr>
          <w:p w14:paraId="087AF6E8">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9" w:type="dxa"/>
            <w:vAlign w:val="center"/>
          </w:tcPr>
          <w:p w14:paraId="3682B0B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auto"/>
                <w:sz w:val="21"/>
                <w:szCs w:val="21"/>
                <w:highlight w:val="none"/>
                <w:lang w:val="en-US" w:eastAsia="zh-CN"/>
              </w:rPr>
            </w:pPr>
            <w:r>
              <w:rPr>
                <w:rFonts w:hint="eastAsia"/>
                <w:snapToGrid w:val="0"/>
                <w:color w:val="auto"/>
                <w:kern w:val="21"/>
                <w:sz w:val="21"/>
                <w:szCs w:val="21"/>
                <w:highlight w:val="none"/>
                <w:lang w:val="en-US" w:eastAsia="zh-CN"/>
              </w:rPr>
              <w:t>0</w:t>
            </w:r>
          </w:p>
        </w:tc>
        <w:tc>
          <w:tcPr>
            <w:tcW w:w="1761" w:type="dxa"/>
            <w:vAlign w:val="center"/>
          </w:tcPr>
          <w:p w14:paraId="0254364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snapToGrid w:val="0"/>
                <w:color w:val="auto"/>
                <w:kern w:val="21"/>
                <w:sz w:val="21"/>
                <w:szCs w:val="21"/>
                <w:highlight w:val="none"/>
              </w:rPr>
            </w:pPr>
            <w:r>
              <w:rPr>
                <w:rFonts w:hint="eastAsia"/>
                <w:snapToGrid w:val="0"/>
                <w:color w:val="auto"/>
                <w:kern w:val="21"/>
                <w:sz w:val="21"/>
                <w:szCs w:val="21"/>
                <w:highlight w:val="none"/>
                <w:lang w:val="en-US" w:eastAsia="zh-CN"/>
              </w:rPr>
              <w:t>0</w:t>
            </w:r>
          </w:p>
        </w:tc>
        <w:tc>
          <w:tcPr>
            <w:tcW w:w="1742" w:type="dxa"/>
            <w:vAlign w:val="center"/>
          </w:tcPr>
          <w:p w14:paraId="0308186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auto"/>
                <w:sz w:val="21"/>
                <w:szCs w:val="21"/>
                <w:highlight w:val="none"/>
                <w:lang w:val="en-US" w:eastAsia="zh-CN"/>
              </w:rPr>
            </w:pPr>
            <w:r>
              <w:rPr>
                <w:rFonts w:hint="eastAsia"/>
                <w:snapToGrid w:val="0"/>
                <w:color w:val="auto"/>
                <w:kern w:val="21"/>
                <w:sz w:val="21"/>
                <w:szCs w:val="21"/>
                <w:highlight w:val="none"/>
                <w:lang w:val="en-US" w:eastAsia="zh-CN"/>
              </w:rPr>
              <w:t>0</w:t>
            </w:r>
          </w:p>
        </w:tc>
        <w:tc>
          <w:tcPr>
            <w:tcW w:w="1043" w:type="dxa"/>
            <w:vAlign w:val="center"/>
          </w:tcPr>
          <w:p w14:paraId="09ECF5D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598D0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1" w:type="dxa"/>
            <w:vMerge w:val="continue"/>
            <w:vAlign w:val="center"/>
          </w:tcPr>
          <w:p w14:paraId="000962D5">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vAlign w:val="center"/>
          </w:tcPr>
          <w:p w14:paraId="0C623435">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TP</w:t>
            </w:r>
          </w:p>
        </w:tc>
        <w:tc>
          <w:tcPr>
            <w:tcW w:w="1600" w:type="dxa"/>
            <w:vAlign w:val="center"/>
          </w:tcPr>
          <w:p w14:paraId="178DB20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711" w:type="dxa"/>
            <w:vAlign w:val="center"/>
          </w:tcPr>
          <w:p w14:paraId="23908F2A">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701" w:type="dxa"/>
            <w:vAlign w:val="center"/>
          </w:tcPr>
          <w:p w14:paraId="1F8BB6B6">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559" w:type="dxa"/>
            <w:vAlign w:val="center"/>
          </w:tcPr>
          <w:p w14:paraId="0CDE403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auto"/>
                <w:sz w:val="21"/>
                <w:szCs w:val="21"/>
                <w:highlight w:val="none"/>
                <w:lang w:val="en-US" w:eastAsia="zh-CN"/>
              </w:rPr>
            </w:pPr>
            <w:r>
              <w:rPr>
                <w:rFonts w:hint="eastAsia"/>
                <w:snapToGrid w:val="0"/>
                <w:color w:val="auto"/>
                <w:kern w:val="21"/>
                <w:sz w:val="21"/>
                <w:szCs w:val="21"/>
                <w:highlight w:val="none"/>
                <w:lang w:val="en-US" w:eastAsia="zh-CN"/>
              </w:rPr>
              <w:t>0</w:t>
            </w:r>
          </w:p>
        </w:tc>
        <w:tc>
          <w:tcPr>
            <w:tcW w:w="1761" w:type="dxa"/>
            <w:vAlign w:val="center"/>
          </w:tcPr>
          <w:p w14:paraId="572FBED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742" w:type="dxa"/>
            <w:vAlign w:val="center"/>
          </w:tcPr>
          <w:p w14:paraId="2A7D7340">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auto"/>
                <w:sz w:val="21"/>
                <w:szCs w:val="21"/>
                <w:highlight w:val="none"/>
                <w:lang w:val="en-US" w:eastAsia="zh-CN"/>
              </w:rPr>
            </w:pPr>
            <w:r>
              <w:rPr>
                <w:rFonts w:hint="eastAsia"/>
                <w:snapToGrid w:val="0"/>
                <w:color w:val="auto"/>
                <w:kern w:val="21"/>
                <w:sz w:val="21"/>
                <w:szCs w:val="21"/>
                <w:highlight w:val="none"/>
                <w:lang w:val="en-US" w:eastAsia="zh-CN"/>
              </w:rPr>
              <w:t>0</w:t>
            </w:r>
          </w:p>
        </w:tc>
        <w:tc>
          <w:tcPr>
            <w:tcW w:w="1043" w:type="dxa"/>
            <w:vAlign w:val="center"/>
          </w:tcPr>
          <w:p w14:paraId="03E4DCA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4F189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71" w:type="dxa"/>
            <w:vMerge w:val="continue"/>
            <w:vAlign w:val="center"/>
          </w:tcPr>
          <w:p w14:paraId="7AD44948">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vAlign w:val="center"/>
          </w:tcPr>
          <w:p w14:paraId="6C4924C4">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TN</w:t>
            </w:r>
          </w:p>
        </w:tc>
        <w:tc>
          <w:tcPr>
            <w:tcW w:w="1600" w:type="dxa"/>
            <w:vAlign w:val="center"/>
          </w:tcPr>
          <w:p w14:paraId="7B17DF06">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c>
          <w:tcPr>
            <w:tcW w:w="1711" w:type="dxa"/>
            <w:vAlign w:val="center"/>
          </w:tcPr>
          <w:p w14:paraId="0A8269D0">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01" w:type="dxa"/>
            <w:vAlign w:val="center"/>
          </w:tcPr>
          <w:p w14:paraId="4400DE57">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9" w:type="dxa"/>
            <w:vAlign w:val="center"/>
          </w:tcPr>
          <w:p w14:paraId="110CBE5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auto"/>
                <w:sz w:val="21"/>
                <w:szCs w:val="21"/>
                <w:highlight w:val="none"/>
                <w:lang w:val="en-US" w:eastAsia="zh-CN"/>
              </w:rPr>
            </w:pPr>
            <w:r>
              <w:rPr>
                <w:rFonts w:hint="eastAsia"/>
                <w:snapToGrid w:val="0"/>
                <w:color w:val="auto"/>
                <w:kern w:val="21"/>
                <w:sz w:val="21"/>
                <w:szCs w:val="21"/>
                <w:highlight w:val="none"/>
                <w:lang w:val="en-US" w:eastAsia="zh-CN"/>
              </w:rPr>
              <w:t>0</w:t>
            </w:r>
          </w:p>
        </w:tc>
        <w:tc>
          <w:tcPr>
            <w:tcW w:w="1761" w:type="dxa"/>
            <w:vAlign w:val="center"/>
          </w:tcPr>
          <w:p w14:paraId="0F72701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snapToGrid w:val="0"/>
                <w:color w:val="auto"/>
                <w:kern w:val="21"/>
                <w:sz w:val="21"/>
                <w:szCs w:val="21"/>
                <w:highlight w:val="none"/>
              </w:rPr>
            </w:pPr>
            <w:r>
              <w:rPr>
                <w:rFonts w:hint="eastAsia"/>
                <w:snapToGrid w:val="0"/>
                <w:color w:val="auto"/>
                <w:kern w:val="21"/>
                <w:sz w:val="21"/>
                <w:szCs w:val="21"/>
                <w:highlight w:val="none"/>
                <w:lang w:val="en-US" w:eastAsia="zh-CN"/>
              </w:rPr>
              <w:t>0</w:t>
            </w:r>
          </w:p>
        </w:tc>
        <w:tc>
          <w:tcPr>
            <w:tcW w:w="1742" w:type="dxa"/>
            <w:vAlign w:val="center"/>
          </w:tcPr>
          <w:p w14:paraId="5DDC8DA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auto"/>
                <w:sz w:val="21"/>
                <w:szCs w:val="21"/>
                <w:highlight w:val="none"/>
                <w:lang w:val="en-US" w:eastAsia="zh-CN"/>
              </w:rPr>
            </w:pPr>
            <w:r>
              <w:rPr>
                <w:rFonts w:hint="eastAsia"/>
                <w:snapToGrid w:val="0"/>
                <w:color w:val="auto"/>
                <w:kern w:val="21"/>
                <w:sz w:val="21"/>
                <w:szCs w:val="21"/>
                <w:highlight w:val="none"/>
                <w:lang w:val="en-US" w:eastAsia="zh-CN"/>
              </w:rPr>
              <w:t>0</w:t>
            </w:r>
          </w:p>
        </w:tc>
        <w:tc>
          <w:tcPr>
            <w:tcW w:w="1043" w:type="dxa"/>
            <w:vAlign w:val="center"/>
          </w:tcPr>
          <w:p w14:paraId="6179296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0</w:t>
            </w:r>
          </w:p>
        </w:tc>
      </w:tr>
      <w:tr w14:paraId="4368A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71" w:type="dxa"/>
            <w:vMerge w:val="restart"/>
            <w:vAlign w:val="center"/>
          </w:tcPr>
          <w:p w14:paraId="19238977">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snapToGrid w:val="0"/>
                <w:color w:val="auto"/>
                <w:kern w:val="21"/>
                <w:sz w:val="21"/>
                <w:szCs w:val="21"/>
                <w:highlight w:val="none"/>
              </w:rPr>
            </w:pPr>
            <w:r>
              <w:rPr>
                <w:rFonts w:ascii="Times New Roman" w:hAnsi="宋体"/>
                <w:snapToGrid w:val="0"/>
                <w:color w:val="auto"/>
                <w:kern w:val="21"/>
                <w:sz w:val="21"/>
                <w:szCs w:val="21"/>
                <w:highlight w:val="none"/>
              </w:rPr>
              <w:t>一般工业</w:t>
            </w:r>
          </w:p>
          <w:p w14:paraId="39C4961F">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snapToGrid w:val="0"/>
                <w:color w:val="auto"/>
                <w:kern w:val="21"/>
                <w:sz w:val="21"/>
                <w:szCs w:val="21"/>
                <w:highlight w:val="none"/>
              </w:rPr>
            </w:pPr>
            <w:r>
              <w:rPr>
                <w:rFonts w:ascii="Times New Roman" w:hAnsi="宋体"/>
                <w:snapToGrid w:val="0"/>
                <w:color w:val="auto"/>
                <w:kern w:val="21"/>
                <w:sz w:val="21"/>
                <w:szCs w:val="21"/>
                <w:highlight w:val="none"/>
              </w:rPr>
              <w:t>固体废物</w:t>
            </w:r>
          </w:p>
        </w:tc>
        <w:tc>
          <w:tcPr>
            <w:tcW w:w="1400" w:type="dxa"/>
            <w:vAlign w:val="center"/>
          </w:tcPr>
          <w:p w14:paraId="3A250D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sz w:val="21"/>
                <w:szCs w:val="21"/>
                <w:highlight w:val="none"/>
                <w:lang w:val="en-US" w:eastAsia="zh-CN"/>
              </w:rPr>
              <w:t>浓缩液</w:t>
            </w:r>
          </w:p>
        </w:tc>
        <w:tc>
          <w:tcPr>
            <w:tcW w:w="1600" w:type="dxa"/>
            <w:vAlign w:val="center"/>
          </w:tcPr>
          <w:p w14:paraId="448EFC69">
            <w:pPr>
              <w:pStyle w:val="62"/>
              <w:spacing w:before="3" w:line="252" w:lineRule="exact"/>
              <w:ind w:left="95" w:leftChars="0" w:right="87" w:rightChars="0"/>
              <w:jc w:val="center"/>
              <w:rPr>
                <w:rFonts w:hint="default" w:ascii="Times New Roman" w:eastAsia="宋体"/>
                <w:snapToGrid w:val="0"/>
                <w:color w:val="auto"/>
                <w:kern w:val="21"/>
                <w:sz w:val="21"/>
                <w:szCs w:val="21"/>
                <w:highlight w:val="none"/>
                <w:lang w:val="en-US" w:eastAsia="zh-CN"/>
              </w:rPr>
            </w:pPr>
            <w:r>
              <w:rPr>
                <w:rFonts w:hint="eastAsia" w:ascii="Times New Roman" w:hAnsi="Times New Roman" w:cs="Times New Roman"/>
                <w:color w:val="auto"/>
                <w:kern w:val="2"/>
                <w:sz w:val="21"/>
                <w:szCs w:val="24"/>
                <w:highlight w:val="none"/>
                <w:lang w:val="en-US" w:eastAsia="zh-CN" w:bidi="zh-CN"/>
              </w:rPr>
              <w:t>18250</w:t>
            </w:r>
          </w:p>
        </w:tc>
        <w:tc>
          <w:tcPr>
            <w:tcW w:w="1711" w:type="dxa"/>
            <w:vAlign w:val="center"/>
          </w:tcPr>
          <w:p w14:paraId="37F51F6F">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701" w:type="dxa"/>
            <w:vAlign w:val="center"/>
          </w:tcPr>
          <w:p w14:paraId="1CAE2A6F">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559" w:type="dxa"/>
            <w:vAlign w:val="center"/>
          </w:tcPr>
          <w:p w14:paraId="49A3378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eastAsia="宋体"/>
                <w:color w:val="auto"/>
                <w:kern w:val="24"/>
                <w:sz w:val="21"/>
                <w:szCs w:val="21"/>
                <w:highlight w:val="none"/>
                <w:lang w:val="en-US" w:eastAsia="zh-CN"/>
              </w:rPr>
            </w:pPr>
            <w:r>
              <w:rPr>
                <w:rFonts w:hint="eastAsia" w:cs="Times New Roman"/>
                <w:color w:val="auto"/>
                <w:kern w:val="2"/>
                <w:sz w:val="21"/>
                <w:szCs w:val="24"/>
                <w:highlight w:val="none"/>
                <w:lang w:val="en-US" w:eastAsia="zh-CN" w:bidi="zh-CN"/>
              </w:rPr>
              <w:t>0</w:t>
            </w:r>
          </w:p>
        </w:tc>
        <w:tc>
          <w:tcPr>
            <w:tcW w:w="1761" w:type="dxa"/>
            <w:vAlign w:val="center"/>
          </w:tcPr>
          <w:p w14:paraId="1A5AABD7">
            <w:pPr>
              <w:pStyle w:val="62"/>
              <w:spacing w:before="3" w:line="252" w:lineRule="exact"/>
              <w:ind w:left="95" w:leftChars="0" w:right="87" w:rightChars="0"/>
              <w:jc w:val="center"/>
              <w:rPr>
                <w:rFonts w:hint="default" w:ascii="Times New Roman" w:eastAsia="宋体"/>
                <w:snapToGrid w:val="0"/>
                <w:color w:val="auto"/>
                <w:kern w:val="21"/>
                <w:sz w:val="21"/>
                <w:szCs w:val="21"/>
                <w:highlight w:val="none"/>
                <w:lang w:val="en-US" w:eastAsia="zh-CN"/>
              </w:rPr>
            </w:pPr>
            <w:r>
              <w:rPr>
                <w:rFonts w:hint="eastAsia" w:ascii="Times New Roman" w:hAnsi="Times New Roman" w:cs="Times New Roman"/>
                <w:color w:val="auto"/>
                <w:kern w:val="2"/>
                <w:sz w:val="21"/>
                <w:szCs w:val="24"/>
                <w:highlight w:val="none"/>
                <w:lang w:val="en-US" w:eastAsia="zh-CN" w:bidi="zh-CN"/>
              </w:rPr>
              <w:t>18250</w:t>
            </w:r>
          </w:p>
        </w:tc>
        <w:tc>
          <w:tcPr>
            <w:tcW w:w="1742" w:type="dxa"/>
            <w:vAlign w:val="center"/>
          </w:tcPr>
          <w:p w14:paraId="078CA6AA">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eastAsia="宋体"/>
                <w:color w:val="auto"/>
                <w:kern w:val="24"/>
                <w:sz w:val="21"/>
                <w:szCs w:val="21"/>
                <w:highlight w:val="none"/>
                <w:lang w:val="en-US" w:eastAsia="zh-CN"/>
              </w:rPr>
            </w:pPr>
            <w:r>
              <w:rPr>
                <w:rFonts w:hint="eastAsia" w:cs="Times New Roman"/>
                <w:color w:val="auto"/>
                <w:kern w:val="2"/>
                <w:sz w:val="21"/>
                <w:szCs w:val="24"/>
                <w:highlight w:val="none"/>
                <w:lang w:val="en-US" w:eastAsia="zh-CN" w:bidi="zh-CN"/>
              </w:rPr>
              <w:t>0</w:t>
            </w:r>
          </w:p>
        </w:tc>
        <w:tc>
          <w:tcPr>
            <w:tcW w:w="1043" w:type="dxa"/>
            <w:vAlign w:val="center"/>
          </w:tcPr>
          <w:p w14:paraId="642DCCC4">
            <w:pPr>
              <w:pStyle w:val="62"/>
              <w:spacing w:before="151"/>
              <w:ind w:left="9" w:leftChars="0"/>
              <w:jc w:val="center"/>
              <w:rPr>
                <w:rFonts w:hint="default" w:ascii="Times New Roman" w:eastAsia="宋体"/>
                <w:snapToGrid w:val="0"/>
                <w:color w:val="auto"/>
                <w:kern w:val="21"/>
                <w:sz w:val="21"/>
                <w:szCs w:val="21"/>
                <w:highlight w:val="none"/>
                <w:lang w:val="en-US" w:eastAsia="zh-CN"/>
              </w:rPr>
            </w:pPr>
            <w:r>
              <w:rPr>
                <w:rFonts w:hint="eastAsia" w:ascii="Times New Roman" w:hAnsi="Times New Roman" w:cs="Times New Roman"/>
                <w:color w:val="auto"/>
                <w:kern w:val="2"/>
                <w:sz w:val="21"/>
                <w:szCs w:val="24"/>
                <w:highlight w:val="none"/>
                <w:lang w:val="en-US" w:eastAsia="zh-CN" w:bidi="zh-CN"/>
              </w:rPr>
              <w:t>-18250</w:t>
            </w:r>
          </w:p>
        </w:tc>
      </w:tr>
      <w:tr w14:paraId="3E52F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271" w:type="dxa"/>
            <w:vMerge w:val="continue"/>
            <w:vAlign w:val="center"/>
          </w:tcPr>
          <w:p w14:paraId="35E98E36">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vAlign w:val="center"/>
          </w:tcPr>
          <w:p w14:paraId="42DE42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Cs w:val="21"/>
                <w:highlight w:val="none"/>
                <w:lang w:val="en-US" w:eastAsia="zh-CN"/>
              </w:rPr>
              <w:t>砂滤泥砂</w:t>
            </w:r>
          </w:p>
        </w:tc>
        <w:tc>
          <w:tcPr>
            <w:tcW w:w="1600" w:type="dxa"/>
            <w:vAlign w:val="center"/>
          </w:tcPr>
          <w:p w14:paraId="51F1251A">
            <w:pPr>
              <w:pStyle w:val="62"/>
              <w:spacing w:before="48"/>
              <w:ind w:left="95" w:leftChars="0" w:right="87" w:rightChars="0"/>
              <w:jc w:val="center"/>
              <w:rPr>
                <w:rFonts w:hint="default" w:ascii="Times New Roman" w:eastAsia="宋体"/>
                <w:snapToGrid w:val="0"/>
                <w:color w:val="auto"/>
                <w:kern w:val="21"/>
                <w:sz w:val="21"/>
                <w:szCs w:val="21"/>
                <w:highlight w:val="none"/>
                <w:lang w:val="en-US" w:eastAsia="zh-CN"/>
              </w:rPr>
            </w:pPr>
            <w:r>
              <w:rPr>
                <w:rFonts w:hint="eastAsia" w:ascii="Times New Roman" w:hAnsi="宋体" w:eastAsia="宋体" w:cs="宋体"/>
                <w:color w:val="auto"/>
                <w:sz w:val="21"/>
                <w:highlight w:val="none"/>
                <w:lang w:val="en-US" w:eastAsia="zh-CN"/>
              </w:rPr>
              <w:t>36.5</w:t>
            </w:r>
          </w:p>
        </w:tc>
        <w:tc>
          <w:tcPr>
            <w:tcW w:w="1711" w:type="dxa"/>
            <w:vAlign w:val="center"/>
          </w:tcPr>
          <w:p w14:paraId="61E263BB">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701" w:type="dxa"/>
            <w:vAlign w:val="center"/>
          </w:tcPr>
          <w:p w14:paraId="066E0EF8">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559" w:type="dxa"/>
            <w:vAlign w:val="center"/>
          </w:tcPr>
          <w:p w14:paraId="1C5114CA">
            <w:pPr>
              <w:pStyle w:val="62"/>
              <w:spacing w:before="48"/>
              <w:ind w:left="95" w:leftChars="0" w:right="87" w:rightChars="0"/>
              <w:jc w:val="center"/>
              <w:rPr>
                <w:rFonts w:hint="default"/>
                <w:color w:val="auto"/>
                <w:kern w:val="24"/>
                <w:sz w:val="21"/>
                <w:szCs w:val="21"/>
                <w:highlight w:val="none"/>
                <w:lang w:val="en-US" w:eastAsia="zh-CN"/>
              </w:rPr>
            </w:pPr>
            <w:r>
              <w:rPr>
                <w:rFonts w:hint="eastAsia" w:ascii="Times New Roman" w:hAnsi="宋体" w:eastAsia="宋体" w:cs="宋体"/>
                <w:color w:val="auto"/>
                <w:sz w:val="21"/>
                <w:highlight w:val="none"/>
                <w:lang w:val="en-US" w:eastAsia="zh-CN"/>
              </w:rPr>
              <w:t>18.25</w:t>
            </w:r>
          </w:p>
        </w:tc>
        <w:tc>
          <w:tcPr>
            <w:tcW w:w="1761" w:type="dxa"/>
            <w:vAlign w:val="center"/>
          </w:tcPr>
          <w:p w14:paraId="7A2ADBD5">
            <w:pPr>
              <w:pStyle w:val="62"/>
              <w:spacing w:before="48"/>
              <w:ind w:left="95" w:leftChars="0" w:right="87" w:rightChars="0"/>
              <w:jc w:val="center"/>
              <w:rPr>
                <w:rFonts w:hint="default" w:ascii="Times New Roman"/>
                <w:snapToGrid w:val="0"/>
                <w:color w:val="auto"/>
                <w:kern w:val="21"/>
                <w:sz w:val="21"/>
                <w:szCs w:val="21"/>
                <w:highlight w:val="none"/>
                <w:lang w:val="en-US" w:eastAsia="zh-CN"/>
              </w:rPr>
            </w:pPr>
            <w:r>
              <w:rPr>
                <w:rFonts w:hint="eastAsia" w:ascii="Times New Roman" w:hAnsi="宋体" w:eastAsia="宋体" w:cs="宋体"/>
                <w:color w:val="auto"/>
                <w:sz w:val="21"/>
                <w:highlight w:val="none"/>
                <w:lang w:val="en-US" w:eastAsia="zh-CN"/>
              </w:rPr>
              <w:t>36.5</w:t>
            </w:r>
          </w:p>
        </w:tc>
        <w:tc>
          <w:tcPr>
            <w:tcW w:w="1742" w:type="dxa"/>
            <w:vAlign w:val="center"/>
          </w:tcPr>
          <w:p w14:paraId="54A07884">
            <w:pPr>
              <w:pStyle w:val="62"/>
              <w:spacing w:before="48"/>
              <w:ind w:left="95" w:leftChars="0" w:right="87" w:rightChars="0"/>
              <w:jc w:val="center"/>
              <w:rPr>
                <w:rFonts w:hint="default"/>
                <w:color w:val="auto"/>
                <w:kern w:val="24"/>
                <w:sz w:val="21"/>
                <w:szCs w:val="21"/>
                <w:highlight w:val="none"/>
                <w:lang w:val="en-US" w:eastAsia="zh-CN"/>
              </w:rPr>
            </w:pPr>
            <w:r>
              <w:rPr>
                <w:rFonts w:hint="eastAsia" w:ascii="Times New Roman" w:hAnsi="宋体" w:eastAsia="宋体" w:cs="宋体"/>
                <w:color w:val="auto"/>
                <w:sz w:val="21"/>
                <w:highlight w:val="none"/>
                <w:lang w:val="en-US" w:eastAsia="zh-CN"/>
              </w:rPr>
              <w:t>18.25</w:t>
            </w:r>
          </w:p>
        </w:tc>
        <w:tc>
          <w:tcPr>
            <w:tcW w:w="1043" w:type="dxa"/>
            <w:vAlign w:val="center"/>
          </w:tcPr>
          <w:p w14:paraId="14137F4E">
            <w:pPr>
              <w:pStyle w:val="62"/>
              <w:spacing w:before="48"/>
              <w:ind w:left="95" w:leftChars="0" w:right="87" w:rightChars="0"/>
              <w:jc w:val="center"/>
              <w:rPr>
                <w:rFonts w:hint="default" w:ascii="Times New Roman"/>
                <w:snapToGrid w:val="0"/>
                <w:color w:val="auto"/>
                <w:kern w:val="21"/>
                <w:sz w:val="21"/>
                <w:szCs w:val="21"/>
                <w:highlight w:val="none"/>
                <w:lang w:val="en-US" w:eastAsia="zh-CN"/>
              </w:rPr>
            </w:pPr>
            <w:r>
              <w:rPr>
                <w:rFonts w:hint="eastAsia" w:ascii="Times New Roman" w:hAnsi="宋体" w:eastAsia="宋体" w:cs="宋体"/>
                <w:color w:val="auto"/>
                <w:sz w:val="21"/>
                <w:highlight w:val="none"/>
                <w:lang w:val="en-US" w:eastAsia="zh-CN"/>
              </w:rPr>
              <w:t>-18.25</w:t>
            </w:r>
          </w:p>
        </w:tc>
      </w:tr>
      <w:tr w14:paraId="7679BA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71" w:type="dxa"/>
            <w:vMerge w:val="continue"/>
            <w:vAlign w:val="center"/>
          </w:tcPr>
          <w:p w14:paraId="1A3ECB8B">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vAlign w:val="center"/>
          </w:tcPr>
          <w:p w14:paraId="5168AF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4"/>
                <w:sz w:val="21"/>
                <w:szCs w:val="21"/>
                <w:highlight w:val="none"/>
                <w:lang w:eastAsia="zh-CN"/>
              </w:rPr>
            </w:pPr>
            <w:r>
              <w:rPr>
                <w:rFonts w:hint="eastAsia"/>
                <w:color w:val="auto"/>
                <w:sz w:val="21"/>
                <w:szCs w:val="21"/>
                <w:highlight w:val="none"/>
                <w:lang w:val="en-US" w:eastAsia="zh-CN"/>
              </w:rPr>
              <w:t>消泡剂及阻垢剂包装桶</w:t>
            </w:r>
          </w:p>
        </w:tc>
        <w:tc>
          <w:tcPr>
            <w:tcW w:w="1600" w:type="dxa"/>
            <w:vAlign w:val="center"/>
          </w:tcPr>
          <w:p w14:paraId="5BBCD27F">
            <w:pPr>
              <w:pStyle w:val="62"/>
              <w:spacing w:before="48"/>
              <w:ind w:left="95" w:leftChars="0" w:right="87" w:rightChars="0"/>
              <w:jc w:val="center"/>
              <w:rPr>
                <w:rFonts w:hint="default" w:ascii="Times New Roman" w:eastAsia="宋体"/>
                <w:snapToGrid w:val="0"/>
                <w:color w:val="auto"/>
                <w:kern w:val="21"/>
                <w:sz w:val="21"/>
                <w:szCs w:val="21"/>
                <w:highlight w:val="none"/>
                <w:lang w:val="en-US" w:eastAsia="zh-CN"/>
              </w:rPr>
            </w:pPr>
            <w:r>
              <w:rPr>
                <w:rFonts w:hint="eastAsia" w:ascii="Times New Roman" w:hAnsi="宋体" w:eastAsia="宋体" w:cs="宋体"/>
                <w:color w:val="auto"/>
                <w:sz w:val="21"/>
                <w:highlight w:val="none"/>
                <w:lang w:val="en-US" w:eastAsia="zh-CN"/>
              </w:rPr>
              <w:t>0.5</w:t>
            </w:r>
          </w:p>
        </w:tc>
        <w:tc>
          <w:tcPr>
            <w:tcW w:w="1711" w:type="dxa"/>
            <w:vAlign w:val="center"/>
          </w:tcPr>
          <w:p w14:paraId="639E253F">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default"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701" w:type="dxa"/>
            <w:vAlign w:val="center"/>
          </w:tcPr>
          <w:p w14:paraId="071C747C">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default"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559" w:type="dxa"/>
            <w:vAlign w:val="center"/>
          </w:tcPr>
          <w:p w14:paraId="49A94D8B">
            <w:pPr>
              <w:pStyle w:val="62"/>
              <w:spacing w:before="48"/>
              <w:ind w:left="95" w:leftChars="0" w:right="87" w:rightChars="0"/>
              <w:jc w:val="center"/>
              <w:rPr>
                <w:rFonts w:hint="default"/>
                <w:color w:val="auto"/>
                <w:kern w:val="24"/>
                <w:sz w:val="21"/>
                <w:szCs w:val="21"/>
                <w:highlight w:val="none"/>
                <w:lang w:val="en-US" w:eastAsia="zh-CN"/>
              </w:rPr>
            </w:pPr>
            <w:r>
              <w:rPr>
                <w:rFonts w:hint="eastAsia" w:ascii="Times New Roman" w:hAnsi="宋体" w:eastAsia="宋体" w:cs="宋体"/>
                <w:color w:val="auto"/>
                <w:sz w:val="21"/>
                <w:highlight w:val="none"/>
                <w:lang w:val="en-US" w:eastAsia="zh-CN"/>
              </w:rPr>
              <w:t>0.3</w:t>
            </w:r>
          </w:p>
        </w:tc>
        <w:tc>
          <w:tcPr>
            <w:tcW w:w="1761" w:type="dxa"/>
            <w:vAlign w:val="center"/>
          </w:tcPr>
          <w:p w14:paraId="4B4FBA2D">
            <w:pPr>
              <w:pStyle w:val="62"/>
              <w:spacing w:before="48"/>
              <w:ind w:left="95" w:leftChars="0" w:right="87" w:rightChars="0"/>
              <w:jc w:val="center"/>
              <w:rPr>
                <w:rFonts w:hint="eastAsia" w:ascii="Times New Roman"/>
                <w:snapToGrid w:val="0"/>
                <w:color w:val="auto"/>
                <w:kern w:val="21"/>
                <w:sz w:val="21"/>
                <w:szCs w:val="21"/>
                <w:highlight w:val="none"/>
              </w:rPr>
            </w:pPr>
            <w:r>
              <w:rPr>
                <w:rFonts w:hint="eastAsia" w:ascii="Times New Roman" w:hAnsi="宋体" w:eastAsia="宋体" w:cs="宋体"/>
                <w:color w:val="auto"/>
                <w:sz w:val="21"/>
                <w:highlight w:val="none"/>
                <w:lang w:val="en-US" w:eastAsia="zh-CN"/>
              </w:rPr>
              <w:t>0.5</w:t>
            </w:r>
          </w:p>
        </w:tc>
        <w:tc>
          <w:tcPr>
            <w:tcW w:w="1742" w:type="dxa"/>
            <w:vAlign w:val="center"/>
          </w:tcPr>
          <w:p w14:paraId="0D2D7F5F">
            <w:pPr>
              <w:pStyle w:val="62"/>
              <w:spacing w:before="48"/>
              <w:ind w:left="95" w:leftChars="0" w:right="87" w:rightChars="0"/>
              <w:jc w:val="center"/>
              <w:rPr>
                <w:rFonts w:hint="default"/>
                <w:color w:val="auto"/>
                <w:kern w:val="24"/>
                <w:sz w:val="21"/>
                <w:szCs w:val="21"/>
                <w:highlight w:val="none"/>
                <w:lang w:val="en-US" w:eastAsia="zh-CN"/>
              </w:rPr>
            </w:pPr>
            <w:r>
              <w:rPr>
                <w:rFonts w:hint="eastAsia" w:ascii="Times New Roman" w:hAnsi="宋体" w:eastAsia="宋体" w:cs="宋体"/>
                <w:color w:val="auto"/>
                <w:sz w:val="21"/>
                <w:highlight w:val="none"/>
                <w:lang w:val="en-US" w:eastAsia="zh-CN"/>
              </w:rPr>
              <w:t>0.3</w:t>
            </w:r>
          </w:p>
        </w:tc>
        <w:tc>
          <w:tcPr>
            <w:tcW w:w="1043" w:type="dxa"/>
            <w:vAlign w:val="center"/>
          </w:tcPr>
          <w:p w14:paraId="37E80631">
            <w:pPr>
              <w:pStyle w:val="62"/>
              <w:spacing w:before="48"/>
              <w:ind w:left="95" w:leftChars="0" w:right="87" w:rightChars="0"/>
              <w:jc w:val="center"/>
              <w:rPr>
                <w:rFonts w:hint="default" w:ascii="Times New Roman"/>
                <w:snapToGrid w:val="0"/>
                <w:color w:val="auto"/>
                <w:kern w:val="21"/>
                <w:sz w:val="21"/>
                <w:szCs w:val="21"/>
                <w:highlight w:val="none"/>
                <w:lang w:val="en-US" w:eastAsia="zh-CN"/>
              </w:rPr>
            </w:pPr>
            <w:r>
              <w:rPr>
                <w:rFonts w:hint="eastAsia" w:ascii="Times New Roman" w:hAnsi="宋体" w:eastAsia="宋体" w:cs="宋体"/>
                <w:color w:val="auto"/>
                <w:sz w:val="21"/>
                <w:highlight w:val="none"/>
                <w:lang w:val="en-US" w:eastAsia="zh-CN"/>
              </w:rPr>
              <w:t>-0.2</w:t>
            </w:r>
          </w:p>
        </w:tc>
      </w:tr>
      <w:tr w14:paraId="27FE8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71" w:type="dxa"/>
            <w:vMerge w:val="continue"/>
            <w:vAlign w:val="center"/>
          </w:tcPr>
          <w:p w14:paraId="691A0F3F">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vAlign w:val="center"/>
          </w:tcPr>
          <w:p w14:paraId="407145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更换的反渗透膜</w:t>
            </w:r>
          </w:p>
        </w:tc>
        <w:tc>
          <w:tcPr>
            <w:tcW w:w="1600" w:type="dxa"/>
            <w:vAlign w:val="center"/>
          </w:tcPr>
          <w:p w14:paraId="27A5C700">
            <w:pPr>
              <w:pStyle w:val="62"/>
              <w:spacing w:before="48"/>
              <w:ind w:left="95" w:leftChars="0" w:right="87" w:rightChars="0"/>
              <w:jc w:val="center"/>
              <w:rPr>
                <w:rFonts w:hint="default" w:ascii="Times New Roman"/>
                <w:snapToGrid w:val="0"/>
                <w:color w:val="auto"/>
                <w:kern w:val="21"/>
                <w:sz w:val="21"/>
                <w:szCs w:val="21"/>
                <w:highlight w:val="none"/>
                <w:lang w:val="en-US"/>
              </w:rPr>
            </w:pPr>
            <w:r>
              <w:rPr>
                <w:rFonts w:hint="eastAsia" w:ascii="Times New Roman" w:hAnsi="宋体" w:eastAsia="宋体" w:cs="宋体"/>
                <w:color w:val="auto"/>
                <w:sz w:val="21"/>
                <w:highlight w:val="none"/>
                <w:lang w:val="en-US" w:eastAsia="zh-CN"/>
              </w:rPr>
              <w:t>0.5</w:t>
            </w:r>
          </w:p>
        </w:tc>
        <w:tc>
          <w:tcPr>
            <w:tcW w:w="1711" w:type="dxa"/>
            <w:vAlign w:val="center"/>
          </w:tcPr>
          <w:p w14:paraId="4896385F">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eastAsia"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rPr>
              <w:t>/</w:t>
            </w:r>
          </w:p>
        </w:tc>
        <w:tc>
          <w:tcPr>
            <w:tcW w:w="1701" w:type="dxa"/>
            <w:vAlign w:val="center"/>
          </w:tcPr>
          <w:p w14:paraId="1AB78A9D">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eastAsia"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rPr>
              <w:t>/</w:t>
            </w:r>
          </w:p>
        </w:tc>
        <w:tc>
          <w:tcPr>
            <w:tcW w:w="1559" w:type="dxa"/>
            <w:vAlign w:val="center"/>
          </w:tcPr>
          <w:p w14:paraId="0E319279">
            <w:pPr>
              <w:pStyle w:val="62"/>
              <w:spacing w:before="48"/>
              <w:ind w:left="95" w:leftChars="0" w:right="87" w:rightChars="0"/>
              <w:jc w:val="center"/>
              <w:rPr>
                <w:rFonts w:hint="default"/>
                <w:color w:val="auto"/>
                <w:kern w:val="24"/>
                <w:sz w:val="21"/>
                <w:szCs w:val="21"/>
                <w:highlight w:val="none"/>
                <w:lang w:val="en-US" w:eastAsia="zh-CN"/>
              </w:rPr>
            </w:pPr>
            <w:r>
              <w:rPr>
                <w:rFonts w:hint="eastAsia" w:ascii="Times New Roman" w:hAnsi="宋体" w:eastAsia="宋体" w:cs="宋体"/>
                <w:color w:val="auto"/>
                <w:sz w:val="21"/>
                <w:highlight w:val="none"/>
                <w:lang w:val="en-US" w:eastAsia="zh-CN"/>
              </w:rPr>
              <w:t>0.5</w:t>
            </w:r>
          </w:p>
        </w:tc>
        <w:tc>
          <w:tcPr>
            <w:tcW w:w="1761" w:type="dxa"/>
            <w:vAlign w:val="center"/>
          </w:tcPr>
          <w:p w14:paraId="720A9B45">
            <w:pPr>
              <w:pStyle w:val="62"/>
              <w:spacing w:before="48"/>
              <w:ind w:left="95" w:leftChars="0" w:right="87" w:rightChars="0"/>
              <w:jc w:val="center"/>
              <w:rPr>
                <w:rFonts w:hint="default" w:ascii="Times New Roman"/>
                <w:snapToGrid w:val="0"/>
                <w:color w:val="auto"/>
                <w:kern w:val="21"/>
                <w:sz w:val="21"/>
                <w:szCs w:val="21"/>
                <w:highlight w:val="none"/>
                <w:lang w:val="en-US"/>
              </w:rPr>
            </w:pPr>
            <w:r>
              <w:rPr>
                <w:rFonts w:hint="eastAsia" w:ascii="Times New Roman" w:hAnsi="宋体" w:eastAsia="宋体" w:cs="宋体"/>
                <w:color w:val="auto"/>
                <w:sz w:val="21"/>
                <w:highlight w:val="none"/>
                <w:lang w:val="en-US" w:eastAsia="zh-CN"/>
              </w:rPr>
              <w:t>0.5</w:t>
            </w:r>
          </w:p>
        </w:tc>
        <w:tc>
          <w:tcPr>
            <w:tcW w:w="1742" w:type="dxa"/>
            <w:vAlign w:val="center"/>
          </w:tcPr>
          <w:p w14:paraId="22AA2485">
            <w:pPr>
              <w:pStyle w:val="62"/>
              <w:spacing w:before="48"/>
              <w:ind w:left="95" w:leftChars="0" w:right="87" w:rightChars="0"/>
              <w:jc w:val="center"/>
              <w:rPr>
                <w:rFonts w:hint="default"/>
                <w:color w:val="auto"/>
                <w:kern w:val="24"/>
                <w:sz w:val="21"/>
                <w:szCs w:val="21"/>
                <w:highlight w:val="none"/>
                <w:lang w:val="en-US" w:eastAsia="zh-CN"/>
              </w:rPr>
            </w:pPr>
            <w:r>
              <w:rPr>
                <w:rFonts w:hint="eastAsia" w:ascii="Times New Roman" w:hAnsi="宋体" w:eastAsia="宋体" w:cs="宋体"/>
                <w:color w:val="auto"/>
                <w:sz w:val="21"/>
                <w:highlight w:val="none"/>
                <w:lang w:val="en-US" w:eastAsia="zh-CN"/>
              </w:rPr>
              <w:t>0.5</w:t>
            </w:r>
          </w:p>
        </w:tc>
        <w:tc>
          <w:tcPr>
            <w:tcW w:w="1043" w:type="dxa"/>
            <w:vAlign w:val="center"/>
          </w:tcPr>
          <w:p w14:paraId="0CDF6DD0">
            <w:pPr>
              <w:pStyle w:val="62"/>
              <w:spacing w:before="48"/>
              <w:ind w:left="95" w:leftChars="0" w:right="87" w:rightChars="0"/>
              <w:jc w:val="center"/>
              <w:rPr>
                <w:rFonts w:hint="default" w:ascii="Times New Roman"/>
                <w:snapToGrid w:val="0"/>
                <w:color w:val="auto"/>
                <w:kern w:val="21"/>
                <w:sz w:val="21"/>
                <w:szCs w:val="21"/>
                <w:highlight w:val="none"/>
                <w:lang w:val="en-US" w:eastAsia="zh-CN"/>
              </w:rPr>
            </w:pPr>
            <w:r>
              <w:rPr>
                <w:rFonts w:hint="eastAsia" w:ascii="Times New Roman" w:hAnsi="宋体" w:eastAsia="宋体" w:cs="宋体"/>
                <w:color w:val="auto"/>
                <w:sz w:val="21"/>
                <w:highlight w:val="none"/>
                <w:lang w:val="en-US" w:eastAsia="zh-CN"/>
              </w:rPr>
              <w:t>0</w:t>
            </w:r>
          </w:p>
        </w:tc>
      </w:tr>
      <w:tr w14:paraId="238B4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71" w:type="dxa"/>
            <w:vMerge w:val="continue"/>
            <w:vAlign w:val="center"/>
          </w:tcPr>
          <w:p w14:paraId="7621071A">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vAlign w:val="center"/>
          </w:tcPr>
          <w:p w14:paraId="7F591B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废离子交换树脂</w:t>
            </w:r>
          </w:p>
        </w:tc>
        <w:tc>
          <w:tcPr>
            <w:tcW w:w="1600" w:type="dxa"/>
            <w:shd w:val="clear" w:color="auto" w:fill="auto"/>
            <w:vAlign w:val="center"/>
          </w:tcPr>
          <w:p w14:paraId="3E7BA83B">
            <w:pPr>
              <w:pStyle w:val="62"/>
              <w:spacing w:before="48"/>
              <w:ind w:left="95" w:leftChars="0" w:right="87" w:rightChars="0"/>
              <w:jc w:val="center"/>
              <w:rPr>
                <w:rFonts w:hint="eastAsia" w:ascii="Times New Roman" w:hAnsi="宋体" w:eastAsia="宋体" w:cs="宋体"/>
                <w:snapToGrid w:val="0"/>
                <w:color w:val="auto"/>
                <w:kern w:val="21"/>
                <w:sz w:val="21"/>
                <w:szCs w:val="21"/>
                <w:highlight w:val="none"/>
                <w:lang w:val="en-US" w:eastAsia="zh-CN" w:bidi="zh-CN"/>
              </w:rPr>
            </w:pPr>
            <w:r>
              <w:rPr>
                <w:rFonts w:hint="eastAsia" w:ascii="Times New Roman" w:hAnsi="宋体" w:eastAsia="宋体" w:cs="宋体"/>
                <w:color w:val="auto"/>
                <w:sz w:val="21"/>
                <w:highlight w:val="none"/>
                <w:lang w:val="en-US" w:eastAsia="zh-CN"/>
              </w:rPr>
              <w:t>0.5</w:t>
            </w:r>
          </w:p>
        </w:tc>
        <w:tc>
          <w:tcPr>
            <w:tcW w:w="1711" w:type="dxa"/>
            <w:shd w:val="clear" w:color="auto" w:fill="auto"/>
            <w:vAlign w:val="center"/>
          </w:tcPr>
          <w:p w14:paraId="2FA49DF4">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 w:val="21"/>
                <w:szCs w:val="21"/>
                <w:highlight w:val="none"/>
              </w:rPr>
              <w:t>/</w:t>
            </w:r>
          </w:p>
        </w:tc>
        <w:tc>
          <w:tcPr>
            <w:tcW w:w="1701" w:type="dxa"/>
            <w:shd w:val="clear" w:color="auto" w:fill="auto"/>
            <w:vAlign w:val="center"/>
          </w:tcPr>
          <w:p w14:paraId="5B6A38B5">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snapToGrid w:val="0"/>
                <w:color w:val="auto"/>
                <w:kern w:val="21"/>
                <w:sz w:val="21"/>
                <w:szCs w:val="21"/>
                <w:highlight w:val="none"/>
              </w:rPr>
              <w:t>/</w:t>
            </w:r>
          </w:p>
        </w:tc>
        <w:tc>
          <w:tcPr>
            <w:tcW w:w="1559" w:type="dxa"/>
            <w:shd w:val="clear" w:color="auto" w:fill="auto"/>
            <w:vAlign w:val="center"/>
          </w:tcPr>
          <w:p w14:paraId="25397357">
            <w:pPr>
              <w:pStyle w:val="62"/>
              <w:spacing w:before="48"/>
              <w:ind w:left="95" w:leftChars="0" w:right="87" w:rightChars="0"/>
              <w:jc w:val="center"/>
              <w:rPr>
                <w:rFonts w:hint="eastAsia" w:ascii="宋体" w:hAnsi="宋体" w:eastAsia="宋体" w:cs="宋体"/>
                <w:color w:val="auto"/>
                <w:kern w:val="24"/>
                <w:sz w:val="21"/>
                <w:szCs w:val="21"/>
                <w:highlight w:val="none"/>
                <w:lang w:val="en-US" w:eastAsia="zh-CN" w:bidi="zh-CN"/>
              </w:rPr>
            </w:pPr>
            <w:r>
              <w:rPr>
                <w:rFonts w:hint="eastAsia" w:ascii="Times New Roman" w:hAnsi="宋体" w:eastAsia="宋体" w:cs="宋体"/>
                <w:color w:val="auto"/>
                <w:sz w:val="21"/>
                <w:highlight w:val="none"/>
                <w:lang w:val="en-US" w:eastAsia="zh-CN"/>
              </w:rPr>
              <w:t>0.5</w:t>
            </w:r>
          </w:p>
        </w:tc>
        <w:tc>
          <w:tcPr>
            <w:tcW w:w="1761" w:type="dxa"/>
            <w:shd w:val="clear" w:color="auto" w:fill="auto"/>
            <w:vAlign w:val="center"/>
          </w:tcPr>
          <w:p w14:paraId="6661178A">
            <w:pPr>
              <w:pStyle w:val="62"/>
              <w:spacing w:before="48"/>
              <w:ind w:left="95" w:leftChars="0" w:right="87" w:rightChars="0"/>
              <w:jc w:val="center"/>
              <w:rPr>
                <w:rFonts w:hint="eastAsia" w:ascii="Times New Roman" w:hAnsi="宋体" w:eastAsia="宋体" w:cs="宋体"/>
                <w:snapToGrid w:val="0"/>
                <w:color w:val="auto"/>
                <w:kern w:val="21"/>
                <w:sz w:val="21"/>
                <w:szCs w:val="21"/>
                <w:highlight w:val="none"/>
                <w:lang w:val="en-US" w:eastAsia="zh-CN" w:bidi="zh-CN"/>
              </w:rPr>
            </w:pPr>
            <w:r>
              <w:rPr>
                <w:rFonts w:hint="eastAsia" w:ascii="Times New Roman" w:hAnsi="宋体" w:eastAsia="宋体" w:cs="宋体"/>
                <w:color w:val="auto"/>
                <w:sz w:val="21"/>
                <w:highlight w:val="none"/>
                <w:lang w:val="en-US" w:eastAsia="zh-CN"/>
              </w:rPr>
              <w:t>0.5</w:t>
            </w:r>
          </w:p>
        </w:tc>
        <w:tc>
          <w:tcPr>
            <w:tcW w:w="1742" w:type="dxa"/>
            <w:shd w:val="clear" w:color="auto" w:fill="auto"/>
            <w:vAlign w:val="center"/>
          </w:tcPr>
          <w:p w14:paraId="75E720F0">
            <w:pPr>
              <w:pStyle w:val="62"/>
              <w:spacing w:before="48"/>
              <w:ind w:left="95" w:leftChars="0" w:right="87" w:rightChars="0"/>
              <w:jc w:val="center"/>
              <w:rPr>
                <w:rFonts w:hint="eastAsia" w:ascii="宋体" w:hAnsi="宋体" w:eastAsia="宋体" w:cs="宋体"/>
                <w:color w:val="auto"/>
                <w:kern w:val="24"/>
                <w:sz w:val="21"/>
                <w:szCs w:val="21"/>
                <w:highlight w:val="none"/>
                <w:lang w:val="en-US" w:eastAsia="zh-CN" w:bidi="zh-CN"/>
              </w:rPr>
            </w:pPr>
            <w:r>
              <w:rPr>
                <w:rFonts w:hint="eastAsia" w:ascii="Times New Roman" w:hAnsi="宋体" w:eastAsia="宋体" w:cs="宋体"/>
                <w:color w:val="auto"/>
                <w:sz w:val="21"/>
                <w:highlight w:val="none"/>
                <w:lang w:val="en-US" w:eastAsia="zh-CN"/>
              </w:rPr>
              <w:t>0.5</w:t>
            </w:r>
          </w:p>
        </w:tc>
        <w:tc>
          <w:tcPr>
            <w:tcW w:w="1043" w:type="dxa"/>
            <w:shd w:val="clear" w:color="auto" w:fill="auto"/>
            <w:vAlign w:val="center"/>
          </w:tcPr>
          <w:p w14:paraId="32F03D64">
            <w:pPr>
              <w:pStyle w:val="62"/>
              <w:spacing w:before="48"/>
              <w:ind w:left="95" w:leftChars="0" w:right="87" w:rightChars="0"/>
              <w:jc w:val="center"/>
              <w:rPr>
                <w:rFonts w:hint="eastAsia" w:ascii="Times New Roman" w:hAnsi="宋体" w:eastAsia="宋体" w:cs="宋体"/>
                <w:snapToGrid w:val="0"/>
                <w:color w:val="auto"/>
                <w:kern w:val="21"/>
                <w:sz w:val="21"/>
                <w:szCs w:val="21"/>
                <w:highlight w:val="none"/>
                <w:lang w:val="en-US" w:eastAsia="zh-CN" w:bidi="zh-CN"/>
              </w:rPr>
            </w:pPr>
            <w:r>
              <w:rPr>
                <w:rFonts w:hint="eastAsia" w:ascii="Times New Roman" w:hAnsi="宋体" w:eastAsia="宋体" w:cs="宋体"/>
                <w:color w:val="auto"/>
                <w:sz w:val="21"/>
                <w:highlight w:val="none"/>
                <w:lang w:val="en-US" w:eastAsia="zh-CN"/>
              </w:rPr>
              <w:t>0</w:t>
            </w:r>
          </w:p>
        </w:tc>
      </w:tr>
      <w:tr w14:paraId="1D6B0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271" w:type="dxa"/>
            <w:vMerge w:val="continue"/>
            <w:vAlign w:val="center"/>
          </w:tcPr>
          <w:p w14:paraId="3D0C8E4F">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vAlign w:val="center"/>
          </w:tcPr>
          <w:p w14:paraId="7B62809D">
            <w:pPr>
              <w:adjustRightInd w:val="0"/>
              <w:snapToGrid w:val="0"/>
              <w:jc w:val="center"/>
              <w:rPr>
                <w:rFonts w:hint="eastAsia" w:ascii="Times New Roman" w:hAnsi="Times New Roman" w:eastAsia="宋体" w:cs="Times New Roman"/>
                <w:color w:val="auto"/>
                <w:kern w:val="24"/>
                <w:sz w:val="21"/>
                <w:szCs w:val="21"/>
                <w:highlight w:val="none"/>
                <w:lang w:val="en-US" w:eastAsia="zh-CN" w:bidi="ar-SA"/>
              </w:rPr>
            </w:pPr>
            <w:r>
              <w:rPr>
                <w:rFonts w:hint="default" w:ascii="Times New Roman" w:hAnsi="Times New Roman" w:cs="Times New Roman"/>
                <w:color w:val="auto"/>
                <w:kern w:val="24"/>
                <w:szCs w:val="21"/>
                <w:highlight w:val="none"/>
              </w:rPr>
              <w:t>生活垃圾</w:t>
            </w:r>
          </w:p>
        </w:tc>
        <w:tc>
          <w:tcPr>
            <w:tcW w:w="1600" w:type="dxa"/>
            <w:vAlign w:val="center"/>
          </w:tcPr>
          <w:p w14:paraId="0D598C2B">
            <w:pPr>
              <w:pStyle w:val="62"/>
              <w:spacing w:before="48"/>
              <w:ind w:left="95" w:leftChars="0" w:right="87" w:rightChars="0"/>
              <w:jc w:val="center"/>
              <w:rPr>
                <w:rFonts w:hint="eastAsia" w:ascii="Times New Roman"/>
                <w:snapToGrid w:val="0"/>
                <w:color w:val="auto"/>
                <w:kern w:val="21"/>
                <w:sz w:val="21"/>
                <w:szCs w:val="21"/>
                <w:highlight w:val="none"/>
              </w:rPr>
            </w:pPr>
            <w:r>
              <w:rPr>
                <w:rFonts w:hint="eastAsia" w:ascii="Times New Roman" w:hAnsi="宋体" w:eastAsia="宋体" w:cs="宋体"/>
                <w:color w:val="auto"/>
                <w:sz w:val="21"/>
                <w:highlight w:val="none"/>
                <w:lang w:val="en-US" w:eastAsia="zh-CN"/>
              </w:rPr>
              <w:t>1.1</w:t>
            </w:r>
          </w:p>
        </w:tc>
        <w:tc>
          <w:tcPr>
            <w:tcW w:w="1711" w:type="dxa"/>
            <w:vAlign w:val="center"/>
          </w:tcPr>
          <w:p w14:paraId="115A2BB8">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eastAsia"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701" w:type="dxa"/>
            <w:vAlign w:val="center"/>
          </w:tcPr>
          <w:p w14:paraId="052DECED">
            <w:pPr>
              <w:pStyle w:val="51"/>
              <w:keepNext w:val="0"/>
              <w:keepLines w:val="0"/>
              <w:pageBreakBefore w:val="0"/>
              <w:kinsoku/>
              <w:wordWrap/>
              <w:overflowPunct/>
              <w:topLinePunct w:val="0"/>
              <w:autoSpaceDE/>
              <w:autoSpaceDN/>
              <w:bidi w:val="0"/>
              <w:spacing w:before="0" w:beforeLines="0" w:after="0" w:afterLines="0" w:line="240" w:lineRule="auto"/>
              <w:ind w:right="0" w:rightChars="0"/>
              <w:textAlignment w:val="auto"/>
              <w:rPr>
                <w:rFonts w:hint="eastAsia"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559" w:type="dxa"/>
            <w:vAlign w:val="center"/>
          </w:tcPr>
          <w:p w14:paraId="2B54D3FB">
            <w:pPr>
              <w:pStyle w:val="62"/>
              <w:spacing w:before="48"/>
              <w:ind w:left="95" w:leftChars="0" w:right="87" w:rightChars="0"/>
              <w:jc w:val="center"/>
              <w:rPr>
                <w:rFonts w:hint="default"/>
                <w:color w:val="auto"/>
                <w:kern w:val="24"/>
                <w:sz w:val="21"/>
                <w:szCs w:val="21"/>
                <w:highlight w:val="none"/>
                <w:lang w:val="en-US" w:eastAsia="zh-CN"/>
              </w:rPr>
            </w:pPr>
            <w:r>
              <w:rPr>
                <w:rFonts w:hint="eastAsia" w:ascii="Times New Roman" w:hAnsi="宋体" w:eastAsia="宋体" w:cs="宋体"/>
                <w:color w:val="auto"/>
                <w:sz w:val="21"/>
                <w:highlight w:val="none"/>
                <w:lang w:val="en-US" w:eastAsia="zh-CN"/>
              </w:rPr>
              <w:t>1.83</w:t>
            </w:r>
          </w:p>
        </w:tc>
        <w:tc>
          <w:tcPr>
            <w:tcW w:w="1761" w:type="dxa"/>
            <w:vAlign w:val="center"/>
          </w:tcPr>
          <w:p w14:paraId="6AAF3FE6">
            <w:pPr>
              <w:pStyle w:val="62"/>
              <w:spacing w:before="48"/>
              <w:ind w:left="95" w:leftChars="0" w:right="87" w:rightChars="0"/>
              <w:jc w:val="center"/>
              <w:rPr>
                <w:rFonts w:hint="default" w:ascii="Times New Roman"/>
                <w:snapToGrid w:val="0"/>
                <w:color w:val="auto"/>
                <w:kern w:val="21"/>
                <w:sz w:val="21"/>
                <w:szCs w:val="21"/>
                <w:highlight w:val="none"/>
                <w:lang w:val="en-US"/>
              </w:rPr>
            </w:pPr>
            <w:r>
              <w:rPr>
                <w:rFonts w:hint="eastAsia" w:ascii="Times New Roman" w:hAnsi="宋体" w:eastAsia="宋体" w:cs="宋体"/>
                <w:color w:val="auto"/>
                <w:sz w:val="21"/>
                <w:highlight w:val="none"/>
                <w:lang w:val="en-US" w:eastAsia="zh-CN"/>
              </w:rPr>
              <w:t>1.1</w:t>
            </w:r>
          </w:p>
        </w:tc>
        <w:tc>
          <w:tcPr>
            <w:tcW w:w="1742" w:type="dxa"/>
            <w:vAlign w:val="center"/>
          </w:tcPr>
          <w:p w14:paraId="6DBD2AE7">
            <w:pPr>
              <w:pStyle w:val="62"/>
              <w:spacing w:before="48"/>
              <w:ind w:left="95" w:leftChars="0" w:right="87" w:rightChars="0"/>
              <w:jc w:val="center"/>
              <w:rPr>
                <w:rFonts w:hint="default"/>
                <w:color w:val="auto"/>
                <w:kern w:val="24"/>
                <w:sz w:val="21"/>
                <w:szCs w:val="21"/>
                <w:highlight w:val="none"/>
                <w:lang w:val="en-US" w:eastAsia="zh-CN"/>
              </w:rPr>
            </w:pPr>
            <w:r>
              <w:rPr>
                <w:rFonts w:hint="eastAsia" w:ascii="Times New Roman" w:hAnsi="宋体" w:eastAsia="宋体" w:cs="宋体"/>
                <w:color w:val="auto"/>
                <w:sz w:val="21"/>
                <w:highlight w:val="none"/>
                <w:lang w:val="en-US" w:eastAsia="zh-CN"/>
              </w:rPr>
              <w:t>1.83</w:t>
            </w:r>
          </w:p>
        </w:tc>
        <w:tc>
          <w:tcPr>
            <w:tcW w:w="1043" w:type="dxa"/>
            <w:vAlign w:val="center"/>
          </w:tcPr>
          <w:p w14:paraId="386120D1">
            <w:pPr>
              <w:pStyle w:val="62"/>
              <w:spacing w:before="48"/>
              <w:ind w:left="95" w:leftChars="0" w:right="87" w:rightChars="0"/>
              <w:jc w:val="center"/>
              <w:rPr>
                <w:rFonts w:hint="default" w:ascii="Times New Roman"/>
                <w:snapToGrid w:val="0"/>
                <w:color w:val="auto"/>
                <w:kern w:val="21"/>
                <w:sz w:val="21"/>
                <w:szCs w:val="21"/>
                <w:highlight w:val="none"/>
                <w:lang w:val="en-US" w:eastAsia="zh-CN"/>
              </w:rPr>
            </w:pPr>
            <w:r>
              <w:rPr>
                <w:rFonts w:hint="eastAsia" w:ascii="Times New Roman" w:hAnsi="宋体" w:eastAsia="宋体" w:cs="宋体"/>
                <w:color w:val="auto"/>
                <w:sz w:val="21"/>
                <w:highlight w:val="none"/>
                <w:lang w:val="en-US" w:eastAsia="zh-CN"/>
              </w:rPr>
              <w:t>-0.73</w:t>
            </w:r>
          </w:p>
        </w:tc>
      </w:tr>
      <w:tr w14:paraId="63BD1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71" w:type="dxa"/>
            <w:vMerge w:val="restart"/>
            <w:vAlign w:val="center"/>
          </w:tcPr>
          <w:p w14:paraId="498DF4F8">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snapToGrid w:val="0"/>
                <w:color w:val="auto"/>
                <w:kern w:val="21"/>
                <w:sz w:val="21"/>
                <w:szCs w:val="21"/>
                <w:highlight w:val="none"/>
              </w:rPr>
            </w:pPr>
            <w:r>
              <w:rPr>
                <w:rFonts w:ascii="Times New Roman" w:hAnsi="宋体"/>
                <w:snapToGrid w:val="0"/>
                <w:color w:val="auto"/>
                <w:kern w:val="21"/>
                <w:sz w:val="21"/>
                <w:szCs w:val="21"/>
                <w:highlight w:val="none"/>
              </w:rPr>
              <w:t>危险废物</w:t>
            </w:r>
          </w:p>
        </w:tc>
        <w:tc>
          <w:tcPr>
            <w:tcW w:w="1400" w:type="dxa"/>
            <w:vAlign w:val="center"/>
          </w:tcPr>
          <w:p w14:paraId="1ECE7EC6">
            <w:pPr>
              <w:pStyle w:val="8"/>
              <w:keepNext w:val="0"/>
              <w:keepLines w:val="0"/>
              <w:pageBreakBefore w:val="0"/>
              <w:kinsoku/>
              <w:wordWrap/>
              <w:overflowPunct/>
              <w:topLinePunct w:val="0"/>
              <w:autoSpaceDE/>
              <w:autoSpaceDN/>
              <w:bidi w:val="0"/>
              <w:spacing w:line="240" w:lineRule="auto"/>
              <w:ind w:right="0" w:firstLine="0" w:firstLineChars="0"/>
              <w:jc w:val="center"/>
              <w:textAlignment w:val="auto"/>
              <w:rPr>
                <w:rFonts w:hint="eastAsia" w:ascii="Times New Roman" w:eastAsia="宋体"/>
                <w:snapToGrid w:val="0"/>
                <w:color w:val="auto"/>
                <w:kern w:val="21"/>
                <w:sz w:val="21"/>
                <w:szCs w:val="21"/>
                <w:highlight w:val="none"/>
                <w:lang w:eastAsia="zh-CN"/>
              </w:rPr>
            </w:pPr>
            <w:r>
              <w:rPr>
                <w:rFonts w:hint="eastAsia"/>
                <w:color w:val="auto"/>
                <w:kern w:val="24"/>
                <w:sz w:val="21"/>
                <w:szCs w:val="21"/>
                <w:highlight w:val="none"/>
                <w:lang w:val="en-US" w:eastAsia="zh-CN"/>
              </w:rPr>
              <w:t>固化渣</w:t>
            </w:r>
          </w:p>
        </w:tc>
        <w:tc>
          <w:tcPr>
            <w:tcW w:w="1600" w:type="dxa"/>
            <w:vAlign w:val="center"/>
          </w:tcPr>
          <w:p w14:paraId="3224EF92">
            <w:pPr>
              <w:pStyle w:val="62"/>
              <w:spacing w:before="48"/>
              <w:ind w:left="95" w:leftChars="0" w:right="87" w:rightChars="0"/>
              <w:jc w:val="center"/>
              <w:rPr>
                <w:rFonts w:hint="eastAsia" w:ascii="Times New Roman" w:eastAsia="宋体"/>
                <w:snapToGrid w:val="0"/>
                <w:color w:val="auto"/>
                <w:kern w:val="21"/>
                <w:sz w:val="21"/>
                <w:szCs w:val="21"/>
                <w:highlight w:val="none"/>
                <w:lang w:eastAsia="zh-CN"/>
              </w:rPr>
            </w:pPr>
            <w:r>
              <w:rPr>
                <w:rFonts w:hint="eastAsia" w:ascii="Times New Roman" w:hAnsi="宋体" w:eastAsia="宋体" w:cs="宋体"/>
                <w:color w:val="auto"/>
                <w:sz w:val="21"/>
                <w:highlight w:val="none"/>
                <w:lang w:val="en-US" w:eastAsia="zh-CN"/>
              </w:rPr>
              <w:t>0</w:t>
            </w:r>
          </w:p>
        </w:tc>
        <w:tc>
          <w:tcPr>
            <w:tcW w:w="1711" w:type="dxa"/>
            <w:vAlign w:val="center"/>
          </w:tcPr>
          <w:p w14:paraId="636EE2AF">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01" w:type="dxa"/>
            <w:vAlign w:val="center"/>
          </w:tcPr>
          <w:p w14:paraId="75F8385A">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9" w:type="dxa"/>
            <w:vAlign w:val="center"/>
          </w:tcPr>
          <w:p w14:paraId="465698DA">
            <w:pPr>
              <w:pStyle w:val="62"/>
              <w:spacing w:before="48"/>
              <w:ind w:left="95" w:leftChars="0" w:right="87" w:rightChars="0"/>
              <w:jc w:val="center"/>
              <w:rPr>
                <w:rFonts w:hint="default" w:ascii="Times New Roman" w:eastAsia="宋体"/>
                <w:snapToGrid w:val="0"/>
                <w:color w:val="auto"/>
                <w:kern w:val="21"/>
                <w:sz w:val="21"/>
                <w:szCs w:val="21"/>
                <w:highlight w:val="none"/>
                <w:lang w:val="en-US" w:eastAsia="zh-CN"/>
              </w:rPr>
            </w:pPr>
            <w:r>
              <w:rPr>
                <w:rFonts w:hint="eastAsia" w:ascii="Times New Roman" w:cs="宋体"/>
                <w:color w:val="auto"/>
                <w:sz w:val="21"/>
                <w:highlight w:val="none"/>
                <w:lang w:val="en-US" w:eastAsia="zh-CN"/>
              </w:rPr>
              <w:t>4562.5</w:t>
            </w:r>
          </w:p>
        </w:tc>
        <w:tc>
          <w:tcPr>
            <w:tcW w:w="1761" w:type="dxa"/>
            <w:vAlign w:val="center"/>
          </w:tcPr>
          <w:p w14:paraId="00FC5A23">
            <w:pPr>
              <w:pStyle w:val="62"/>
              <w:spacing w:before="48"/>
              <w:ind w:left="95" w:leftChars="0" w:right="87" w:rightChars="0"/>
              <w:jc w:val="center"/>
              <w:rPr>
                <w:rFonts w:ascii="Times New Roman"/>
                <w:snapToGrid w:val="0"/>
                <w:color w:val="auto"/>
                <w:kern w:val="21"/>
                <w:sz w:val="21"/>
                <w:szCs w:val="21"/>
                <w:highlight w:val="none"/>
              </w:rPr>
            </w:pPr>
            <w:r>
              <w:rPr>
                <w:rFonts w:hint="eastAsia" w:ascii="Times New Roman" w:hAnsi="宋体" w:eastAsia="宋体" w:cs="宋体"/>
                <w:color w:val="auto"/>
                <w:sz w:val="21"/>
                <w:highlight w:val="none"/>
                <w:lang w:val="en-US" w:eastAsia="zh-CN"/>
              </w:rPr>
              <w:t>0</w:t>
            </w:r>
          </w:p>
        </w:tc>
        <w:tc>
          <w:tcPr>
            <w:tcW w:w="1742" w:type="dxa"/>
            <w:vAlign w:val="center"/>
          </w:tcPr>
          <w:p w14:paraId="1211D304">
            <w:pPr>
              <w:pStyle w:val="62"/>
              <w:spacing w:before="48"/>
              <w:ind w:left="95" w:leftChars="0" w:right="87" w:rightChars="0"/>
              <w:jc w:val="center"/>
              <w:rPr>
                <w:rFonts w:hint="default" w:eastAsia="宋体"/>
                <w:color w:val="auto"/>
                <w:kern w:val="24"/>
                <w:sz w:val="21"/>
                <w:szCs w:val="21"/>
                <w:highlight w:val="none"/>
                <w:lang w:val="en-US" w:eastAsia="zh-CN"/>
              </w:rPr>
            </w:pPr>
            <w:r>
              <w:rPr>
                <w:rFonts w:hint="eastAsia" w:ascii="Times New Roman" w:cs="宋体"/>
                <w:color w:val="auto"/>
                <w:sz w:val="21"/>
                <w:highlight w:val="none"/>
                <w:lang w:val="en-US" w:eastAsia="zh-CN"/>
              </w:rPr>
              <w:t>4562.5</w:t>
            </w:r>
          </w:p>
        </w:tc>
        <w:tc>
          <w:tcPr>
            <w:tcW w:w="1043" w:type="dxa"/>
            <w:vAlign w:val="center"/>
          </w:tcPr>
          <w:p w14:paraId="79C79521">
            <w:pPr>
              <w:pStyle w:val="62"/>
              <w:spacing w:before="48"/>
              <w:ind w:left="95" w:leftChars="0" w:right="87" w:rightChars="0"/>
              <w:jc w:val="center"/>
              <w:rPr>
                <w:rFonts w:hint="default" w:ascii="Times New Roman" w:eastAsia="宋体"/>
                <w:snapToGrid w:val="0"/>
                <w:color w:val="auto"/>
                <w:kern w:val="21"/>
                <w:sz w:val="21"/>
                <w:szCs w:val="21"/>
                <w:highlight w:val="none"/>
                <w:lang w:val="en-US" w:eastAsia="zh-CN"/>
              </w:rPr>
            </w:pPr>
            <w:r>
              <w:rPr>
                <w:rFonts w:hint="eastAsia" w:ascii="Times New Roman" w:hAnsi="宋体" w:eastAsia="宋体" w:cs="宋体"/>
                <w:color w:val="auto"/>
                <w:sz w:val="21"/>
                <w:highlight w:val="none"/>
                <w:lang w:val="en-US" w:eastAsia="zh-CN"/>
              </w:rPr>
              <w:t>+</w:t>
            </w:r>
            <w:r>
              <w:rPr>
                <w:rFonts w:hint="eastAsia" w:ascii="Times New Roman" w:cs="宋体"/>
                <w:color w:val="auto"/>
                <w:sz w:val="21"/>
                <w:highlight w:val="none"/>
                <w:lang w:val="en-US" w:eastAsia="zh-CN"/>
              </w:rPr>
              <w:t>4562.5</w:t>
            </w:r>
          </w:p>
        </w:tc>
      </w:tr>
      <w:tr w14:paraId="016FC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71" w:type="dxa"/>
            <w:vMerge w:val="continue"/>
            <w:vAlign w:val="center"/>
          </w:tcPr>
          <w:p w14:paraId="11A5D66B">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ascii="Times New Roman" w:hAnsi="宋体"/>
                <w:snapToGrid w:val="0"/>
                <w:color w:val="auto"/>
                <w:kern w:val="21"/>
                <w:sz w:val="21"/>
                <w:szCs w:val="21"/>
                <w:highlight w:val="none"/>
              </w:rPr>
            </w:pPr>
          </w:p>
        </w:tc>
        <w:tc>
          <w:tcPr>
            <w:tcW w:w="1400" w:type="dxa"/>
            <w:vAlign w:val="center"/>
          </w:tcPr>
          <w:p w14:paraId="59EDB4E9">
            <w:pPr>
              <w:pStyle w:val="8"/>
              <w:keepNext w:val="0"/>
              <w:keepLines w:val="0"/>
              <w:pageBreakBefore w:val="0"/>
              <w:kinsoku/>
              <w:wordWrap/>
              <w:overflowPunct/>
              <w:topLinePunct w:val="0"/>
              <w:autoSpaceDE/>
              <w:autoSpaceDN/>
              <w:bidi w:val="0"/>
              <w:spacing w:line="240" w:lineRule="auto"/>
              <w:ind w:right="0" w:firstLine="0" w:firstLineChars="0"/>
              <w:jc w:val="center"/>
              <w:textAlignment w:val="auto"/>
              <w:rPr>
                <w:rFonts w:hint="default"/>
                <w:color w:val="auto"/>
                <w:kern w:val="24"/>
                <w:sz w:val="21"/>
                <w:szCs w:val="21"/>
                <w:highlight w:val="none"/>
                <w:lang w:val="en-US" w:eastAsia="zh-CN"/>
              </w:rPr>
            </w:pPr>
            <w:r>
              <w:rPr>
                <w:rFonts w:hint="eastAsia"/>
                <w:color w:val="auto"/>
                <w:kern w:val="24"/>
                <w:sz w:val="21"/>
                <w:szCs w:val="21"/>
                <w:highlight w:val="none"/>
                <w:lang w:val="en-US" w:eastAsia="zh-CN"/>
              </w:rPr>
              <w:t>在线监测废液</w:t>
            </w:r>
          </w:p>
        </w:tc>
        <w:tc>
          <w:tcPr>
            <w:tcW w:w="1600" w:type="dxa"/>
            <w:vAlign w:val="center"/>
          </w:tcPr>
          <w:p w14:paraId="54A90FF2">
            <w:pPr>
              <w:pStyle w:val="62"/>
              <w:spacing w:before="48"/>
              <w:ind w:left="95" w:leftChars="0" w:right="87" w:rightChars="0"/>
              <w:jc w:val="center"/>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w:t>
            </w:r>
          </w:p>
        </w:tc>
        <w:tc>
          <w:tcPr>
            <w:tcW w:w="1711" w:type="dxa"/>
            <w:vAlign w:val="center"/>
          </w:tcPr>
          <w:p w14:paraId="3B110F92">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701" w:type="dxa"/>
            <w:vAlign w:val="center"/>
          </w:tcPr>
          <w:p w14:paraId="0194FC45">
            <w:pPr>
              <w:pStyle w:val="51"/>
              <w:keepNext w:val="0"/>
              <w:keepLines w:val="0"/>
              <w:pageBreakBefore w:val="0"/>
              <w:kinsoku/>
              <w:wordWrap/>
              <w:overflowPunct/>
              <w:topLinePunct w:val="0"/>
              <w:autoSpaceDE/>
              <w:autoSpaceDN/>
              <w:bidi w:val="0"/>
              <w:spacing w:before="0" w:beforeLines="0" w:after="0" w:afterLines="0" w:line="240" w:lineRule="auto"/>
              <w:ind w:right="0"/>
              <w:textAlignment w:val="auto"/>
              <w:rPr>
                <w:rFonts w:hint="eastAsia"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559" w:type="dxa"/>
            <w:vAlign w:val="center"/>
          </w:tcPr>
          <w:p w14:paraId="23E556FF">
            <w:pPr>
              <w:pStyle w:val="62"/>
              <w:spacing w:before="48"/>
              <w:ind w:left="95" w:leftChars="0" w:right="87" w:rightChars="0"/>
              <w:jc w:val="center"/>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0.05</w:t>
            </w:r>
          </w:p>
        </w:tc>
        <w:tc>
          <w:tcPr>
            <w:tcW w:w="1761" w:type="dxa"/>
            <w:vAlign w:val="center"/>
          </w:tcPr>
          <w:p w14:paraId="334329B1">
            <w:pPr>
              <w:pStyle w:val="62"/>
              <w:spacing w:before="48"/>
              <w:ind w:left="95" w:leftChars="0" w:right="87" w:rightChars="0"/>
              <w:jc w:val="center"/>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w:t>
            </w:r>
          </w:p>
        </w:tc>
        <w:tc>
          <w:tcPr>
            <w:tcW w:w="1742" w:type="dxa"/>
            <w:vAlign w:val="center"/>
          </w:tcPr>
          <w:p w14:paraId="4BB0CD7E">
            <w:pPr>
              <w:pStyle w:val="62"/>
              <w:spacing w:before="48"/>
              <w:ind w:left="95" w:leftChars="0" w:right="87" w:rightChars="0"/>
              <w:jc w:val="center"/>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0.05</w:t>
            </w:r>
          </w:p>
        </w:tc>
        <w:tc>
          <w:tcPr>
            <w:tcW w:w="1043" w:type="dxa"/>
            <w:vAlign w:val="center"/>
          </w:tcPr>
          <w:p w14:paraId="2F8A6A22">
            <w:pPr>
              <w:pStyle w:val="62"/>
              <w:spacing w:before="48"/>
              <w:ind w:left="95" w:leftChars="0" w:right="87" w:rightChars="0"/>
              <w:jc w:val="center"/>
              <w:rPr>
                <w:rFonts w:hint="default" w:ascii="Times New Roman" w:hAnsi="宋体" w:eastAsia="宋体" w:cs="宋体"/>
                <w:color w:val="auto"/>
                <w:sz w:val="21"/>
                <w:highlight w:val="none"/>
                <w:lang w:val="en-US" w:eastAsia="zh-CN"/>
              </w:rPr>
            </w:pPr>
            <w:r>
              <w:rPr>
                <w:rFonts w:hint="eastAsia" w:ascii="Times New Roman" w:cs="宋体"/>
                <w:color w:val="auto"/>
                <w:sz w:val="21"/>
                <w:highlight w:val="none"/>
                <w:lang w:val="en-US" w:eastAsia="zh-CN"/>
              </w:rPr>
              <w:t>+0.05</w:t>
            </w:r>
          </w:p>
        </w:tc>
      </w:tr>
    </w:tbl>
    <w:p w14:paraId="71AAFD63">
      <w:pPr>
        <w:pStyle w:val="51"/>
        <w:keepNext w:val="0"/>
        <w:keepLines w:val="0"/>
        <w:pageBreakBefore w:val="0"/>
        <w:widowControl w:val="0"/>
        <w:kinsoku/>
        <w:wordWrap/>
        <w:overflowPunct/>
        <w:topLinePunct w:val="0"/>
        <w:autoSpaceDE/>
        <w:autoSpaceDN/>
        <w:bidi w:val="0"/>
        <w:adjustRightInd w:val="0"/>
        <w:snapToGrid w:val="0"/>
        <w:spacing w:beforeLines="80" w:after="24" w:line="260" w:lineRule="auto"/>
        <w:jc w:val="left"/>
        <w:textAlignment w:val="auto"/>
        <w:outlineLvl w:val="9"/>
        <w:rPr>
          <w:rFonts w:hint="eastAsia" w:eastAsia="宋体"/>
          <w:color w:val="auto"/>
          <w:highlight w:val="none"/>
          <w:lang w:eastAsia="zh-CN"/>
        </w:rPr>
      </w:pPr>
      <w:r>
        <w:rPr>
          <w:rFonts w:ascii="Times New Roman" w:hAnsi="宋体"/>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hAnsi="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hAnsi="宋体"/>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ascii="Times New Roman" w:hAnsi="宋体"/>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ascii="Times New Roman" w:hAnsi="宋体"/>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ascii="Times New Roman" w:hAnsi="宋体"/>
          <w:color w:val="auto"/>
          <w:szCs w:val="21"/>
          <w:highlight w:val="none"/>
        </w:rPr>
        <w:t>⑤</w:t>
      </w:r>
      <w:r>
        <w:rPr>
          <w:rFonts w:ascii="Times New Roman"/>
          <w:snapToGrid w:val="0"/>
          <w:color w:val="auto"/>
          <w:spacing w:val="-16"/>
          <w:kern w:val="21"/>
          <w:szCs w:val="21"/>
          <w:highlight w:val="none"/>
        </w:rPr>
        <w:fldChar w:fldCharType="end"/>
      </w:r>
      <w:r>
        <w:rPr>
          <w:rFonts w:ascii="Times New Roman" w:hAnsi="宋体"/>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ascii="Times New Roman" w:hAnsi="宋体"/>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hAnsi="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hAnsi="宋体"/>
          <w:color w:val="auto"/>
          <w:szCs w:val="21"/>
          <w:highlight w:val="none"/>
        </w:rPr>
        <w:t>①</w:t>
      </w:r>
      <w:r>
        <w:rPr>
          <w:rFonts w:ascii="Times New Roman"/>
          <w:snapToGrid w:val="0"/>
          <w:color w:val="auto"/>
          <w:spacing w:val="-6"/>
          <w:kern w:val="21"/>
          <w:szCs w:val="21"/>
          <w:highlight w:val="none"/>
        </w:rPr>
        <w:fldChar w:fldCharType="end"/>
      </w:r>
      <w:r>
        <w:rPr>
          <w:rFonts w:hint="eastAsia" w:ascii="Times New Roman"/>
          <w:snapToGrid w:val="0"/>
          <w:color w:val="auto"/>
          <w:spacing w:val="-6"/>
          <w:kern w:val="21"/>
          <w:szCs w:val="21"/>
          <w:highlight w:val="none"/>
        </w:rPr>
        <w:t>；单位：t/a</w:t>
      </w:r>
      <w:r>
        <w:rPr>
          <w:rFonts w:hint="eastAsia" w:ascii="Times New Roman"/>
          <w:snapToGrid w:val="0"/>
          <w:color w:val="auto"/>
          <w:spacing w:val="-6"/>
          <w:kern w:val="21"/>
          <w:szCs w:val="21"/>
          <w:highlight w:val="none"/>
          <w:lang w:eastAsia="zh-CN"/>
        </w:rPr>
        <w:t>。</w:t>
      </w:r>
    </w:p>
    <w:sectPr>
      <w:footerReference r:id="rId5" w:type="default"/>
      <w:pgSz w:w="16838" w:h="11906" w:orient="landscape"/>
      <w:pgMar w:top="1417" w:right="1701" w:bottom="1417"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D5A01">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4919F">
    <w:pPr>
      <w:pStyle w:val="19"/>
      <w:framePr w:wrap="around" w:vAnchor="text" w:hAnchor="margin" w:xAlign="outside" w:y="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36</w:t>
    </w:r>
    <w:r>
      <w:rPr>
        <w:rStyle w:val="34"/>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p w14:paraId="1783AB63">
    <w:pPr>
      <w:pStyle w:val="1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6C067">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E985DC"/>
    <w:multiLevelType w:val="singleLevel"/>
    <w:tmpl w:val="A6E985DC"/>
    <w:lvl w:ilvl="0" w:tentative="0">
      <w:start w:val="2"/>
      <w:numFmt w:val="chineseCounting"/>
      <w:suff w:val="nothing"/>
      <w:lvlText w:val="%1、"/>
      <w:lvlJc w:val="left"/>
      <w:rPr>
        <w:rFonts w:hint="eastAsia"/>
      </w:rPr>
    </w:lvl>
  </w:abstractNum>
  <w:abstractNum w:abstractNumId="1">
    <w:nsid w:val="AEDCCE5F"/>
    <w:multiLevelType w:val="singleLevel"/>
    <w:tmpl w:val="AEDCCE5F"/>
    <w:lvl w:ilvl="0" w:tentative="0">
      <w:start w:val="1"/>
      <w:numFmt w:val="decimal"/>
      <w:suff w:val="nothing"/>
      <w:lvlText w:val="%1、"/>
      <w:lvlJc w:val="left"/>
    </w:lvl>
  </w:abstractNum>
  <w:abstractNum w:abstractNumId="2">
    <w:nsid w:val="43055B53"/>
    <w:multiLevelType w:val="singleLevel"/>
    <w:tmpl w:val="43055B53"/>
    <w:lvl w:ilvl="0" w:tentative="0">
      <w:start w:val="2"/>
      <w:numFmt w:val="decimal"/>
      <w:suff w:val="nothing"/>
      <w:lvlText w:val="（%1）"/>
      <w:lvlJc w:val="left"/>
    </w:lvl>
  </w:abstractNum>
  <w:abstractNum w:abstractNumId="3">
    <w:nsid w:val="53BBA7D0"/>
    <w:multiLevelType w:val="multilevel"/>
    <w:tmpl w:val="53BBA7D0"/>
    <w:lvl w:ilvl="0" w:tentative="0">
      <w:start w:val="1"/>
      <w:numFmt w:val="decimal"/>
      <w:isLgl/>
      <w:suff w:val="nothing"/>
      <w:lvlText w:val="表%1-"/>
      <w:lvlJc w:val="left"/>
      <w:pPr>
        <w:tabs>
          <w:tab w:val="left" w:pos="420"/>
        </w:tabs>
        <w:ind w:left="0" w:firstLine="0"/>
      </w:pPr>
      <w:rPr>
        <w:rFonts w:hint="default" w:ascii="宋体" w:hAnsi="宋体" w:eastAsia="宋体" w:cs="宋体"/>
        <w:b/>
        <w:bCs/>
        <w:sz w:val="21"/>
        <w:szCs w:val="21"/>
      </w:rPr>
    </w:lvl>
    <w:lvl w:ilvl="1" w:tentative="0">
      <w:start w:val="1"/>
      <w:numFmt w:val="none"/>
      <w:suff w:val="nothing"/>
      <w:lvlText w:val=""/>
      <w:lvlJc w:val="left"/>
      <w:pPr>
        <w:tabs>
          <w:tab w:val="left" w:pos="420"/>
        </w:tabs>
        <w:ind w:left="0" w:firstLine="0"/>
      </w:pPr>
      <w:rPr>
        <w:rFonts w:hint="default" w:ascii="宋体" w:hAnsi="宋体" w:eastAsia="宋体" w:cs="宋体"/>
        <w:b/>
        <w:bCs/>
        <w:sz w:val="32"/>
        <w:szCs w:val="32"/>
      </w:rPr>
    </w:lvl>
    <w:lvl w:ilvl="2" w:tentative="0">
      <w:start w:val="1"/>
      <w:numFmt w:val="none"/>
      <w:suff w:val="nothing"/>
      <w:lvlText w:val="%3"/>
      <w:lvlJc w:val="left"/>
      <w:pPr>
        <w:tabs>
          <w:tab w:val="left" w:pos="420"/>
        </w:tabs>
        <w:ind w:left="0" w:firstLine="0"/>
      </w:pPr>
      <w:rPr>
        <w:rFonts w:hint="default" w:ascii="宋体" w:hAnsi="宋体" w:eastAsia="宋体" w:cs="宋体"/>
        <w:b/>
        <w:bCs/>
        <w:sz w:val="28"/>
        <w:szCs w:val="28"/>
      </w:rPr>
    </w:lvl>
    <w:lvl w:ilvl="3" w:tentative="0">
      <w:start w:val="1"/>
      <w:numFmt w:val="decimal"/>
      <w:lvlRestart w:val="1"/>
      <w:pStyle w:val="111"/>
      <w:suff w:val="space"/>
      <w:lvlText w:val="表%4"/>
      <w:lvlJc w:val="center"/>
      <w:pPr>
        <w:tabs>
          <w:tab w:val="left" w:pos="0"/>
        </w:tabs>
        <w:ind w:left="61" w:hanging="61"/>
      </w:pPr>
      <w:rPr>
        <w:rFonts w:hint="default" w:ascii="宋体" w:hAnsi="宋体" w:eastAsia="宋体" w:cs="宋体"/>
        <w:b/>
        <w:bCs/>
        <w:sz w:val="21"/>
        <w:szCs w:val="21"/>
      </w:rPr>
    </w:lvl>
    <w:lvl w:ilvl="4" w:tentative="0">
      <w:start w:val="1"/>
      <w:numFmt w:val="none"/>
      <w:lvlRestart w:val="2"/>
      <w:suff w:val="nothing"/>
      <w:lvlText w:val=""/>
      <w:lvlJc w:val="left"/>
      <w:pPr>
        <w:tabs>
          <w:tab w:val="left" w:pos="420"/>
        </w:tabs>
        <w:ind w:left="0" w:firstLine="0"/>
      </w:pPr>
      <w:rPr>
        <w:rFonts w:hint="default" w:ascii="宋体" w:hAnsi="宋体" w:eastAsia="宋体" w:cs="宋体"/>
      </w:rPr>
    </w:lvl>
    <w:lvl w:ilvl="5" w:tentative="0">
      <w:start w:val="1"/>
      <w:numFmt w:val="none"/>
      <w:lvlText w:val=""/>
      <w:lvlJc w:val="left"/>
      <w:pPr>
        <w:tabs>
          <w:tab w:val="left" w:pos="420"/>
        </w:tabs>
        <w:ind w:left="1134" w:hanging="1134"/>
      </w:pPr>
      <w:rPr>
        <w:rFonts w:hint="default" w:ascii="宋体" w:hAnsi="宋体" w:eastAsia="宋体" w:cs="宋体"/>
      </w:rPr>
    </w:lvl>
    <w:lvl w:ilvl="6" w:tentative="0">
      <w:start w:val="1"/>
      <w:numFmt w:val="none"/>
      <w:lvlText w:val=""/>
      <w:lvlJc w:val="left"/>
      <w:pPr>
        <w:ind w:left="1275" w:hanging="1275"/>
      </w:pPr>
      <w:rPr>
        <w:rFonts w:hint="default" w:ascii="宋体" w:hAnsi="宋体" w:eastAsia="宋体" w:cs="宋体"/>
      </w:rPr>
    </w:lvl>
    <w:lvl w:ilvl="7" w:tentative="0">
      <w:start w:val="1"/>
      <w:numFmt w:val="none"/>
      <w:lvlText w:val=""/>
      <w:lvlJc w:val="left"/>
      <w:pPr>
        <w:ind w:left="1418" w:hanging="1418"/>
      </w:pPr>
      <w:rPr>
        <w:rFonts w:hint="default" w:ascii="宋体" w:hAnsi="宋体" w:eastAsia="宋体" w:cs="宋体"/>
      </w:rPr>
    </w:lvl>
    <w:lvl w:ilvl="8" w:tentative="0">
      <w:start w:val="1"/>
      <w:numFmt w:val="none"/>
      <w:lvlText w:val=""/>
      <w:lvlJc w:val="left"/>
      <w:pPr>
        <w:tabs>
          <w:tab w:val="left" w:pos="420"/>
        </w:tabs>
        <w:ind w:left="1558" w:hanging="1558"/>
      </w:pPr>
      <w:rPr>
        <w:rFonts w:hint="default" w:ascii="宋体" w:hAnsi="宋体" w:eastAsia="宋体" w:cs="宋体"/>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MjNlZGJmZmI2ZjljMzQ3ZWIzYzZjMGRiYWM4NjQifQ=="/>
  </w:docVars>
  <w:rsids>
    <w:rsidRoot w:val="00172A27"/>
    <w:rsid w:val="00000547"/>
    <w:rsid w:val="000048FD"/>
    <w:rsid w:val="00004FA0"/>
    <w:rsid w:val="000060B3"/>
    <w:rsid w:val="00007C57"/>
    <w:rsid w:val="0001182C"/>
    <w:rsid w:val="000121D8"/>
    <w:rsid w:val="00023D07"/>
    <w:rsid w:val="000247D9"/>
    <w:rsid w:val="00024B03"/>
    <w:rsid w:val="00031FF6"/>
    <w:rsid w:val="00037826"/>
    <w:rsid w:val="000428EF"/>
    <w:rsid w:val="0004364B"/>
    <w:rsid w:val="00043B60"/>
    <w:rsid w:val="00045CBA"/>
    <w:rsid w:val="00046203"/>
    <w:rsid w:val="00047789"/>
    <w:rsid w:val="000503B5"/>
    <w:rsid w:val="00051233"/>
    <w:rsid w:val="00051D3B"/>
    <w:rsid w:val="00053804"/>
    <w:rsid w:val="00061B1F"/>
    <w:rsid w:val="00067737"/>
    <w:rsid w:val="000733C4"/>
    <w:rsid w:val="000742B6"/>
    <w:rsid w:val="00074783"/>
    <w:rsid w:val="000779EB"/>
    <w:rsid w:val="00080518"/>
    <w:rsid w:val="000806C4"/>
    <w:rsid w:val="0008070B"/>
    <w:rsid w:val="00081047"/>
    <w:rsid w:val="000810AC"/>
    <w:rsid w:val="00081A02"/>
    <w:rsid w:val="00082231"/>
    <w:rsid w:val="00085BD1"/>
    <w:rsid w:val="00085C0D"/>
    <w:rsid w:val="0008685C"/>
    <w:rsid w:val="00092971"/>
    <w:rsid w:val="00092D38"/>
    <w:rsid w:val="0009377B"/>
    <w:rsid w:val="00093EF9"/>
    <w:rsid w:val="00095CB1"/>
    <w:rsid w:val="000A20C9"/>
    <w:rsid w:val="000A3B18"/>
    <w:rsid w:val="000A7065"/>
    <w:rsid w:val="000A7EAD"/>
    <w:rsid w:val="000B058F"/>
    <w:rsid w:val="000B09BA"/>
    <w:rsid w:val="000B388B"/>
    <w:rsid w:val="000B4467"/>
    <w:rsid w:val="000B4DB9"/>
    <w:rsid w:val="000B594C"/>
    <w:rsid w:val="000B5A26"/>
    <w:rsid w:val="000C09AC"/>
    <w:rsid w:val="000C0D71"/>
    <w:rsid w:val="000C0FC5"/>
    <w:rsid w:val="000C40AE"/>
    <w:rsid w:val="000C4CF5"/>
    <w:rsid w:val="000C767F"/>
    <w:rsid w:val="000D10E3"/>
    <w:rsid w:val="000D30A1"/>
    <w:rsid w:val="000D4DEB"/>
    <w:rsid w:val="000D5A44"/>
    <w:rsid w:val="000D609E"/>
    <w:rsid w:val="000D6143"/>
    <w:rsid w:val="000D76E8"/>
    <w:rsid w:val="000D7D0C"/>
    <w:rsid w:val="000E26FC"/>
    <w:rsid w:val="000E31A7"/>
    <w:rsid w:val="000E3CAA"/>
    <w:rsid w:val="000E3ED2"/>
    <w:rsid w:val="000E4D5D"/>
    <w:rsid w:val="000F2261"/>
    <w:rsid w:val="000F3E5F"/>
    <w:rsid w:val="000F492D"/>
    <w:rsid w:val="000F4BEA"/>
    <w:rsid w:val="000F6E69"/>
    <w:rsid w:val="0010001E"/>
    <w:rsid w:val="00106D66"/>
    <w:rsid w:val="00115500"/>
    <w:rsid w:val="00125CA6"/>
    <w:rsid w:val="00127CB3"/>
    <w:rsid w:val="0013036A"/>
    <w:rsid w:val="00131F42"/>
    <w:rsid w:val="001357F1"/>
    <w:rsid w:val="00136B6A"/>
    <w:rsid w:val="001370CC"/>
    <w:rsid w:val="0013744C"/>
    <w:rsid w:val="00140992"/>
    <w:rsid w:val="00140FA8"/>
    <w:rsid w:val="0014281E"/>
    <w:rsid w:val="00142B61"/>
    <w:rsid w:val="00142FEB"/>
    <w:rsid w:val="00143218"/>
    <w:rsid w:val="00143A2D"/>
    <w:rsid w:val="00145A41"/>
    <w:rsid w:val="00151675"/>
    <w:rsid w:val="00153E03"/>
    <w:rsid w:val="00157435"/>
    <w:rsid w:val="00161605"/>
    <w:rsid w:val="00164F72"/>
    <w:rsid w:val="00167163"/>
    <w:rsid w:val="00171A5E"/>
    <w:rsid w:val="00173982"/>
    <w:rsid w:val="00173A49"/>
    <w:rsid w:val="0017504D"/>
    <w:rsid w:val="0017671A"/>
    <w:rsid w:val="00177422"/>
    <w:rsid w:val="001803DE"/>
    <w:rsid w:val="00184590"/>
    <w:rsid w:val="001870D1"/>
    <w:rsid w:val="0018781E"/>
    <w:rsid w:val="00187E5D"/>
    <w:rsid w:val="00187F07"/>
    <w:rsid w:val="00191607"/>
    <w:rsid w:val="001921CE"/>
    <w:rsid w:val="0019262D"/>
    <w:rsid w:val="001A1B35"/>
    <w:rsid w:val="001A48A2"/>
    <w:rsid w:val="001A65F1"/>
    <w:rsid w:val="001A6F61"/>
    <w:rsid w:val="001A7010"/>
    <w:rsid w:val="001A79AB"/>
    <w:rsid w:val="001B2DE2"/>
    <w:rsid w:val="001B3954"/>
    <w:rsid w:val="001B517B"/>
    <w:rsid w:val="001B72B8"/>
    <w:rsid w:val="001C0566"/>
    <w:rsid w:val="001C27A8"/>
    <w:rsid w:val="001C3322"/>
    <w:rsid w:val="001C5D36"/>
    <w:rsid w:val="001C6026"/>
    <w:rsid w:val="001C69B3"/>
    <w:rsid w:val="001C6B17"/>
    <w:rsid w:val="001D0816"/>
    <w:rsid w:val="001D0E11"/>
    <w:rsid w:val="001D15A0"/>
    <w:rsid w:val="001D232D"/>
    <w:rsid w:val="001D35FF"/>
    <w:rsid w:val="001D3AD4"/>
    <w:rsid w:val="001D5595"/>
    <w:rsid w:val="001D7874"/>
    <w:rsid w:val="001D7F22"/>
    <w:rsid w:val="001E141A"/>
    <w:rsid w:val="001E2048"/>
    <w:rsid w:val="001E3E66"/>
    <w:rsid w:val="001F0F17"/>
    <w:rsid w:val="001F3347"/>
    <w:rsid w:val="001F422C"/>
    <w:rsid w:val="001F635D"/>
    <w:rsid w:val="001F69E4"/>
    <w:rsid w:val="001F6C1C"/>
    <w:rsid w:val="00202258"/>
    <w:rsid w:val="00210030"/>
    <w:rsid w:val="002120D3"/>
    <w:rsid w:val="002125B4"/>
    <w:rsid w:val="002150AB"/>
    <w:rsid w:val="002155B8"/>
    <w:rsid w:val="00224839"/>
    <w:rsid w:val="002249B2"/>
    <w:rsid w:val="00226574"/>
    <w:rsid w:val="00226D01"/>
    <w:rsid w:val="0022704F"/>
    <w:rsid w:val="002278EC"/>
    <w:rsid w:val="0023280E"/>
    <w:rsid w:val="002332E7"/>
    <w:rsid w:val="00234140"/>
    <w:rsid w:val="002377D1"/>
    <w:rsid w:val="002418CD"/>
    <w:rsid w:val="00241B28"/>
    <w:rsid w:val="00245BE0"/>
    <w:rsid w:val="00245D91"/>
    <w:rsid w:val="00245F3E"/>
    <w:rsid w:val="002506BC"/>
    <w:rsid w:val="00254345"/>
    <w:rsid w:val="00257229"/>
    <w:rsid w:val="00260E27"/>
    <w:rsid w:val="00264557"/>
    <w:rsid w:val="00264E69"/>
    <w:rsid w:val="002657FE"/>
    <w:rsid w:val="00266C44"/>
    <w:rsid w:val="00274BA4"/>
    <w:rsid w:val="002805AB"/>
    <w:rsid w:val="00284204"/>
    <w:rsid w:val="00286781"/>
    <w:rsid w:val="00291481"/>
    <w:rsid w:val="00291773"/>
    <w:rsid w:val="00293AFE"/>
    <w:rsid w:val="00294D12"/>
    <w:rsid w:val="002A0DAF"/>
    <w:rsid w:val="002A168C"/>
    <w:rsid w:val="002A1954"/>
    <w:rsid w:val="002A3DC7"/>
    <w:rsid w:val="002A40B8"/>
    <w:rsid w:val="002A4F9B"/>
    <w:rsid w:val="002B1F97"/>
    <w:rsid w:val="002B21F6"/>
    <w:rsid w:val="002B49E2"/>
    <w:rsid w:val="002B51C3"/>
    <w:rsid w:val="002B7B00"/>
    <w:rsid w:val="002B7C44"/>
    <w:rsid w:val="002C2B17"/>
    <w:rsid w:val="002D3DD0"/>
    <w:rsid w:val="002D456C"/>
    <w:rsid w:val="002D5D23"/>
    <w:rsid w:val="002D72A8"/>
    <w:rsid w:val="002D7841"/>
    <w:rsid w:val="002E1F3A"/>
    <w:rsid w:val="002E232D"/>
    <w:rsid w:val="002E298A"/>
    <w:rsid w:val="002E2E00"/>
    <w:rsid w:val="002F2731"/>
    <w:rsid w:val="002F5F1D"/>
    <w:rsid w:val="00301978"/>
    <w:rsid w:val="0030332C"/>
    <w:rsid w:val="00303A0E"/>
    <w:rsid w:val="00304D66"/>
    <w:rsid w:val="003051C2"/>
    <w:rsid w:val="00312296"/>
    <w:rsid w:val="00314B5F"/>
    <w:rsid w:val="00314F0E"/>
    <w:rsid w:val="003165F8"/>
    <w:rsid w:val="00321D8E"/>
    <w:rsid w:val="0032287D"/>
    <w:rsid w:val="00325928"/>
    <w:rsid w:val="00330086"/>
    <w:rsid w:val="00332863"/>
    <w:rsid w:val="00335B04"/>
    <w:rsid w:val="0033684D"/>
    <w:rsid w:val="00336F85"/>
    <w:rsid w:val="00337B42"/>
    <w:rsid w:val="00341025"/>
    <w:rsid w:val="00341B42"/>
    <w:rsid w:val="0034348F"/>
    <w:rsid w:val="00345510"/>
    <w:rsid w:val="00354A45"/>
    <w:rsid w:val="00354A6F"/>
    <w:rsid w:val="00356653"/>
    <w:rsid w:val="0035743F"/>
    <w:rsid w:val="00357BE2"/>
    <w:rsid w:val="0036170C"/>
    <w:rsid w:val="00362B6F"/>
    <w:rsid w:val="00366E0F"/>
    <w:rsid w:val="003723BD"/>
    <w:rsid w:val="0037431A"/>
    <w:rsid w:val="00381A72"/>
    <w:rsid w:val="003845CC"/>
    <w:rsid w:val="00384676"/>
    <w:rsid w:val="00390095"/>
    <w:rsid w:val="00390857"/>
    <w:rsid w:val="00396E45"/>
    <w:rsid w:val="003978D9"/>
    <w:rsid w:val="003A1A46"/>
    <w:rsid w:val="003A4BF3"/>
    <w:rsid w:val="003A5423"/>
    <w:rsid w:val="003A6C5C"/>
    <w:rsid w:val="003B1E5B"/>
    <w:rsid w:val="003B357C"/>
    <w:rsid w:val="003B420D"/>
    <w:rsid w:val="003B4355"/>
    <w:rsid w:val="003B6A2A"/>
    <w:rsid w:val="003B716D"/>
    <w:rsid w:val="003B764E"/>
    <w:rsid w:val="003C2A32"/>
    <w:rsid w:val="003C33FA"/>
    <w:rsid w:val="003C5000"/>
    <w:rsid w:val="003C6644"/>
    <w:rsid w:val="003C6C16"/>
    <w:rsid w:val="003C7136"/>
    <w:rsid w:val="003D1D95"/>
    <w:rsid w:val="003D2685"/>
    <w:rsid w:val="003D64F1"/>
    <w:rsid w:val="003D697E"/>
    <w:rsid w:val="003D7177"/>
    <w:rsid w:val="003D794D"/>
    <w:rsid w:val="003E3058"/>
    <w:rsid w:val="003E4EB5"/>
    <w:rsid w:val="003E5CD7"/>
    <w:rsid w:val="003E76A9"/>
    <w:rsid w:val="003F0809"/>
    <w:rsid w:val="003F6A8C"/>
    <w:rsid w:val="003F6F1B"/>
    <w:rsid w:val="003F7445"/>
    <w:rsid w:val="003F755C"/>
    <w:rsid w:val="003F7B9C"/>
    <w:rsid w:val="004042B1"/>
    <w:rsid w:val="004063F0"/>
    <w:rsid w:val="00406F01"/>
    <w:rsid w:val="004137B6"/>
    <w:rsid w:val="00415805"/>
    <w:rsid w:val="00416A27"/>
    <w:rsid w:val="00416D50"/>
    <w:rsid w:val="00416FD5"/>
    <w:rsid w:val="00417772"/>
    <w:rsid w:val="00420E6A"/>
    <w:rsid w:val="00420FDC"/>
    <w:rsid w:val="0042198A"/>
    <w:rsid w:val="00421A72"/>
    <w:rsid w:val="00424764"/>
    <w:rsid w:val="00424CF5"/>
    <w:rsid w:val="00425A9E"/>
    <w:rsid w:val="00426D6B"/>
    <w:rsid w:val="00427A27"/>
    <w:rsid w:val="00431E6C"/>
    <w:rsid w:val="004337DA"/>
    <w:rsid w:val="00433CE7"/>
    <w:rsid w:val="00433F79"/>
    <w:rsid w:val="00436184"/>
    <w:rsid w:val="004416D0"/>
    <w:rsid w:val="00442BFB"/>
    <w:rsid w:val="00443947"/>
    <w:rsid w:val="0044790F"/>
    <w:rsid w:val="00450860"/>
    <w:rsid w:val="00452738"/>
    <w:rsid w:val="00453EC8"/>
    <w:rsid w:val="00455546"/>
    <w:rsid w:val="00455E06"/>
    <w:rsid w:val="00456091"/>
    <w:rsid w:val="0046091F"/>
    <w:rsid w:val="00466321"/>
    <w:rsid w:val="004678B6"/>
    <w:rsid w:val="00470B42"/>
    <w:rsid w:val="00473F41"/>
    <w:rsid w:val="00484B9B"/>
    <w:rsid w:val="004855F6"/>
    <w:rsid w:val="004862F8"/>
    <w:rsid w:val="00486337"/>
    <w:rsid w:val="0048661E"/>
    <w:rsid w:val="00490B38"/>
    <w:rsid w:val="00490C46"/>
    <w:rsid w:val="00494670"/>
    <w:rsid w:val="00496651"/>
    <w:rsid w:val="0049686C"/>
    <w:rsid w:val="004972F7"/>
    <w:rsid w:val="004A3823"/>
    <w:rsid w:val="004A4DBD"/>
    <w:rsid w:val="004B07A8"/>
    <w:rsid w:val="004B26FE"/>
    <w:rsid w:val="004B2F87"/>
    <w:rsid w:val="004B35AF"/>
    <w:rsid w:val="004B508A"/>
    <w:rsid w:val="004B61BA"/>
    <w:rsid w:val="004B7532"/>
    <w:rsid w:val="004C64D0"/>
    <w:rsid w:val="004D28BC"/>
    <w:rsid w:val="004D5FA6"/>
    <w:rsid w:val="004D753B"/>
    <w:rsid w:val="004E43BF"/>
    <w:rsid w:val="004E6946"/>
    <w:rsid w:val="004E6B42"/>
    <w:rsid w:val="004F1105"/>
    <w:rsid w:val="004F1AD8"/>
    <w:rsid w:val="004F41AB"/>
    <w:rsid w:val="004F6B81"/>
    <w:rsid w:val="00500D76"/>
    <w:rsid w:val="005039CB"/>
    <w:rsid w:val="0050558F"/>
    <w:rsid w:val="00506286"/>
    <w:rsid w:val="0051043A"/>
    <w:rsid w:val="00510813"/>
    <w:rsid w:val="00511990"/>
    <w:rsid w:val="00511DE0"/>
    <w:rsid w:val="00514870"/>
    <w:rsid w:val="00514B9B"/>
    <w:rsid w:val="00517F02"/>
    <w:rsid w:val="0052108C"/>
    <w:rsid w:val="00524303"/>
    <w:rsid w:val="005258A2"/>
    <w:rsid w:val="00526B3B"/>
    <w:rsid w:val="005305C6"/>
    <w:rsid w:val="00537413"/>
    <w:rsid w:val="00537C28"/>
    <w:rsid w:val="005401AE"/>
    <w:rsid w:val="0054083D"/>
    <w:rsid w:val="00542E07"/>
    <w:rsid w:val="00544219"/>
    <w:rsid w:val="00545424"/>
    <w:rsid w:val="00545FBB"/>
    <w:rsid w:val="005508D6"/>
    <w:rsid w:val="005508DB"/>
    <w:rsid w:val="005537A6"/>
    <w:rsid w:val="00554A7B"/>
    <w:rsid w:val="00554D8D"/>
    <w:rsid w:val="0055572C"/>
    <w:rsid w:val="00557228"/>
    <w:rsid w:val="005600F4"/>
    <w:rsid w:val="005601A7"/>
    <w:rsid w:val="0056106A"/>
    <w:rsid w:val="005644DB"/>
    <w:rsid w:val="00567788"/>
    <w:rsid w:val="00571A88"/>
    <w:rsid w:val="005720AE"/>
    <w:rsid w:val="00572B2B"/>
    <w:rsid w:val="00583C0B"/>
    <w:rsid w:val="00586919"/>
    <w:rsid w:val="00594D77"/>
    <w:rsid w:val="005969E4"/>
    <w:rsid w:val="00597911"/>
    <w:rsid w:val="005A0105"/>
    <w:rsid w:val="005A06B7"/>
    <w:rsid w:val="005A0944"/>
    <w:rsid w:val="005A161D"/>
    <w:rsid w:val="005A1759"/>
    <w:rsid w:val="005A19C3"/>
    <w:rsid w:val="005A2407"/>
    <w:rsid w:val="005A3119"/>
    <w:rsid w:val="005A42AD"/>
    <w:rsid w:val="005A4D4E"/>
    <w:rsid w:val="005A68A7"/>
    <w:rsid w:val="005A7784"/>
    <w:rsid w:val="005A7C48"/>
    <w:rsid w:val="005B3555"/>
    <w:rsid w:val="005B7244"/>
    <w:rsid w:val="005B7526"/>
    <w:rsid w:val="005C3EBF"/>
    <w:rsid w:val="005D36AB"/>
    <w:rsid w:val="005D4FD4"/>
    <w:rsid w:val="005E72E4"/>
    <w:rsid w:val="005F4707"/>
    <w:rsid w:val="00603FCE"/>
    <w:rsid w:val="006050D0"/>
    <w:rsid w:val="00607DE0"/>
    <w:rsid w:val="006106F4"/>
    <w:rsid w:val="00610756"/>
    <w:rsid w:val="00612D89"/>
    <w:rsid w:val="00615729"/>
    <w:rsid w:val="00617CC3"/>
    <w:rsid w:val="006260A9"/>
    <w:rsid w:val="00626898"/>
    <w:rsid w:val="00631707"/>
    <w:rsid w:val="0063503D"/>
    <w:rsid w:val="0063527D"/>
    <w:rsid w:val="006377A6"/>
    <w:rsid w:val="00637802"/>
    <w:rsid w:val="00637A3D"/>
    <w:rsid w:val="00640F07"/>
    <w:rsid w:val="006411EF"/>
    <w:rsid w:val="006505BB"/>
    <w:rsid w:val="00651291"/>
    <w:rsid w:val="0065382F"/>
    <w:rsid w:val="00656878"/>
    <w:rsid w:val="00656C2F"/>
    <w:rsid w:val="00661188"/>
    <w:rsid w:val="006638D7"/>
    <w:rsid w:val="00667782"/>
    <w:rsid w:val="00670D5C"/>
    <w:rsid w:val="00673E75"/>
    <w:rsid w:val="0067480F"/>
    <w:rsid w:val="006748B8"/>
    <w:rsid w:val="00676C73"/>
    <w:rsid w:val="006775C3"/>
    <w:rsid w:val="00682241"/>
    <w:rsid w:val="00690980"/>
    <w:rsid w:val="00690D21"/>
    <w:rsid w:val="0069290A"/>
    <w:rsid w:val="0069775A"/>
    <w:rsid w:val="00697813"/>
    <w:rsid w:val="00697CA9"/>
    <w:rsid w:val="006A3DEC"/>
    <w:rsid w:val="006A3EE8"/>
    <w:rsid w:val="006A5B81"/>
    <w:rsid w:val="006A6685"/>
    <w:rsid w:val="006A72BF"/>
    <w:rsid w:val="006B03F2"/>
    <w:rsid w:val="006B1868"/>
    <w:rsid w:val="006B3121"/>
    <w:rsid w:val="006B37DC"/>
    <w:rsid w:val="006B4530"/>
    <w:rsid w:val="006B4CB2"/>
    <w:rsid w:val="006B4F68"/>
    <w:rsid w:val="006C012D"/>
    <w:rsid w:val="006C0592"/>
    <w:rsid w:val="006C102C"/>
    <w:rsid w:val="006C1245"/>
    <w:rsid w:val="006C272E"/>
    <w:rsid w:val="006C4F3E"/>
    <w:rsid w:val="006C5479"/>
    <w:rsid w:val="006C625C"/>
    <w:rsid w:val="006C702E"/>
    <w:rsid w:val="006D13B5"/>
    <w:rsid w:val="006D3947"/>
    <w:rsid w:val="006D6F20"/>
    <w:rsid w:val="006E0927"/>
    <w:rsid w:val="006E10BE"/>
    <w:rsid w:val="006E1260"/>
    <w:rsid w:val="006E12FF"/>
    <w:rsid w:val="006E607E"/>
    <w:rsid w:val="006F1CFC"/>
    <w:rsid w:val="0070648D"/>
    <w:rsid w:val="00706C5D"/>
    <w:rsid w:val="0070714C"/>
    <w:rsid w:val="00707474"/>
    <w:rsid w:val="0071029C"/>
    <w:rsid w:val="00720C04"/>
    <w:rsid w:val="00723B6F"/>
    <w:rsid w:val="007249AD"/>
    <w:rsid w:val="0072649C"/>
    <w:rsid w:val="00726F13"/>
    <w:rsid w:val="00730A4C"/>
    <w:rsid w:val="007312D2"/>
    <w:rsid w:val="00731AAA"/>
    <w:rsid w:val="00732922"/>
    <w:rsid w:val="007330FA"/>
    <w:rsid w:val="007335B4"/>
    <w:rsid w:val="007404AE"/>
    <w:rsid w:val="00741F5F"/>
    <w:rsid w:val="00747851"/>
    <w:rsid w:val="0075162E"/>
    <w:rsid w:val="00754034"/>
    <w:rsid w:val="007540C4"/>
    <w:rsid w:val="007544B7"/>
    <w:rsid w:val="007554CA"/>
    <w:rsid w:val="00756556"/>
    <w:rsid w:val="00757932"/>
    <w:rsid w:val="00760384"/>
    <w:rsid w:val="007618C4"/>
    <w:rsid w:val="00762FD5"/>
    <w:rsid w:val="00767980"/>
    <w:rsid w:val="00770B19"/>
    <w:rsid w:val="0077463F"/>
    <w:rsid w:val="00774F66"/>
    <w:rsid w:val="007771E8"/>
    <w:rsid w:val="007836EA"/>
    <w:rsid w:val="00784CDA"/>
    <w:rsid w:val="00786C48"/>
    <w:rsid w:val="007906C4"/>
    <w:rsid w:val="00792D3E"/>
    <w:rsid w:val="00793519"/>
    <w:rsid w:val="007940EA"/>
    <w:rsid w:val="00795B35"/>
    <w:rsid w:val="007967E8"/>
    <w:rsid w:val="007A2170"/>
    <w:rsid w:val="007A22BF"/>
    <w:rsid w:val="007A2D3B"/>
    <w:rsid w:val="007A3323"/>
    <w:rsid w:val="007A4D8F"/>
    <w:rsid w:val="007A7233"/>
    <w:rsid w:val="007B1247"/>
    <w:rsid w:val="007B15A4"/>
    <w:rsid w:val="007B2474"/>
    <w:rsid w:val="007B3B15"/>
    <w:rsid w:val="007B442D"/>
    <w:rsid w:val="007B72B8"/>
    <w:rsid w:val="007B7A58"/>
    <w:rsid w:val="007C184F"/>
    <w:rsid w:val="007C21B5"/>
    <w:rsid w:val="007C4D1F"/>
    <w:rsid w:val="007C5BA9"/>
    <w:rsid w:val="007C7AAB"/>
    <w:rsid w:val="007D00E3"/>
    <w:rsid w:val="007D01EA"/>
    <w:rsid w:val="007D2516"/>
    <w:rsid w:val="007D3D29"/>
    <w:rsid w:val="007D4284"/>
    <w:rsid w:val="007D6DD7"/>
    <w:rsid w:val="007D77A9"/>
    <w:rsid w:val="007E0726"/>
    <w:rsid w:val="007E4BD2"/>
    <w:rsid w:val="007E68A6"/>
    <w:rsid w:val="007F4659"/>
    <w:rsid w:val="00801393"/>
    <w:rsid w:val="00801BC5"/>
    <w:rsid w:val="00802F88"/>
    <w:rsid w:val="0081293E"/>
    <w:rsid w:val="00812CCD"/>
    <w:rsid w:val="00812D23"/>
    <w:rsid w:val="008148EA"/>
    <w:rsid w:val="00815465"/>
    <w:rsid w:val="00817E9A"/>
    <w:rsid w:val="008239C3"/>
    <w:rsid w:val="0082505C"/>
    <w:rsid w:val="008306BD"/>
    <w:rsid w:val="008313C1"/>
    <w:rsid w:val="00831A80"/>
    <w:rsid w:val="008335D7"/>
    <w:rsid w:val="00833743"/>
    <w:rsid w:val="008340A4"/>
    <w:rsid w:val="00835E03"/>
    <w:rsid w:val="00836918"/>
    <w:rsid w:val="00836F65"/>
    <w:rsid w:val="008378F9"/>
    <w:rsid w:val="00841809"/>
    <w:rsid w:val="0084297D"/>
    <w:rsid w:val="008449EA"/>
    <w:rsid w:val="0084550C"/>
    <w:rsid w:val="00847A85"/>
    <w:rsid w:val="00847FCE"/>
    <w:rsid w:val="008539E9"/>
    <w:rsid w:val="00857591"/>
    <w:rsid w:val="00862342"/>
    <w:rsid w:val="0086377B"/>
    <w:rsid w:val="0087135F"/>
    <w:rsid w:val="00872D1A"/>
    <w:rsid w:val="00872D94"/>
    <w:rsid w:val="00880364"/>
    <w:rsid w:val="00882674"/>
    <w:rsid w:val="0088457B"/>
    <w:rsid w:val="00884BB5"/>
    <w:rsid w:val="00890C74"/>
    <w:rsid w:val="00891592"/>
    <w:rsid w:val="00891CAE"/>
    <w:rsid w:val="00891E9E"/>
    <w:rsid w:val="00893A5D"/>
    <w:rsid w:val="008959DD"/>
    <w:rsid w:val="008A0A1E"/>
    <w:rsid w:val="008A2F68"/>
    <w:rsid w:val="008A6182"/>
    <w:rsid w:val="008A6FA5"/>
    <w:rsid w:val="008A702B"/>
    <w:rsid w:val="008B0D19"/>
    <w:rsid w:val="008B165D"/>
    <w:rsid w:val="008B3245"/>
    <w:rsid w:val="008B44D0"/>
    <w:rsid w:val="008B4FA6"/>
    <w:rsid w:val="008B5282"/>
    <w:rsid w:val="008B66DA"/>
    <w:rsid w:val="008B7C17"/>
    <w:rsid w:val="008C2D01"/>
    <w:rsid w:val="008C40E6"/>
    <w:rsid w:val="008C41F5"/>
    <w:rsid w:val="008D0F7A"/>
    <w:rsid w:val="008D12D1"/>
    <w:rsid w:val="008D2836"/>
    <w:rsid w:val="008D68E4"/>
    <w:rsid w:val="008E0506"/>
    <w:rsid w:val="008E0C15"/>
    <w:rsid w:val="008E0CFF"/>
    <w:rsid w:val="008E36A9"/>
    <w:rsid w:val="008E39B7"/>
    <w:rsid w:val="008E5D6B"/>
    <w:rsid w:val="008E76F0"/>
    <w:rsid w:val="008F0493"/>
    <w:rsid w:val="008F15FE"/>
    <w:rsid w:val="008F2D29"/>
    <w:rsid w:val="008F3AB6"/>
    <w:rsid w:val="008F42A4"/>
    <w:rsid w:val="008F4384"/>
    <w:rsid w:val="008F5187"/>
    <w:rsid w:val="008F5DBA"/>
    <w:rsid w:val="008F60D8"/>
    <w:rsid w:val="009008B8"/>
    <w:rsid w:val="00902727"/>
    <w:rsid w:val="00902E90"/>
    <w:rsid w:val="0090312B"/>
    <w:rsid w:val="0090692A"/>
    <w:rsid w:val="00911579"/>
    <w:rsid w:val="00912AFF"/>
    <w:rsid w:val="00915F11"/>
    <w:rsid w:val="0091736D"/>
    <w:rsid w:val="00924963"/>
    <w:rsid w:val="009250DB"/>
    <w:rsid w:val="0093037A"/>
    <w:rsid w:val="00930516"/>
    <w:rsid w:val="009312E0"/>
    <w:rsid w:val="00937220"/>
    <w:rsid w:val="0094154D"/>
    <w:rsid w:val="00942004"/>
    <w:rsid w:val="00946AE0"/>
    <w:rsid w:val="0095155F"/>
    <w:rsid w:val="00954429"/>
    <w:rsid w:val="00954CA0"/>
    <w:rsid w:val="009563CE"/>
    <w:rsid w:val="009569A5"/>
    <w:rsid w:val="00960621"/>
    <w:rsid w:val="0096178A"/>
    <w:rsid w:val="009624E4"/>
    <w:rsid w:val="00965EBA"/>
    <w:rsid w:val="00971C08"/>
    <w:rsid w:val="0097245D"/>
    <w:rsid w:val="00974AF3"/>
    <w:rsid w:val="00976328"/>
    <w:rsid w:val="009763B3"/>
    <w:rsid w:val="0097680D"/>
    <w:rsid w:val="00980922"/>
    <w:rsid w:val="00981D02"/>
    <w:rsid w:val="00982438"/>
    <w:rsid w:val="0098404C"/>
    <w:rsid w:val="00985283"/>
    <w:rsid w:val="009907AE"/>
    <w:rsid w:val="009916C2"/>
    <w:rsid w:val="00995992"/>
    <w:rsid w:val="00995A60"/>
    <w:rsid w:val="00997C16"/>
    <w:rsid w:val="009A03E5"/>
    <w:rsid w:val="009A0CB9"/>
    <w:rsid w:val="009A0D88"/>
    <w:rsid w:val="009A0F3B"/>
    <w:rsid w:val="009A1BB4"/>
    <w:rsid w:val="009A2628"/>
    <w:rsid w:val="009A3200"/>
    <w:rsid w:val="009A3EE1"/>
    <w:rsid w:val="009A63B3"/>
    <w:rsid w:val="009A7F85"/>
    <w:rsid w:val="009B0897"/>
    <w:rsid w:val="009B2FF8"/>
    <w:rsid w:val="009B65B0"/>
    <w:rsid w:val="009B7BD9"/>
    <w:rsid w:val="009C1065"/>
    <w:rsid w:val="009C2DF3"/>
    <w:rsid w:val="009C77BD"/>
    <w:rsid w:val="009C7A65"/>
    <w:rsid w:val="009C7DD5"/>
    <w:rsid w:val="009D3D99"/>
    <w:rsid w:val="009E0046"/>
    <w:rsid w:val="009E227D"/>
    <w:rsid w:val="009E5019"/>
    <w:rsid w:val="009E6E13"/>
    <w:rsid w:val="009F217A"/>
    <w:rsid w:val="009F226B"/>
    <w:rsid w:val="009F3B8A"/>
    <w:rsid w:val="00A01B29"/>
    <w:rsid w:val="00A026BF"/>
    <w:rsid w:val="00A04F1B"/>
    <w:rsid w:val="00A0501B"/>
    <w:rsid w:val="00A059A4"/>
    <w:rsid w:val="00A05ED3"/>
    <w:rsid w:val="00A07F94"/>
    <w:rsid w:val="00A14947"/>
    <w:rsid w:val="00A15BBD"/>
    <w:rsid w:val="00A218C1"/>
    <w:rsid w:val="00A2219A"/>
    <w:rsid w:val="00A23FE2"/>
    <w:rsid w:val="00A25F25"/>
    <w:rsid w:val="00A2681A"/>
    <w:rsid w:val="00A32A83"/>
    <w:rsid w:val="00A3311F"/>
    <w:rsid w:val="00A34B65"/>
    <w:rsid w:val="00A368DB"/>
    <w:rsid w:val="00A423AA"/>
    <w:rsid w:val="00A444D7"/>
    <w:rsid w:val="00A45C8E"/>
    <w:rsid w:val="00A470DC"/>
    <w:rsid w:val="00A53E1A"/>
    <w:rsid w:val="00A53EC6"/>
    <w:rsid w:val="00A55AD1"/>
    <w:rsid w:val="00A55C0F"/>
    <w:rsid w:val="00A60E4E"/>
    <w:rsid w:val="00A63835"/>
    <w:rsid w:val="00A65CC6"/>
    <w:rsid w:val="00A823FE"/>
    <w:rsid w:val="00A85A5D"/>
    <w:rsid w:val="00A85CE0"/>
    <w:rsid w:val="00A8713F"/>
    <w:rsid w:val="00A8791A"/>
    <w:rsid w:val="00A90BA1"/>
    <w:rsid w:val="00A94ED9"/>
    <w:rsid w:val="00A97A9A"/>
    <w:rsid w:val="00A97C6F"/>
    <w:rsid w:val="00AA0671"/>
    <w:rsid w:val="00AA0FC7"/>
    <w:rsid w:val="00AA2531"/>
    <w:rsid w:val="00AA2A2F"/>
    <w:rsid w:val="00AB05EA"/>
    <w:rsid w:val="00AB1E09"/>
    <w:rsid w:val="00AB4514"/>
    <w:rsid w:val="00AB4BC6"/>
    <w:rsid w:val="00AB5330"/>
    <w:rsid w:val="00AB7747"/>
    <w:rsid w:val="00AC059B"/>
    <w:rsid w:val="00AC090E"/>
    <w:rsid w:val="00AC1376"/>
    <w:rsid w:val="00AC14CE"/>
    <w:rsid w:val="00AC2A56"/>
    <w:rsid w:val="00AC4478"/>
    <w:rsid w:val="00AC5C21"/>
    <w:rsid w:val="00AD022D"/>
    <w:rsid w:val="00AD055E"/>
    <w:rsid w:val="00AD21F0"/>
    <w:rsid w:val="00AD299D"/>
    <w:rsid w:val="00AD457B"/>
    <w:rsid w:val="00AD47A7"/>
    <w:rsid w:val="00AE4619"/>
    <w:rsid w:val="00AF0CBF"/>
    <w:rsid w:val="00AF257F"/>
    <w:rsid w:val="00AF27FE"/>
    <w:rsid w:val="00AF33CF"/>
    <w:rsid w:val="00AF4D50"/>
    <w:rsid w:val="00AF6179"/>
    <w:rsid w:val="00AF7F31"/>
    <w:rsid w:val="00B02281"/>
    <w:rsid w:val="00B11619"/>
    <w:rsid w:val="00B1223E"/>
    <w:rsid w:val="00B1295A"/>
    <w:rsid w:val="00B16532"/>
    <w:rsid w:val="00B20A45"/>
    <w:rsid w:val="00B22C5C"/>
    <w:rsid w:val="00B22F72"/>
    <w:rsid w:val="00B24F30"/>
    <w:rsid w:val="00B26475"/>
    <w:rsid w:val="00B31ABF"/>
    <w:rsid w:val="00B33BE3"/>
    <w:rsid w:val="00B3469E"/>
    <w:rsid w:val="00B35307"/>
    <w:rsid w:val="00B434FE"/>
    <w:rsid w:val="00B439BE"/>
    <w:rsid w:val="00B53B5D"/>
    <w:rsid w:val="00B557A8"/>
    <w:rsid w:val="00B6055E"/>
    <w:rsid w:val="00B6139D"/>
    <w:rsid w:val="00B6317D"/>
    <w:rsid w:val="00B672B7"/>
    <w:rsid w:val="00B67C66"/>
    <w:rsid w:val="00B7091A"/>
    <w:rsid w:val="00B7238C"/>
    <w:rsid w:val="00B723CF"/>
    <w:rsid w:val="00B725FD"/>
    <w:rsid w:val="00B72BDE"/>
    <w:rsid w:val="00B7673C"/>
    <w:rsid w:val="00B7723F"/>
    <w:rsid w:val="00B77FAF"/>
    <w:rsid w:val="00B8015E"/>
    <w:rsid w:val="00B80534"/>
    <w:rsid w:val="00B81C9D"/>
    <w:rsid w:val="00B8433C"/>
    <w:rsid w:val="00B87491"/>
    <w:rsid w:val="00B903D4"/>
    <w:rsid w:val="00B938D1"/>
    <w:rsid w:val="00B93C23"/>
    <w:rsid w:val="00BA0C83"/>
    <w:rsid w:val="00BA159D"/>
    <w:rsid w:val="00BA281D"/>
    <w:rsid w:val="00BA29E9"/>
    <w:rsid w:val="00BA46A0"/>
    <w:rsid w:val="00BA5A25"/>
    <w:rsid w:val="00BA7142"/>
    <w:rsid w:val="00BB237C"/>
    <w:rsid w:val="00BB29B2"/>
    <w:rsid w:val="00BB382C"/>
    <w:rsid w:val="00BB3912"/>
    <w:rsid w:val="00BB41A3"/>
    <w:rsid w:val="00BB4967"/>
    <w:rsid w:val="00BC32DC"/>
    <w:rsid w:val="00BC35B6"/>
    <w:rsid w:val="00BC79CC"/>
    <w:rsid w:val="00BD04E2"/>
    <w:rsid w:val="00BD1B51"/>
    <w:rsid w:val="00BD4596"/>
    <w:rsid w:val="00BE054A"/>
    <w:rsid w:val="00BE1086"/>
    <w:rsid w:val="00BE1405"/>
    <w:rsid w:val="00BE172F"/>
    <w:rsid w:val="00BE1CB6"/>
    <w:rsid w:val="00BE312D"/>
    <w:rsid w:val="00BE38D2"/>
    <w:rsid w:val="00BE674B"/>
    <w:rsid w:val="00BF1C20"/>
    <w:rsid w:val="00BF2A0F"/>
    <w:rsid w:val="00BF7199"/>
    <w:rsid w:val="00C00CAA"/>
    <w:rsid w:val="00C07E4B"/>
    <w:rsid w:val="00C10578"/>
    <w:rsid w:val="00C11CDB"/>
    <w:rsid w:val="00C11D4D"/>
    <w:rsid w:val="00C135BC"/>
    <w:rsid w:val="00C14B78"/>
    <w:rsid w:val="00C14C6F"/>
    <w:rsid w:val="00C15C95"/>
    <w:rsid w:val="00C20672"/>
    <w:rsid w:val="00C21EA3"/>
    <w:rsid w:val="00C2481B"/>
    <w:rsid w:val="00C2596A"/>
    <w:rsid w:val="00C2622B"/>
    <w:rsid w:val="00C27537"/>
    <w:rsid w:val="00C30E2E"/>
    <w:rsid w:val="00C328FE"/>
    <w:rsid w:val="00C33507"/>
    <w:rsid w:val="00C37060"/>
    <w:rsid w:val="00C3735A"/>
    <w:rsid w:val="00C3774A"/>
    <w:rsid w:val="00C41A43"/>
    <w:rsid w:val="00C4409D"/>
    <w:rsid w:val="00C4481A"/>
    <w:rsid w:val="00C44E72"/>
    <w:rsid w:val="00C45A06"/>
    <w:rsid w:val="00C47E5B"/>
    <w:rsid w:val="00C51E1D"/>
    <w:rsid w:val="00C54122"/>
    <w:rsid w:val="00C544CE"/>
    <w:rsid w:val="00C60F5C"/>
    <w:rsid w:val="00C618A4"/>
    <w:rsid w:val="00C61E4B"/>
    <w:rsid w:val="00C620C3"/>
    <w:rsid w:val="00C630A8"/>
    <w:rsid w:val="00C64BFF"/>
    <w:rsid w:val="00C65488"/>
    <w:rsid w:val="00C704E9"/>
    <w:rsid w:val="00C72D2C"/>
    <w:rsid w:val="00C758C6"/>
    <w:rsid w:val="00C763C9"/>
    <w:rsid w:val="00C77470"/>
    <w:rsid w:val="00C80057"/>
    <w:rsid w:val="00C802FC"/>
    <w:rsid w:val="00C82232"/>
    <w:rsid w:val="00C82913"/>
    <w:rsid w:val="00C84A6B"/>
    <w:rsid w:val="00C972B1"/>
    <w:rsid w:val="00CA06FB"/>
    <w:rsid w:val="00CA2CCE"/>
    <w:rsid w:val="00CA43FD"/>
    <w:rsid w:val="00CA7AAF"/>
    <w:rsid w:val="00CA7EF8"/>
    <w:rsid w:val="00CB3050"/>
    <w:rsid w:val="00CB415B"/>
    <w:rsid w:val="00CB59EB"/>
    <w:rsid w:val="00CB77C3"/>
    <w:rsid w:val="00CB7FD0"/>
    <w:rsid w:val="00CC1F92"/>
    <w:rsid w:val="00CC3441"/>
    <w:rsid w:val="00CC36AF"/>
    <w:rsid w:val="00CC489B"/>
    <w:rsid w:val="00CC7474"/>
    <w:rsid w:val="00CD060E"/>
    <w:rsid w:val="00CD2763"/>
    <w:rsid w:val="00CD2BCD"/>
    <w:rsid w:val="00CD3A4C"/>
    <w:rsid w:val="00CD57F0"/>
    <w:rsid w:val="00CE10E9"/>
    <w:rsid w:val="00CE2910"/>
    <w:rsid w:val="00CE5393"/>
    <w:rsid w:val="00CE5E6D"/>
    <w:rsid w:val="00CE6B57"/>
    <w:rsid w:val="00CF0EF2"/>
    <w:rsid w:val="00CF1D28"/>
    <w:rsid w:val="00CF20E9"/>
    <w:rsid w:val="00CF36B5"/>
    <w:rsid w:val="00CF36BE"/>
    <w:rsid w:val="00CF42C7"/>
    <w:rsid w:val="00CF6000"/>
    <w:rsid w:val="00D003F3"/>
    <w:rsid w:val="00D0050D"/>
    <w:rsid w:val="00D007AD"/>
    <w:rsid w:val="00D01FC9"/>
    <w:rsid w:val="00D021FB"/>
    <w:rsid w:val="00D0364F"/>
    <w:rsid w:val="00D046BB"/>
    <w:rsid w:val="00D04CB4"/>
    <w:rsid w:val="00D06834"/>
    <w:rsid w:val="00D06D13"/>
    <w:rsid w:val="00D074B4"/>
    <w:rsid w:val="00D13CF3"/>
    <w:rsid w:val="00D228ED"/>
    <w:rsid w:val="00D22AA6"/>
    <w:rsid w:val="00D25824"/>
    <w:rsid w:val="00D2725E"/>
    <w:rsid w:val="00D27CC8"/>
    <w:rsid w:val="00D308ED"/>
    <w:rsid w:val="00D3207B"/>
    <w:rsid w:val="00D36725"/>
    <w:rsid w:val="00D36D86"/>
    <w:rsid w:val="00D404CE"/>
    <w:rsid w:val="00D428AA"/>
    <w:rsid w:val="00D478F6"/>
    <w:rsid w:val="00D50A34"/>
    <w:rsid w:val="00D5186D"/>
    <w:rsid w:val="00D53EFA"/>
    <w:rsid w:val="00D557E2"/>
    <w:rsid w:val="00D57E83"/>
    <w:rsid w:val="00D612DB"/>
    <w:rsid w:val="00D65F52"/>
    <w:rsid w:val="00D67D6F"/>
    <w:rsid w:val="00D7276A"/>
    <w:rsid w:val="00D74075"/>
    <w:rsid w:val="00D7478A"/>
    <w:rsid w:val="00D752AA"/>
    <w:rsid w:val="00D85386"/>
    <w:rsid w:val="00D903D9"/>
    <w:rsid w:val="00D94A7C"/>
    <w:rsid w:val="00D94FB4"/>
    <w:rsid w:val="00D95896"/>
    <w:rsid w:val="00DA1FD7"/>
    <w:rsid w:val="00DA43D6"/>
    <w:rsid w:val="00DA4BDB"/>
    <w:rsid w:val="00DB2983"/>
    <w:rsid w:val="00DC040F"/>
    <w:rsid w:val="00DC1257"/>
    <w:rsid w:val="00DC3DC0"/>
    <w:rsid w:val="00DC4139"/>
    <w:rsid w:val="00DC5B2B"/>
    <w:rsid w:val="00DD0790"/>
    <w:rsid w:val="00DD0802"/>
    <w:rsid w:val="00DD318D"/>
    <w:rsid w:val="00DD373B"/>
    <w:rsid w:val="00DD5C57"/>
    <w:rsid w:val="00DF14B2"/>
    <w:rsid w:val="00DF2E12"/>
    <w:rsid w:val="00DF514A"/>
    <w:rsid w:val="00DF6690"/>
    <w:rsid w:val="00DF6804"/>
    <w:rsid w:val="00E00455"/>
    <w:rsid w:val="00E0358D"/>
    <w:rsid w:val="00E03790"/>
    <w:rsid w:val="00E04323"/>
    <w:rsid w:val="00E070A2"/>
    <w:rsid w:val="00E10002"/>
    <w:rsid w:val="00E11057"/>
    <w:rsid w:val="00E1247B"/>
    <w:rsid w:val="00E12695"/>
    <w:rsid w:val="00E13D97"/>
    <w:rsid w:val="00E1479B"/>
    <w:rsid w:val="00E20370"/>
    <w:rsid w:val="00E2131A"/>
    <w:rsid w:val="00E22610"/>
    <w:rsid w:val="00E2656A"/>
    <w:rsid w:val="00E26E96"/>
    <w:rsid w:val="00E3355E"/>
    <w:rsid w:val="00E412D0"/>
    <w:rsid w:val="00E42AA7"/>
    <w:rsid w:val="00E42CE6"/>
    <w:rsid w:val="00E43AC6"/>
    <w:rsid w:val="00E44F1D"/>
    <w:rsid w:val="00E4562A"/>
    <w:rsid w:val="00E479F8"/>
    <w:rsid w:val="00E51343"/>
    <w:rsid w:val="00E555AC"/>
    <w:rsid w:val="00E56322"/>
    <w:rsid w:val="00E6050C"/>
    <w:rsid w:val="00E60982"/>
    <w:rsid w:val="00E60BE3"/>
    <w:rsid w:val="00E626FF"/>
    <w:rsid w:val="00E62C62"/>
    <w:rsid w:val="00E635C4"/>
    <w:rsid w:val="00E654C1"/>
    <w:rsid w:val="00E65D97"/>
    <w:rsid w:val="00E66184"/>
    <w:rsid w:val="00E66FCF"/>
    <w:rsid w:val="00E719A5"/>
    <w:rsid w:val="00E72A5A"/>
    <w:rsid w:val="00E73354"/>
    <w:rsid w:val="00E73870"/>
    <w:rsid w:val="00E7630E"/>
    <w:rsid w:val="00E77448"/>
    <w:rsid w:val="00E81C30"/>
    <w:rsid w:val="00E828D6"/>
    <w:rsid w:val="00E86E50"/>
    <w:rsid w:val="00E92120"/>
    <w:rsid w:val="00E9242D"/>
    <w:rsid w:val="00E92FCB"/>
    <w:rsid w:val="00EA10F4"/>
    <w:rsid w:val="00EA5347"/>
    <w:rsid w:val="00EB5255"/>
    <w:rsid w:val="00EB5C47"/>
    <w:rsid w:val="00EB6D2E"/>
    <w:rsid w:val="00EB7EDC"/>
    <w:rsid w:val="00EC4589"/>
    <w:rsid w:val="00ED0639"/>
    <w:rsid w:val="00ED3729"/>
    <w:rsid w:val="00EE1215"/>
    <w:rsid w:val="00EE16AF"/>
    <w:rsid w:val="00EE1DF6"/>
    <w:rsid w:val="00EE3516"/>
    <w:rsid w:val="00EE396D"/>
    <w:rsid w:val="00EE4D46"/>
    <w:rsid w:val="00EF02F3"/>
    <w:rsid w:val="00EF4755"/>
    <w:rsid w:val="00EF4DE8"/>
    <w:rsid w:val="00EF7135"/>
    <w:rsid w:val="00F007B4"/>
    <w:rsid w:val="00F01CBB"/>
    <w:rsid w:val="00F027DB"/>
    <w:rsid w:val="00F05DAE"/>
    <w:rsid w:val="00F06B91"/>
    <w:rsid w:val="00F07801"/>
    <w:rsid w:val="00F13921"/>
    <w:rsid w:val="00F14A7A"/>
    <w:rsid w:val="00F16D69"/>
    <w:rsid w:val="00F17018"/>
    <w:rsid w:val="00F202FD"/>
    <w:rsid w:val="00F22985"/>
    <w:rsid w:val="00F3383E"/>
    <w:rsid w:val="00F33F2E"/>
    <w:rsid w:val="00F42CE3"/>
    <w:rsid w:val="00F4411C"/>
    <w:rsid w:val="00F465A7"/>
    <w:rsid w:val="00F50B7C"/>
    <w:rsid w:val="00F5489C"/>
    <w:rsid w:val="00F550E6"/>
    <w:rsid w:val="00F6024B"/>
    <w:rsid w:val="00F60A07"/>
    <w:rsid w:val="00F636E3"/>
    <w:rsid w:val="00F67F54"/>
    <w:rsid w:val="00F74345"/>
    <w:rsid w:val="00F80035"/>
    <w:rsid w:val="00F80A0A"/>
    <w:rsid w:val="00F820AC"/>
    <w:rsid w:val="00F82B19"/>
    <w:rsid w:val="00F85E54"/>
    <w:rsid w:val="00F91E76"/>
    <w:rsid w:val="00F9212D"/>
    <w:rsid w:val="00F95AB6"/>
    <w:rsid w:val="00F965DA"/>
    <w:rsid w:val="00FA0456"/>
    <w:rsid w:val="00FA04EA"/>
    <w:rsid w:val="00FA082E"/>
    <w:rsid w:val="00FA27A2"/>
    <w:rsid w:val="00FA33CD"/>
    <w:rsid w:val="00FA3BF9"/>
    <w:rsid w:val="00FA406A"/>
    <w:rsid w:val="00FA4B35"/>
    <w:rsid w:val="00FA760A"/>
    <w:rsid w:val="00FA7AD5"/>
    <w:rsid w:val="00FB297B"/>
    <w:rsid w:val="00FB503A"/>
    <w:rsid w:val="00FB516C"/>
    <w:rsid w:val="00FC05E9"/>
    <w:rsid w:val="00FC3E87"/>
    <w:rsid w:val="00FC41FD"/>
    <w:rsid w:val="00FC431F"/>
    <w:rsid w:val="00FC5E24"/>
    <w:rsid w:val="00FC64B6"/>
    <w:rsid w:val="00FD0236"/>
    <w:rsid w:val="00FD18F4"/>
    <w:rsid w:val="00FD27F8"/>
    <w:rsid w:val="00FD54DB"/>
    <w:rsid w:val="00FD619F"/>
    <w:rsid w:val="00FE16FC"/>
    <w:rsid w:val="00FE1B34"/>
    <w:rsid w:val="00FE6E7A"/>
    <w:rsid w:val="00FF496C"/>
    <w:rsid w:val="00FF52AE"/>
    <w:rsid w:val="010855B5"/>
    <w:rsid w:val="012302C3"/>
    <w:rsid w:val="01290F7E"/>
    <w:rsid w:val="012D37A4"/>
    <w:rsid w:val="012F41F1"/>
    <w:rsid w:val="0134548E"/>
    <w:rsid w:val="014337F8"/>
    <w:rsid w:val="015B68E3"/>
    <w:rsid w:val="015D1E09"/>
    <w:rsid w:val="0160298A"/>
    <w:rsid w:val="016674D7"/>
    <w:rsid w:val="01692799"/>
    <w:rsid w:val="018A0F16"/>
    <w:rsid w:val="01B0282E"/>
    <w:rsid w:val="01B6046E"/>
    <w:rsid w:val="01B93069"/>
    <w:rsid w:val="01B95334"/>
    <w:rsid w:val="01D63DB7"/>
    <w:rsid w:val="01D91F20"/>
    <w:rsid w:val="01E01A19"/>
    <w:rsid w:val="01F458CE"/>
    <w:rsid w:val="020423D1"/>
    <w:rsid w:val="020701A5"/>
    <w:rsid w:val="022871F1"/>
    <w:rsid w:val="02313F99"/>
    <w:rsid w:val="0234220F"/>
    <w:rsid w:val="02445A7A"/>
    <w:rsid w:val="02455005"/>
    <w:rsid w:val="0246450D"/>
    <w:rsid w:val="02567340"/>
    <w:rsid w:val="025E10F9"/>
    <w:rsid w:val="025E4701"/>
    <w:rsid w:val="026131C1"/>
    <w:rsid w:val="0261662C"/>
    <w:rsid w:val="02697903"/>
    <w:rsid w:val="026B3325"/>
    <w:rsid w:val="027433E3"/>
    <w:rsid w:val="02753E85"/>
    <w:rsid w:val="02764356"/>
    <w:rsid w:val="02785A56"/>
    <w:rsid w:val="027D14AF"/>
    <w:rsid w:val="028D5553"/>
    <w:rsid w:val="028E13EB"/>
    <w:rsid w:val="029C77E5"/>
    <w:rsid w:val="02A91D81"/>
    <w:rsid w:val="02B44C05"/>
    <w:rsid w:val="02B824B5"/>
    <w:rsid w:val="02C776B2"/>
    <w:rsid w:val="02D2752A"/>
    <w:rsid w:val="02DE480D"/>
    <w:rsid w:val="02EF4CE1"/>
    <w:rsid w:val="02F96569"/>
    <w:rsid w:val="030F693F"/>
    <w:rsid w:val="031F18A8"/>
    <w:rsid w:val="03217B69"/>
    <w:rsid w:val="032633D2"/>
    <w:rsid w:val="033248DF"/>
    <w:rsid w:val="03660660"/>
    <w:rsid w:val="03694CA6"/>
    <w:rsid w:val="036D31FB"/>
    <w:rsid w:val="03790BF4"/>
    <w:rsid w:val="037B54CB"/>
    <w:rsid w:val="037D56E7"/>
    <w:rsid w:val="03A24C5A"/>
    <w:rsid w:val="03A828B1"/>
    <w:rsid w:val="03A87C55"/>
    <w:rsid w:val="03AB5D47"/>
    <w:rsid w:val="03B66504"/>
    <w:rsid w:val="03B81031"/>
    <w:rsid w:val="03BE2CAF"/>
    <w:rsid w:val="03C70877"/>
    <w:rsid w:val="03C74493"/>
    <w:rsid w:val="03CC7C6F"/>
    <w:rsid w:val="03D90945"/>
    <w:rsid w:val="03EA7B21"/>
    <w:rsid w:val="03FD05D6"/>
    <w:rsid w:val="03FF355C"/>
    <w:rsid w:val="041A22CB"/>
    <w:rsid w:val="042B3F57"/>
    <w:rsid w:val="04313F4F"/>
    <w:rsid w:val="0444548E"/>
    <w:rsid w:val="046F15E2"/>
    <w:rsid w:val="04795B42"/>
    <w:rsid w:val="04A445BC"/>
    <w:rsid w:val="04B85CEF"/>
    <w:rsid w:val="04C1348B"/>
    <w:rsid w:val="04CA5E30"/>
    <w:rsid w:val="04CE1F73"/>
    <w:rsid w:val="04F23C90"/>
    <w:rsid w:val="04F77B6F"/>
    <w:rsid w:val="050357EF"/>
    <w:rsid w:val="05053A33"/>
    <w:rsid w:val="050B2AA0"/>
    <w:rsid w:val="05113B1B"/>
    <w:rsid w:val="051659E7"/>
    <w:rsid w:val="05195066"/>
    <w:rsid w:val="0521026E"/>
    <w:rsid w:val="0541770B"/>
    <w:rsid w:val="054D1176"/>
    <w:rsid w:val="05531274"/>
    <w:rsid w:val="057271A5"/>
    <w:rsid w:val="05A36F5B"/>
    <w:rsid w:val="05BB7523"/>
    <w:rsid w:val="05C354F5"/>
    <w:rsid w:val="05CD5A8A"/>
    <w:rsid w:val="05DA4873"/>
    <w:rsid w:val="05DB04A3"/>
    <w:rsid w:val="05DB6214"/>
    <w:rsid w:val="05E10A0D"/>
    <w:rsid w:val="05E54A0B"/>
    <w:rsid w:val="05EC1CBC"/>
    <w:rsid w:val="05F83EAE"/>
    <w:rsid w:val="06103112"/>
    <w:rsid w:val="061532D4"/>
    <w:rsid w:val="06200CE7"/>
    <w:rsid w:val="062349F8"/>
    <w:rsid w:val="062844A4"/>
    <w:rsid w:val="062D6BAB"/>
    <w:rsid w:val="0633430C"/>
    <w:rsid w:val="06353733"/>
    <w:rsid w:val="06360EDD"/>
    <w:rsid w:val="063E7D85"/>
    <w:rsid w:val="06684C41"/>
    <w:rsid w:val="067D3A89"/>
    <w:rsid w:val="067E7FF3"/>
    <w:rsid w:val="06807708"/>
    <w:rsid w:val="068804A7"/>
    <w:rsid w:val="068D7149"/>
    <w:rsid w:val="06C1376F"/>
    <w:rsid w:val="06D95A8A"/>
    <w:rsid w:val="06DE3825"/>
    <w:rsid w:val="06EB6E0C"/>
    <w:rsid w:val="06EE4206"/>
    <w:rsid w:val="06F114D9"/>
    <w:rsid w:val="070103DE"/>
    <w:rsid w:val="07135AA7"/>
    <w:rsid w:val="07174993"/>
    <w:rsid w:val="07293586"/>
    <w:rsid w:val="07295285"/>
    <w:rsid w:val="075E7EE7"/>
    <w:rsid w:val="07630750"/>
    <w:rsid w:val="07634BF4"/>
    <w:rsid w:val="07636392"/>
    <w:rsid w:val="07650F54"/>
    <w:rsid w:val="076F4FFA"/>
    <w:rsid w:val="07733224"/>
    <w:rsid w:val="07770C56"/>
    <w:rsid w:val="078164E0"/>
    <w:rsid w:val="07857FB4"/>
    <w:rsid w:val="0790350F"/>
    <w:rsid w:val="07950C02"/>
    <w:rsid w:val="07995D19"/>
    <w:rsid w:val="07A236EC"/>
    <w:rsid w:val="07B05960"/>
    <w:rsid w:val="07B14F04"/>
    <w:rsid w:val="07B35756"/>
    <w:rsid w:val="07CD6512"/>
    <w:rsid w:val="07E3599F"/>
    <w:rsid w:val="07E36ABB"/>
    <w:rsid w:val="07E931AF"/>
    <w:rsid w:val="08043390"/>
    <w:rsid w:val="08221664"/>
    <w:rsid w:val="082549AF"/>
    <w:rsid w:val="083D48CB"/>
    <w:rsid w:val="084D277C"/>
    <w:rsid w:val="085239CE"/>
    <w:rsid w:val="08676145"/>
    <w:rsid w:val="08851411"/>
    <w:rsid w:val="088766C0"/>
    <w:rsid w:val="088C3CD7"/>
    <w:rsid w:val="08907C4F"/>
    <w:rsid w:val="08921B11"/>
    <w:rsid w:val="089E263B"/>
    <w:rsid w:val="08A5174E"/>
    <w:rsid w:val="08A94AC0"/>
    <w:rsid w:val="08B0347A"/>
    <w:rsid w:val="08C82DD5"/>
    <w:rsid w:val="08CC0577"/>
    <w:rsid w:val="08D31906"/>
    <w:rsid w:val="08D57A2A"/>
    <w:rsid w:val="08DA1FE2"/>
    <w:rsid w:val="08DC4EB8"/>
    <w:rsid w:val="08DD2784"/>
    <w:rsid w:val="08E367F2"/>
    <w:rsid w:val="08EB30F3"/>
    <w:rsid w:val="090002BB"/>
    <w:rsid w:val="09077801"/>
    <w:rsid w:val="090F15D7"/>
    <w:rsid w:val="09191BC9"/>
    <w:rsid w:val="092217DD"/>
    <w:rsid w:val="0927168D"/>
    <w:rsid w:val="092959CA"/>
    <w:rsid w:val="093A7294"/>
    <w:rsid w:val="0976316B"/>
    <w:rsid w:val="098470A4"/>
    <w:rsid w:val="098701D3"/>
    <w:rsid w:val="098D5F59"/>
    <w:rsid w:val="098E1B2F"/>
    <w:rsid w:val="09A80264"/>
    <w:rsid w:val="09C0632E"/>
    <w:rsid w:val="09C676BC"/>
    <w:rsid w:val="09D973F0"/>
    <w:rsid w:val="09F61D50"/>
    <w:rsid w:val="09F71624"/>
    <w:rsid w:val="09FD7E16"/>
    <w:rsid w:val="0A0019BD"/>
    <w:rsid w:val="0A083DD1"/>
    <w:rsid w:val="0A1B3564"/>
    <w:rsid w:val="0A1B5F1C"/>
    <w:rsid w:val="0A263993"/>
    <w:rsid w:val="0A2D3AC2"/>
    <w:rsid w:val="0A3D48EC"/>
    <w:rsid w:val="0A3F73AB"/>
    <w:rsid w:val="0A53598C"/>
    <w:rsid w:val="0A597601"/>
    <w:rsid w:val="0A64315D"/>
    <w:rsid w:val="0A833541"/>
    <w:rsid w:val="0A946CF9"/>
    <w:rsid w:val="0A960E3D"/>
    <w:rsid w:val="0A9D47E0"/>
    <w:rsid w:val="0A9E5F43"/>
    <w:rsid w:val="0AA755DF"/>
    <w:rsid w:val="0AAA48E8"/>
    <w:rsid w:val="0AAC065F"/>
    <w:rsid w:val="0ADA69F8"/>
    <w:rsid w:val="0ADF4408"/>
    <w:rsid w:val="0AE24743"/>
    <w:rsid w:val="0AEB0DA5"/>
    <w:rsid w:val="0AED2402"/>
    <w:rsid w:val="0AEE6F52"/>
    <w:rsid w:val="0B120D44"/>
    <w:rsid w:val="0B2F6CF7"/>
    <w:rsid w:val="0B39025F"/>
    <w:rsid w:val="0B616A44"/>
    <w:rsid w:val="0B675807"/>
    <w:rsid w:val="0B6E652E"/>
    <w:rsid w:val="0B720225"/>
    <w:rsid w:val="0BA13BFD"/>
    <w:rsid w:val="0BBA5438"/>
    <w:rsid w:val="0BCA59B3"/>
    <w:rsid w:val="0BD27BF6"/>
    <w:rsid w:val="0BD4204C"/>
    <w:rsid w:val="0BD83892"/>
    <w:rsid w:val="0BE5207C"/>
    <w:rsid w:val="0BF10823"/>
    <w:rsid w:val="0BF90DD5"/>
    <w:rsid w:val="0C1C4DC4"/>
    <w:rsid w:val="0C22507E"/>
    <w:rsid w:val="0C2447F1"/>
    <w:rsid w:val="0C252478"/>
    <w:rsid w:val="0C275F3F"/>
    <w:rsid w:val="0C2D5832"/>
    <w:rsid w:val="0C360B3D"/>
    <w:rsid w:val="0C3B3C7D"/>
    <w:rsid w:val="0C404519"/>
    <w:rsid w:val="0C525237"/>
    <w:rsid w:val="0C542D5E"/>
    <w:rsid w:val="0C6446CE"/>
    <w:rsid w:val="0C656D19"/>
    <w:rsid w:val="0C6D01CC"/>
    <w:rsid w:val="0C7A1882"/>
    <w:rsid w:val="0C8A49D1"/>
    <w:rsid w:val="0C992E66"/>
    <w:rsid w:val="0CAB2EAE"/>
    <w:rsid w:val="0CB41DE1"/>
    <w:rsid w:val="0CCA74C4"/>
    <w:rsid w:val="0CF13EEA"/>
    <w:rsid w:val="0CF53F07"/>
    <w:rsid w:val="0D0745DD"/>
    <w:rsid w:val="0D15043A"/>
    <w:rsid w:val="0D17689C"/>
    <w:rsid w:val="0D222919"/>
    <w:rsid w:val="0D341995"/>
    <w:rsid w:val="0D3D7C96"/>
    <w:rsid w:val="0D4B4C9C"/>
    <w:rsid w:val="0D5E3A73"/>
    <w:rsid w:val="0D621C7D"/>
    <w:rsid w:val="0D640815"/>
    <w:rsid w:val="0D865199"/>
    <w:rsid w:val="0D9F44AC"/>
    <w:rsid w:val="0E011F83"/>
    <w:rsid w:val="0E015524"/>
    <w:rsid w:val="0E016F15"/>
    <w:rsid w:val="0E0B7738"/>
    <w:rsid w:val="0E1A1D85"/>
    <w:rsid w:val="0E37227B"/>
    <w:rsid w:val="0E3A41D5"/>
    <w:rsid w:val="0E4D483E"/>
    <w:rsid w:val="0E527771"/>
    <w:rsid w:val="0E5E6FE3"/>
    <w:rsid w:val="0E644F96"/>
    <w:rsid w:val="0E6D765A"/>
    <w:rsid w:val="0E73034D"/>
    <w:rsid w:val="0E794CFD"/>
    <w:rsid w:val="0E7B2823"/>
    <w:rsid w:val="0E9B300B"/>
    <w:rsid w:val="0EB7581B"/>
    <w:rsid w:val="0ECA5069"/>
    <w:rsid w:val="0ECF0DC1"/>
    <w:rsid w:val="0ED116D2"/>
    <w:rsid w:val="0ED76963"/>
    <w:rsid w:val="0EF820C6"/>
    <w:rsid w:val="0EF91BF6"/>
    <w:rsid w:val="0F13775A"/>
    <w:rsid w:val="0F19203C"/>
    <w:rsid w:val="0F2E7001"/>
    <w:rsid w:val="0F451DFB"/>
    <w:rsid w:val="0F490B74"/>
    <w:rsid w:val="0F4E3D3C"/>
    <w:rsid w:val="0F575F81"/>
    <w:rsid w:val="0F5F45FE"/>
    <w:rsid w:val="0F6B43D9"/>
    <w:rsid w:val="0F7958ED"/>
    <w:rsid w:val="0F7D6A6F"/>
    <w:rsid w:val="0F9A112B"/>
    <w:rsid w:val="0F9B29E3"/>
    <w:rsid w:val="0FBA737B"/>
    <w:rsid w:val="0FC712FE"/>
    <w:rsid w:val="0FC76A1A"/>
    <w:rsid w:val="0FCC383C"/>
    <w:rsid w:val="0FD92E58"/>
    <w:rsid w:val="0FDB1B08"/>
    <w:rsid w:val="0FEE0A1C"/>
    <w:rsid w:val="0FF05B30"/>
    <w:rsid w:val="0FF57D10"/>
    <w:rsid w:val="0FFC1742"/>
    <w:rsid w:val="10485927"/>
    <w:rsid w:val="105D0B3E"/>
    <w:rsid w:val="106D2F64"/>
    <w:rsid w:val="10716EE4"/>
    <w:rsid w:val="107F236E"/>
    <w:rsid w:val="109B0441"/>
    <w:rsid w:val="10A0102D"/>
    <w:rsid w:val="10A024CA"/>
    <w:rsid w:val="10A047C3"/>
    <w:rsid w:val="10AA79F9"/>
    <w:rsid w:val="10B63710"/>
    <w:rsid w:val="10D17073"/>
    <w:rsid w:val="10E636B7"/>
    <w:rsid w:val="10E8262F"/>
    <w:rsid w:val="10EA0134"/>
    <w:rsid w:val="10F10820"/>
    <w:rsid w:val="10FF7801"/>
    <w:rsid w:val="11034969"/>
    <w:rsid w:val="111C2F7A"/>
    <w:rsid w:val="1122167C"/>
    <w:rsid w:val="11313CFF"/>
    <w:rsid w:val="1150258C"/>
    <w:rsid w:val="11515ABE"/>
    <w:rsid w:val="11525702"/>
    <w:rsid w:val="11665CA1"/>
    <w:rsid w:val="11892769"/>
    <w:rsid w:val="118B7904"/>
    <w:rsid w:val="119A4E54"/>
    <w:rsid w:val="11A007F3"/>
    <w:rsid w:val="11AE4CBE"/>
    <w:rsid w:val="11AF3F8B"/>
    <w:rsid w:val="11AF7E92"/>
    <w:rsid w:val="11B06C88"/>
    <w:rsid w:val="11D81D3B"/>
    <w:rsid w:val="11E26358"/>
    <w:rsid w:val="12040D82"/>
    <w:rsid w:val="1208017F"/>
    <w:rsid w:val="12090E6D"/>
    <w:rsid w:val="121F0C0B"/>
    <w:rsid w:val="1230601B"/>
    <w:rsid w:val="12322581"/>
    <w:rsid w:val="1233078C"/>
    <w:rsid w:val="12373F9F"/>
    <w:rsid w:val="125C296C"/>
    <w:rsid w:val="12643D06"/>
    <w:rsid w:val="126D288E"/>
    <w:rsid w:val="12805118"/>
    <w:rsid w:val="128D604D"/>
    <w:rsid w:val="12941E21"/>
    <w:rsid w:val="12AF6F40"/>
    <w:rsid w:val="12B300E6"/>
    <w:rsid w:val="12B46304"/>
    <w:rsid w:val="12BB55BA"/>
    <w:rsid w:val="12C010C0"/>
    <w:rsid w:val="12C15FAC"/>
    <w:rsid w:val="12D15E76"/>
    <w:rsid w:val="12D5428F"/>
    <w:rsid w:val="12EE333C"/>
    <w:rsid w:val="12FD2012"/>
    <w:rsid w:val="1300136F"/>
    <w:rsid w:val="13025B5F"/>
    <w:rsid w:val="130552ED"/>
    <w:rsid w:val="131365EE"/>
    <w:rsid w:val="1340403C"/>
    <w:rsid w:val="135B633B"/>
    <w:rsid w:val="13723C23"/>
    <w:rsid w:val="13765DD8"/>
    <w:rsid w:val="13791886"/>
    <w:rsid w:val="137B209E"/>
    <w:rsid w:val="13951726"/>
    <w:rsid w:val="13961771"/>
    <w:rsid w:val="13BB0282"/>
    <w:rsid w:val="13C30FE5"/>
    <w:rsid w:val="13D529D6"/>
    <w:rsid w:val="13D64817"/>
    <w:rsid w:val="13D714E4"/>
    <w:rsid w:val="14082F3E"/>
    <w:rsid w:val="140F6F71"/>
    <w:rsid w:val="14217A06"/>
    <w:rsid w:val="142A441A"/>
    <w:rsid w:val="143962DA"/>
    <w:rsid w:val="14396509"/>
    <w:rsid w:val="143F6014"/>
    <w:rsid w:val="144731A8"/>
    <w:rsid w:val="144E09DA"/>
    <w:rsid w:val="145A1703"/>
    <w:rsid w:val="148461AA"/>
    <w:rsid w:val="149C7709"/>
    <w:rsid w:val="149D2D50"/>
    <w:rsid w:val="14A34312"/>
    <w:rsid w:val="14A44A93"/>
    <w:rsid w:val="14AB3FBF"/>
    <w:rsid w:val="14B21DF3"/>
    <w:rsid w:val="14BB269D"/>
    <w:rsid w:val="14BC76F2"/>
    <w:rsid w:val="14DD2C3C"/>
    <w:rsid w:val="14E02D75"/>
    <w:rsid w:val="14E9276F"/>
    <w:rsid w:val="14FF7BAF"/>
    <w:rsid w:val="150F1F18"/>
    <w:rsid w:val="15284D87"/>
    <w:rsid w:val="153F04BB"/>
    <w:rsid w:val="15506B6F"/>
    <w:rsid w:val="1555021C"/>
    <w:rsid w:val="1565214A"/>
    <w:rsid w:val="15735C07"/>
    <w:rsid w:val="157C2160"/>
    <w:rsid w:val="158C28CD"/>
    <w:rsid w:val="15A92ABC"/>
    <w:rsid w:val="15C96C4C"/>
    <w:rsid w:val="15D36669"/>
    <w:rsid w:val="15EA1BCA"/>
    <w:rsid w:val="15EE5310"/>
    <w:rsid w:val="15F25E76"/>
    <w:rsid w:val="16087E1D"/>
    <w:rsid w:val="165150E7"/>
    <w:rsid w:val="165C0D75"/>
    <w:rsid w:val="1662150B"/>
    <w:rsid w:val="167364D6"/>
    <w:rsid w:val="167634FB"/>
    <w:rsid w:val="168F23F6"/>
    <w:rsid w:val="169721C5"/>
    <w:rsid w:val="169C3E79"/>
    <w:rsid w:val="16A05DE3"/>
    <w:rsid w:val="16A166FF"/>
    <w:rsid w:val="16A55642"/>
    <w:rsid w:val="16AA2F92"/>
    <w:rsid w:val="16AE3B63"/>
    <w:rsid w:val="16C67A18"/>
    <w:rsid w:val="16C86736"/>
    <w:rsid w:val="16D9538A"/>
    <w:rsid w:val="173A5D24"/>
    <w:rsid w:val="17546301"/>
    <w:rsid w:val="175F2770"/>
    <w:rsid w:val="176A7284"/>
    <w:rsid w:val="176F3BD1"/>
    <w:rsid w:val="17701D14"/>
    <w:rsid w:val="17735226"/>
    <w:rsid w:val="17A76386"/>
    <w:rsid w:val="17C9256F"/>
    <w:rsid w:val="17D63024"/>
    <w:rsid w:val="17DD3601"/>
    <w:rsid w:val="18475E6C"/>
    <w:rsid w:val="18655E62"/>
    <w:rsid w:val="18730A0F"/>
    <w:rsid w:val="189F624C"/>
    <w:rsid w:val="18AB2EF1"/>
    <w:rsid w:val="18BE0A4B"/>
    <w:rsid w:val="18BF1EA7"/>
    <w:rsid w:val="18CF07B5"/>
    <w:rsid w:val="18DF42F7"/>
    <w:rsid w:val="18E11E1D"/>
    <w:rsid w:val="18F15AA0"/>
    <w:rsid w:val="18F338FE"/>
    <w:rsid w:val="18FE720A"/>
    <w:rsid w:val="190909CA"/>
    <w:rsid w:val="190A2398"/>
    <w:rsid w:val="19106693"/>
    <w:rsid w:val="192845BF"/>
    <w:rsid w:val="193B4BF6"/>
    <w:rsid w:val="193B76D1"/>
    <w:rsid w:val="195E020D"/>
    <w:rsid w:val="19742C91"/>
    <w:rsid w:val="1976176F"/>
    <w:rsid w:val="198303AF"/>
    <w:rsid w:val="19913333"/>
    <w:rsid w:val="199505E4"/>
    <w:rsid w:val="19AA5FB5"/>
    <w:rsid w:val="19AD4E6A"/>
    <w:rsid w:val="19B201F5"/>
    <w:rsid w:val="19BB441C"/>
    <w:rsid w:val="19D16A7B"/>
    <w:rsid w:val="19E26BA3"/>
    <w:rsid w:val="19F8741E"/>
    <w:rsid w:val="1A0C42D0"/>
    <w:rsid w:val="1A187CDB"/>
    <w:rsid w:val="1A1C66C0"/>
    <w:rsid w:val="1A2603A9"/>
    <w:rsid w:val="1A2A3350"/>
    <w:rsid w:val="1A2C0DC0"/>
    <w:rsid w:val="1A2E2078"/>
    <w:rsid w:val="1A42393B"/>
    <w:rsid w:val="1A642D06"/>
    <w:rsid w:val="1A6476F9"/>
    <w:rsid w:val="1A6B4D64"/>
    <w:rsid w:val="1A8C400A"/>
    <w:rsid w:val="1A911343"/>
    <w:rsid w:val="1A9A33B4"/>
    <w:rsid w:val="1AA154CF"/>
    <w:rsid w:val="1AAB5CD6"/>
    <w:rsid w:val="1AAD45DE"/>
    <w:rsid w:val="1ADB0DF8"/>
    <w:rsid w:val="1AE16E05"/>
    <w:rsid w:val="1AE52321"/>
    <w:rsid w:val="1AE746F2"/>
    <w:rsid w:val="1AF36070"/>
    <w:rsid w:val="1B046F80"/>
    <w:rsid w:val="1B3267B5"/>
    <w:rsid w:val="1B3B2578"/>
    <w:rsid w:val="1B40161D"/>
    <w:rsid w:val="1B441859"/>
    <w:rsid w:val="1B552E93"/>
    <w:rsid w:val="1B5A5081"/>
    <w:rsid w:val="1B6034CD"/>
    <w:rsid w:val="1B6606B1"/>
    <w:rsid w:val="1B66485B"/>
    <w:rsid w:val="1B6C4832"/>
    <w:rsid w:val="1B7712D1"/>
    <w:rsid w:val="1B965801"/>
    <w:rsid w:val="1B9E4810"/>
    <w:rsid w:val="1BB870C9"/>
    <w:rsid w:val="1BD24C6D"/>
    <w:rsid w:val="1C057BD0"/>
    <w:rsid w:val="1C0A7710"/>
    <w:rsid w:val="1C2534B1"/>
    <w:rsid w:val="1C2C28A4"/>
    <w:rsid w:val="1C2E1109"/>
    <w:rsid w:val="1C3337B9"/>
    <w:rsid w:val="1C3404B6"/>
    <w:rsid w:val="1C3D7816"/>
    <w:rsid w:val="1C5775B1"/>
    <w:rsid w:val="1C5D7A0C"/>
    <w:rsid w:val="1C5E7925"/>
    <w:rsid w:val="1C6B432E"/>
    <w:rsid w:val="1C74340D"/>
    <w:rsid w:val="1C8013B6"/>
    <w:rsid w:val="1C8D716C"/>
    <w:rsid w:val="1C940F54"/>
    <w:rsid w:val="1C991009"/>
    <w:rsid w:val="1CB239BD"/>
    <w:rsid w:val="1CCF1FC0"/>
    <w:rsid w:val="1CDB049A"/>
    <w:rsid w:val="1CE04199"/>
    <w:rsid w:val="1CE63B1B"/>
    <w:rsid w:val="1CFD070F"/>
    <w:rsid w:val="1D0B7468"/>
    <w:rsid w:val="1D0C2186"/>
    <w:rsid w:val="1D0D19BA"/>
    <w:rsid w:val="1D17405F"/>
    <w:rsid w:val="1D24677C"/>
    <w:rsid w:val="1D293D92"/>
    <w:rsid w:val="1D303129"/>
    <w:rsid w:val="1D585D8A"/>
    <w:rsid w:val="1D5F6196"/>
    <w:rsid w:val="1D6132A5"/>
    <w:rsid w:val="1D6F7815"/>
    <w:rsid w:val="1D706142"/>
    <w:rsid w:val="1D72025A"/>
    <w:rsid w:val="1D727A2F"/>
    <w:rsid w:val="1D8334A3"/>
    <w:rsid w:val="1D8B39D8"/>
    <w:rsid w:val="1D8E56D5"/>
    <w:rsid w:val="1D8E6940"/>
    <w:rsid w:val="1DAF24EA"/>
    <w:rsid w:val="1DB83B06"/>
    <w:rsid w:val="1DC6338F"/>
    <w:rsid w:val="1DD3267D"/>
    <w:rsid w:val="1DDA4206"/>
    <w:rsid w:val="1DE46C60"/>
    <w:rsid w:val="1DE50EAD"/>
    <w:rsid w:val="1DF44011"/>
    <w:rsid w:val="1E01086B"/>
    <w:rsid w:val="1E1D044F"/>
    <w:rsid w:val="1E3869C7"/>
    <w:rsid w:val="1E432470"/>
    <w:rsid w:val="1E4F2A7A"/>
    <w:rsid w:val="1E72416F"/>
    <w:rsid w:val="1E754E73"/>
    <w:rsid w:val="1E7A43DA"/>
    <w:rsid w:val="1E8326C9"/>
    <w:rsid w:val="1E8E4F34"/>
    <w:rsid w:val="1E9D735B"/>
    <w:rsid w:val="1EAA5C8C"/>
    <w:rsid w:val="1ECA6EAF"/>
    <w:rsid w:val="1EE548DC"/>
    <w:rsid w:val="1EEB4816"/>
    <w:rsid w:val="1EF3326F"/>
    <w:rsid w:val="1EF36406"/>
    <w:rsid w:val="1EFE68E3"/>
    <w:rsid w:val="1EFE6A05"/>
    <w:rsid w:val="1F0625DD"/>
    <w:rsid w:val="1F072F63"/>
    <w:rsid w:val="1F0C6A22"/>
    <w:rsid w:val="1F120CAE"/>
    <w:rsid w:val="1F1B2434"/>
    <w:rsid w:val="1F2667DB"/>
    <w:rsid w:val="1F3639AC"/>
    <w:rsid w:val="1F380618"/>
    <w:rsid w:val="1F4145DE"/>
    <w:rsid w:val="1F533349"/>
    <w:rsid w:val="1F5514F4"/>
    <w:rsid w:val="1F5D2F2C"/>
    <w:rsid w:val="1F667210"/>
    <w:rsid w:val="1F6B1651"/>
    <w:rsid w:val="1F811C64"/>
    <w:rsid w:val="1F833940"/>
    <w:rsid w:val="1F9E1039"/>
    <w:rsid w:val="1FA80990"/>
    <w:rsid w:val="1FD07B27"/>
    <w:rsid w:val="1FD24E02"/>
    <w:rsid w:val="1FE7539E"/>
    <w:rsid w:val="1FF64ED6"/>
    <w:rsid w:val="1FFA337D"/>
    <w:rsid w:val="20085287"/>
    <w:rsid w:val="201004E4"/>
    <w:rsid w:val="20120BDC"/>
    <w:rsid w:val="20284BCD"/>
    <w:rsid w:val="202A5D88"/>
    <w:rsid w:val="20450CC3"/>
    <w:rsid w:val="20671BE0"/>
    <w:rsid w:val="208916BF"/>
    <w:rsid w:val="208E5AB1"/>
    <w:rsid w:val="20907842"/>
    <w:rsid w:val="20944838"/>
    <w:rsid w:val="20963CB8"/>
    <w:rsid w:val="20A81A1B"/>
    <w:rsid w:val="20AC021F"/>
    <w:rsid w:val="20B07FB6"/>
    <w:rsid w:val="20B646FB"/>
    <w:rsid w:val="20C9519F"/>
    <w:rsid w:val="20C95670"/>
    <w:rsid w:val="20CC4492"/>
    <w:rsid w:val="20CC7028"/>
    <w:rsid w:val="20CF4C51"/>
    <w:rsid w:val="20D61B3B"/>
    <w:rsid w:val="210358FE"/>
    <w:rsid w:val="21192BBC"/>
    <w:rsid w:val="211A26E0"/>
    <w:rsid w:val="212C5C64"/>
    <w:rsid w:val="213B74B1"/>
    <w:rsid w:val="214F751D"/>
    <w:rsid w:val="215A2310"/>
    <w:rsid w:val="2161653A"/>
    <w:rsid w:val="21627873"/>
    <w:rsid w:val="21704095"/>
    <w:rsid w:val="21860CA9"/>
    <w:rsid w:val="218872DA"/>
    <w:rsid w:val="21902632"/>
    <w:rsid w:val="219958B3"/>
    <w:rsid w:val="219D54A6"/>
    <w:rsid w:val="21B74258"/>
    <w:rsid w:val="21C23FD2"/>
    <w:rsid w:val="21C72A3E"/>
    <w:rsid w:val="21C95466"/>
    <w:rsid w:val="21DD6EFA"/>
    <w:rsid w:val="21DE318A"/>
    <w:rsid w:val="21EF5B80"/>
    <w:rsid w:val="2201708C"/>
    <w:rsid w:val="2204562D"/>
    <w:rsid w:val="220F2740"/>
    <w:rsid w:val="223133D2"/>
    <w:rsid w:val="2234464E"/>
    <w:rsid w:val="2253695F"/>
    <w:rsid w:val="22576990"/>
    <w:rsid w:val="22C40F52"/>
    <w:rsid w:val="22DD21AA"/>
    <w:rsid w:val="22DD3655"/>
    <w:rsid w:val="22E569AE"/>
    <w:rsid w:val="22E66958"/>
    <w:rsid w:val="22EA5D72"/>
    <w:rsid w:val="22F47480"/>
    <w:rsid w:val="22F5559F"/>
    <w:rsid w:val="23182A19"/>
    <w:rsid w:val="231966B5"/>
    <w:rsid w:val="2320025F"/>
    <w:rsid w:val="232F0744"/>
    <w:rsid w:val="233E17D0"/>
    <w:rsid w:val="236B3AFB"/>
    <w:rsid w:val="23815648"/>
    <w:rsid w:val="23816D83"/>
    <w:rsid w:val="238A34CA"/>
    <w:rsid w:val="23976623"/>
    <w:rsid w:val="239A7949"/>
    <w:rsid w:val="23AE0B4E"/>
    <w:rsid w:val="23BC47D1"/>
    <w:rsid w:val="23C71C0F"/>
    <w:rsid w:val="23D82B5E"/>
    <w:rsid w:val="23DE1C48"/>
    <w:rsid w:val="23E318DC"/>
    <w:rsid w:val="23EA20E0"/>
    <w:rsid w:val="23FD1350"/>
    <w:rsid w:val="240210CD"/>
    <w:rsid w:val="241E2177"/>
    <w:rsid w:val="2425014F"/>
    <w:rsid w:val="242C1642"/>
    <w:rsid w:val="24385602"/>
    <w:rsid w:val="243C25FD"/>
    <w:rsid w:val="243F6497"/>
    <w:rsid w:val="244E193E"/>
    <w:rsid w:val="24516A71"/>
    <w:rsid w:val="24531B41"/>
    <w:rsid w:val="2460453E"/>
    <w:rsid w:val="24674AE8"/>
    <w:rsid w:val="24705167"/>
    <w:rsid w:val="2483647E"/>
    <w:rsid w:val="24947C13"/>
    <w:rsid w:val="24BF09F7"/>
    <w:rsid w:val="24C42CDC"/>
    <w:rsid w:val="24C752B6"/>
    <w:rsid w:val="24D372C3"/>
    <w:rsid w:val="24E30CCB"/>
    <w:rsid w:val="24E34B84"/>
    <w:rsid w:val="24E61E3B"/>
    <w:rsid w:val="24ED2237"/>
    <w:rsid w:val="24F6285E"/>
    <w:rsid w:val="24F84365"/>
    <w:rsid w:val="24FD7FDE"/>
    <w:rsid w:val="25031118"/>
    <w:rsid w:val="251B37C5"/>
    <w:rsid w:val="252D53FE"/>
    <w:rsid w:val="25365E29"/>
    <w:rsid w:val="2542667D"/>
    <w:rsid w:val="257007B0"/>
    <w:rsid w:val="257357EF"/>
    <w:rsid w:val="25803D31"/>
    <w:rsid w:val="258E50DA"/>
    <w:rsid w:val="25A61E88"/>
    <w:rsid w:val="25B14C9A"/>
    <w:rsid w:val="25B27216"/>
    <w:rsid w:val="25C126ED"/>
    <w:rsid w:val="25C44658"/>
    <w:rsid w:val="25CC69B8"/>
    <w:rsid w:val="25DC00BB"/>
    <w:rsid w:val="25E570AB"/>
    <w:rsid w:val="25EC2D81"/>
    <w:rsid w:val="25EE0655"/>
    <w:rsid w:val="26020A18"/>
    <w:rsid w:val="26066C92"/>
    <w:rsid w:val="26136851"/>
    <w:rsid w:val="261F1DF0"/>
    <w:rsid w:val="263129AE"/>
    <w:rsid w:val="263B34E8"/>
    <w:rsid w:val="264D28A0"/>
    <w:rsid w:val="265005E2"/>
    <w:rsid w:val="26671AA9"/>
    <w:rsid w:val="266D2F42"/>
    <w:rsid w:val="26720B74"/>
    <w:rsid w:val="26753BA5"/>
    <w:rsid w:val="267A6508"/>
    <w:rsid w:val="267B4BC8"/>
    <w:rsid w:val="26A4430E"/>
    <w:rsid w:val="26B415D1"/>
    <w:rsid w:val="26C145CC"/>
    <w:rsid w:val="26C973CE"/>
    <w:rsid w:val="26DC3C24"/>
    <w:rsid w:val="26FF5FBD"/>
    <w:rsid w:val="270E0B50"/>
    <w:rsid w:val="271001E2"/>
    <w:rsid w:val="271605E7"/>
    <w:rsid w:val="273A59F5"/>
    <w:rsid w:val="27406B3E"/>
    <w:rsid w:val="27433CA3"/>
    <w:rsid w:val="274D4F09"/>
    <w:rsid w:val="275D5F9C"/>
    <w:rsid w:val="275E5415"/>
    <w:rsid w:val="277057A2"/>
    <w:rsid w:val="27750300"/>
    <w:rsid w:val="277858AD"/>
    <w:rsid w:val="277E2A63"/>
    <w:rsid w:val="27831145"/>
    <w:rsid w:val="27A26C1B"/>
    <w:rsid w:val="27C50B33"/>
    <w:rsid w:val="27CB5F53"/>
    <w:rsid w:val="27D4037A"/>
    <w:rsid w:val="27D62DE4"/>
    <w:rsid w:val="27DE2E8F"/>
    <w:rsid w:val="27F64E8C"/>
    <w:rsid w:val="28072F22"/>
    <w:rsid w:val="28101DD7"/>
    <w:rsid w:val="28275C5B"/>
    <w:rsid w:val="282B167B"/>
    <w:rsid w:val="2835183D"/>
    <w:rsid w:val="283979AF"/>
    <w:rsid w:val="283C7F62"/>
    <w:rsid w:val="283F6263"/>
    <w:rsid w:val="28475ED6"/>
    <w:rsid w:val="2858499F"/>
    <w:rsid w:val="286E715F"/>
    <w:rsid w:val="28702875"/>
    <w:rsid w:val="287E4F92"/>
    <w:rsid w:val="288612B9"/>
    <w:rsid w:val="289447B6"/>
    <w:rsid w:val="28997D6B"/>
    <w:rsid w:val="28A276F2"/>
    <w:rsid w:val="28C332ED"/>
    <w:rsid w:val="28CE18BA"/>
    <w:rsid w:val="28D15293"/>
    <w:rsid w:val="28D23530"/>
    <w:rsid w:val="28EF0A3F"/>
    <w:rsid w:val="28FA423F"/>
    <w:rsid w:val="29083835"/>
    <w:rsid w:val="29206EB8"/>
    <w:rsid w:val="2933688A"/>
    <w:rsid w:val="293734C5"/>
    <w:rsid w:val="293C03AC"/>
    <w:rsid w:val="29595666"/>
    <w:rsid w:val="295F21E3"/>
    <w:rsid w:val="296E2584"/>
    <w:rsid w:val="297B4394"/>
    <w:rsid w:val="297D77CD"/>
    <w:rsid w:val="29821D97"/>
    <w:rsid w:val="29874881"/>
    <w:rsid w:val="2993121A"/>
    <w:rsid w:val="29A72746"/>
    <w:rsid w:val="29CD5128"/>
    <w:rsid w:val="29D34DB9"/>
    <w:rsid w:val="29D532D8"/>
    <w:rsid w:val="29DD40DE"/>
    <w:rsid w:val="29E03602"/>
    <w:rsid w:val="29E23A09"/>
    <w:rsid w:val="29E325E0"/>
    <w:rsid w:val="29E52C48"/>
    <w:rsid w:val="29F22455"/>
    <w:rsid w:val="29F91161"/>
    <w:rsid w:val="2A1262DA"/>
    <w:rsid w:val="2A156D54"/>
    <w:rsid w:val="2A2B7EBD"/>
    <w:rsid w:val="2A2C7D1E"/>
    <w:rsid w:val="2A440DF7"/>
    <w:rsid w:val="2A452503"/>
    <w:rsid w:val="2A54453D"/>
    <w:rsid w:val="2A726D79"/>
    <w:rsid w:val="2A7E3AAD"/>
    <w:rsid w:val="2A8B54C0"/>
    <w:rsid w:val="2A8E3487"/>
    <w:rsid w:val="2A922F77"/>
    <w:rsid w:val="2A984F33"/>
    <w:rsid w:val="2AAA70FF"/>
    <w:rsid w:val="2AC43472"/>
    <w:rsid w:val="2AC65BF0"/>
    <w:rsid w:val="2ACF5F79"/>
    <w:rsid w:val="2AD64354"/>
    <w:rsid w:val="2ADF5860"/>
    <w:rsid w:val="2AF61758"/>
    <w:rsid w:val="2B05716D"/>
    <w:rsid w:val="2B14272F"/>
    <w:rsid w:val="2B147E30"/>
    <w:rsid w:val="2B195E43"/>
    <w:rsid w:val="2B250618"/>
    <w:rsid w:val="2B2D3F52"/>
    <w:rsid w:val="2B2D4A4E"/>
    <w:rsid w:val="2B336561"/>
    <w:rsid w:val="2B4A6DF2"/>
    <w:rsid w:val="2B6101BB"/>
    <w:rsid w:val="2B642241"/>
    <w:rsid w:val="2B682CA4"/>
    <w:rsid w:val="2B7721D4"/>
    <w:rsid w:val="2B7E174D"/>
    <w:rsid w:val="2B8124A8"/>
    <w:rsid w:val="2B8B06FC"/>
    <w:rsid w:val="2B8F729E"/>
    <w:rsid w:val="2B9D7EDC"/>
    <w:rsid w:val="2BA936A8"/>
    <w:rsid w:val="2BE22D7D"/>
    <w:rsid w:val="2C0248B3"/>
    <w:rsid w:val="2C08517A"/>
    <w:rsid w:val="2C0954BB"/>
    <w:rsid w:val="2C0A131E"/>
    <w:rsid w:val="2C140C75"/>
    <w:rsid w:val="2C165923"/>
    <w:rsid w:val="2C26606D"/>
    <w:rsid w:val="2C315A5A"/>
    <w:rsid w:val="2C454196"/>
    <w:rsid w:val="2C4B1C25"/>
    <w:rsid w:val="2C5F6665"/>
    <w:rsid w:val="2C65756B"/>
    <w:rsid w:val="2C891B1B"/>
    <w:rsid w:val="2C90798A"/>
    <w:rsid w:val="2C9638CD"/>
    <w:rsid w:val="2CAB3B93"/>
    <w:rsid w:val="2CB400D9"/>
    <w:rsid w:val="2CC41534"/>
    <w:rsid w:val="2CC41A8F"/>
    <w:rsid w:val="2CD935E2"/>
    <w:rsid w:val="2CE24F4D"/>
    <w:rsid w:val="2CF67876"/>
    <w:rsid w:val="2CF736AC"/>
    <w:rsid w:val="2CF866FB"/>
    <w:rsid w:val="2CF950D6"/>
    <w:rsid w:val="2D016192"/>
    <w:rsid w:val="2D08278D"/>
    <w:rsid w:val="2D1029D4"/>
    <w:rsid w:val="2D2A3110"/>
    <w:rsid w:val="2D2B1556"/>
    <w:rsid w:val="2D375999"/>
    <w:rsid w:val="2D564730"/>
    <w:rsid w:val="2D7A3231"/>
    <w:rsid w:val="2D7F7BA5"/>
    <w:rsid w:val="2D850B71"/>
    <w:rsid w:val="2D9569B9"/>
    <w:rsid w:val="2D9E56F5"/>
    <w:rsid w:val="2DCF07E2"/>
    <w:rsid w:val="2DD94DB4"/>
    <w:rsid w:val="2DDA700D"/>
    <w:rsid w:val="2DDF38C0"/>
    <w:rsid w:val="2DE55AB4"/>
    <w:rsid w:val="2DE57597"/>
    <w:rsid w:val="2DE808EE"/>
    <w:rsid w:val="2DFF115B"/>
    <w:rsid w:val="2E175CF9"/>
    <w:rsid w:val="2E1D349F"/>
    <w:rsid w:val="2E301E8A"/>
    <w:rsid w:val="2E315B44"/>
    <w:rsid w:val="2E3E53A1"/>
    <w:rsid w:val="2E444588"/>
    <w:rsid w:val="2E47051C"/>
    <w:rsid w:val="2E554CE2"/>
    <w:rsid w:val="2E645586"/>
    <w:rsid w:val="2E667F96"/>
    <w:rsid w:val="2E71315B"/>
    <w:rsid w:val="2E8226AB"/>
    <w:rsid w:val="2E8E259B"/>
    <w:rsid w:val="2E993178"/>
    <w:rsid w:val="2EAF7A87"/>
    <w:rsid w:val="2ECA230C"/>
    <w:rsid w:val="2ECB6B12"/>
    <w:rsid w:val="2ECC0DE7"/>
    <w:rsid w:val="2F032695"/>
    <w:rsid w:val="2F034443"/>
    <w:rsid w:val="2F0C5689"/>
    <w:rsid w:val="2F1C5505"/>
    <w:rsid w:val="2F261BC9"/>
    <w:rsid w:val="2F315D7F"/>
    <w:rsid w:val="2F32656E"/>
    <w:rsid w:val="2F367D1A"/>
    <w:rsid w:val="2F391C13"/>
    <w:rsid w:val="2F3B5F94"/>
    <w:rsid w:val="2F4D2112"/>
    <w:rsid w:val="2F547E0C"/>
    <w:rsid w:val="2F560A17"/>
    <w:rsid w:val="2F565711"/>
    <w:rsid w:val="2F6C4893"/>
    <w:rsid w:val="2F7C7CA4"/>
    <w:rsid w:val="2F85552D"/>
    <w:rsid w:val="2F8A6913"/>
    <w:rsid w:val="2FC34923"/>
    <w:rsid w:val="2FC605D9"/>
    <w:rsid w:val="2FD065E6"/>
    <w:rsid w:val="2FD63906"/>
    <w:rsid w:val="2FD96870"/>
    <w:rsid w:val="2FDB378B"/>
    <w:rsid w:val="2FDC44EE"/>
    <w:rsid w:val="2FE9188B"/>
    <w:rsid w:val="2FEC3D42"/>
    <w:rsid w:val="30032221"/>
    <w:rsid w:val="30185CCC"/>
    <w:rsid w:val="3026081B"/>
    <w:rsid w:val="302846F7"/>
    <w:rsid w:val="30534F57"/>
    <w:rsid w:val="30580BC9"/>
    <w:rsid w:val="30593795"/>
    <w:rsid w:val="307C794F"/>
    <w:rsid w:val="30973FD8"/>
    <w:rsid w:val="30982B54"/>
    <w:rsid w:val="309940B3"/>
    <w:rsid w:val="309978DB"/>
    <w:rsid w:val="30A1444B"/>
    <w:rsid w:val="30BB49A0"/>
    <w:rsid w:val="30BD6A03"/>
    <w:rsid w:val="30C1286A"/>
    <w:rsid w:val="30CB71E3"/>
    <w:rsid w:val="30CF25EF"/>
    <w:rsid w:val="30EF4A63"/>
    <w:rsid w:val="30F524B2"/>
    <w:rsid w:val="30F72540"/>
    <w:rsid w:val="30FC101F"/>
    <w:rsid w:val="310115DC"/>
    <w:rsid w:val="310C5790"/>
    <w:rsid w:val="310D4302"/>
    <w:rsid w:val="311E2ED7"/>
    <w:rsid w:val="312F5D66"/>
    <w:rsid w:val="31330A6A"/>
    <w:rsid w:val="315216B2"/>
    <w:rsid w:val="315619EE"/>
    <w:rsid w:val="31562C78"/>
    <w:rsid w:val="315B3527"/>
    <w:rsid w:val="315C449C"/>
    <w:rsid w:val="316450AF"/>
    <w:rsid w:val="31724A29"/>
    <w:rsid w:val="31744453"/>
    <w:rsid w:val="318143C9"/>
    <w:rsid w:val="319475D5"/>
    <w:rsid w:val="31B82709"/>
    <w:rsid w:val="31C169AB"/>
    <w:rsid w:val="31D05482"/>
    <w:rsid w:val="31D95345"/>
    <w:rsid w:val="31DA3488"/>
    <w:rsid w:val="31F462C5"/>
    <w:rsid w:val="321541C5"/>
    <w:rsid w:val="321A149A"/>
    <w:rsid w:val="321C73F1"/>
    <w:rsid w:val="323E3E3D"/>
    <w:rsid w:val="32400B34"/>
    <w:rsid w:val="32417C89"/>
    <w:rsid w:val="324A2A29"/>
    <w:rsid w:val="3259201D"/>
    <w:rsid w:val="326564DD"/>
    <w:rsid w:val="326771FA"/>
    <w:rsid w:val="326F6506"/>
    <w:rsid w:val="328A4FC5"/>
    <w:rsid w:val="329E6876"/>
    <w:rsid w:val="32A614AF"/>
    <w:rsid w:val="32CB24FE"/>
    <w:rsid w:val="32D05EAC"/>
    <w:rsid w:val="32E62BDB"/>
    <w:rsid w:val="32EE73AD"/>
    <w:rsid w:val="32F124A1"/>
    <w:rsid w:val="32FF3876"/>
    <w:rsid w:val="330D552F"/>
    <w:rsid w:val="331A5354"/>
    <w:rsid w:val="332B27A6"/>
    <w:rsid w:val="333015F2"/>
    <w:rsid w:val="334B6320"/>
    <w:rsid w:val="33857969"/>
    <w:rsid w:val="33931BF5"/>
    <w:rsid w:val="33A9778E"/>
    <w:rsid w:val="33B60D2A"/>
    <w:rsid w:val="33BC2E13"/>
    <w:rsid w:val="33C54A31"/>
    <w:rsid w:val="33D934D4"/>
    <w:rsid w:val="33E5558B"/>
    <w:rsid w:val="33F00D0E"/>
    <w:rsid w:val="33FE2F6A"/>
    <w:rsid w:val="340824FC"/>
    <w:rsid w:val="340E07E5"/>
    <w:rsid w:val="3412077E"/>
    <w:rsid w:val="34235BF7"/>
    <w:rsid w:val="34256C0A"/>
    <w:rsid w:val="342B741D"/>
    <w:rsid w:val="34303663"/>
    <w:rsid w:val="343345BA"/>
    <w:rsid w:val="34387AA0"/>
    <w:rsid w:val="344563D5"/>
    <w:rsid w:val="344A1390"/>
    <w:rsid w:val="3454129D"/>
    <w:rsid w:val="346106A8"/>
    <w:rsid w:val="346314E0"/>
    <w:rsid w:val="346A286F"/>
    <w:rsid w:val="349F69BC"/>
    <w:rsid w:val="34A264AC"/>
    <w:rsid w:val="34BE4995"/>
    <w:rsid w:val="34C9305D"/>
    <w:rsid w:val="34DD74E5"/>
    <w:rsid w:val="35040DF3"/>
    <w:rsid w:val="350B4052"/>
    <w:rsid w:val="352C32A2"/>
    <w:rsid w:val="352F719A"/>
    <w:rsid w:val="353648EE"/>
    <w:rsid w:val="3537243D"/>
    <w:rsid w:val="354B444E"/>
    <w:rsid w:val="354D3CC9"/>
    <w:rsid w:val="356C42ED"/>
    <w:rsid w:val="35783AAE"/>
    <w:rsid w:val="357A2C41"/>
    <w:rsid w:val="357E0CC8"/>
    <w:rsid w:val="358C5FA8"/>
    <w:rsid w:val="359236C7"/>
    <w:rsid w:val="35BD6A94"/>
    <w:rsid w:val="35C15DF1"/>
    <w:rsid w:val="35CE4F56"/>
    <w:rsid w:val="35D30255"/>
    <w:rsid w:val="35E02D95"/>
    <w:rsid w:val="35E26AD4"/>
    <w:rsid w:val="35EB5C31"/>
    <w:rsid w:val="35ED0E58"/>
    <w:rsid w:val="35F42D38"/>
    <w:rsid w:val="35F47056"/>
    <w:rsid w:val="36043061"/>
    <w:rsid w:val="36074A7F"/>
    <w:rsid w:val="3629584E"/>
    <w:rsid w:val="362967B5"/>
    <w:rsid w:val="362C0724"/>
    <w:rsid w:val="362C4F6E"/>
    <w:rsid w:val="36301896"/>
    <w:rsid w:val="3650597E"/>
    <w:rsid w:val="365B6913"/>
    <w:rsid w:val="36630477"/>
    <w:rsid w:val="366D29B1"/>
    <w:rsid w:val="36767BF1"/>
    <w:rsid w:val="3679323D"/>
    <w:rsid w:val="367E654A"/>
    <w:rsid w:val="368A71F8"/>
    <w:rsid w:val="36923549"/>
    <w:rsid w:val="369241CB"/>
    <w:rsid w:val="36936E01"/>
    <w:rsid w:val="36AC3AB1"/>
    <w:rsid w:val="36B75FBF"/>
    <w:rsid w:val="36BA5D97"/>
    <w:rsid w:val="36BC36A8"/>
    <w:rsid w:val="36BD0C45"/>
    <w:rsid w:val="36CA3897"/>
    <w:rsid w:val="36CE177E"/>
    <w:rsid w:val="36D3462E"/>
    <w:rsid w:val="36DB2484"/>
    <w:rsid w:val="36E302E1"/>
    <w:rsid w:val="36E60560"/>
    <w:rsid w:val="36EE59D9"/>
    <w:rsid w:val="36F31241"/>
    <w:rsid w:val="36FC7BD8"/>
    <w:rsid w:val="37133D87"/>
    <w:rsid w:val="37155300"/>
    <w:rsid w:val="3729227D"/>
    <w:rsid w:val="372D3C50"/>
    <w:rsid w:val="372D686A"/>
    <w:rsid w:val="372E0158"/>
    <w:rsid w:val="37344F8C"/>
    <w:rsid w:val="3738579D"/>
    <w:rsid w:val="37404CD8"/>
    <w:rsid w:val="375A75B3"/>
    <w:rsid w:val="37631B71"/>
    <w:rsid w:val="3768578B"/>
    <w:rsid w:val="376A3337"/>
    <w:rsid w:val="376B13CE"/>
    <w:rsid w:val="377315A4"/>
    <w:rsid w:val="378123A9"/>
    <w:rsid w:val="37A30A5B"/>
    <w:rsid w:val="37A91900"/>
    <w:rsid w:val="37AE12CD"/>
    <w:rsid w:val="37B15D81"/>
    <w:rsid w:val="37C472BE"/>
    <w:rsid w:val="37CB7AC8"/>
    <w:rsid w:val="37D35E7A"/>
    <w:rsid w:val="37E00298"/>
    <w:rsid w:val="37E91D64"/>
    <w:rsid w:val="37EC50DD"/>
    <w:rsid w:val="3800793D"/>
    <w:rsid w:val="380B1ADE"/>
    <w:rsid w:val="38115CE7"/>
    <w:rsid w:val="381F0B42"/>
    <w:rsid w:val="382B3962"/>
    <w:rsid w:val="38462E60"/>
    <w:rsid w:val="384926EF"/>
    <w:rsid w:val="385230EB"/>
    <w:rsid w:val="38561E84"/>
    <w:rsid w:val="3862000E"/>
    <w:rsid w:val="386341A5"/>
    <w:rsid w:val="3870241E"/>
    <w:rsid w:val="387B329C"/>
    <w:rsid w:val="3885236D"/>
    <w:rsid w:val="3899266B"/>
    <w:rsid w:val="38A8605B"/>
    <w:rsid w:val="38B302F9"/>
    <w:rsid w:val="38B859B6"/>
    <w:rsid w:val="38BD2E8C"/>
    <w:rsid w:val="38C46460"/>
    <w:rsid w:val="38C524C0"/>
    <w:rsid w:val="38D32489"/>
    <w:rsid w:val="38EA636E"/>
    <w:rsid w:val="38F12CD3"/>
    <w:rsid w:val="38F94775"/>
    <w:rsid w:val="390928D6"/>
    <w:rsid w:val="39212BDF"/>
    <w:rsid w:val="392971ED"/>
    <w:rsid w:val="39325651"/>
    <w:rsid w:val="393A3157"/>
    <w:rsid w:val="393B2996"/>
    <w:rsid w:val="39432B77"/>
    <w:rsid w:val="396C2109"/>
    <w:rsid w:val="39745D84"/>
    <w:rsid w:val="3978592E"/>
    <w:rsid w:val="397E390A"/>
    <w:rsid w:val="398B3205"/>
    <w:rsid w:val="398F4B84"/>
    <w:rsid w:val="39A44A75"/>
    <w:rsid w:val="39BA1395"/>
    <w:rsid w:val="39DA0E9F"/>
    <w:rsid w:val="3A0D261A"/>
    <w:rsid w:val="3A143FD8"/>
    <w:rsid w:val="3A3E2552"/>
    <w:rsid w:val="3A40479E"/>
    <w:rsid w:val="3A5F41BD"/>
    <w:rsid w:val="3A6B1AE9"/>
    <w:rsid w:val="3A6D5B51"/>
    <w:rsid w:val="3A742699"/>
    <w:rsid w:val="3A804E5E"/>
    <w:rsid w:val="3A84471A"/>
    <w:rsid w:val="3A872856"/>
    <w:rsid w:val="3A9D2BAA"/>
    <w:rsid w:val="3AAC5A51"/>
    <w:rsid w:val="3AC52F9C"/>
    <w:rsid w:val="3AC914C4"/>
    <w:rsid w:val="3AD042BF"/>
    <w:rsid w:val="3AE612FB"/>
    <w:rsid w:val="3AF64E5C"/>
    <w:rsid w:val="3AFE1EB2"/>
    <w:rsid w:val="3B0661B3"/>
    <w:rsid w:val="3B0C0EAC"/>
    <w:rsid w:val="3B111C96"/>
    <w:rsid w:val="3B23087F"/>
    <w:rsid w:val="3B23570A"/>
    <w:rsid w:val="3B27770B"/>
    <w:rsid w:val="3B3763D1"/>
    <w:rsid w:val="3B7B1805"/>
    <w:rsid w:val="3B8378F4"/>
    <w:rsid w:val="3B842468"/>
    <w:rsid w:val="3B902032"/>
    <w:rsid w:val="3B950B19"/>
    <w:rsid w:val="3B9B63F8"/>
    <w:rsid w:val="3BA26D92"/>
    <w:rsid w:val="3BBA4796"/>
    <w:rsid w:val="3BC47B38"/>
    <w:rsid w:val="3BE4357A"/>
    <w:rsid w:val="3BE550AA"/>
    <w:rsid w:val="3BE94182"/>
    <w:rsid w:val="3BFC4D18"/>
    <w:rsid w:val="3C047258"/>
    <w:rsid w:val="3C2F6E1E"/>
    <w:rsid w:val="3C364F71"/>
    <w:rsid w:val="3C3A7EDE"/>
    <w:rsid w:val="3C3C2D43"/>
    <w:rsid w:val="3C4F64BA"/>
    <w:rsid w:val="3C5A3D43"/>
    <w:rsid w:val="3C5F6A31"/>
    <w:rsid w:val="3C667DC0"/>
    <w:rsid w:val="3C6A620C"/>
    <w:rsid w:val="3C833B1B"/>
    <w:rsid w:val="3C914AAE"/>
    <w:rsid w:val="3CC9107F"/>
    <w:rsid w:val="3CCD23A2"/>
    <w:rsid w:val="3CDA245A"/>
    <w:rsid w:val="3CDE038F"/>
    <w:rsid w:val="3CEA09F1"/>
    <w:rsid w:val="3CEA279F"/>
    <w:rsid w:val="3CEF6007"/>
    <w:rsid w:val="3CFF1A3B"/>
    <w:rsid w:val="3D0713C3"/>
    <w:rsid w:val="3D0D5719"/>
    <w:rsid w:val="3D17655F"/>
    <w:rsid w:val="3D1E06B7"/>
    <w:rsid w:val="3D227B83"/>
    <w:rsid w:val="3D3D55F2"/>
    <w:rsid w:val="3D4339B9"/>
    <w:rsid w:val="3D467345"/>
    <w:rsid w:val="3D4E5760"/>
    <w:rsid w:val="3D624A2B"/>
    <w:rsid w:val="3D697A4C"/>
    <w:rsid w:val="3D8D101C"/>
    <w:rsid w:val="3D8E3A72"/>
    <w:rsid w:val="3D8F1598"/>
    <w:rsid w:val="3D9E7465"/>
    <w:rsid w:val="3DA05553"/>
    <w:rsid w:val="3DB85315"/>
    <w:rsid w:val="3DC3577B"/>
    <w:rsid w:val="3DC41242"/>
    <w:rsid w:val="3DEC0798"/>
    <w:rsid w:val="3DF71617"/>
    <w:rsid w:val="3DFD6502"/>
    <w:rsid w:val="3E001086"/>
    <w:rsid w:val="3E022E57"/>
    <w:rsid w:val="3E082EB5"/>
    <w:rsid w:val="3E2A7F63"/>
    <w:rsid w:val="3E2F0889"/>
    <w:rsid w:val="3E313006"/>
    <w:rsid w:val="3E32264F"/>
    <w:rsid w:val="3E355C17"/>
    <w:rsid w:val="3E37538D"/>
    <w:rsid w:val="3E382516"/>
    <w:rsid w:val="3E3E7059"/>
    <w:rsid w:val="3E476926"/>
    <w:rsid w:val="3E5D51F2"/>
    <w:rsid w:val="3E73736F"/>
    <w:rsid w:val="3E900150"/>
    <w:rsid w:val="3E9B743B"/>
    <w:rsid w:val="3EC40E7F"/>
    <w:rsid w:val="3EC60A7A"/>
    <w:rsid w:val="3EC84D62"/>
    <w:rsid w:val="3ED83CAB"/>
    <w:rsid w:val="3EDA0523"/>
    <w:rsid w:val="3EE33949"/>
    <w:rsid w:val="3EE47026"/>
    <w:rsid w:val="3EF72DC4"/>
    <w:rsid w:val="3F0E5CC1"/>
    <w:rsid w:val="3F275F2C"/>
    <w:rsid w:val="3F2C6B34"/>
    <w:rsid w:val="3F3914D6"/>
    <w:rsid w:val="3F4916B4"/>
    <w:rsid w:val="3F5F3DF5"/>
    <w:rsid w:val="3F6F342F"/>
    <w:rsid w:val="3F782B9C"/>
    <w:rsid w:val="3F7C7E28"/>
    <w:rsid w:val="3F9802DC"/>
    <w:rsid w:val="3FA7706D"/>
    <w:rsid w:val="3FBA6DA0"/>
    <w:rsid w:val="3FBF638D"/>
    <w:rsid w:val="3FC13A60"/>
    <w:rsid w:val="3FE12822"/>
    <w:rsid w:val="3FE237B7"/>
    <w:rsid w:val="3FF315EA"/>
    <w:rsid w:val="3FF57DD8"/>
    <w:rsid w:val="3FFB4522"/>
    <w:rsid w:val="4023630A"/>
    <w:rsid w:val="40286CC1"/>
    <w:rsid w:val="40311615"/>
    <w:rsid w:val="40322DDA"/>
    <w:rsid w:val="403614E5"/>
    <w:rsid w:val="40377A6A"/>
    <w:rsid w:val="403F1FF9"/>
    <w:rsid w:val="406960D0"/>
    <w:rsid w:val="407129C3"/>
    <w:rsid w:val="407A6407"/>
    <w:rsid w:val="408661F6"/>
    <w:rsid w:val="40977008"/>
    <w:rsid w:val="4098459D"/>
    <w:rsid w:val="409C64A6"/>
    <w:rsid w:val="40A30507"/>
    <w:rsid w:val="40BD2A88"/>
    <w:rsid w:val="40C46DDE"/>
    <w:rsid w:val="40C72913"/>
    <w:rsid w:val="40D975A6"/>
    <w:rsid w:val="40DB00D3"/>
    <w:rsid w:val="40E46406"/>
    <w:rsid w:val="40F55BB6"/>
    <w:rsid w:val="410858E9"/>
    <w:rsid w:val="41183268"/>
    <w:rsid w:val="41200E85"/>
    <w:rsid w:val="412A5860"/>
    <w:rsid w:val="41347E71"/>
    <w:rsid w:val="415154E2"/>
    <w:rsid w:val="416074D3"/>
    <w:rsid w:val="41607991"/>
    <w:rsid w:val="41832F01"/>
    <w:rsid w:val="41841600"/>
    <w:rsid w:val="41B766BA"/>
    <w:rsid w:val="41D028AB"/>
    <w:rsid w:val="41DB1250"/>
    <w:rsid w:val="41F45E6E"/>
    <w:rsid w:val="41FD4D22"/>
    <w:rsid w:val="4200449D"/>
    <w:rsid w:val="420C61F0"/>
    <w:rsid w:val="421A58D4"/>
    <w:rsid w:val="423A3BCC"/>
    <w:rsid w:val="424004A9"/>
    <w:rsid w:val="42433985"/>
    <w:rsid w:val="42482511"/>
    <w:rsid w:val="424C5D66"/>
    <w:rsid w:val="424E57D2"/>
    <w:rsid w:val="424F6B0E"/>
    <w:rsid w:val="4266759E"/>
    <w:rsid w:val="426C1EA8"/>
    <w:rsid w:val="426D475D"/>
    <w:rsid w:val="427F1BC2"/>
    <w:rsid w:val="428123B5"/>
    <w:rsid w:val="42900D94"/>
    <w:rsid w:val="42996CD2"/>
    <w:rsid w:val="42B26C49"/>
    <w:rsid w:val="42E957EA"/>
    <w:rsid w:val="430D71E7"/>
    <w:rsid w:val="432033BE"/>
    <w:rsid w:val="433A6FE6"/>
    <w:rsid w:val="433B4979"/>
    <w:rsid w:val="43480868"/>
    <w:rsid w:val="4349073A"/>
    <w:rsid w:val="434D1CD9"/>
    <w:rsid w:val="434D464A"/>
    <w:rsid w:val="4350713C"/>
    <w:rsid w:val="435A532E"/>
    <w:rsid w:val="436653E0"/>
    <w:rsid w:val="438411B1"/>
    <w:rsid w:val="43882D11"/>
    <w:rsid w:val="43A7763B"/>
    <w:rsid w:val="43BA5AC1"/>
    <w:rsid w:val="43BE0F70"/>
    <w:rsid w:val="43C4431A"/>
    <w:rsid w:val="43D13525"/>
    <w:rsid w:val="43D61269"/>
    <w:rsid w:val="43FD548B"/>
    <w:rsid w:val="44352E99"/>
    <w:rsid w:val="44372678"/>
    <w:rsid w:val="445302E8"/>
    <w:rsid w:val="44670B79"/>
    <w:rsid w:val="446B0669"/>
    <w:rsid w:val="446D381E"/>
    <w:rsid w:val="4479108A"/>
    <w:rsid w:val="449C390F"/>
    <w:rsid w:val="44A1416F"/>
    <w:rsid w:val="44A72AD6"/>
    <w:rsid w:val="44A76E45"/>
    <w:rsid w:val="44AB5E88"/>
    <w:rsid w:val="44AE1A1A"/>
    <w:rsid w:val="44B951CC"/>
    <w:rsid w:val="44C36373"/>
    <w:rsid w:val="44CC6C3D"/>
    <w:rsid w:val="44CD14E0"/>
    <w:rsid w:val="44F20B0B"/>
    <w:rsid w:val="450E235E"/>
    <w:rsid w:val="452D3A41"/>
    <w:rsid w:val="452E5F4C"/>
    <w:rsid w:val="45303661"/>
    <w:rsid w:val="453D1CBB"/>
    <w:rsid w:val="45452CB5"/>
    <w:rsid w:val="4548434B"/>
    <w:rsid w:val="45612018"/>
    <w:rsid w:val="45633716"/>
    <w:rsid w:val="45783434"/>
    <w:rsid w:val="457C13CF"/>
    <w:rsid w:val="458657E5"/>
    <w:rsid w:val="458946E9"/>
    <w:rsid w:val="458D5981"/>
    <w:rsid w:val="458E7597"/>
    <w:rsid w:val="459736E0"/>
    <w:rsid w:val="45A47C0E"/>
    <w:rsid w:val="45A809B1"/>
    <w:rsid w:val="45C34DD1"/>
    <w:rsid w:val="45CA7611"/>
    <w:rsid w:val="45E5397D"/>
    <w:rsid w:val="45F16A80"/>
    <w:rsid w:val="45F939F0"/>
    <w:rsid w:val="46050649"/>
    <w:rsid w:val="46081EE8"/>
    <w:rsid w:val="460A151E"/>
    <w:rsid w:val="460B0B8E"/>
    <w:rsid w:val="4613508E"/>
    <w:rsid w:val="461C620D"/>
    <w:rsid w:val="461E170B"/>
    <w:rsid w:val="46222343"/>
    <w:rsid w:val="4632563E"/>
    <w:rsid w:val="46456C98"/>
    <w:rsid w:val="464A5AC9"/>
    <w:rsid w:val="464C207C"/>
    <w:rsid w:val="464C6A83"/>
    <w:rsid w:val="46577FD6"/>
    <w:rsid w:val="466401A1"/>
    <w:rsid w:val="46811FA0"/>
    <w:rsid w:val="46AD58A5"/>
    <w:rsid w:val="46AE48BE"/>
    <w:rsid w:val="46B17971"/>
    <w:rsid w:val="46B502C1"/>
    <w:rsid w:val="46BF4B3C"/>
    <w:rsid w:val="46D11C99"/>
    <w:rsid w:val="46D65183"/>
    <w:rsid w:val="46D955A7"/>
    <w:rsid w:val="46EA3AC1"/>
    <w:rsid w:val="46F34946"/>
    <w:rsid w:val="46F72688"/>
    <w:rsid w:val="46F806F8"/>
    <w:rsid w:val="46F81F5C"/>
    <w:rsid w:val="46FE417E"/>
    <w:rsid w:val="470923BB"/>
    <w:rsid w:val="470F339B"/>
    <w:rsid w:val="471011E5"/>
    <w:rsid w:val="47133957"/>
    <w:rsid w:val="47140AA5"/>
    <w:rsid w:val="471F398D"/>
    <w:rsid w:val="47246B0B"/>
    <w:rsid w:val="473B2125"/>
    <w:rsid w:val="47596E9F"/>
    <w:rsid w:val="477B5593"/>
    <w:rsid w:val="477D5584"/>
    <w:rsid w:val="47820441"/>
    <w:rsid w:val="478C4FF2"/>
    <w:rsid w:val="47A07E0C"/>
    <w:rsid w:val="47A160F2"/>
    <w:rsid w:val="47AF2F63"/>
    <w:rsid w:val="47B02BCD"/>
    <w:rsid w:val="47B2035D"/>
    <w:rsid w:val="47BF29AC"/>
    <w:rsid w:val="47C10324"/>
    <w:rsid w:val="47C55DCC"/>
    <w:rsid w:val="47C572D2"/>
    <w:rsid w:val="47CF53B3"/>
    <w:rsid w:val="47F15329"/>
    <w:rsid w:val="480E155B"/>
    <w:rsid w:val="482379D2"/>
    <w:rsid w:val="48280796"/>
    <w:rsid w:val="482A7FFB"/>
    <w:rsid w:val="48330ADB"/>
    <w:rsid w:val="483B47F6"/>
    <w:rsid w:val="484B7103"/>
    <w:rsid w:val="4870272E"/>
    <w:rsid w:val="48976603"/>
    <w:rsid w:val="48990868"/>
    <w:rsid w:val="48A00B3C"/>
    <w:rsid w:val="48AE30BF"/>
    <w:rsid w:val="48AF79C2"/>
    <w:rsid w:val="48C66F74"/>
    <w:rsid w:val="48C93BB0"/>
    <w:rsid w:val="48F05C82"/>
    <w:rsid w:val="48F74BC1"/>
    <w:rsid w:val="48FF1361"/>
    <w:rsid w:val="490374A7"/>
    <w:rsid w:val="49093FA7"/>
    <w:rsid w:val="490B2CAD"/>
    <w:rsid w:val="49144504"/>
    <w:rsid w:val="4915555E"/>
    <w:rsid w:val="492928A1"/>
    <w:rsid w:val="49382AE4"/>
    <w:rsid w:val="49465201"/>
    <w:rsid w:val="494D29FE"/>
    <w:rsid w:val="497219FD"/>
    <w:rsid w:val="499B0C95"/>
    <w:rsid w:val="499E0979"/>
    <w:rsid w:val="49A32653"/>
    <w:rsid w:val="49BA174B"/>
    <w:rsid w:val="49BD2B65"/>
    <w:rsid w:val="49C37956"/>
    <w:rsid w:val="49C91523"/>
    <w:rsid w:val="49D93045"/>
    <w:rsid w:val="49DC7715"/>
    <w:rsid w:val="49DD1699"/>
    <w:rsid w:val="49DE368B"/>
    <w:rsid w:val="49E446BB"/>
    <w:rsid w:val="49F61264"/>
    <w:rsid w:val="4A023139"/>
    <w:rsid w:val="4A0C13F4"/>
    <w:rsid w:val="4A2B43F6"/>
    <w:rsid w:val="4A3A2FE5"/>
    <w:rsid w:val="4A514006"/>
    <w:rsid w:val="4A556883"/>
    <w:rsid w:val="4A5851D8"/>
    <w:rsid w:val="4A660342"/>
    <w:rsid w:val="4A7144FF"/>
    <w:rsid w:val="4A7161DE"/>
    <w:rsid w:val="4A7B576F"/>
    <w:rsid w:val="4A985F30"/>
    <w:rsid w:val="4AAA6ABA"/>
    <w:rsid w:val="4AAD7493"/>
    <w:rsid w:val="4AB5517C"/>
    <w:rsid w:val="4AB7656D"/>
    <w:rsid w:val="4ABA4F32"/>
    <w:rsid w:val="4AC21AAD"/>
    <w:rsid w:val="4ADD3943"/>
    <w:rsid w:val="4AE06902"/>
    <w:rsid w:val="4AE3672D"/>
    <w:rsid w:val="4AE4031D"/>
    <w:rsid w:val="4AEF32BD"/>
    <w:rsid w:val="4AF561A9"/>
    <w:rsid w:val="4B017AFD"/>
    <w:rsid w:val="4B0B1378"/>
    <w:rsid w:val="4B103D18"/>
    <w:rsid w:val="4B124CCF"/>
    <w:rsid w:val="4B1D1B3F"/>
    <w:rsid w:val="4B1E14E5"/>
    <w:rsid w:val="4B357ECB"/>
    <w:rsid w:val="4B4340EE"/>
    <w:rsid w:val="4B635765"/>
    <w:rsid w:val="4B743526"/>
    <w:rsid w:val="4B7C315C"/>
    <w:rsid w:val="4B9606F2"/>
    <w:rsid w:val="4BB43862"/>
    <w:rsid w:val="4BB74865"/>
    <w:rsid w:val="4BD2253A"/>
    <w:rsid w:val="4BE96317"/>
    <w:rsid w:val="4BF47196"/>
    <w:rsid w:val="4BF76C86"/>
    <w:rsid w:val="4BFB31A2"/>
    <w:rsid w:val="4C010DDB"/>
    <w:rsid w:val="4C1440D8"/>
    <w:rsid w:val="4C1B26BF"/>
    <w:rsid w:val="4C4A0649"/>
    <w:rsid w:val="4C4D21DE"/>
    <w:rsid w:val="4C5D5B32"/>
    <w:rsid w:val="4C7C1B2E"/>
    <w:rsid w:val="4C7E5ECA"/>
    <w:rsid w:val="4C876AA5"/>
    <w:rsid w:val="4CB76AF1"/>
    <w:rsid w:val="4CCD7107"/>
    <w:rsid w:val="4CD45C05"/>
    <w:rsid w:val="4CE15AA5"/>
    <w:rsid w:val="4CEB2F78"/>
    <w:rsid w:val="4CEC6D32"/>
    <w:rsid w:val="4D0E00FB"/>
    <w:rsid w:val="4D176606"/>
    <w:rsid w:val="4D323E03"/>
    <w:rsid w:val="4D354E86"/>
    <w:rsid w:val="4D37728F"/>
    <w:rsid w:val="4D3F6B37"/>
    <w:rsid w:val="4D4C4DB0"/>
    <w:rsid w:val="4D777D59"/>
    <w:rsid w:val="4D7D140D"/>
    <w:rsid w:val="4D83412C"/>
    <w:rsid w:val="4D895A4B"/>
    <w:rsid w:val="4D9A499A"/>
    <w:rsid w:val="4D9D41C7"/>
    <w:rsid w:val="4DAC4D63"/>
    <w:rsid w:val="4DB766CD"/>
    <w:rsid w:val="4DD03C33"/>
    <w:rsid w:val="4DDC5FD5"/>
    <w:rsid w:val="4DE01372"/>
    <w:rsid w:val="4DE41574"/>
    <w:rsid w:val="4DEC4FB0"/>
    <w:rsid w:val="4DF9737B"/>
    <w:rsid w:val="4DFF0486"/>
    <w:rsid w:val="4E075D8A"/>
    <w:rsid w:val="4E303912"/>
    <w:rsid w:val="4E3740F3"/>
    <w:rsid w:val="4E4E2408"/>
    <w:rsid w:val="4E5959D6"/>
    <w:rsid w:val="4E5F4EA3"/>
    <w:rsid w:val="4E9F4E5F"/>
    <w:rsid w:val="4EA11120"/>
    <w:rsid w:val="4EAD798A"/>
    <w:rsid w:val="4EC00FAD"/>
    <w:rsid w:val="4EC3367F"/>
    <w:rsid w:val="4EDD4720"/>
    <w:rsid w:val="4EE06D6E"/>
    <w:rsid w:val="4EE538AE"/>
    <w:rsid w:val="4EF83CFF"/>
    <w:rsid w:val="4EFC0340"/>
    <w:rsid w:val="4EFF3A98"/>
    <w:rsid w:val="4F000711"/>
    <w:rsid w:val="4F0444B0"/>
    <w:rsid w:val="4F12639A"/>
    <w:rsid w:val="4F1D2CE7"/>
    <w:rsid w:val="4F3007F7"/>
    <w:rsid w:val="4F527FE8"/>
    <w:rsid w:val="4F727982"/>
    <w:rsid w:val="4F766114"/>
    <w:rsid w:val="4F7F76B8"/>
    <w:rsid w:val="4F8D3F14"/>
    <w:rsid w:val="4F9843DC"/>
    <w:rsid w:val="4F9D69E0"/>
    <w:rsid w:val="4F9E5990"/>
    <w:rsid w:val="4FA07123"/>
    <w:rsid w:val="4FA62E9D"/>
    <w:rsid w:val="4FB16363"/>
    <w:rsid w:val="4FB24857"/>
    <w:rsid w:val="4FBB6C6B"/>
    <w:rsid w:val="4FBF5D0D"/>
    <w:rsid w:val="4FC62A8C"/>
    <w:rsid w:val="4FCE1C0D"/>
    <w:rsid w:val="4FD4761D"/>
    <w:rsid w:val="4FD740E2"/>
    <w:rsid w:val="4FD74E04"/>
    <w:rsid w:val="4FE20F0D"/>
    <w:rsid w:val="4FE51552"/>
    <w:rsid w:val="4FE51EC0"/>
    <w:rsid w:val="4FE83A11"/>
    <w:rsid w:val="4FE94B38"/>
    <w:rsid w:val="4FED02DC"/>
    <w:rsid w:val="50005743"/>
    <w:rsid w:val="50081462"/>
    <w:rsid w:val="50297313"/>
    <w:rsid w:val="502F55E6"/>
    <w:rsid w:val="50342257"/>
    <w:rsid w:val="503644D7"/>
    <w:rsid w:val="50454464"/>
    <w:rsid w:val="5047222E"/>
    <w:rsid w:val="50504C4B"/>
    <w:rsid w:val="505D0302"/>
    <w:rsid w:val="50744D49"/>
    <w:rsid w:val="50777B52"/>
    <w:rsid w:val="5078383A"/>
    <w:rsid w:val="50803304"/>
    <w:rsid w:val="50853068"/>
    <w:rsid w:val="509C6E7C"/>
    <w:rsid w:val="50A872EC"/>
    <w:rsid w:val="50B228F9"/>
    <w:rsid w:val="50B36976"/>
    <w:rsid w:val="50C5392B"/>
    <w:rsid w:val="50CE73D9"/>
    <w:rsid w:val="50EA7200"/>
    <w:rsid w:val="50ED2406"/>
    <w:rsid w:val="50F96FFC"/>
    <w:rsid w:val="510752C2"/>
    <w:rsid w:val="51085492"/>
    <w:rsid w:val="510A49A4"/>
    <w:rsid w:val="510A745C"/>
    <w:rsid w:val="51101E19"/>
    <w:rsid w:val="5112192F"/>
    <w:rsid w:val="51153329"/>
    <w:rsid w:val="5129237A"/>
    <w:rsid w:val="512B1096"/>
    <w:rsid w:val="51347EA6"/>
    <w:rsid w:val="513E0EB3"/>
    <w:rsid w:val="51573E2C"/>
    <w:rsid w:val="5162104E"/>
    <w:rsid w:val="51690353"/>
    <w:rsid w:val="517C61A9"/>
    <w:rsid w:val="51AE7DE7"/>
    <w:rsid w:val="51E3391E"/>
    <w:rsid w:val="520E6DB0"/>
    <w:rsid w:val="521D3798"/>
    <w:rsid w:val="52291CD0"/>
    <w:rsid w:val="52496488"/>
    <w:rsid w:val="525F3F3E"/>
    <w:rsid w:val="526B07A2"/>
    <w:rsid w:val="527A066D"/>
    <w:rsid w:val="52870F06"/>
    <w:rsid w:val="52917F8D"/>
    <w:rsid w:val="529B480F"/>
    <w:rsid w:val="52A87C5A"/>
    <w:rsid w:val="52BD4C7E"/>
    <w:rsid w:val="52C919F0"/>
    <w:rsid w:val="52CC1B65"/>
    <w:rsid w:val="52CE4643"/>
    <w:rsid w:val="52DC5704"/>
    <w:rsid w:val="52EB3E8C"/>
    <w:rsid w:val="52FE7D38"/>
    <w:rsid w:val="53003058"/>
    <w:rsid w:val="530A54F1"/>
    <w:rsid w:val="531A3321"/>
    <w:rsid w:val="531D3476"/>
    <w:rsid w:val="53224373"/>
    <w:rsid w:val="532A02D1"/>
    <w:rsid w:val="532B3A49"/>
    <w:rsid w:val="532C5467"/>
    <w:rsid w:val="53436A32"/>
    <w:rsid w:val="53514ECE"/>
    <w:rsid w:val="53516D6C"/>
    <w:rsid w:val="5357287B"/>
    <w:rsid w:val="53681847"/>
    <w:rsid w:val="539F657D"/>
    <w:rsid w:val="53A039CC"/>
    <w:rsid w:val="53A1505A"/>
    <w:rsid w:val="53AE144B"/>
    <w:rsid w:val="53C27B7A"/>
    <w:rsid w:val="53C816D9"/>
    <w:rsid w:val="53D72334"/>
    <w:rsid w:val="53D72F63"/>
    <w:rsid w:val="53D730AC"/>
    <w:rsid w:val="53F62389"/>
    <w:rsid w:val="54063E08"/>
    <w:rsid w:val="54183C3E"/>
    <w:rsid w:val="54271A1E"/>
    <w:rsid w:val="54273C01"/>
    <w:rsid w:val="542D1647"/>
    <w:rsid w:val="543437E8"/>
    <w:rsid w:val="543A1C2E"/>
    <w:rsid w:val="544645FA"/>
    <w:rsid w:val="544A4F5E"/>
    <w:rsid w:val="54522C59"/>
    <w:rsid w:val="545D0672"/>
    <w:rsid w:val="54866DF9"/>
    <w:rsid w:val="548C7E32"/>
    <w:rsid w:val="548F1F48"/>
    <w:rsid w:val="549842C9"/>
    <w:rsid w:val="54992FD0"/>
    <w:rsid w:val="549B2A16"/>
    <w:rsid w:val="54B0652F"/>
    <w:rsid w:val="54BE0984"/>
    <w:rsid w:val="54BF3CBB"/>
    <w:rsid w:val="54CD08A7"/>
    <w:rsid w:val="54E12281"/>
    <w:rsid w:val="54E808FD"/>
    <w:rsid w:val="54F46A5F"/>
    <w:rsid w:val="54F73313"/>
    <w:rsid w:val="54F80955"/>
    <w:rsid w:val="54F94271"/>
    <w:rsid w:val="54FA3343"/>
    <w:rsid w:val="55214D74"/>
    <w:rsid w:val="552705DC"/>
    <w:rsid w:val="55425416"/>
    <w:rsid w:val="55426801"/>
    <w:rsid w:val="55452E5B"/>
    <w:rsid w:val="555111B5"/>
    <w:rsid w:val="555170A7"/>
    <w:rsid w:val="55582AEC"/>
    <w:rsid w:val="55741347"/>
    <w:rsid w:val="5587536D"/>
    <w:rsid w:val="55974204"/>
    <w:rsid w:val="559B174B"/>
    <w:rsid w:val="559C5A1D"/>
    <w:rsid w:val="559E63C4"/>
    <w:rsid w:val="55B00C6D"/>
    <w:rsid w:val="55CE0CF4"/>
    <w:rsid w:val="55D91F29"/>
    <w:rsid w:val="55E206C1"/>
    <w:rsid w:val="55E97F71"/>
    <w:rsid w:val="55F70E99"/>
    <w:rsid w:val="55FB20AD"/>
    <w:rsid w:val="5612477C"/>
    <w:rsid w:val="5624337B"/>
    <w:rsid w:val="562825BB"/>
    <w:rsid w:val="563C14AC"/>
    <w:rsid w:val="5644354D"/>
    <w:rsid w:val="564A0F8B"/>
    <w:rsid w:val="56554CD5"/>
    <w:rsid w:val="565D6EC9"/>
    <w:rsid w:val="566156C7"/>
    <w:rsid w:val="56792D6E"/>
    <w:rsid w:val="567A473C"/>
    <w:rsid w:val="567C6706"/>
    <w:rsid w:val="568C4A6C"/>
    <w:rsid w:val="56900687"/>
    <w:rsid w:val="5693695F"/>
    <w:rsid w:val="569C6684"/>
    <w:rsid w:val="56B22A9C"/>
    <w:rsid w:val="56B602D2"/>
    <w:rsid w:val="56B631D9"/>
    <w:rsid w:val="56BF65F2"/>
    <w:rsid w:val="56C92A7D"/>
    <w:rsid w:val="56D274B5"/>
    <w:rsid w:val="56D83426"/>
    <w:rsid w:val="56E01BC9"/>
    <w:rsid w:val="56EA58D3"/>
    <w:rsid w:val="56FF0A48"/>
    <w:rsid w:val="571F0C30"/>
    <w:rsid w:val="572D5C52"/>
    <w:rsid w:val="57347BEB"/>
    <w:rsid w:val="574C0219"/>
    <w:rsid w:val="57597E07"/>
    <w:rsid w:val="5763076D"/>
    <w:rsid w:val="576F0976"/>
    <w:rsid w:val="577D3668"/>
    <w:rsid w:val="578C5A5B"/>
    <w:rsid w:val="578D60B2"/>
    <w:rsid w:val="57A05CB7"/>
    <w:rsid w:val="57A44166"/>
    <w:rsid w:val="57AB535F"/>
    <w:rsid w:val="57B72A76"/>
    <w:rsid w:val="57C3426C"/>
    <w:rsid w:val="57C822C4"/>
    <w:rsid w:val="57CE1F93"/>
    <w:rsid w:val="57D63BF4"/>
    <w:rsid w:val="57E26A3C"/>
    <w:rsid w:val="581A61D6"/>
    <w:rsid w:val="58282F44"/>
    <w:rsid w:val="583C439E"/>
    <w:rsid w:val="584A5FD6"/>
    <w:rsid w:val="584D4939"/>
    <w:rsid w:val="5853140F"/>
    <w:rsid w:val="585845A0"/>
    <w:rsid w:val="586B6DBF"/>
    <w:rsid w:val="586D7DEB"/>
    <w:rsid w:val="58791908"/>
    <w:rsid w:val="588743D1"/>
    <w:rsid w:val="5887701A"/>
    <w:rsid w:val="58943211"/>
    <w:rsid w:val="589F66DB"/>
    <w:rsid w:val="58B32331"/>
    <w:rsid w:val="58B33F35"/>
    <w:rsid w:val="58BD5427"/>
    <w:rsid w:val="58D41C07"/>
    <w:rsid w:val="58DB7A7B"/>
    <w:rsid w:val="58DC7F4D"/>
    <w:rsid w:val="58DE1302"/>
    <w:rsid w:val="58E63652"/>
    <w:rsid w:val="58EA17D4"/>
    <w:rsid w:val="58EA1E4C"/>
    <w:rsid w:val="58EB64A6"/>
    <w:rsid w:val="58F43A5E"/>
    <w:rsid w:val="59036C6A"/>
    <w:rsid w:val="591C5F7E"/>
    <w:rsid w:val="59280AFA"/>
    <w:rsid w:val="5939753E"/>
    <w:rsid w:val="593C0B3B"/>
    <w:rsid w:val="593D0D92"/>
    <w:rsid w:val="594661BA"/>
    <w:rsid w:val="594B5EC4"/>
    <w:rsid w:val="5954753F"/>
    <w:rsid w:val="596E1545"/>
    <w:rsid w:val="597555F5"/>
    <w:rsid w:val="59853B23"/>
    <w:rsid w:val="59876C2D"/>
    <w:rsid w:val="598A0241"/>
    <w:rsid w:val="599C11A5"/>
    <w:rsid w:val="59A6256F"/>
    <w:rsid w:val="59B21C3B"/>
    <w:rsid w:val="59B5568B"/>
    <w:rsid w:val="59BF5F77"/>
    <w:rsid w:val="59C0439F"/>
    <w:rsid w:val="59C052A5"/>
    <w:rsid w:val="59DA5B00"/>
    <w:rsid w:val="59F6780B"/>
    <w:rsid w:val="59F842F5"/>
    <w:rsid w:val="5A010C64"/>
    <w:rsid w:val="5A143947"/>
    <w:rsid w:val="5A177392"/>
    <w:rsid w:val="5A304CE4"/>
    <w:rsid w:val="5A32357D"/>
    <w:rsid w:val="5A3B2434"/>
    <w:rsid w:val="5A55565E"/>
    <w:rsid w:val="5A587151"/>
    <w:rsid w:val="5A820063"/>
    <w:rsid w:val="5A8738CB"/>
    <w:rsid w:val="5A8B6F17"/>
    <w:rsid w:val="5AB07472"/>
    <w:rsid w:val="5ABE2233"/>
    <w:rsid w:val="5ACD1175"/>
    <w:rsid w:val="5AE119A8"/>
    <w:rsid w:val="5AEE394A"/>
    <w:rsid w:val="5AF51020"/>
    <w:rsid w:val="5AF75708"/>
    <w:rsid w:val="5B127629"/>
    <w:rsid w:val="5B1769FD"/>
    <w:rsid w:val="5B2B24A8"/>
    <w:rsid w:val="5B327FA1"/>
    <w:rsid w:val="5B3B2E37"/>
    <w:rsid w:val="5B40412F"/>
    <w:rsid w:val="5B406C4C"/>
    <w:rsid w:val="5B593AD1"/>
    <w:rsid w:val="5B5F45A6"/>
    <w:rsid w:val="5B6D3744"/>
    <w:rsid w:val="5B725CD7"/>
    <w:rsid w:val="5B8D1B27"/>
    <w:rsid w:val="5B9261ED"/>
    <w:rsid w:val="5BA04C44"/>
    <w:rsid w:val="5BA273F9"/>
    <w:rsid w:val="5BA74018"/>
    <w:rsid w:val="5BB36EEB"/>
    <w:rsid w:val="5BC37D1E"/>
    <w:rsid w:val="5BCC5587"/>
    <w:rsid w:val="5BDE576D"/>
    <w:rsid w:val="5BDF4AD0"/>
    <w:rsid w:val="5BDF5D95"/>
    <w:rsid w:val="5BE128E3"/>
    <w:rsid w:val="5BE921DB"/>
    <w:rsid w:val="5BF154A0"/>
    <w:rsid w:val="5BFE7528"/>
    <w:rsid w:val="5C39748A"/>
    <w:rsid w:val="5C3A3D21"/>
    <w:rsid w:val="5C3D7A3F"/>
    <w:rsid w:val="5C427AAA"/>
    <w:rsid w:val="5C443DBD"/>
    <w:rsid w:val="5C524CEB"/>
    <w:rsid w:val="5C533D40"/>
    <w:rsid w:val="5C5B1124"/>
    <w:rsid w:val="5C5C5A39"/>
    <w:rsid w:val="5C5E152D"/>
    <w:rsid w:val="5C62639E"/>
    <w:rsid w:val="5C880FA4"/>
    <w:rsid w:val="5C9D2F32"/>
    <w:rsid w:val="5CA5065B"/>
    <w:rsid w:val="5CA71697"/>
    <w:rsid w:val="5CAD63F2"/>
    <w:rsid w:val="5CAF2C65"/>
    <w:rsid w:val="5CBF3C55"/>
    <w:rsid w:val="5CC22CB2"/>
    <w:rsid w:val="5CD55AF2"/>
    <w:rsid w:val="5CE45005"/>
    <w:rsid w:val="5CF508CE"/>
    <w:rsid w:val="5CFC282E"/>
    <w:rsid w:val="5CFF3BED"/>
    <w:rsid w:val="5D047570"/>
    <w:rsid w:val="5D0D58CF"/>
    <w:rsid w:val="5D1D34D1"/>
    <w:rsid w:val="5D2E002E"/>
    <w:rsid w:val="5D337BC3"/>
    <w:rsid w:val="5D4C74B8"/>
    <w:rsid w:val="5D517995"/>
    <w:rsid w:val="5D695A6D"/>
    <w:rsid w:val="5D6A41D1"/>
    <w:rsid w:val="5D6E1FD6"/>
    <w:rsid w:val="5D817EC8"/>
    <w:rsid w:val="5D850596"/>
    <w:rsid w:val="5D8F5663"/>
    <w:rsid w:val="5D922ADA"/>
    <w:rsid w:val="5D9F0EF3"/>
    <w:rsid w:val="5DA12EF6"/>
    <w:rsid w:val="5DA65D35"/>
    <w:rsid w:val="5DB04EE7"/>
    <w:rsid w:val="5DD07337"/>
    <w:rsid w:val="5DD86511"/>
    <w:rsid w:val="5DE54873"/>
    <w:rsid w:val="5DF9063C"/>
    <w:rsid w:val="5E062D59"/>
    <w:rsid w:val="5E0A7F37"/>
    <w:rsid w:val="5E127342"/>
    <w:rsid w:val="5E197728"/>
    <w:rsid w:val="5E2467F1"/>
    <w:rsid w:val="5E287A3D"/>
    <w:rsid w:val="5E411BD9"/>
    <w:rsid w:val="5E453881"/>
    <w:rsid w:val="5E491E2B"/>
    <w:rsid w:val="5E526EDA"/>
    <w:rsid w:val="5E9345EC"/>
    <w:rsid w:val="5E934BE3"/>
    <w:rsid w:val="5E9E67EC"/>
    <w:rsid w:val="5EC60009"/>
    <w:rsid w:val="5ED35545"/>
    <w:rsid w:val="5ED63DD1"/>
    <w:rsid w:val="5EDC0A74"/>
    <w:rsid w:val="5EEF2ED0"/>
    <w:rsid w:val="5EFE12B6"/>
    <w:rsid w:val="5F1A2B43"/>
    <w:rsid w:val="5F5316B1"/>
    <w:rsid w:val="5F5A62FF"/>
    <w:rsid w:val="5F5B7413"/>
    <w:rsid w:val="5F6B37BB"/>
    <w:rsid w:val="5F8030FF"/>
    <w:rsid w:val="5F814D8D"/>
    <w:rsid w:val="5F9C5EC6"/>
    <w:rsid w:val="5F9D1B50"/>
    <w:rsid w:val="5FA34506"/>
    <w:rsid w:val="5FA840C8"/>
    <w:rsid w:val="5FB837BB"/>
    <w:rsid w:val="5FD736CA"/>
    <w:rsid w:val="5FE50314"/>
    <w:rsid w:val="5FF31031"/>
    <w:rsid w:val="5FF640CF"/>
    <w:rsid w:val="6000572E"/>
    <w:rsid w:val="600454C4"/>
    <w:rsid w:val="60067C70"/>
    <w:rsid w:val="605D6C76"/>
    <w:rsid w:val="605E4E8F"/>
    <w:rsid w:val="606B0717"/>
    <w:rsid w:val="60770D81"/>
    <w:rsid w:val="60791F08"/>
    <w:rsid w:val="607F01D8"/>
    <w:rsid w:val="608C5FCF"/>
    <w:rsid w:val="60A455BC"/>
    <w:rsid w:val="60B30F76"/>
    <w:rsid w:val="60B44738"/>
    <w:rsid w:val="60C71447"/>
    <w:rsid w:val="60CC405A"/>
    <w:rsid w:val="60DE163D"/>
    <w:rsid w:val="60DF5399"/>
    <w:rsid w:val="60E3072E"/>
    <w:rsid w:val="60E37630"/>
    <w:rsid w:val="60E732E6"/>
    <w:rsid w:val="60FB291D"/>
    <w:rsid w:val="61013172"/>
    <w:rsid w:val="6105022C"/>
    <w:rsid w:val="611B3CDB"/>
    <w:rsid w:val="61275B70"/>
    <w:rsid w:val="612E4AA0"/>
    <w:rsid w:val="61396F86"/>
    <w:rsid w:val="6148266D"/>
    <w:rsid w:val="614836B9"/>
    <w:rsid w:val="61507C7A"/>
    <w:rsid w:val="615D64E7"/>
    <w:rsid w:val="615E2D65"/>
    <w:rsid w:val="615F60F6"/>
    <w:rsid w:val="616D4590"/>
    <w:rsid w:val="617E1753"/>
    <w:rsid w:val="618911CB"/>
    <w:rsid w:val="619B6A19"/>
    <w:rsid w:val="61A61710"/>
    <w:rsid w:val="61AB7E9F"/>
    <w:rsid w:val="61AE1315"/>
    <w:rsid w:val="61CE69BA"/>
    <w:rsid w:val="61D50CD0"/>
    <w:rsid w:val="61D76EE6"/>
    <w:rsid w:val="61E215D8"/>
    <w:rsid w:val="61EA606C"/>
    <w:rsid w:val="61EE3ECF"/>
    <w:rsid w:val="62007ACA"/>
    <w:rsid w:val="6203611E"/>
    <w:rsid w:val="620476BF"/>
    <w:rsid w:val="62051CA5"/>
    <w:rsid w:val="620572E1"/>
    <w:rsid w:val="621B3775"/>
    <w:rsid w:val="621D6C97"/>
    <w:rsid w:val="622C38B1"/>
    <w:rsid w:val="622D4D58"/>
    <w:rsid w:val="622F0AD0"/>
    <w:rsid w:val="623240AA"/>
    <w:rsid w:val="62347E94"/>
    <w:rsid w:val="62353C0D"/>
    <w:rsid w:val="62364782"/>
    <w:rsid w:val="62393632"/>
    <w:rsid w:val="62473113"/>
    <w:rsid w:val="62494F1B"/>
    <w:rsid w:val="6263230B"/>
    <w:rsid w:val="626439CF"/>
    <w:rsid w:val="627D641C"/>
    <w:rsid w:val="628C20A7"/>
    <w:rsid w:val="629230B3"/>
    <w:rsid w:val="62CA67E9"/>
    <w:rsid w:val="62F12491"/>
    <w:rsid w:val="62FD0BCE"/>
    <w:rsid w:val="63274989"/>
    <w:rsid w:val="632825CA"/>
    <w:rsid w:val="63314756"/>
    <w:rsid w:val="633D5DA0"/>
    <w:rsid w:val="634079E1"/>
    <w:rsid w:val="634265E1"/>
    <w:rsid w:val="63476EE7"/>
    <w:rsid w:val="634C3904"/>
    <w:rsid w:val="63534C92"/>
    <w:rsid w:val="637D1D0F"/>
    <w:rsid w:val="638D094B"/>
    <w:rsid w:val="6394356A"/>
    <w:rsid w:val="639F57E1"/>
    <w:rsid w:val="63C17E4E"/>
    <w:rsid w:val="63C61B2C"/>
    <w:rsid w:val="63C80FC1"/>
    <w:rsid w:val="63D40BE9"/>
    <w:rsid w:val="63D649C8"/>
    <w:rsid w:val="63D7676F"/>
    <w:rsid w:val="63EF49BB"/>
    <w:rsid w:val="63F55D49"/>
    <w:rsid w:val="63FF27CA"/>
    <w:rsid w:val="6404373A"/>
    <w:rsid w:val="64102431"/>
    <w:rsid w:val="641E67BB"/>
    <w:rsid w:val="64236413"/>
    <w:rsid w:val="642619E6"/>
    <w:rsid w:val="64322308"/>
    <w:rsid w:val="64416899"/>
    <w:rsid w:val="644D317A"/>
    <w:rsid w:val="6450581A"/>
    <w:rsid w:val="64837092"/>
    <w:rsid w:val="648D7423"/>
    <w:rsid w:val="6492670E"/>
    <w:rsid w:val="64A5243A"/>
    <w:rsid w:val="64AA6967"/>
    <w:rsid w:val="64B915E8"/>
    <w:rsid w:val="64C64FF0"/>
    <w:rsid w:val="64DD004A"/>
    <w:rsid w:val="64E831B8"/>
    <w:rsid w:val="64EC6FC1"/>
    <w:rsid w:val="64F531DE"/>
    <w:rsid w:val="651D10B4"/>
    <w:rsid w:val="6533485D"/>
    <w:rsid w:val="65340366"/>
    <w:rsid w:val="65373578"/>
    <w:rsid w:val="65493C57"/>
    <w:rsid w:val="655D5954"/>
    <w:rsid w:val="658553F3"/>
    <w:rsid w:val="6589070A"/>
    <w:rsid w:val="658B6ABD"/>
    <w:rsid w:val="65A842A2"/>
    <w:rsid w:val="65AB2B63"/>
    <w:rsid w:val="65AC50F2"/>
    <w:rsid w:val="65B75510"/>
    <w:rsid w:val="65BB4026"/>
    <w:rsid w:val="65C6799D"/>
    <w:rsid w:val="65FF19E2"/>
    <w:rsid w:val="66027783"/>
    <w:rsid w:val="662A1A05"/>
    <w:rsid w:val="66303069"/>
    <w:rsid w:val="66372649"/>
    <w:rsid w:val="664059BD"/>
    <w:rsid w:val="6645313D"/>
    <w:rsid w:val="66477750"/>
    <w:rsid w:val="665C6DFC"/>
    <w:rsid w:val="6676614A"/>
    <w:rsid w:val="667C0032"/>
    <w:rsid w:val="668E02BA"/>
    <w:rsid w:val="66941658"/>
    <w:rsid w:val="6699011F"/>
    <w:rsid w:val="66D607EF"/>
    <w:rsid w:val="66E5789A"/>
    <w:rsid w:val="66F6227E"/>
    <w:rsid w:val="67042D1C"/>
    <w:rsid w:val="6710765D"/>
    <w:rsid w:val="67136B65"/>
    <w:rsid w:val="671F124A"/>
    <w:rsid w:val="672D3A6D"/>
    <w:rsid w:val="6737377D"/>
    <w:rsid w:val="673B3CBD"/>
    <w:rsid w:val="673F6B7A"/>
    <w:rsid w:val="674E0021"/>
    <w:rsid w:val="67545BDB"/>
    <w:rsid w:val="67591C8C"/>
    <w:rsid w:val="67620151"/>
    <w:rsid w:val="677A33C6"/>
    <w:rsid w:val="679606EA"/>
    <w:rsid w:val="679C2918"/>
    <w:rsid w:val="67A8687C"/>
    <w:rsid w:val="67C8567D"/>
    <w:rsid w:val="67D6379C"/>
    <w:rsid w:val="67DB079C"/>
    <w:rsid w:val="67E7176C"/>
    <w:rsid w:val="67E77C6A"/>
    <w:rsid w:val="67F3141C"/>
    <w:rsid w:val="67FC05F4"/>
    <w:rsid w:val="68014CBD"/>
    <w:rsid w:val="68185FC2"/>
    <w:rsid w:val="681F6961"/>
    <w:rsid w:val="6823604A"/>
    <w:rsid w:val="683964D4"/>
    <w:rsid w:val="6845026F"/>
    <w:rsid w:val="685E7D99"/>
    <w:rsid w:val="68610A2F"/>
    <w:rsid w:val="68621F74"/>
    <w:rsid w:val="686E6FDE"/>
    <w:rsid w:val="686F082A"/>
    <w:rsid w:val="687234C5"/>
    <w:rsid w:val="68805514"/>
    <w:rsid w:val="68852514"/>
    <w:rsid w:val="689500B4"/>
    <w:rsid w:val="68A74916"/>
    <w:rsid w:val="68AE5B0F"/>
    <w:rsid w:val="68BE495C"/>
    <w:rsid w:val="68C74A62"/>
    <w:rsid w:val="68D30F7C"/>
    <w:rsid w:val="68D35D6F"/>
    <w:rsid w:val="68D77D6C"/>
    <w:rsid w:val="68DD74D8"/>
    <w:rsid w:val="68DE6DAC"/>
    <w:rsid w:val="68E06689"/>
    <w:rsid w:val="68E12D15"/>
    <w:rsid w:val="68E5013A"/>
    <w:rsid w:val="68EF2D67"/>
    <w:rsid w:val="690A6977"/>
    <w:rsid w:val="69316E2F"/>
    <w:rsid w:val="69353FC0"/>
    <w:rsid w:val="693C7885"/>
    <w:rsid w:val="694B2CD1"/>
    <w:rsid w:val="694E2071"/>
    <w:rsid w:val="6954609D"/>
    <w:rsid w:val="696306A1"/>
    <w:rsid w:val="69674FF3"/>
    <w:rsid w:val="697119CE"/>
    <w:rsid w:val="69766163"/>
    <w:rsid w:val="697A3B33"/>
    <w:rsid w:val="6988575F"/>
    <w:rsid w:val="699D6C67"/>
    <w:rsid w:val="69B70C82"/>
    <w:rsid w:val="69CA10DE"/>
    <w:rsid w:val="69CB57DB"/>
    <w:rsid w:val="69D44760"/>
    <w:rsid w:val="69D5229E"/>
    <w:rsid w:val="69E44F41"/>
    <w:rsid w:val="69E67897"/>
    <w:rsid w:val="69E860BE"/>
    <w:rsid w:val="69EF4F5D"/>
    <w:rsid w:val="69F94FEA"/>
    <w:rsid w:val="6A02494D"/>
    <w:rsid w:val="6A17348B"/>
    <w:rsid w:val="6A300A7D"/>
    <w:rsid w:val="6A3C5865"/>
    <w:rsid w:val="6A3F5911"/>
    <w:rsid w:val="6A406DBE"/>
    <w:rsid w:val="6A485E2C"/>
    <w:rsid w:val="6A503532"/>
    <w:rsid w:val="6A520EC7"/>
    <w:rsid w:val="6A5A55F9"/>
    <w:rsid w:val="6A7806BB"/>
    <w:rsid w:val="6AAA721E"/>
    <w:rsid w:val="6AAD2DA9"/>
    <w:rsid w:val="6AAF0A42"/>
    <w:rsid w:val="6AB543B2"/>
    <w:rsid w:val="6AB81EDC"/>
    <w:rsid w:val="6ACD0596"/>
    <w:rsid w:val="6AF2089B"/>
    <w:rsid w:val="6AF61C38"/>
    <w:rsid w:val="6AF87E20"/>
    <w:rsid w:val="6B143985"/>
    <w:rsid w:val="6B1C15D6"/>
    <w:rsid w:val="6B322639"/>
    <w:rsid w:val="6B3F7DEE"/>
    <w:rsid w:val="6B537A2E"/>
    <w:rsid w:val="6B59096C"/>
    <w:rsid w:val="6B6C68A5"/>
    <w:rsid w:val="6B7713F6"/>
    <w:rsid w:val="6B810544"/>
    <w:rsid w:val="6B8D4E43"/>
    <w:rsid w:val="6B8D6867"/>
    <w:rsid w:val="6BA52561"/>
    <w:rsid w:val="6BA73DCD"/>
    <w:rsid w:val="6BC049D4"/>
    <w:rsid w:val="6BC12AD2"/>
    <w:rsid w:val="6BC97437"/>
    <w:rsid w:val="6BE2620E"/>
    <w:rsid w:val="6BE86DB6"/>
    <w:rsid w:val="6BE95CDB"/>
    <w:rsid w:val="6BF9274C"/>
    <w:rsid w:val="6BF94639"/>
    <w:rsid w:val="6C040F0E"/>
    <w:rsid w:val="6C293447"/>
    <w:rsid w:val="6C323DDE"/>
    <w:rsid w:val="6C3D7821"/>
    <w:rsid w:val="6C4433CA"/>
    <w:rsid w:val="6C627A23"/>
    <w:rsid w:val="6C636C38"/>
    <w:rsid w:val="6C7531FE"/>
    <w:rsid w:val="6C852B4E"/>
    <w:rsid w:val="6C964828"/>
    <w:rsid w:val="6C9D2ADA"/>
    <w:rsid w:val="6CBE261B"/>
    <w:rsid w:val="6CBF0DF2"/>
    <w:rsid w:val="6CC07053"/>
    <w:rsid w:val="6CCB4948"/>
    <w:rsid w:val="6CCB5899"/>
    <w:rsid w:val="6CCF5012"/>
    <w:rsid w:val="6CDF4863"/>
    <w:rsid w:val="6CF04016"/>
    <w:rsid w:val="6D087F43"/>
    <w:rsid w:val="6D190A73"/>
    <w:rsid w:val="6D296B34"/>
    <w:rsid w:val="6D35026D"/>
    <w:rsid w:val="6D4318D3"/>
    <w:rsid w:val="6D457196"/>
    <w:rsid w:val="6D9739CD"/>
    <w:rsid w:val="6D985170"/>
    <w:rsid w:val="6D992AD2"/>
    <w:rsid w:val="6DA22A9E"/>
    <w:rsid w:val="6DB34098"/>
    <w:rsid w:val="6DB545B6"/>
    <w:rsid w:val="6DC61D92"/>
    <w:rsid w:val="6DCE26CE"/>
    <w:rsid w:val="6DCE3B12"/>
    <w:rsid w:val="6DD644F6"/>
    <w:rsid w:val="6DE02FB4"/>
    <w:rsid w:val="6DF94135"/>
    <w:rsid w:val="6E0234E8"/>
    <w:rsid w:val="6E0E1EE1"/>
    <w:rsid w:val="6E1868BC"/>
    <w:rsid w:val="6E2877F8"/>
    <w:rsid w:val="6E470F4F"/>
    <w:rsid w:val="6E4A4683"/>
    <w:rsid w:val="6E514CED"/>
    <w:rsid w:val="6E5208F7"/>
    <w:rsid w:val="6E535B46"/>
    <w:rsid w:val="6E5D739C"/>
    <w:rsid w:val="6E5E5ACA"/>
    <w:rsid w:val="6E9F3293"/>
    <w:rsid w:val="6EB563D5"/>
    <w:rsid w:val="6EC57627"/>
    <w:rsid w:val="6EC802E2"/>
    <w:rsid w:val="6ED92677"/>
    <w:rsid w:val="6EFB6D71"/>
    <w:rsid w:val="6EFD5AB2"/>
    <w:rsid w:val="6F0B3F4F"/>
    <w:rsid w:val="6F0D7B85"/>
    <w:rsid w:val="6F112E46"/>
    <w:rsid w:val="6F1A032F"/>
    <w:rsid w:val="6F225983"/>
    <w:rsid w:val="6F285225"/>
    <w:rsid w:val="6F3620D6"/>
    <w:rsid w:val="6F4F33A7"/>
    <w:rsid w:val="6F5002D8"/>
    <w:rsid w:val="6F5B49EE"/>
    <w:rsid w:val="6F61009F"/>
    <w:rsid w:val="6F8A6677"/>
    <w:rsid w:val="6FA04DBB"/>
    <w:rsid w:val="6FA50623"/>
    <w:rsid w:val="6FC83C5C"/>
    <w:rsid w:val="6FCF3CB7"/>
    <w:rsid w:val="6FD131E4"/>
    <w:rsid w:val="6FFC5590"/>
    <w:rsid w:val="70191889"/>
    <w:rsid w:val="702A65E4"/>
    <w:rsid w:val="70320E74"/>
    <w:rsid w:val="704E0CBB"/>
    <w:rsid w:val="705838E8"/>
    <w:rsid w:val="706D1DD0"/>
    <w:rsid w:val="707C295C"/>
    <w:rsid w:val="70801293"/>
    <w:rsid w:val="70856B87"/>
    <w:rsid w:val="708A0641"/>
    <w:rsid w:val="709539BA"/>
    <w:rsid w:val="70A02943"/>
    <w:rsid w:val="70A601C1"/>
    <w:rsid w:val="70B22039"/>
    <w:rsid w:val="70B725ED"/>
    <w:rsid w:val="70CD7E32"/>
    <w:rsid w:val="70D527EE"/>
    <w:rsid w:val="70D867D7"/>
    <w:rsid w:val="70EE74E2"/>
    <w:rsid w:val="71080E6A"/>
    <w:rsid w:val="71095F06"/>
    <w:rsid w:val="71150423"/>
    <w:rsid w:val="711B34E4"/>
    <w:rsid w:val="711C485E"/>
    <w:rsid w:val="714047F3"/>
    <w:rsid w:val="71453F24"/>
    <w:rsid w:val="71493231"/>
    <w:rsid w:val="714A7186"/>
    <w:rsid w:val="715804B6"/>
    <w:rsid w:val="715B5300"/>
    <w:rsid w:val="716D1118"/>
    <w:rsid w:val="71763E05"/>
    <w:rsid w:val="718D5813"/>
    <w:rsid w:val="71B22934"/>
    <w:rsid w:val="71BC7EA6"/>
    <w:rsid w:val="71BF79E7"/>
    <w:rsid w:val="71D27F8A"/>
    <w:rsid w:val="71EC253A"/>
    <w:rsid w:val="71F36AF6"/>
    <w:rsid w:val="72055C6F"/>
    <w:rsid w:val="72195DBA"/>
    <w:rsid w:val="722A12B4"/>
    <w:rsid w:val="7238735D"/>
    <w:rsid w:val="724F3E36"/>
    <w:rsid w:val="725171E7"/>
    <w:rsid w:val="72553024"/>
    <w:rsid w:val="72586B32"/>
    <w:rsid w:val="725A51C7"/>
    <w:rsid w:val="72961B27"/>
    <w:rsid w:val="72A2028E"/>
    <w:rsid w:val="72AD4E6A"/>
    <w:rsid w:val="72C523E0"/>
    <w:rsid w:val="72CD7F62"/>
    <w:rsid w:val="72CF239B"/>
    <w:rsid w:val="72D14328"/>
    <w:rsid w:val="72E42587"/>
    <w:rsid w:val="72E82EBA"/>
    <w:rsid w:val="72FF7FA3"/>
    <w:rsid w:val="730806CB"/>
    <w:rsid w:val="73122968"/>
    <w:rsid w:val="73131D48"/>
    <w:rsid w:val="731F5D5E"/>
    <w:rsid w:val="73227B65"/>
    <w:rsid w:val="73322971"/>
    <w:rsid w:val="73326672"/>
    <w:rsid w:val="73640CB0"/>
    <w:rsid w:val="737E00E7"/>
    <w:rsid w:val="739C152B"/>
    <w:rsid w:val="73A51FF7"/>
    <w:rsid w:val="73C51AD5"/>
    <w:rsid w:val="73D2575F"/>
    <w:rsid w:val="73E96B19"/>
    <w:rsid w:val="740376BA"/>
    <w:rsid w:val="74174C14"/>
    <w:rsid w:val="741E793C"/>
    <w:rsid w:val="74205BD2"/>
    <w:rsid w:val="742261BB"/>
    <w:rsid w:val="74246144"/>
    <w:rsid w:val="74485A21"/>
    <w:rsid w:val="744F7AB7"/>
    <w:rsid w:val="745E3944"/>
    <w:rsid w:val="74656F7C"/>
    <w:rsid w:val="74660B73"/>
    <w:rsid w:val="7472364A"/>
    <w:rsid w:val="747509B8"/>
    <w:rsid w:val="74824D51"/>
    <w:rsid w:val="74875CDC"/>
    <w:rsid w:val="748A4098"/>
    <w:rsid w:val="748E78D8"/>
    <w:rsid w:val="749649DF"/>
    <w:rsid w:val="74AA5406"/>
    <w:rsid w:val="74B14840"/>
    <w:rsid w:val="74B83564"/>
    <w:rsid w:val="74CF77B0"/>
    <w:rsid w:val="74D03F7B"/>
    <w:rsid w:val="75096F5F"/>
    <w:rsid w:val="75107E41"/>
    <w:rsid w:val="75137293"/>
    <w:rsid w:val="75177B0F"/>
    <w:rsid w:val="75204CF4"/>
    <w:rsid w:val="75472BD8"/>
    <w:rsid w:val="7552796A"/>
    <w:rsid w:val="75705230"/>
    <w:rsid w:val="7575350F"/>
    <w:rsid w:val="75830788"/>
    <w:rsid w:val="75874327"/>
    <w:rsid w:val="7595129E"/>
    <w:rsid w:val="75A31161"/>
    <w:rsid w:val="75A76BEE"/>
    <w:rsid w:val="75A86FF9"/>
    <w:rsid w:val="75A91B22"/>
    <w:rsid w:val="75B01085"/>
    <w:rsid w:val="75B0288E"/>
    <w:rsid w:val="75B21B99"/>
    <w:rsid w:val="75D20CCB"/>
    <w:rsid w:val="75DB4D9F"/>
    <w:rsid w:val="75FF06AD"/>
    <w:rsid w:val="7602275E"/>
    <w:rsid w:val="76143E0D"/>
    <w:rsid w:val="76160027"/>
    <w:rsid w:val="761E4193"/>
    <w:rsid w:val="7635099D"/>
    <w:rsid w:val="764125B7"/>
    <w:rsid w:val="76495940"/>
    <w:rsid w:val="764F2F30"/>
    <w:rsid w:val="76507DA4"/>
    <w:rsid w:val="76533350"/>
    <w:rsid w:val="765828F0"/>
    <w:rsid w:val="7665047C"/>
    <w:rsid w:val="76714EC6"/>
    <w:rsid w:val="767F6B9B"/>
    <w:rsid w:val="768323DF"/>
    <w:rsid w:val="768B3874"/>
    <w:rsid w:val="76944F4E"/>
    <w:rsid w:val="769822DB"/>
    <w:rsid w:val="76A72ED3"/>
    <w:rsid w:val="76B4114C"/>
    <w:rsid w:val="76D11CFE"/>
    <w:rsid w:val="76EF40BB"/>
    <w:rsid w:val="76FB44D1"/>
    <w:rsid w:val="76FB7FAD"/>
    <w:rsid w:val="7711228D"/>
    <w:rsid w:val="771953B8"/>
    <w:rsid w:val="77244524"/>
    <w:rsid w:val="77316C41"/>
    <w:rsid w:val="77417E19"/>
    <w:rsid w:val="774236BE"/>
    <w:rsid w:val="77613692"/>
    <w:rsid w:val="77620687"/>
    <w:rsid w:val="776420CB"/>
    <w:rsid w:val="77762421"/>
    <w:rsid w:val="779A1202"/>
    <w:rsid w:val="779A2A38"/>
    <w:rsid w:val="77B56B1F"/>
    <w:rsid w:val="77B7635C"/>
    <w:rsid w:val="77B93B3C"/>
    <w:rsid w:val="77C31F9D"/>
    <w:rsid w:val="77CA6C82"/>
    <w:rsid w:val="77DC7DEF"/>
    <w:rsid w:val="77E344F0"/>
    <w:rsid w:val="77E617D9"/>
    <w:rsid w:val="77ED700C"/>
    <w:rsid w:val="7800347A"/>
    <w:rsid w:val="780B2087"/>
    <w:rsid w:val="780E65B6"/>
    <w:rsid w:val="780F09F4"/>
    <w:rsid w:val="781E3086"/>
    <w:rsid w:val="783D265C"/>
    <w:rsid w:val="78465777"/>
    <w:rsid w:val="784F21B4"/>
    <w:rsid w:val="785B6DE7"/>
    <w:rsid w:val="7864764F"/>
    <w:rsid w:val="786A49E5"/>
    <w:rsid w:val="786A7F59"/>
    <w:rsid w:val="78727511"/>
    <w:rsid w:val="788341B6"/>
    <w:rsid w:val="789E1DBB"/>
    <w:rsid w:val="78A90480"/>
    <w:rsid w:val="78AF42C1"/>
    <w:rsid w:val="78BD078C"/>
    <w:rsid w:val="78CC6C21"/>
    <w:rsid w:val="78D93D80"/>
    <w:rsid w:val="78DD7705"/>
    <w:rsid w:val="78E35D19"/>
    <w:rsid w:val="79065229"/>
    <w:rsid w:val="791800B8"/>
    <w:rsid w:val="791E54AF"/>
    <w:rsid w:val="792D46A2"/>
    <w:rsid w:val="79387CB6"/>
    <w:rsid w:val="7940625A"/>
    <w:rsid w:val="79472A9C"/>
    <w:rsid w:val="797208DB"/>
    <w:rsid w:val="79A66E52"/>
    <w:rsid w:val="79A71BF8"/>
    <w:rsid w:val="79C10AE1"/>
    <w:rsid w:val="79C618C2"/>
    <w:rsid w:val="79DC7C36"/>
    <w:rsid w:val="79E87A8A"/>
    <w:rsid w:val="79F147C8"/>
    <w:rsid w:val="7A1E318D"/>
    <w:rsid w:val="7A236F90"/>
    <w:rsid w:val="7A2D2AD9"/>
    <w:rsid w:val="7A35236B"/>
    <w:rsid w:val="7A364017"/>
    <w:rsid w:val="7A410309"/>
    <w:rsid w:val="7A4372F6"/>
    <w:rsid w:val="7A55078D"/>
    <w:rsid w:val="7A567172"/>
    <w:rsid w:val="7A5B6333"/>
    <w:rsid w:val="7A682E50"/>
    <w:rsid w:val="7A6F65CE"/>
    <w:rsid w:val="7A756E44"/>
    <w:rsid w:val="7A8265E1"/>
    <w:rsid w:val="7A88301C"/>
    <w:rsid w:val="7A990D85"/>
    <w:rsid w:val="7AA1446E"/>
    <w:rsid w:val="7AD7365B"/>
    <w:rsid w:val="7B095F0A"/>
    <w:rsid w:val="7B0D4AC5"/>
    <w:rsid w:val="7B120345"/>
    <w:rsid w:val="7B3B2DAE"/>
    <w:rsid w:val="7B644214"/>
    <w:rsid w:val="7B686D42"/>
    <w:rsid w:val="7B841746"/>
    <w:rsid w:val="7B8732D3"/>
    <w:rsid w:val="7B8C6B3B"/>
    <w:rsid w:val="7B953560"/>
    <w:rsid w:val="7B9652C4"/>
    <w:rsid w:val="7B9827A1"/>
    <w:rsid w:val="7BAF263C"/>
    <w:rsid w:val="7BD03249"/>
    <w:rsid w:val="7BDC717B"/>
    <w:rsid w:val="7BE32FF5"/>
    <w:rsid w:val="7BF3747E"/>
    <w:rsid w:val="7C3015A2"/>
    <w:rsid w:val="7C332799"/>
    <w:rsid w:val="7C3E1BE4"/>
    <w:rsid w:val="7C3F23D4"/>
    <w:rsid w:val="7C4B4382"/>
    <w:rsid w:val="7C4B60AF"/>
    <w:rsid w:val="7C4D2816"/>
    <w:rsid w:val="7C5C5D14"/>
    <w:rsid w:val="7C6C5AC7"/>
    <w:rsid w:val="7C7A4EDD"/>
    <w:rsid w:val="7C9F332F"/>
    <w:rsid w:val="7CBE4AD3"/>
    <w:rsid w:val="7CC6544B"/>
    <w:rsid w:val="7CCE2032"/>
    <w:rsid w:val="7CDF1BE4"/>
    <w:rsid w:val="7CE80124"/>
    <w:rsid w:val="7CEF79A0"/>
    <w:rsid w:val="7CFD384D"/>
    <w:rsid w:val="7D0239FF"/>
    <w:rsid w:val="7D3C6FBB"/>
    <w:rsid w:val="7D40412D"/>
    <w:rsid w:val="7D5E40CD"/>
    <w:rsid w:val="7D7622A4"/>
    <w:rsid w:val="7D7E7C7B"/>
    <w:rsid w:val="7D862954"/>
    <w:rsid w:val="7D893333"/>
    <w:rsid w:val="7D9540C7"/>
    <w:rsid w:val="7DB53A76"/>
    <w:rsid w:val="7DB95CE2"/>
    <w:rsid w:val="7DBC1AAC"/>
    <w:rsid w:val="7DC10D1E"/>
    <w:rsid w:val="7DC55C7D"/>
    <w:rsid w:val="7DCD56F2"/>
    <w:rsid w:val="7DE06CCB"/>
    <w:rsid w:val="7DE55C12"/>
    <w:rsid w:val="7DF57FB2"/>
    <w:rsid w:val="7E0E7FF5"/>
    <w:rsid w:val="7E1B7075"/>
    <w:rsid w:val="7E3D015B"/>
    <w:rsid w:val="7E467EAD"/>
    <w:rsid w:val="7E562B98"/>
    <w:rsid w:val="7E565C87"/>
    <w:rsid w:val="7E58569D"/>
    <w:rsid w:val="7E6E6F6B"/>
    <w:rsid w:val="7E80648F"/>
    <w:rsid w:val="7E9A5C70"/>
    <w:rsid w:val="7E9C4D70"/>
    <w:rsid w:val="7EC42148"/>
    <w:rsid w:val="7ECC0F00"/>
    <w:rsid w:val="7ECD3F43"/>
    <w:rsid w:val="7ECE22B0"/>
    <w:rsid w:val="7ECE3F98"/>
    <w:rsid w:val="7ED04692"/>
    <w:rsid w:val="7EF23159"/>
    <w:rsid w:val="7EF5722F"/>
    <w:rsid w:val="7EFD64E7"/>
    <w:rsid w:val="7EFF5808"/>
    <w:rsid w:val="7F001CE7"/>
    <w:rsid w:val="7F2464A6"/>
    <w:rsid w:val="7F275EC7"/>
    <w:rsid w:val="7F3E1EFB"/>
    <w:rsid w:val="7F403EC5"/>
    <w:rsid w:val="7F4D3B20"/>
    <w:rsid w:val="7F5071C2"/>
    <w:rsid w:val="7F5E6956"/>
    <w:rsid w:val="7F6F082F"/>
    <w:rsid w:val="7F8330A6"/>
    <w:rsid w:val="7F967F89"/>
    <w:rsid w:val="7F9C3DFC"/>
    <w:rsid w:val="7FA53D28"/>
    <w:rsid w:val="7FC861BE"/>
    <w:rsid w:val="7FC90723"/>
    <w:rsid w:val="7FD90169"/>
    <w:rsid w:val="7FE47E50"/>
    <w:rsid w:val="7FE56CF7"/>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iPriority="9" w:name="heading 4" w:locked="1"/>
    <w:lsdException w:qFormat="1" w:unhideWhenUsed="0" w:uiPriority="1"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ind w:firstLine="0" w:firstLineChars="0"/>
      <w:jc w:val="left"/>
      <w:outlineLvl w:val="1"/>
    </w:pPr>
    <w:rPr>
      <w:b/>
      <w:bCs/>
      <w:sz w:val="30"/>
    </w:rPr>
  </w:style>
  <w:style w:type="paragraph" w:styleId="4">
    <w:name w:val="heading 3"/>
    <w:basedOn w:val="1"/>
    <w:next w:val="1"/>
    <w:qFormat/>
    <w:locked/>
    <w:uiPriority w:val="0"/>
    <w:pPr>
      <w:spacing w:before="100" w:beforeAutospacing="1" w:after="100" w:afterAutospacing="1"/>
      <w:jc w:val="left"/>
      <w:outlineLvl w:val="2"/>
    </w:pPr>
    <w:rPr>
      <w:rFonts w:hint="eastAsia" w:cs="Times New Roman"/>
      <w:kern w:val="0"/>
      <w:sz w:val="27"/>
      <w:szCs w:val="27"/>
    </w:rPr>
  </w:style>
  <w:style w:type="paragraph" w:styleId="5">
    <w:name w:val="heading 4"/>
    <w:basedOn w:val="1"/>
    <w:next w:val="1"/>
    <w:semiHidden/>
    <w:unhideWhenUsed/>
    <w:qFormat/>
    <w:locked/>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locked/>
    <w:uiPriority w:val="1"/>
    <w:pPr>
      <w:ind w:left="732"/>
      <w:outlineLvl w:val="5"/>
    </w:pPr>
    <w:rPr>
      <w:rFonts w:ascii="微软雅黑" w:hAnsi="微软雅黑" w:eastAsia="微软雅黑" w:cs="微软雅黑"/>
      <w:b/>
      <w:bCs/>
      <w:sz w:val="24"/>
      <w:szCs w:val="24"/>
      <w:lang w:val="zh-CN" w:eastAsia="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List 3"/>
    <w:basedOn w:val="1"/>
    <w:qFormat/>
    <w:locked/>
    <w:uiPriority w:val="0"/>
    <w:pPr>
      <w:spacing w:line="240" w:lineRule="auto"/>
      <w:ind w:firstLine="0" w:firstLineChars="0"/>
      <w:contextualSpacing/>
      <w:jc w:val="center"/>
    </w:pPr>
    <w:rPr>
      <w:sz w:val="21"/>
    </w:rPr>
  </w:style>
  <w:style w:type="paragraph" w:styleId="8">
    <w:name w:val="Normal Indent"/>
    <w:basedOn w:val="1"/>
    <w:qFormat/>
    <w:locked/>
    <w:uiPriority w:val="0"/>
    <w:pPr>
      <w:ind w:firstLine="420"/>
    </w:pPr>
    <w:rPr>
      <w:kern w:val="0"/>
      <w:sz w:val="20"/>
    </w:rPr>
  </w:style>
  <w:style w:type="paragraph" w:styleId="9">
    <w:name w:val="caption"/>
    <w:basedOn w:val="1"/>
    <w:next w:val="1"/>
    <w:qFormat/>
    <w:locked/>
    <w:uiPriority w:val="0"/>
    <w:rPr>
      <w:rFonts w:ascii="Cambria" w:hAnsi="Cambria" w:eastAsia="黑体"/>
      <w:sz w:val="20"/>
      <w:szCs w:val="20"/>
    </w:rPr>
  </w:style>
  <w:style w:type="paragraph" w:styleId="10">
    <w:name w:val="annotation text"/>
    <w:basedOn w:val="1"/>
    <w:link w:val="49"/>
    <w:semiHidden/>
    <w:qFormat/>
    <w:uiPriority w:val="0"/>
    <w:pPr>
      <w:jc w:val="left"/>
    </w:pPr>
    <w:rPr>
      <w:kern w:val="0"/>
      <w:sz w:val="24"/>
      <w:szCs w:val="20"/>
    </w:rPr>
  </w:style>
  <w:style w:type="paragraph" w:styleId="11">
    <w:name w:val="Body Text"/>
    <w:basedOn w:val="1"/>
    <w:next w:val="1"/>
    <w:link w:val="48"/>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57"/>
    <w:qFormat/>
    <w:uiPriority w:val="0"/>
    <w:pPr>
      <w:spacing w:after="120"/>
      <w:ind w:left="420" w:leftChars="200"/>
    </w:pPr>
    <w:rPr>
      <w:kern w:val="0"/>
      <w:sz w:val="24"/>
      <w:szCs w:val="20"/>
    </w:rPr>
  </w:style>
  <w:style w:type="paragraph" w:styleId="13">
    <w:name w:val="header"/>
    <w:basedOn w:val="1"/>
    <w:link w:val="55"/>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Plain Text"/>
    <w:basedOn w:val="1"/>
    <w:unhideWhenUsed/>
    <w:qFormat/>
    <w:locked/>
    <w:uiPriority w:val="99"/>
    <w:pPr>
      <w:spacing w:beforeLines="0" w:afterLines="0"/>
    </w:pPr>
    <w:rPr>
      <w:rFonts w:hint="eastAsia" w:ascii="宋体" w:hAnsi="Courier New"/>
      <w:sz w:val="21"/>
      <w:szCs w:val="24"/>
    </w:rPr>
  </w:style>
  <w:style w:type="paragraph" w:styleId="15">
    <w:name w:val="Date"/>
    <w:basedOn w:val="1"/>
    <w:next w:val="1"/>
    <w:link w:val="44"/>
    <w:qFormat/>
    <w:uiPriority w:val="0"/>
    <w:pPr>
      <w:ind w:left="100" w:leftChars="2500"/>
    </w:pPr>
    <w:rPr>
      <w:kern w:val="0"/>
      <w:sz w:val="24"/>
      <w:szCs w:val="20"/>
    </w:rPr>
  </w:style>
  <w:style w:type="paragraph" w:styleId="16">
    <w:name w:val="Body Text Indent 2"/>
    <w:basedOn w:val="1"/>
    <w:next w:val="17"/>
    <w:qFormat/>
    <w:locked/>
    <w:uiPriority w:val="0"/>
    <w:pPr>
      <w:spacing w:line="500" w:lineRule="exact"/>
      <w:ind w:firstLine="556"/>
    </w:pPr>
    <w:rPr>
      <w:bCs/>
      <w:sz w:val="28"/>
      <w:szCs w:val="20"/>
    </w:rPr>
  </w:style>
  <w:style w:type="paragraph" w:styleId="17">
    <w:name w:val="Body Text First Indent 2"/>
    <w:basedOn w:val="12"/>
    <w:next w:val="1"/>
    <w:link w:val="61"/>
    <w:qFormat/>
    <w:locked/>
    <w:uiPriority w:val="0"/>
    <w:pPr>
      <w:ind w:firstLine="420" w:firstLineChars="200"/>
    </w:pPr>
    <w:rPr>
      <w:kern w:val="2"/>
      <w:sz w:val="21"/>
      <w:szCs w:val="24"/>
    </w:rPr>
  </w:style>
  <w:style w:type="paragraph" w:styleId="18">
    <w:name w:val="Balloon Text"/>
    <w:basedOn w:val="1"/>
    <w:link w:val="53"/>
    <w:semiHidden/>
    <w:qFormat/>
    <w:uiPriority w:val="0"/>
    <w:rPr>
      <w:kern w:val="0"/>
      <w:sz w:val="18"/>
      <w:szCs w:val="20"/>
    </w:rPr>
  </w:style>
  <w:style w:type="paragraph" w:styleId="19">
    <w:name w:val="footer"/>
    <w:basedOn w:val="1"/>
    <w:link w:val="43"/>
    <w:qFormat/>
    <w:uiPriority w:val="99"/>
    <w:pPr>
      <w:tabs>
        <w:tab w:val="center" w:pos="4153"/>
        <w:tab w:val="right" w:pos="8306"/>
      </w:tabs>
      <w:snapToGrid w:val="0"/>
      <w:jc w:val="left"/>
    </w:pPr>
    <w:rPr>
      <w:kern w:val="0"/>
      <w:sz w:val="18"/>
      <w:szCs w:val="20"/>
    </w:rPr>
  </w:style>
  <w:style w:type="paragraph" w:styleId="20">
    <w:name w:val="toc 1"/>
    <w:basedOn w:val="1"/>
    <w:next w:val="1"/>
    <w:qFormat/>
    <w:locked/>
    <w:uiPriority w:val="0"/>
  </w:style>
  <w:style w:type="paragraph" w:styleId="21">
    <w:name w:val="index heading"/>
    <w:basedOn w:val="1"/>
    <w:next w:val="22"/>
    <w:qFormat/>
    <w:locked/>
    <w:uiPriority w:val="0"/>
    <w:rPr>
      <w:szCs w:val="20"/>
    </w:rPr>
  </w:style>
  <w:style w:type="paragraph" w:styleId="22">
    <w:name w:val="index 1"/>
    <w:basedOn w:val="1"/>
    <w:next w:val="1"/>
    <w:qFormat/>
    <w:locked/>
    <w:uiPriority w:val="0"/>
  </w:style>
  <w:style w:type="paragraph" w:styleId="23">
    <w:name w:val="List"/>
    <w:basedOn w:val="1"/>
    <w:qFormat/>
    <w:locked/>
    <w:uiPriority w:val="0"/>
    <w:pPr>
      <w:adjustRightInd w:val="0"/>
      <w:snapToGrid w:val="0"/>
      <w:spacing w:line="240" w:lineRule="auto"/>
      <w:ind w:firstLine="0" w:firstLineChars="0"/>
      <w:jc w:val="center"/>
    </w:pPr>
    <w:rPr>
      <w:sz w:val="21"/>
    </w:rPr>
  </w:style>
  <w:style w:type="paragraph" w:styleId="24">
    <w:name w:val="Body Text Indent 3"/>
    <w:basedOn w:val="1"/>
    <w:qFormat/>
    <w:locked/>
    <w:uiPriority w:val="0"/>
    <w:pPr>
      <w:spacing w:after="120" w:afterLines="0"/>
      <w:ind w:left="420" w:leftChars="200"/>
    </w:pPr>
    <w:rPr>
      <w:sz w:val="16"/>
      <w:szCs w:val="16"/>
    </w:rPr>
  </w:style>
  <w:style w:type="paragraph" w:styleId="25">
    <w:name w:val="Body Text 2"/>
    <w:basedOn w:val="1"/>
    <w:next w:val="11"/>
    <w:qFormat/>
    <w:locked/>
    <w:uiPriority w:val="0"/>
    <w:rPr>
      <w:sz w:val="28"/>
    </w:rPr>
  </w:style>
  <w:style w:type="paragraph" w:styleId="26">
    <w:name w:val="HTML Preformatted"/>
    <w:basedOn w:val="1"/>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27">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10"/>
    <w:next w:val="10"/>
    <w:link w:val="54"/>
    <w:semiHidden/>
    <w:qFormat/>
    <w:uiPriority w:val="0"/>
    <w:rPr>
      <w:b/>
      <w:kern w:val="2"/>
    </w:rPr>
  </w:style>
  <w:style w:type="paragraph" w:styleId="29">
    <w:name w:val="Body Text First Indent"/>
    <w:basedOn w:val="11"/>
    <w:next w:val="1"/>
    <w:link w:val="60"/>
    <w:qFormat/>
    <w:locked/>
    <w:uiPriority w:val="0"/>
    <w:pPr>
      <w:widowControl w:val="0"/>
      <w:snapToGrid/>
      <w:spacing w:before="0" w:after="120" w:line="240" w:lineRule="auto"/>
      <w:ind w:right="0" w:firstLine="420" w:firstLineChars="100"/>
    </w:pPr>
    <w:rPr>
      <w:kern w:val="2"/>
      <w:sz w:val="21"/>
      <w:szCs w:val="24"/>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locked/>
    <w:uiPriority w:val="0"/>
    <w:rPr>
      <w:b/>
    </w:rPr>
  </w:style>
  <w:style w:type="character" w:styleId="34">
    <w:name w:val="page number"/>
    <w:basedOn w:val="32"/>
    <w:qFormat/>
    <w:locked/>
    <w:uiPriority w:val="0"/>
  </w:style>
  <w:style w:type="character" w:styleId="35">
    <w:name w:val="Hyperlink"/>
    <w:basedOn w:val="32"/>
    <w:qFormat/>
    <w:locked/>
    <w:uiPriority w:val="0"/>
    <w:rPr>
      <w:color w:val="0000FF"/>
      <w:u w:val="single"/>
    </w:rPr>
  </w:style>
  <w:style w:type="character" w:styleId="36">
    <w:name w:val="annotation reference"/>
    <w:basedOn w:val="32"/>
    <w:semiHidden/>
    <w:qFormat/>
    <w:uiPriority w:val="0"/>
    <w:rPr>
      <w:sz w:val="21"/>
    </w:rPr>
  </w:style>
  <w:style w:type="paragraph" w:customStyle="1" w:styleId="37">
    <w:name w:val="Default"/>
    <w:basedOn w:val="38"/>
    <w:next w:val="17"/>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3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9">
    <w:name w:val="纯文本1"/>
    <w:basedOn w:val="1"/>
    <w:autoRedefine/>
    <w:qFormat/>
    <w:uiPriority w:val="0"/>
    <w:pPr>
      <w:adjustRightInd w:val="0"/>
      <w:textAlignment w:val="baseline"/>
    </w:pPr>
    <w:rPr>
      <w:rFonts w:ascii="宋体" w:hAnsi="Courier New"/>
      <w:szCs w:val="20"/>
    </w:rPr>
  </w:style>
  <w:style w:type="paragraph" w:customStyle="1" w:styleId="40">
    <w:name w:val="xl27"/>
    <w:basedOn w:val="1"/>
    <w:semiHidden/>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textAlignment w:val="center"/>
    </w:pPr>
    <w:rPr>
      <w:kern w:val="0"/>
      <w:sz w:val="24"/>
      <w:szCs w:val="21"/>
    </w:rPr>
  </w:style>
  <w:style w:type="paragraph" w:customStyle="1" w:styleId="41">
    <w:name w:val="样式 正文文本缩进 + 行距: 1.5 倍行距"/>
    <w:basedOn w:val="12"/>
    <w:qFormat/>
    <w:uiPriority w:val="0"/>
    <w:pPr>
      <w:spacing w:line="360" w:lineRule="auto"/>
      <w:ind w:left="0" w:leftChars="0" w:firstLine="560" w:firstLineChars="200"/>
    </w:pPr>
    <w:rPr>
      <w:b/>
      <w:bCs/>
      <w:sz w:val="28"/>
    </w:rPr>
  </w:style>
  <w:style w:type="paragraph" w:customStyle="1" w:styleId="42">
    <w:name w:val="明显引用1"/>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3">
    <w:name w:val="页脚 Char"/>
    <w:link w:val="19"/>
    <w:qFormat/>
    <w:locked/>
    <w:uiPriority w:val="99"/>
    <w:rPr>
      <w:sz w:val="18"/>
    </w:rPr>
  </w:style>
  <w:style w:type="character" w:customStyle="1" w:styleId="44">
    <w:name w:val="日期 Char"/>
    <w:link w:val="15"/>
    <w:qFormat/>
    <w:locked/>
    <w:uiPriority w:val="0"/>
    <w:rPr>
      <w:rFonts w:ascii="Times New Roman" w:hAnsi="Times New Roman" w:eastAsia="宋体"/>
      <w:sz w:val="24"/>
    </w:rPr>
  </w:style>
  <w:style w:type="character" w:customStyle="1" w:styleId="45">
    <w:name w:val="页脚 字符"/>
    <w:basedOn w:val="32"/>
    <w:qFormat/>
    <w:uiPriority w:val="99"/>
  </w:style>
  <w:style w:type="character" w:customStyle="1" w:styleId="46">
    <w:name w:val="普通(网站) Char"/>
    <w:link w:val="27"/>
    <w:qFormat/>
    <w:locked/>
    <w:uiPriority w:val="0"/>
    <w:rPr>
      <w:rFonts w:ascii="宋体" w:hAnsi="宋体" w:eastAsia="宋体"/>
      <w:sz w:val="24"/>
    </w:rPr>
  </w:style>
  <w:style w:type="character" w:customStyle="1" w:styleId="47">
    <w:name w:val="正文文本 字符1"/>
    <w:semiHidden/>
    <w:qFormat/>
    <w:uiPriority w:val="0"/>
    <w:rPr>
      <w:rFonts w:ascii="Times New Roman" w:hAnsi="Times New Roman" w:eastAsia="宋体"/>
      <w:sz w:val="24"/>
    </w:rPr>
  </w:style>
  <w:style w:type="character" w:customStyle="1" w:styleId="48">
    <w:name w:val="正文文本 Char"/>
    <w:link w:val="11"/>
    <w:qFormat/>
    <w:locked/>
    <w:uiPriority w:val="0"/>
    <w:rPr>
      <w:sz w:val="18"/>
    </w:rPr>
  </w:style>
  <w:style w:type="character" w:customStyle="1" w:styleId="49">
    <w:name w:val="批注文字 Char"/>
    <w:link w:val="10"/>
    <w:qFormat/>
    <w:locked/>
    <w:uiPriority w:val="0"/>
    <w:rPr>
      <w:rFonts w:ascii="Times New Roman" w:hAnsi="Times New Roman" w:eastAsia="宋体"/>
      <w:sz w:val="24"/>
    </w:rPr>
  </w:style>
  <w:style w:type="character" w:customStyle="1" w:styleId="50">
    <w:name w:val="表格 Char"/>
    <w:link w:val="51"/>
    <w:qFormat/>
    <w:locked/>
    <w:uiPriority w:val="0"/>
    <w:rPr>
      <w:rFonts w:ascii="宋体"/>
      <w:sz w:val="21"/>
    </w:rPr>
  </w:style>
  <w:style w:type="paragraph" w:customStyle="1" w:styleId="51">
    <w:name w:val="表格"/>
    <w:basedOn w:val="11"/>
    <w:next w:val="1"/>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日期 字符"/>
    <w:semiHidden/>
    <w:qFormat/>
    <w:uiPriority w:val="0"/>
    <w:rPr>
      <w:rFonts w:ascii="Times New Roman" w:hAnsi="Times New Roman" w:eastAsia="宋体"/>
      <w:sz w:val="24"/>
    </w:rPr>
  </w:style>
  <w:style w:type="character" w:customStyle="1" w:styleId="53">
    <w:name w:val="批注框文本 Char"/>
    <w:link w:val="18"/>
    <w:semiHidden/>
    <w:qFormat/>
    <w:locked/>
    <w:uiPriority w:val="0"/>
    <w:rPr>
      <w:rFonts w:ascii="Times New Roman" w:hAnsi="Times New Roman" w:eastAsia="宋体"/>
      <w:sz w:val="18"/>
    </w:rPr>
  </w:style>
  <w:style w:type="character" w:customStyle="1" w:styleId="54">
    <w:name w:val="批注主题 Char"/>
    <w:link w:val="28"/>
    <w:semiHidden/>
    <w:qFormat/>
    <w:locked/>
    <w:uiPriority w:val="0"/>
    <w:rPr>
      <w:rFonts w:ascii="Times New Roman" w:hAnsi="Times New Roman" w:eastAsia="宋体"/>
      <w:b/>
      <w:kern w:val="2"/>
      <w:sz w:val="24"/>
    </w:rPr>
  </w:style>
  <w:style w:type="character" w:customStyle="1" w:styleId="55">
    <w:name w:val="页眉 Char"/>
    <w:link w:val="13"/>
    <w:qFormat/>
    <w:locked/>
    <w:uiPriority w:val="0"/>
    <w:rPr>
      <w:sz w:val="18"/>
    </w:rPr>
  </w:style>
  <w:style w:type="character" w:customStyle="1" w:styleId="56">
    <w:name w:val="批注文字 字符1"/>
    <w:semiHidden/>
    <w:qFormat/>
    <w:uiPriority w:val="0"/>
    <w:rPr>
      <w:rFonts w:ascii="Times New Roman" w:hAnsi="Times New Roman" w:eastAsia="宋体"/>
      <w:sz w:val="24"/>
    </w:rPr>
  </w:style>
  <w:style w:type="character" w:customStyle="1" w:styleId="57">
    <w:name w:val="正文文本缩进 Char"/>
    <w:link w:val="12"/>
    <w:semiHidden/>
    <w:qFormat/>
    <w:locked/>
    <w:uiPriority w:val="0"/>
    <w:rPr>
      <w:rFonts w:ascii="Times New Roman" w:hAnsi="Times New Roman" w:eastAsia="宋体"/>
      <w:sz w:val="24"/>
    </w:rPr>
  </w:style>
  <w:style w:type="paragraph" w:customStyle="1" w:styleId="5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60">
    <w:name w:val="正文首行缩进 Char"/>
    <w:basedOn w:val="48"/>
    <w:link w:val="29"/>
    <w:qFormat/>
    <w:uiPriority w:val="0"/>
    <w:rPr>
      <w:kern w:val="2"/>
      <w:sz w:val="21"/>
      <w:szCs w:val="24"/>
    </w:rPr>
  </w:style>
  <w:style w:type="character" w:customStyle="1" w:styleId="61">
    <w:name w:val="正文首行缩进 2 Char"/>
    <w:basedOn w:val="57"/>
    <w:link w:val="17"/>
    <w:qFormat/>
    <w:uiPriority w:val="0"/>
    <w:rPr>
      <w:kern w:val="2"/>
      <w:sz w:val="21"/>
      <w:szCs w:val="24"/>
    </w:rPr>
  </w:style>
  <w:style w:type="paragraph" w:customStyle="1" w:styleId="62">
    <w:name w:val="Table Paragraph"/>
    <w:basedOn w:val="1"/>
    <w:qFormat/>
    <w:uiPriority w:val="1"/>
    <w:rPr>
      <w:rFonts w:ascii="宋体" w:hAnsi="宋体" w:cs="宋体"/>
      <w:lang w:val="zh-CN" w:bidi="zh-CN"/>
    </w:rPr>
  </w:style>
  <w:style w:type="paragraph" w:customStyle="1" w:styleId="63">
    <w:name w:val="正文加粗"/>
    <w:basedOn w:val="1"/>
    <w:qFormat/>
    <w:uiPriority w:val="0"/>
    <w:pPr>
      <w:spacing w:line="360" w:lineRule="auto"/>
      <w:ind w:firstLine="200" w:firstLineChars="200"/>
    </w:pPr>
    <w:rPr>
      <w:b/>
    </w:rPr>
  </w:style>
  <w:style w:type="paragraph" w:customStyle="1" w:styleId="64">
    <w:name w:val="正文文本缩进 21"/>
    <w:basedOn w:val="1"/>
    <w:qFormat/>
    <w:uiPriority w:val="0"/>
    <w:pPr>
      <w:adjustRightInd w:val="0"/>
      <w:spacing w:line="460" w:lineRule="exact"/>
      <w:ind w:firstLine="480"/>
      <w:textAlignment w:val="baseline"/>
    </w:pPr>
    <w:rPr>
      <w:sz w:val="24"/>
      <w:szCs w:val="20"/>
    </w:rPr>
  </w:style>
  <w:style w:type="paragraph" w:customStyle="1" w:styleId="65">
    <w:name w:val="表格内容"/>
    <w:basedOn w:val="66"/>
    <w:next w:val="1"/>
    <w:qFormat/>
    <w:uiPriority w:val="0"/>
    <w:pPr>
      <w:keepLines/>
      <w:suppressAutoHyphens/>
      <w:adjustRightInd w:val="0"/>
      <w:snapToGrid w:val="0"/>
      <w:spacing w:line="240" w:lineRule="atLeast"/>
      <w:jc w:val="center"/>
    </w:pPr>
    <w:rPr>
      <w:rFonts w:ascii="Calibri" w:hAnsi="Calibri"/>
      <w:kern w:val="0"/>
      <w:szCs w:val="18"/>
    </w:rPr>
  </w:style>
  <w:style w:type="paragraph" w:customStyle="1" w:styleId="66">
    <w:name w:val="表格标题"/>
    <w:basedOn w:val="67"/>
    <w:qFormat/>
    <w:uiPriority w:val="0"/>
    <w:pPr>
      <w:topLinePunct/>
      <w:spacing w:line="480" w:lineRule="exact"/>
      <w:ind w:firstLine="471"/>
      <w:jc w:val="center"/>
      <w:textAlignment w:val="auto"/>
    </w:pPr>
    <w:rPr>
      <w:rFonts w:ascii="Times New Roman" w:eastAsia="黑体"/>
      <w:kern w:val="2"/>
      <w:szCs w:val="24"/>
    </w:rPr>
  </w:style>
  <w:style w:type="paragraph" w:customStyle="1" w:styleId="67">
    <w:name w:val="方案正文"/>
    <w:basedOn w:val="1"/>
    <w:qFormat/>
    <w:uiPriority w:val="0"/>
    <w:pPr>
      <w:spacing w:before="156" w:beforeLines="50" w:after="156" w:afterLines="50"/>
    </w:pPr>
    <w:rPr>
      <w:spacing w:val="14"/>
      <w:kern w:val="0"/>
      <w:szCs w:val="24"/>
    </w:rPr>
  </w:style>
  <w:style w:type="paragraph" w:customStyle="1" w:styleId="68">
    <w:name w:val="表标题"/>
    <w:basedOn w:val="1"/>
    <w:next w:val="1"/>
    <w:qFormat/>
    <w:uiPriority w:val="0"/>
    <w:pPr>
      <w:adjustRightInd w:val="0"/>
      <w:snapToGrid w:val="0"/>
      <w:spacing w:line="360" w:lineRule="auto"/>
      <w:jc w:val="center"/>
      <w:textAlignment w:val="baseline"/>
    </w:pPr>
    <w:rPr>
      <w:b/>
      <w:bCs/>
      <w:kern w:val="0"/>
    </w:rPr>
  </w:style>
  <w:style w:type="character" w:customStyle="1" w:styleId="69">
    <w:name w:val="表格 Char1"/>
    <w:qFormat/>
    <w:uiPriority w:val="0"/>
    <w:rPr>
      <w:kern w:val="2"/>
      <w:sz w:val="21"/>
      <w:szCs w:val="24"/>
    </w:rPr>
  </w:style>
  <w:style w:type="paragraph" w:customStyle="1" w:styleId="70">
    <w:name w:val="表图"/>
    <w:basedOn w:val="1"/>
    <w:qFormat/>
    <w:uiPriority w:val="0"/>
    <w:pPr>
      <w:spacing w:line="320" w:lineRule="exact"/>
      <w:jc w:val="center"/>
    </w:pPr>
    <w:rPr>
      <w:rFonts w:ascii="Calibri" w:hAnsi="Calibri" w:cs="黑体"/>
      <w:szCs w:val="20"/>
    </w:rPr>
  </w:style>
  <w:style w:type="paragraph" w:customStyle="1" w:styleId="71">
    <w:name w:val="表格文字"/>
    <w:basedOn w:val="1"/>
    <w:qFormat/>
    <w:uiPriority w:val="0"/>
    <w:pPr>
      <w:jc w:val="center"/>
    </w:pPr>
    <w:rPr>
      <w:kern w:val="0"/>
    </w:rPr>
  </w:style>
  <w:style w:type="paragraph" w:styleId="72">
    <w:name w:val="List Paragraph"/>
    <w:basedOn w:val="1"/>
    <w:qFormat/>
    <w:uiPriority w:val="0"/>
    <w:pPr>
      <w:ind w:firstLine="420" w:firstLineChars="200"/>
    </w:pPr>
  </w:style>
  <w:style w:type="character" w:styleId="73">
    <w:name w:val="Placeholder Text"/>
    <w:basedOn w:val="32"/>
    <w:semiHidden/>
    <w:qFormat/>
    <w:uiPriority w:val="99"/>
    <w:rPr>
      <w:color w:val="808080"/>
    </w:rPr>
  </w:style>
  <w:style w:type="table" w:customStyle="1" w:styleId="74">
    <w:name w:val="Table Normal"/>
    <w:semiHidden/>
    <w:unhideWhenUsed/>
    <w:qFormat/>
    <w:uiPriority w:val="0"/>
    <w:tblPr>
      <w:tblCellMar>
        <w:top w:w="0" w:type="dxa"/>
        <w:left w:w="0" w:type="dxa"/>
        <w:bottom w:w="0" w:type="dxa"/>
        <w:right w:w="0" w:type="dxa"/>
      </w:tblCellMar>
    </w:tblPr>
  </w:style>
  <w:style w:type="character" w:customStyle="1" w:styleId="75">
    <w:name w:val="font31"/>
    <w:basedOn w:val="32"/>
    <w:qFormat/>
    <w:uiPriority w:val="0"/>
    <w:rPr>
      <w:rFonts w:hint="eastAsia" w:ascii="宋体" w:hAnsi="宋体" w:eastAsia="宋体" w:cs="宋体"/>
      <w:color w:val="000000"/>
      <w:sz w:val="24"/>
      <w:szCs w:val="24"/>
      <w:u w:val="none"/>
    </w:rPr>
  </w:style>
  <w:style w:type="character" w:customStyle="1" w:styleId="76">
    <w:name w:val="font21"/>
    <w:basedOn w:val="32"/>
    <w:qFormat/>
    <w:uiPriority w:val="0"/>
    <w:rPr>
      <w:rFonts w:hint="eastAsia" w:ascii="宋体" w:hAnsi="宋体" w:eastAsia="宋体" w:cs="宋体"/>
      <w:color w:val="000000"/>
      <w:sz w:val="24"/>
      <w:szCs w:val="24"/>
      <w:u w:val="none"/>
    </w:rPr>
  </w:style>
  <w:style w:type="paragraph" w:customStyle="1" w:styleId="77">
    <w:name w:val="报告表正文"/>
    <w:basedOn w:val="1"/>
    <w:qFormat/>
    <w:uiPriority w:val="0"/>
    <w:pPr>
      <w:widowControl/>
      <w:adjustRightInd w:val="0"/>
      <w:spacing w:line="312" w:lineRule="auto"/>
      <w:ind w:left="113" w:right="113" w:firstLine="482"/>
      <w:jc w:val="left"/>
    </w:pPr>
    <w:rPr>
      <w:rFonts w:ascii="宋体" w:hAnsi="宋体" w:cs="宋体"/>
      <w:kern w:val="0"/>
      <w:sz w:val="24"/>
      <w:szCs w:val="20"/>
    </w:rPr>
  </w:style>
  <w:style w:type="paragraph" w:customStyle="1" w:styleId="78">
    <w:name w:val=" Char Char Char Char Char Char Char"/>
    <w:basedOn w:val="1"/>
    <w:qFormat/>
    <w:uiPriority w:val="0"/>
    <w:rPr>
      <w:rFonts w:ascii="Times New Roman" w:hAnsi="Times New Roman"/>
      <w:szCs w:val="24"/>
    </w:rPr>
  </w:style>
  <w:style w:type="character" w:customStyle="1" w:styleId="79">
    <w:name w:val="正文（首行缩进两字） Char"/>
    <w:qFormat/>
    <w:uiPriority w:val="0"/>
    <w:rPr>
      <w:rFonts w:eastAsia="宋体"/>
      <w:kern w:val="2"/>
      <w:sz w:val="24"/>
      <w:lang w:val="en-US" w:eastAsia="zh-CN"/>
    </w:rPr>
  </w:style>
  <w:style w:type="paragraph" w:customStyle="1" w:styleId="80">
    <w:name w:val="正文(首行缩进)"/>
    <w:basedOn w:val="1"/>
    <w:qFormat/>
    <w:uiPriority w:val="0"/>
    <w:pPr>
      <w:spacing w:line="360" w:lineRule="auto"/>
      <w:ind w:firstLine="480" w:firstLineChars="200"/>
    </w:pPr>
    <w:rPr>
      <w:rFonts w:ascii="宋体" w:hAnsi="宋体"/>
      <w:kern w:val="24"/>
      <w:sz w:val="24"/>
      <w:szCs w:val="20"/>
    </w:rPr>
  </w:style>
  <w:style w:type="paragraph" w:customStyle="1" w:styleId="81">
    <w:name w:val="报告"/>
    <w:basedOn w:val="1"/>
    <w:qFormat/>
    <w:uiPriority w:val="0"/>
    <w:pPr>
      <w:adjustRightInd w:val="0"/>
      <w:spacing w:line="360" w:lineRule="auto"/>
      <w:ind w:firstLine="505"/>
      <w:jc w:val="left"/>
      <w:textAlignment w:val="baseline"/>
    </w:pPr>
    <w:rPr>
      <w:rFonts w:ascii="Times New Roman" w:hAnsi="Times New Roman"/>
      <w:kern w:val="0"/>
      <w:sz w:val="24"/>
      <w:szCs w:val="24"/>
    </w:rPr>
  </w:style>
  <w:style w:type="paragraph" w:customStyle="1" w:styleId="82">
    <w:name w:val="样式 正文首行缩进正文首行缩进 Char + 段前: 0.5 行"/>
    <w:basedOn w:val="29"/>
    <w:qFormat/>
    <w:uiPriority w:val="0"/>
    <w:pPr>
      <w:spacing w:before="156" w:beforeLines="50" w:after="0" w:line="360" w:lineRule="auto"/>
      <w:ind w:firstLine="567" w:firstLineChars="0"/>
    </w:pPr>
    <w:rPr>
      <w:sz w:val="28"/>
      <w:szCs w:val="20"/>
    </w:rPr>
  </w:style>
  <w:style w:type="paragraph" w:customStyle="1" w:styleId="83">
    <w:name w:val="Body Text Indent 2"/>
    <w:basedOn w:val="1"/>
    <w:qFormat/>
    <w:uiPriority w:val="0"/>
    <w:pPr>
      <w:adjustRightInd w:val="0"/>
      <w:spacing w:line="460" w:lineRule="exact"/>
      <w:ind w:firstLine="480"/>
      <w:textAlignment w:val="baseline"/>
    </w:pPr>
    <w:rPr>
      <w:sz w:val="24"/>
      <w:szCs w:val="20"/>
    </w:rPr>
  </w:style>
  <w:style w:type="paragraph" w:customStyle="1" w:styleId="84">
    <w:name w:val="1正文"/>
    <w:basedOn w:val="1"/>
    <w:qFormat/>
    <w:uiPriority w:val="0"/>
    <w:pPr>
      <w:spacing w:line="360" w:lineRule="auto"/>
      <w:ind w:firstLine="200" w:firstLineChars="200"/>
    </w:pPr>
    <w:rPr>
      <w:sz w:val="24"/>
    </w:rPr>
  </w:style>
  <w:style w:type="paragraph" w:customStyle="1" w:styleId="85">
    <w:name w:val="表头"/>
    <w:basedOn w:val="4"/>
    <w:qFormat/>
    <w:uiPriority w:val="0"/>
    <w:pPr>
      <w:spacing w:before="0" w:beforeAutospacing="0" w:after="50" w:afterLines="50" w:afterAutospacing="0"/>
      <w:jc w:val="center"/>
      <w:outlineLvl w:val="9"/>
    </w:pPr>
    <w:rPr>
      <w:rFonts w:ascii="黑体" w:hAnsi="黑体" w:eastAsia="黑体" w:cs="黑体"/>
      <w:spacing w:val="4"/>
      <w:sz w:val="24"/>
      <w:szCs w:val="24"/>
    </w:rPr>
  </w:style>
  <w:style w:type="paragraph" w:customStyle="1" w:styleId="86">
    <w:name w:val="表内容"/>
    <w:basedOn w:val="1"/>
    <w:qFormat/>
    <w:uiPriority w:val="0"/>
    <w:pPr>
      <w:widowControl/>
      <w:tabs>
        <w:tab w:val="left" w:pos="-2400"/>
        <w:tab w:val="left" w:pos="1320"/>
        <w:tab w:val="left" w:pos="3878"/>
        <w:tab w:val="left" w:pos="6080"/>
        <w:tab w:val="left" w:pos="6580"/>
        <w:tab w:val="left" w:pos="8137"/>
      </w:tabs>
      <w:jc w:val="center"/>
      <w:textAlignment w:val="center"/>
    </w:pPr>
    <w:rPr>
      <w:snapToGrid w:val="0"/>
      <w:kern w:val="0"/>
      <w:szCs w:val="21"/>
      <w:lang w:val="zh-CN"/>
    </w:rPr>
  </w:style>
  <w:style w:type="paragraph" w:customStyle="1" w:styleId="87">
    <w:name w:val="表格文字-hao-居中"/>
    <w:qFormat/>
    <w:uiPriority w:val="0"/>
    <w:pPr>
      <w:adjustRightInd w:val="0"/>
      <w:snapToGrid w:val="0"/>
      <w:jc w:val="center"/>
      <w:textAlignment w:val="center"/>
    </w:pPr>
    <w:rPr>
      <w:rFonts w:ascii="Times New Roman" w:hAnsi="Times New Roman" w:eastAsia="宋体" w:cs="Times New Roman"/>
      <w:sz w:val="21"/>
      <w:szCs w:val="24"/>
      <w:lang w:val="en-US" w:eastAsia="zh-CN" w:bidi="ar-SA"/>
    </w:rPr>
  </w:style>
  <w:style w:type="paragraph" w:customStyle="1" w:styleId="88">
    <w:name w:val="封面正文"/>
    <w:qFormat/>
    <w:uiPriority w:val="0"/>
    <w:pPr>
      <w:jc w:val="both"/>
    </w:pPr>
    <w:rPr>
      <w:rFonts w:ascii="Times New Roman" w:hAnsi="Times New Roman" w:eastAsia="宋体" w:cs="Times New Roman"/>
      <w:lang w:val="en-US" w:eastAsia="zh-CN" w:bidi="ar-SA"/>
    </w:rPr>
  </w:style>
  <w:style w:type="paragraph" w:customStyle="1" w:styleId="89">
    <w:name w:val="填表5中"/>
    <w:basedOn w:val="1"/>
    <w:next w:val="1"/>
    <w:qFormat/>
    <w:uiPriority w:val="0"/>
    <w:pPr>
      <w:snapToGrid w:val="0"/>
      <w:jc w:val="center"/>
    </w:pPr>
    <w:rPr>
      <w:rFonts w:ascii="宋体" w:eastAsia="宋体"/>
      <w:sz w:val="21"/>
      <w:szCs w:val="21"/>
    </w:rPr>
  </w:style>
  <w:style w:type="paragraph" w:customStyle="1" w:styleId="90">
    <w:name w:val="正文文本 21"/>
    <w:basedOn w:val="1"/>
    <w:qFormat/>
    <w:uiPriority w:val="0"/>
    <w:pPr>
      <w:adjustRightInd w:val="0"/>
      <w:spacing w:line="440" w:lineRule="exact"/>
      <w:ind w:firstLine="480"/>
      <w:textAlignment w:val="baseline"/>
    </w:pPr>
    <w:rPr>
      <w:rFonts w:ascii="Arial" w:hAnsi="Arial" w:eastAsia="宋体"/>
    </w:rPr>
  </w:style>
  <w:style w:type="paragraph" w:customStyle="1" w:styleId="91">
    <w:name w:val="正文表头"/>
    <w:basedOn w:val="1"/>
    <w:qFormat/>
    <w:uiPriority w:val="0"/>
    <w:pPr>
      <w:autoSpaceDE w:val="0"/>
      <w:autoSpaceDN w:val="0"/>
      <w:adjustRightInd w:val="0"/>
      <w:spacing w:line="360" w:lineRule="auto"/>
      <w:jc w:val="center"/>
    </w:pPr>
    <w:rPr>
      <w:b/>
      <w:color w:val="000000"/>
      <w:kern w:val="0"/>
      <w:sz w:val="24"/>
    </w:rPr>
  </w:style>
  <w:style w:type="paragraph" w:customStyle="1" w:styleId="92">
    <w:name w:val="正文表格"/>
    <w:basedOn w:val="93"/>
    <w:qFormat/>
    <w:uiPriority w:val="0"/>
    <w:pPr>
      <w:adjustRightInd/>
      <w:snapToGrid/>
      <w:spacing w:beforeLines="0" w:afterLines="0"/>
    </w:pPr>
  </w:style>
  <w:style w:type="paragraph" w:customStyle="1" w:styleId="93">
    <w:name w:val="表格A"/>
    <w:basedOn w:val="1"/>
    <w:qFormat/>
    <w:uiPriority w:val="0"/>
    <w:pPr>
      <w:adjustRightInd w:val="0"/>
      <w:snapToGrid w:val="0"/>
      <w:spacing w:beforeLines="30" w:afterLines="30"/>
      <w:jc w:val="center"/>
    </w:pPr>
    <w:rPr>
      <w:szCs w:val="21"/>
    </w:rPr>
  </w:style>
  <w:style w:type="paragraph" w:customStyle="1" w:styleId="94">
    <w:name w:val="正文（首行缩进两字）m"/>
    <w:basedOn w:val="8"/>
    <w:qFormat/>
    <w:uiPriority w:val="0"/>
    <w:pPr>
      <w:tabs>
        <w:tab w:val="left" w:pos="1848"/>
        <w:tab w:val="left" w:pos="6061"/>
        <w:tab w:val="left" w:pos="8665"/>
      </w:tabs>
      <w:adjustRightInd w:val="0"/>
      <w:snapToGrid w:val="0"/>
      <w:spacing w:before="156" w:beforeLines="50" w:line="460" w:lineRule="exact"/>
      <w:ind w:firstLine="480"/>
    </w:pPr>
    <w:rPr>
      <w:rFonts w:ascii="Times New Roman" w:hAnsi="Times New Roman"/>
      <w:color w:val="339966"/>
      <w:sz w:val="24"/>
      <w:szCs w:val="20"/>
    </w:rPr>
  </w:style>
  <w:style w:type="character" w:customStyle="1" w:styleId="95">
    <w:name w:val="ggzbt011"/>
    <w:basedOn w:val="32"/>
    <w:qFormat/>
    <w:uiPriority w:val="0"/>
  </w:style>
  <w:style w:type="paragraph" w:customStyle="1" w:styleId="96">
    <w:name w:val="表"/>
    <w:basedOn w:val="1"/>
    <w:qFormat/>
    <w:uiPriority w:val="0"/>
    <w:pPr>
      <w:framePr w:hSpace="1048" w:vSpace="132" w:wrap="around" w:vAnchor="text" w:hAnchor="page" w:x="1250" w:y="132"/>
      <w:adjustRightInd w:val="0"/>
      <w:snapToGrid w:val="0"/>
      <w:spacing w:line="240" w:lineRule="auto"/>
      <w:ind w:firstLine="0" w:firstLineChars="0"/>
      <w:jc w:val="center"/>
    </w:pPr>
    <w:rPr>
      <w:bCs/>
      <w:kern w:val="0"/>
      <w:sz w:val="21"/>
      <w:szCs w:val="21"/>
    </w:rPr>
  </w:style>
  <w:style w:type="paragraph" w:customStyle="1" w:styleId="97">
    <w:name w:val="WPSOffice手动目录 1"/>
    <w:qFormat/>
    <w:uiPriority w:val="0"/>
    <w:pPr>
      <w:ind w:leftChars="0"/>
    </w:pPr>
    <w:rPr>
      <w:rFonts w:ascii="Times New Roman" w:hAnsi="Times New Roman" w:eastAsia="宋体" w:cs="Times New Roman"/>
      <w:sz w:val="20"/>
      <w:szCs w:val="20"/>
    </w:rPr>
  </w:style>
  <w:style w:type="paragraph" w:customStyle="1" w:styleId="98">
    <w:name w:val="表格下方正文"/>
    <w:basedOn w:val="1"/>
    <w:qFormat/>
    <w:uiPriority w:val="0"/>
    <w:pPr>
      <w:spacing w:before="300" w:line="460" w:lineRule="exact"/>
    </w:pPr>
  </w:style>
  <w:style w:type="paragraph" w:customStyle="1" w:styleId="99">
    <w:name w:val="Normal Indent1"/>
    <w:basedOn w:val="1"/>
    <w:qFormat/>
    <w:uiPriority w:val="0"/>
    <w:pPr>
      <w:ind w:firstLine="420" w:firstLineChars="200"/>
    </w:pPr>
  </w:style>
  <w:style w:type="paragraph" w:customStyle="1" w:styleId="100">
    <w:name w:val="p0"/>
    <w:basedOn w:val="1"/>
    <w:qFormat/>
    <w:uiPriority w:val="0"/>
    <w:pPr>
      <w:widowControl/>
    </w:pPr>
    <w:rPr>
      <w:rFonts w:ascii="Times New Roman" w:hAnsi="Times New Roman"/>
      <w:kern w:val="0"/>
      <w:szCs w:val="21"/>
    </w:rPr>
  </w:style>
  <w:style w:type="character" w:customStyle="1" w:styleId="101">
    <w:name w:val="apple-converted-space"/>
    <w:qFormat/>
    <w:uiPriority w:val="0"/>
  </w:style>
  <w:style w:type="paragraph" w:customStyle="1" w:styleId="102">
    <w:name w:val="chart内容"/>
    <w:basedOn w:val="1"/>
    <w:qFormat/>
    <w:uiPriority w:val="0"/>
    <w:pPr>
      <w:spacing w:line="240" w:lineRule="auto"/>
      <w:ind w:firstLine="0" w:firstLineChars="0"/>
      <w:jc w:val="center"/>
    </w:pPr>
    <w:rPr>
      <w:bCs/>
      <w:color w:val="000000"/>
      <w:kern w:val="0"/>
      <w:sz w:val="21"/>
      <w:szCs w:val="21"/>
      <w:lang w:eastAsia="en-US"/>
    </w:rPr>
  </w:style>
  <w:style w:type="paragraph" w:customStyle="1" w:styleId="103">
    <w:name w:val="正常段落"/>
    <w:basedOn w:val="8"/>
    <w:qFormat/>
    <w:uiPriority w:val="0"/>
  </w:style>
  <w:style w:type="paragraph" w:customStyle="1" w:styleId="104">
    <w:name w:val="样式 样式 样式 小四 首行缩进:  2.25 字符 + 首行缩进:  2.25 字符 + 首行缩进:  2 字符"/>
    <w:basedOn w:val="105"/>
    <w:qFormat/>
    <w:uiPriority w:val="0"/>
    <w:pPr>
      <w:spacing w:line="440" w:lineRule="exact"/>
      <w:ind w:firstLine="200" w:firstLineChars="200"/>
    </w:pPr>
    <w:rPr>
      <w:sz w:val="24"/>
      <w:szCs w:val="20"/>
    </w:rPr>
  </w:style>
  <w:style w:type="paragraph" w:customStyle="1" w:styleId="105">
    <w:name w:val="样式 样式 小四 首行缩进:  2.25 字符 + 首行缩进:  2.25 字符"/>
    <w:basedOn w:val="106"/>
    <w:qFormat/>
    <w:uiPriority w:val="0"/>
  </w:style>
  <w:style w:type="paragraph" w:customStyle="1" w:styleId="106">
    <w:name w:val="样式 小四 首行缩进:  2.25 字符"/>
    <w:basedOn w:val="1"/>
    <w:qFormat/>
    <w:uiPriority w:val="0"/>
    <w:pPr>
      <w:widowControl w:val="0"/>
      <w:adjustRightInd/>
      <w:snapToGrid/>
      <w:spacing w:after="0" w:line="440" w:lineRule="exact"/>
      <w:ind w:firstLine="200" w:firstLineChars="200"/>
      <w:jc w:val="both"/>
    </w:pPr>
    <w:rPr>
      <w:rFonts w:ascii="Times New Roman" w:hAnsi="Times New Roman" w:eastAsia="宋体"/>
      <w:kern w:val="2"/>
      <w:sz w:val="24"/>
      <w:szCs w:val="20"/>
    </w:rPr>
  </w:style>
  <w:style w:type="paragraph" w:customStyle="1" w:styleId="107">
    <w:name w:val="样式 标题 1 + 四号 段前: 0 磅 段后: 0 磅 行距: 1.5 倍行距"/>
    <w:basedOn w:val="77"/>
    <w:next w:val="108"/>
    <w:qFormat/>
    <w:uiPriority w:val="0"/>
    <w:pPr>
      <w:spacing w:line="360" w:lineRule="auto"/>
      <w:jc w:val="center"/>
    </w:pPr>
  </w:style>
  <w:style w:type="paragraph" w:customStyle="1" w:styleId="108">
    <w:name w:val="文本正文"/>
    <w:basedOn w:val="1"/>
    <w:qFormat/>
    <w:uiPriority w:val="0"/>
    <w:pPr>
      <w:snapToGrid w:val="0"/>
      <w:spacing w:line="360" w:lineRule="auto"/>
      <w:ind w:firstLine="510"/>
      <w:jc w:val="left"/>
    </w:pPr>
    <w:rPr>
      <w:spacing w:val="4"/>
      <w:kern w:val="24"/>
      <w:szCs w:val="24"/>
      <w:lang w:val="zh-CN"/>
    </w:rPr>
  </w:style>
  <w:style w:type="paragraph" w:customStyle="1" w:styleId="109">
    <w:name w:val="标题2"/>
    <w:unhideWhenUsed/>
    <w:qFormat/>
    <w:uiPriority w:val="2"/>
    <w:pPr>
      <w:outlineLvl w:val="2"/>
    </w:pPr>
    <w:rPr>
      <w:rFonts w:asciiTheme="minorHAnsi" w:hAnsiTheme="minorHAnsi" w:eastAsiaTheme="minorEastAsia" w:cstheme="minorBidi"/>
      <w:kern w:val="2"/>
      <w:sz w:val="21"/>
      <w:szCs w:val="22"/>
      <w:lang w:val="en-US" w:eastAsia="zh-CN" w:bidi="ar-SA"/>
    </w:rPr>
  </w:style>
  <w:style w:type="paragraph" w:customStyle="1" w:styleId="110">
    <w:name w:val="表格（两端对齐）"/>
    <w:basedOn w:val="8"/>
    <w:next w:val="1"/>
    <w:qFormat/>
    <w:uiPriority w:val="99"/>
    <w:pPr>
      <w:overflowPunct w:val="0"/>
      <w:adjustRightInd/>
      <w:spacing w:before="0" w:after="0" w:afterLines="0" w:line="360" w:lineRule="exact"/>
      <w:ind w:firstLine="480" w:firstLineChars="200"/>
      <w:jc w:val="both"/>
    </w:pPr>
    <w:rPr>
      <w:rFonts w:ascii="Times New Roman" w:hAnsi="Times New Roman" w:eastAsia="宋体"/>
      <w:sz w:val="21"/>
    </w:rPr>
  </w:style>
  <w:style w:type="paragraph" w:customStyle="1" w:styleId="111">
    <w:name w:val="a表头"/>
    <w:basedOn w:val="1"/>
    <w:qFormat/>
    <w:uiPriority w:val="0"/>
    <w:pPr>
      <w:widowControl/>
      <w:numPr>
        <w:ilvl w:val="3"/>
        <w:numId w:val="1"/>
      </w:numPr>
      <w:adjustRightInd w:val="0"/>
      <w:snapToGrid w:val="0"/>
      <w:spacing w:line="240" w:lineRule="auto"/>
      <w:jc w:val="center"/>
    </w:pPr>
    <w:rPr>
      <w:b/>
      <w:color w:val="000000"/>
      <w:kern w:val="0"/>
      <w:sz w:val="21"/>
      <w:szCs w:val="21"/>
      <w:lang w:val="zh-CN"/>
    </w:rPr>
  </w:style>
  <w:style w:type="paragraph" w:customStyle="1" w:styleId="112">
    <w:name w:val="表格正文"/>
    <w:basedOn w:val="38"/>
    <w:next w:val="1"/>
    <w:semiHidden/>
    <w:qFormat/>
    <w:uiPriority w:val="0"/>
    <w:pPr>
      <w:adjustRightInd w:val="0"/>
      <w:snapToGrid w:val="0"/>
      <w:jc w:val="center"/>
      <w:textAlignment w:val="baseline"/>
    </w:pPr>
    <w:rPr>
      <w:snapToGrid w:val="0"/>
      <w:spacing w:val="4"/>
      <w:w w:val="90"/>
      <w:kern w:val="0"/>
    </w:rPr>
  </w:style>
  <w:style w:type="paragraph" w:customStyle="1" w:styleId="113">
    <w:name w:val="无间隔1"/>
    <w:autoRedefine/>
    <w:qFormat/>
    <w:uiPriority w:val="0"/>
    <w:pPr>
      <w:widowControl w:val="0"/>
      <w:jc w:val="center"/>
    </w:pPr>
    <w:rPr>
      <w:rFonts w:ascii="Times New Roman" w:hAnsi="Times New Roman" w:eastAsia="宋体" w:cs="黑体"/>
      <w:kern w:val="2"/>
      <w:sz w:val="21"/>
      <w:szCs w:val="22"/>
      <w:lang w:val="en-US" w:eastAsia="zh-CN" w:bidi="ar-SA"/>
    </w:rPr>
  </w:style>
  <w:style w:type="character" w:customStyle="1" w:styleId="114">
    <w:name w:val="font121"/>
    <w:basedOn w:val="32"/>
    <w:autoRedefine/>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7.png"/><Relationship Id="rId17" Type="http://schemas.openxmlformats.org/officeDocument/2006/relationships/image" Target="media/image6.emf"/><Relationship Id="rId16" Type="http://schemas.openxmlformats.org/officeDocument/2006/relationships/oleObject" Target="embeddings/oleObject5.bin"/><Relationship Id="rId15" Type="http://schemas.openxmlformats.org/officeDocument/2006/relationships/image" Target="media/image5.emf"/><Relationship Id="rId14" Type="http://schemas.openxmlformats.org/officeDocument/2006/relationships/oleObject" Target="embeddings/oleObject4.bin"/><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B5975-BCCD-476B-AF89-DD9E0A1AE729}">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110</Pages>
  <Words>11122</Words>
  <Characters>11642</Characters>
  <Lines>427</Lines>
  <Paragraphs>120</Paragraphs>
  <TotalTime>0</TotalTime>
  <ScaleCrop>false</ScaleCrop>
  <LinksUpToDate>false</LinksUpToDate>
  <CharactersWithSpaces>11780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2021-04-06T02:19:00Z</dcterms:created>
  <dc:creator>WX</dc:creator>
  <cp:lastModifiedBy>王老五</cp:lastModifiedBy>
  <cp:lastPrinted>2022-10-08T07:12:00Z</cp:lastPrinted>
  <dcterms:modified xsi:type="dcterms:W3CDTF">2025-11-03T03:55:11Z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8073AFF35EFE461EB0699B8B1ED2AC47_13</vt:lpwstr>
  </property>
  <property fmtid="{D5CDD505-2E9C-101B-9397-08002B2CF9AE}" pid="4" name="commondata">
    <vt:lpwstr>eyJoZGlkIjoiM2RkYTUyNWQ2MjI4ODhlYmRhMDZkODViMTYzNDA2NmYifQ==</vt:lpwstr>
  </property>
  <property fmtid="{D5CDD505-2E9C-101B-9397-08002B2CF9AE}" pid="5" name="KSOTemplateDocerSaveRecord">
    <vt:lpwstr>eyJoZGlkIjoiMGYyMjNlZGJmZmI2ZjljMzQ3ZWIzYzZjMGRiYWM4NjQiLCJ1c2VySWQiOiI0MTUxNzcyMDIifQ==</vt:lpwstr>
  </property>
</Properties>
</file>