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spacing w:val="0"/>
          <w:highlight w:val="none"/>
          <w:lang w:eastAsia="zh-CN"/>
          <w14:textFill>
            <w14:solidFill>
              <w14:schemeClr w14:val="tx1"/>
            </w14:solidFill>
          </w14:textFill>
        </w:rPr>
      </w:pPr>
    </w:p>
    <w:p>
      <w:pPr>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bookmarkStart w:id="0" w:name="_GoBack"/>
      <w:bookmarkEnd w:id="0"/>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630" w:leftChars="0"/>
        <w:jc w:val="center"/>
        <w:textAlignment w:val="auto"/>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color w:val="000000" w:themeColor="text1"/>
          <w:kern w:val="0"/>
          <w:sz w:val="36"/>
          <w:szCs w:val="36"/>
          <w:highlight w:val="none"/>
          <w:lang w:eastAsia="zh-CN"/>
          <w14:textFill>
            <w14:solidFill>
              <w14:schemeClr w14:val="tx1"/>
            </w14:solidFill>
          </w14:textFill>
        </w:rPr>
        <w:t>玉溪市</w:t>
      </w:r>
      <w:r>
        <w:rPr>
          <w:rFonts w:hint="eastAsia" w:ascii="方正小标宋_GBK" w:hAnsi="方正小标宋_GBK" w:eastAsia="方正小标宋_GBK" w:cs="方正小标宋_GBK"/>
          <w:color w:val="000000" w:themeColor="text1"/>
          <w:kern w:val="0"/>
          <w:sz w:val="36"/>
          <w:szCs w:val="36"/>
          <w:highlight w:val="none"/>
          <w14:textFill>
            <w14:solidFill>
              <w14:schemeClr w14:val="tx1"/>
            </w14:solidFill>
          </w14:textFill>
        </w:rPr>
        <w:t>管道燃气特许经营</w:t>
      </w:r>
      <w:r>
        <w:rPr>
          <w:rFonts w:hint="eastAsia" w:ascii="方正小标宋_GBK" w:hAnsi="方正小标宋_GBK" w:eastAsia="方正小标宋_GBK" w:cs="方正小标宋_GBK"/>
          <w:color w:val="000000" w:themeColor="text1"/>
          <w:kern w:val="0"/>
          <w:sz w:val="36"/>
          <w:szCs w:val="36"/>
          <w:highlight w:val="none"/>
          <w:lang w:eastAsia="zh-CN"/>
          <w14:textFill>
            <w14:solidFill>
              <w14:schemeClr w14:val="tx1"/>
            </w14:solidFill>
          </w14:textFill>
        </w:rPr>
        <w:t>考核评估</w:t>
      </w:r>
      <w:r>
        <w:rPr>
          <w:rFonts w:hint="eastAsia" w:ascii="方正小标宋_GBK" w:hAnsi="方正小标宋_GBK" w:eastAsia="方正小标宋_GBK" w:cs="方正小标宋_GBK"/>
          <w:color w:val="000000" w:themeColor="text1"/>
          <w:kern w:val="0"/>
          <w:sz w:val="36"/>
          <w:szCs w:val="36"/>
          <w:highlight w:val="none"/>
          <w:lang w:val="en-US" w:eastAsia="zh-CN"/>
          <w14:textFill>
            <w14:solidFill>
              <w14:schemeClr w14:val="tx1"/>
            </w14:solidFill>
          </w14:textFill>
        </w:rPr>
        <w:t>指标及评分细则（试行）</w:t>
      </w:r>
    </w:p>
    <w:tbl>
      <w:tblPr>
        <w:tblStyle w:val="12"/>
        <w:tblW w:w="14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537"/>
        <w:gridCol w:w="1173"/>
        <w:gridCol w:w="667"/>
        <w:gridCol w:w="7853"/>
        <w:gridCol w:w="129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61" w:type="dxa"/>
            <w:noWrap w:val="0"/>
            <w:vAlign w:val="center"/>
          </w:tcPr>
          <w:p>
            <w:pPr>
              <w:widowControl/>
              <w:spacing w:line="280" w:lineRule="exact"/>
              <w:jc w:val="center"/>
              <w:textAlignment w:val="center"/>
              <w:rPr>
                <w:rFonts w:hint="eastAsia" w:ascii="方正黑体_GBK" w:hAnsi="方正黑体_GBK" w:eastAsia="方正黑体_GBK" w:cs="方正黑体_GBK"/>
                <w:color w:val="000000" w:themeColor="text1"/>
                <w:kern w:val="0"/>
                <w:szCs w:val="21"/>
                <w:highlight w:val="none"/>
                <w14:textFill>
                  <w14:solidFill>
                    <w14:schemeClr w14:val="tx1"/>
                  </w14:solidFill>
                </w14:textFill>
              </w:rPr>
            </w:pPr>
            <w:r>
              <w:rPr>
                <w:rFonts w:hint="eastAsia" w:ascii="方正黑体_GBK" w:hAnsi="方正黑体_GBK" w:eastAsia="方正黑体_GBK" w:cs="方正黑体_GBK"/>
                <w:color w:val="000000" w:themeColor="text1"/>
                <w:kern w:val="0"/>
                <w:szCs w:val="21"/>
                <w:highlight w:val="none"/>
                <w14:textFill>
                  <w14:solidFill>
                    <w14:schemeClr w14:val="tx1"/>
                  </w14:solidFill>
                </w14:textFill>
              </w:rPr>
              <w:t>序号</w:t>
            </w:r>
          </w:p>
        </w:tc>
        <w:tc>
          <w:tcPr>
            <w:tcW w:w="1537" w:type="dxa"/>
            <w:noWrap w:val="0"/>
            <w:vAlign w:val="center"/>
          </w:tcPr>
          <w:p>
            <w:pPr>
              <w:widowControl/>
              <w:spacing w:line="280" w:lineRule="exact"/>
              <w:jc w:val="center"/>
              <w:textAlignment w:val="center"/>
              <w:rPr>
                <w:rFonts w:hint="eastAsia" w:ascii="方正黑体_GBK" w:hAnsi="方正黑体_GBK" w:eastAsia="方正黑体_GBK" w:cs="方正黑体_GBK"/>
                <w:color w:val="000000" w:themeColor="text1"/>
                <w:kern w:val="0"/>
                <w:szCs w:val="21"/>
                <w:highlight w:val="none"/>
                <w14:textFill>
                  <w14:solidFill>
                    <w14:schemeClr w14:val="tx1"/>
                  </w14:solidFill>
                </w14:textFill>
              </w:rPr>
            </w:pPr>
            <w:r>
              <w:rPr>
                <w:rFonts w:hint="eastAsia" w:ascii="方正黑体_GBK" w:hAnsi="方正黑体_GBK" w:eastAsia="方正黑体_GBK" w:cs="方正黑体_GBK"/>
                <w:color w:val="000000" w:themeColor="text1"/>
                <w:kern w:val="0"/>
                <w:szCs w:val="21"/>
                <w:highlight w:val="none"/>
                <w14:textFill>
                  <w14:solidFill>
                    <w14:schemeClr w14:val="tx1"/>
                  </w14:solidFill>
                </w14:textFill>
              </w:rPr>
              <w:t>评估</w:t>
            </w:r>
          </w:p>
          <w:p>
            <w:pPr>
              <w:widowControl/>
              <w:spacing w:line="280" w:lineRule="exact"/>
              <w:jc w:val="center"/>
              <w:textAlignment w:val="center"/>
              <w:rPr>
                <w:rFonts w:hint="eastAsia" w:ascii="方正黑体_GBK" w:hAnsi="方正黑体_GBK" w:eastAsia="方正黑体_GBK" w:cs="方正黑体_GBK"/>
                <w:color w:val="000000" w:themeColor="text1"/>
                <w:kern w:val="0"/>
                <w:szCs w:val="21"/>
                <w:highlight w:val="none"/>
                <w14:textFill>
                  <w14:solidFill>
                    <w14:schemeClr w14:val="tx1"/>
                  </w14:solidFill>
                </w14:textFill>
              </w:rPr>
            </w:pPr>
            <w:r>
              <w:rPr>
                <w:rFonts w:hint="eastAsia" w:ascii="方正黑体_GBK" w:hAnsi="方正黑体_GBK" w:eastAsia="方正黑体_GBK" w:cs="方正黑体_GBK"/>
                <w:color w:val="000000" w:themeColor="text1"/>
                <w:kern w:val="0"/>
                <w:szCs w:val="21"/>
                <w:highlight w:val="none"/>
                <w14:textFill>
                  <w14:solidFill>
                    <w14:schemeClr w14:val="tx1"/>
                  </w14:solidFill>
                </w14:textFill>
              </w:rPr>
              <w:t>项目</w:t>
            </w:r>
          </w:p>
        </w:tc>
        <w:tc>
          <w:tcPr>
            <w:tcW w:w="1173" w:type="dxa"/>
            <w:noWrap w:val="0"/>
            <w:vAlign w:val="center"/>
          </w:tcPr>
          <w:p>
            <w:pPr>
              <w:widowControl/>
              <w:spacing w:line="280" w:lineRule="exact"/>
              <w:jc w:val="center"/>
              <w:textAlignment w:val="center"/>
              <w:rPr>
                <w:rFonts w:hint="eastAsia" w:ascii="方正黑体_GBK" w:hAnsi="方正黑体_GBK" w:eastAsia="方正黑体_GBK" w:cs="方正黑体_GBK"/>
                <w:color w:val="000000" w:themeColor="text1"/>
                <w:kern w:val="0"/>
                <w:szCs w:val="21"/>
                <w:highlight w:val="none"/>
                <w14:textFill>
                  <w14:solidFill>
                    <w14:schemeClr w14:val="tx1"/>
                  </w14:solidFill>
                </w14:textFill>
              </w:rPr>
            </w:pPr>
            <w:r>
              <w:rPr>
                <w:rFonts w:hint="eastAsia" w:ascii="方正黑体_GBK" w:hAnsi="方正黑体_GBK" w:eastAsia="方正黑体_GBK" w:cs="方正黑体_GBK"/>
                <w:color w:val="000000" w:themeColor="text1"/>
                <w:kern w:val="0"/>
                <w:szCs w:val="21"/>
                <w:highlight w:val="none"/>
                <w14:textFill>
                  <w14:solidFill>
                    <w14:schemeClr w14:val="tx1"/>
                  </w14:solidFill>
                </w14:textFill>
              </w:rPr>
              <w:t>考评内容</w:t>
            </w:r>
          </w:p>
        </w:tc>
        <w:tc>
          <w:tcPr>
            <w:tcW w:w="667" w:type="dxa"/>
            <w:noWrap w:val="0"/>
            <w:vAlign w:val="center"/>
          </w:tcPr>
          <w:p>
            <w:pPr>
              <w:widowControl/>
              <w:spacing w:line="280" w:lineRule="exact"/>
              <w:jc w:val="center"/>
              <w:textAlignment w:val="center"/>
              <w:rPr>
                <w:rFonts w:hint="eastAsia" w:ascii="方正黑体_GBK" w:hAnsi="方正黑体_GBK" w:eastAsia="方正黑体_GBK" w:cs="方正黑体_GBK"/>
                <w:color w:val="000000" w:themeColor="text1"/>
                <w:kern w:val="0"/>
                <w:szCs w:val="21"/>
                <w:highlight w:val="none"/>
                <w14:textFill>
                  <w14:solidFill>
                    <w14:schemeClr w14:val="tx1"/>
                  </w14:solidFill>
                </w14:textFill>
              </w:rPr>
            </w:pPr>
            <w:r>
              <w:rPr>
                <w:rFonts w:hint="eastAsia" w:ascii="方正黑体_GBK" w:hAnsi="方正黑体_GBK" w:eastAsia="方正黑体_GBK" w:cs="方正黑体_GBK"/>
                <w:color w:val="000000" w:themeColor="text1"/>
                <w:kern w:val="0"/>
                <w:szCs w:val="21"/>
                <w:highlight w:val="none"/>
                <w14:textFill>
                  <w14:solidFill>
                    <w14:schemeClr w14:val="tx1"/>
                  </w14:solidFill>
                </w14:textFill>
              </w:rPr>
              <w:t>标准</w:t>
            </w:r>
          </w:p>
          <w:p>
            <w:pPr>
              <w:widowControl/>
              <w:spacing w:line="280" w:lineRule="exact"/>
              <w:jc w:val="center"/>
              <w:textAlignment w:val="center"/>
              <w:rPr>
                <w:rFonts w:hint="eastAsia" w:ascii="方正黑体_GBK" w:hAnsi="方正黑体_GBK" w:eastAsia="方正黑体_GBK" w:cs="方正黑体_GBK"/>
                <w:color w:val="000000" w:themeColor="text1"/>
                <w:kern w:val="0"/>
                <w:szCs w:val="21"/>
                <w:highlight w:val="none"/>
                <w14:textFill>
                  <w14:solidFill>
                    <w14:schemeClr w14:val="tx1"/>
                  </w14:solidFill>
                </w14:textFill>
              </w:rPr>
            </w:pPr>
            <w:r>
              <w:rPr>
                <w:rFonts w:hint="eastAsia" w:ascii="方正黑体_GBK" w:hAnsi="方正黑体_GBK" w:eastAsia="方正黑体_GBK" w:cs="方正黑体_GBK"/>
                <w:color w:val="000000" w:themeColor="text1"/>
                <w:kern w:val="0"/>
                <w:szCs w:val="21"/>
                <w:highlight w:val="none"/>
                <w14:textFill>
                  <w14:solidFill>
                    <w14:schemeClr w14:val="tx1"/>
                  </w14:solidFill>
                </w14:textFill>
              </w:rPr>
              <w:t>分值</w:t>
            </w:r>
          </w:p>
        </w:tc>
        <w:tc>
          <w:tcPr>
            <w:tcW w:w="7853" w:type="dxa"/>
            <w:noWrap w:val="0"/>
            <w:vAlign w:val="center"/>
          </w:tcPr>
          <w:p>
            <w:pPr>
              <w:widowControl/>
              <w:spacing w:line="280" w:lineRule="exact"/>
              <w:jc w:val="center"/>
              <w:textAlignment w:val="center"/>
              <w:rPr>
                <w:rFonts w:hint="eastAsia" w:ascii="方正黑体_GBK" w:hAnsi="方正黑体_GBK" w:eastAsia="方正黑体_GBK" w:cs="方正黑体_GBK"/>
                <w:color w:val="000000" w:themeColor="text1"/>
                <w:kern w:val="0"/>
                <w:szCs w:val="21"/>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kern w:val="0"/>
                <w:szCs w:val="21"/>
                <w:highlight w:val="none"/>
                <w:lang w:eastAsia="zh-CN"/>
                <w14:textFill>
                  <w14:solidFill>
                    <w14:schemeClr w14:val="tx1"/>
                  </w14:solidFill>
                </w14:textFill>
              </w:rPr>
              <w:t>评分标准</w:t>
            </w:r>
          </w:p>
        </w:tc>
        <w:tc>
          <w:tcPr>
            <w:tcW w:w="1290" w:type="dxa"/>
            <w:noWrap w:val="0"/>
            <w:vAlign w:val="center"/>
          </w:tcPr>
          <w:p>
            <w:pPr>
              <w:widowControl/>
              <w:spacing w:line="280" w:lineRule="exact"/>
              <w:jc w:val="center"/>
              <w:textAlignment w:val="center"/>
              <w:rPr>
                <w:rFonts w:hint="eastAsia" w:ascii="方正黑体_GBK" w:hAnsi="方正黑体_GBK" w:eastAsia="方正黑体_GBK" w:cs="方正黑体_GBK"/>
                <w:color w:val="000000" w:themeColor="text1"/>
                <w:kern w:val="0"/>
                <w:szCs w:val="21"/>
                <w:highlight w:val="none"/>
                <w14:textFill>
                  <w14:solidFill>
                    <w14:schemeClr w14:val="tx1"/>
                  </w14:solidFill>
                </w14:textFill>
              </w:rPr>
            </w:pPr>
            <w:r>
              <w:rPr>
                <w:rFonts w:ascii="微软雅黑" w:hAnsi="微软雅黑" w:eastAsia="微软雅黑" w:cs="微软雅黑"/>
                <w:i w:val="0"/>
                <w:caps w:val="0"/>
                <w:color w:val="000000" w:themeColor="text1"/>
                <w:spacing w:val="0"/>
                <w:sz w:val="27"/>
                <w:szCs w:val="27"/>
                <w:shd w:val="clear" w:fill="FFFFFF"/>
                <w14:textFill>
                  <w14:solidFill>
                    <w14:schemeClr w14:val="tx1"/>
                  </w14:solidFill>
                </w14:textFill>
              </w:rPr>
              <w:t>评估方式</w:t>
            </w:r>
          </w:p>
        </w:tc>
        <w:tc>
          <w:tcPr>
            <w:tcW w:w="880" w:type="dxa"/>
            <w:noWrap w:val="0"/>
            <w:vAlign w:val="center"/>
          </w:tcPr>
          <w:p>
            <w:pPr>
              <w:widowControl/>
              <w:spacing w:line="280" w:lineRule="exact"/>
              <w:jc w:val="center"/>
              <w:textAlignment w:val="center"/>
              <w:rPr>
                <w:rFonts w:hint="eastAsia" w:ascii="方正黑体_GBK" w:hAnsi="方正黑体_GBK" w:eastAsia="方正黑体_GBK" w:cs="方正黑体_GBK"/>
                <w:color w:val="000000" w:themeColor="text1"/>
                <w:kern w:val="0"/>
                <w:szCs w:val="21"/>
                <w:highlight w:val="none"/>
                <w14:textFill>
                  <w14:solidFill>
                    <w14:schemeClr w14:val="tx1"/>
                  </w14:solidFill>
                </w14:textFill>
              </w:rPr>
            </w:pPr>
            <w:r>
              <w:rPr>
                <w:rFonts w:hint="eastAsia" w:ascii="方正黑体_GBK" w:hAnsi="方正黑体_GBK" w:eastAsia="方正黑体_GBK" w:cs="方正黑体_GBK"/>
                <w:color w:val="000000" w:themeColor="text1"/>
                <w:kern w:val="0"/>
                <w:szCs w:val="21"/>
                <w:highlight w:val="none"/>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5" w:hRule="atLeast"/>
          <w:jc w:val="center"/>
        </w:trPr>
        <w:tc>
          <w:tcPr>
            <w:tcW w:w="661"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1</w:t>
            </w:r>
          </w:p>
        </w:tc>
        <w:tc>
          <w:tcPr>
            <w:tcW w:w="1537" w:type="dxa"/>
            <w:vMerge w:val="restart"/>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t>一、特许经营协议条款的完整性和动态适应性（</w:t>
            </w:r>
            <w:r>
              <w:rPr>
                <w:rFonts w:hint="eastAsia" w:eastAsia="方正仿宋_GBK" w:cs="Times New Roman"/>
                <w:color w:val="000000" w:themeColor="text1"/>
                <w:kern w:val="0"/>
                <w:szCs w:val="21"/>
                <w:highlight w:val="none"/>
                <w:lang w:val="en-US" w:eastAsia="zh-CN"/>
                <w14:textFill>
                  <w14:solidFill>
                    <w14:schemeClr w14:val="tx1"/>
                  </w14:solidFill>
                </w14:textFill>
              </w:rPr>
              <w:t>8</w:t>
            </w: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分</w:t>
            </w:r>
            <w: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t>）</w:t>
            </w:r>
          </w:p>
        </w:tc>
        <w:tc>
          <w:tcPr>
            <w:tcW w:w="1173"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eastAsia" w:eastAsia="方正仿宋_GBK" w:cs="Times New Roman"/>
                <w:color w:val="000000" w:themeColor="text1"/>
                <w:kern w:val="0"/>
                <w:szCs w:val="21"/>
                <w:highlight w:val="none"/>
                <w:lang w:eastAsia="zh-CN"/>
                <w14:textFill>
                  <w14:solidFill>
                    <w14:schemeClr w14:val="tx1"/>
                  </w14:solidFill>
                </w14:textFill>
              </w:rPr>
              <w:t>特许经营授予的规范性</w:t>
            </w:r>
          </w:p>
        </w:tc>
        <w:tc>
          <w:tcPr>
            <w:tcW w:w="667"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3</w:t>
            </w:r>
          </w:p>
        </w:tc>
        <w:tc>
          <w:tcPr>
            <w:tcW w:w="7853" w:type="dxa"/>
            <w:noWrap w:val="0"/>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90" w:lineRule="exact"/>
              <w:ind w:right="0" w:firstLine="464" w:firstLineChars="200"/>
              <w:jc w:val="left"/>
              <w:textAlignment w:val="auto"/>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1.</w:t>
            </w:r>
            <w: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t>按照特许经营管理相关规定进行公开招标的得</w:t>
            </w: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3分；未</w:t>
            </w:r>
            <w: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t>按照特许经营管理相关规定签订特许经营协议或条款不满足</w:t>
            </w:r>
            <w:r>
              <w:rPr>
                <w:rFonts w:hint="eastAsia" w:eastAsia="方正仿宋_GBK" w:cs="Times New Roman"/>
                <w:color w:val="000000" w:themeColor="text1"/>
                <w:kern w:val="0"/>
                <w:szCs w:val="21"/>
                <w:highlight w:val="none"/>
                <w:lang w:eastAsia="zh-CN"/>
                <w14:textFill>
                  <w14:solidFill>
                    <w14:schemeClr w14:val="tx1"/>
                  </w14:solidFill>
                </w14:textFill>
              </w:rPr>
              <w:t>《市政公用事业特许经营管理办法》</w:t>
            </w:r>
            <w: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t>《基础设施和公用事业特许经营管理办法》要求的</w:t>
            </w:r>
            <w: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t>，应该进行整改，重新签订，或者签订补充协议以后，再进行其他项目的评估。</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p>
        </w:tc>
        <w:tc>
          <w:tcPr>
            <w:tcW w:w="1290"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eastAsia" w:eastAsia="方正仿宋_GBK" w:cs="Times New Roman"/>
                <w:color w:val="000000" w:themeColor="text1"/>
                <w:kern w:val="0"/>
                <w:szCs w:val="21"/>
                <w:highlight w:val="none"/>
                <w:lang w:eastAsia="zh-CN"/>
                <w14:textFill>
                  <w14:solidFill>
                    <w14:schemeClr w14:val="tx1"/>
                  </w14:solidFill>
                </w14:textFill>
              </w:rPr>
              <w:t>查阅资料</w:t>
            </w:r>
          </w:p>
        </w:tc>
        <w:tc>
          <w:tcPr>
            <w:tcW w:w="88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661"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2</w:t>
            </w:r>
          </w:p>
        </w:tc>
        <w:tc>
          <w:tcPr>
            <w:tcW w:w="1537" w:type="dxa"/>
            <w:vMerge w:val="continue"/>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pPr>
          </w:p>
        </w:tc>
        <w:tc>
          <w:tcPr>
            <w:tcW w:w="117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协议条款的完整性</w:t>
            </w:r>
          </w:p>
        </w:tc>
        <w:tc>
          <w:tcPr>
            <w:tcW w:w="667"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5</w:t>
            </w:r>
          </w:p>
        </w:tc>
        <w:tc>
          <w:tcPr>
            <w:tcW w:w="785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1.协议条款完整、合法、动态适应，应急预案完整，临时接管条件完整的，得</w:t>
            </w: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分，缺少一项扣1分，扣完为止。</w:t>
            </w:r>
          </w:p>
        </w:tc>
        <w:tc>
          <w:tcPr>
            <w:tcW w:w="1290"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t>查阅资料</w:t>
            </w:r>
          </w:p>
        </w:tc>
        <w:tc>
          <w:tcPr>
            <w:tcW w:w="88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1"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3</w:t>
            </w:r>
          </w:p>
        </w:tc>
        <w:tc>
          <w:tcPr>
            <w:tcW w:w="1537" w:type="dxa"/>
            <w:vMerge w:val="restart"/>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二、特许经营企业投资建设发展及规划制定执行（</w:t>
            </w:r>
            <w:r>
              <w:rPr>
                <w:rFonts w:hint="eastAsia" w:eastAsia="方正仿宋_GBK" w:cs="Times New Roman"/>
                <w:color w:val="000000" w:themeColor="text1"/>
                <w:kern w:val="0"/>
                <w:szCs w:val="21"/>
                <w:highlight w:val="none"/>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w:t>
            </w:r>
          </w:p>
        </w:tc>
        <w:tc>
          <w:tcPr>
            <w:tcW w:w="117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规划制定及执行情况</w:t>
            </w:r>
          </w:p>
        </w:tc>
        <w:tc>
          <w:tcPr>
            <w:tcW w:w="667"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1</w:t>
            </w:r>
          </w:p>
        </w:tc>
        <w:tc>
          <w:tcPr>
            <w:tcW w:w="785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1.按照城市</w:t>
            </w:r>
            <w:r>
              <w:rPr>
                <w:rFonts w:hint="eastAsia" w:eastAsia="方正仿宋_GBK" w:cs="Times New Roman"/>
                <w:color w:val="000000" w:themeColor="text1"/>
                <w:kern w:val="0"/>
                <w:szCs w:val="21"/>
                <w:highlight w:val="none"/>
                <w:lang w:eastAsia="zh-CN"/>
                <w14:textFill>
                  <w14:solidFill>
                    <w14:schemeClr w14:val="tx1"/>
                  </w14:solidFill>
                </w14:textFill>
              </w:rPr>
              <w:t>（县城）</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发展总体规划、燃气专项规划及其他相关要求制定企业发展规划和年度计划的，得</w:t>
            </w:r>
            <w:r>
              <w:rPr>
                <w:rFonts w:hint="eastAsia" w:eastAsia="方正仿宋_GBK" w:cs="Times New Roman"/>
                <w:color w:val="000000" w:themeColor="text1"/>
                <w:kern w:val="0"/>
                <w:szCs w:val="21"/>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分；否则不得分。</w:t>
            </w:r>
          </w:p>
        </w:tc>
        <w:tc>
          <w:tcPr>
            <w:tcW w:w="129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t>查阅资料</w:t>
            </w:r>
          </w:p>
        </w:tc>
        <w:tc>
          <w:tcPr>
            <w:tcW w:w="880"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1"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4</w:t>
            </w:r>
          </w:p>
        </w:tc>
        <w:tc>
          <w:tcPr>
            <w:tcW w:w="1537" w:type="dxa"/>
            <w:vMerge w:val="continue"/>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c>
          <w:tcPr>
            <w:tcW w:w="117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建设资金情况</w:t>
            </w:r>
          </w:p>
        </w:tc>
        <w:tc>
          <w:tcPr>
            <w:tcW w:w="667"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2</w:t>
            </w:r>
          </w:p>
        </w:tc>
        <w:tc>
          <w:tcPr>
            <w:tcW w:w="785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1.建设资金投入充足保证项目建设进度的，得</w:t>
            </w:r>
            <w:r>
              <w:rPr>
                <w:rFonts w:hint="eastAsia" w:eastAsia="方正仿宋_GBK" w:cs="Times New Roman"/>
                <w:color w:val="000000" w:themeColor="text1"/>
                <w:kern w:val="0"/>
                <w:szCs w:val="21"/>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分；投入不足造成项目建设进度滞后的，不得分。</w:t>
            </w:r>
          </w:p>
        </w:tc>
        <w:tc>
          <w:tcPr>
            <w:tcW w:w="129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查阅资料及台账</w:t>
            </w:r>
          </w:p>
        </w:tc>
        <w:tc>
          <w:tcPr>
            <w:tcW w:w="88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1"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5</w:t>
            </w:r>
          </w:p>
        </w:tc>
        <w:tc>
          <w:tcPr>
            <w:tcW w:w="1537" w:type="dxa"/>
            <w:vMerge w:val="continue"/>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c>
          <w:tcPr>
            <w:tcW w:w="117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项目建设情况</w:t>
            </w:r>
          </w:p>
        </w:tc>
        <w:tc>
          <w:tcPr>
            <w:tcW w:w="667"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3</w:t>
            </w:r>
          </w:p>
        </w:tc>
        <w:tc>
          <w:tcPr>
            <w:tcW w:w="785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1.燃气场站按规划进度建设的，得1分；每存在1座燃气场站未按规划建设的扣0.5分，扣完为止。(对没有门站接收能力的企业此项不计分) 2.</w:t>
            </w:r>
            <w:r>
              <w:rPr>
                <w:rFonts w:hint="eastAsia" w:eastAsia="方正仿宋_GBK" w:cs="Times New Roman"/>
                <w:color w:val="000000" w:themeColor="text1"/>
                <w:kern w:val="0"/>
                <w:szCs w:val="21"/>
                <w:highlight w:val="none"/>
                <w:lang w:eastAsia="zh-CN"/>
                <w14:textFill>
                  <w14:solidFill>
                    <w14:schemeClr w14:val="tx1"/>
                  </w14:solidFill>
                </w14:textFill>
              </w:rPr>
              <w:t>市政管网</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按规划</w:t>
            </w:r>
            <w:r>
              <w:rPr>
                <w:rFonts w:hint="eastAsia" w:eastAsia="方正仿宋_GBK" w:cs="Times New Roman"/>
                <w:color w:val="000000" w:themeColor="text1"/>
                <w:kern w:val="0"/>
                <w:szCs w:val="21"/>
                <w:highlight w:val="none"/>
                <w:lang w:eastAsia="zh-CN"/>
                <w14:textFill>
                  <w14:solidFill>
                    <w14:schemeClr w14:val="tx1"/>
                  </w14:solidFill>
                </w14:textFill>
              </w:rPr>
              <w:t>或年度下达任务</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进度建设的，得</w:t>
            </w:r>
            <w:r>
              <w:rPr>
                <w:rFonts w:hint="eastAsia" w:eastAsia="方正仿宋_GBK" w:cs="Times New Roman"/>
                <w:color w:val="000000" w:themeColor="text1"/>
                <w:kern w:val="0"/>
                <w:szCs w:val="21"/>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 (</w:t>
            </w:r>
            <w:r>
              <w:rPr>
                <w:rFonts w:hint="eastAsia" w:eastAsia="方正仿宋_GBK" w:cs="Times New Roman"/>
                <w:color w:val="000000" w:themeColor="text1"/>
                <w:kern w:val="0"/>
                <w:szCs w:val="21"/>
                <w:highlight w:val="none"/>
                <w:lang w:eastAsia="zh-CN"/>
                <w14:textFill>
                  <w14:solidFill>
                    <w14:schemeClr w14:val="tx1"/>
                  </w14:solidFill>
                </w14:textFill>
              </w:rPr>
              <w:t>市政管网</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建设工程量</w:t>
            </w:r>
            <w:r>
              <w:rPr>
                <w:rFonts w:hint="eastAsia" w:eastAsia="方正仿宋_GBK" w:cs="Times New Roman"/>
                <w:color w:val="000000" w:themeColor="text1"/>
                <w:kern w:val="0"/>
                <w:szCs w:val="21"/>
                <w:highlight w:val="none"/>
                <w:lang w:eastAsia="zh-CN"/>
                <w14:textFill>
                  <w14:solidFill>
                    <w14:schemeClr w14:val="tx1"/>
                  </w14:solidFill>
                </w14:textFill>
              </w:rPr>
              <w:t>达</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规划</w:t>
            </w:r>
            <w:r>
              <w:rPr>
                <w:rFonts w:hint="eastAsia" w:eastAsia="方正仿宋_GBK" w:cs="Times New Roman"/>
                <w:color w:val="000000" w:themeColor="text1"/>
                <w:kern w:val="0"/>
                <w:szCs w:val="21"/>
                <w:highlight w:val="none"/>
                <w:lang w:eastAsia="zh-CN"/>
                <w14:textFill>
                  <w14:solidFill>
                    <w14:schemeClr w14:val="tx1"/>
                  </w14:solidFill>
                </w14:textFill>
              </w:rPr>
              <w:t>或年度下达目标任务</w:t>
            </w:r>
            <w:r>
              <w:rPr>
                <w:rFonts w:hint="eastAsia" w:eastAsia="方正仿宋_GBK" w:cs="Times New Roman"/>
                <w:color w:val="000000" w:themeColor="text1"/>
                <w:kern w:val="0"/>
                <w:szCs w:val="21"/>
                <w:highlight w:val="none"/>
                <w:lang w:val="en-US" w:eastAsia="zh-CN"/>
                <w14:textFill>
                  <w14:solidFill>
                    <w14:schemeClr w14:val="tx1"/>
                  </w14:solidFill>
                </w14:textFill>
              </w:rPr>
              <w:t>100%得2分：80%得1.5分；60</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%的</w:t>
            </w:r>
            <w:r>
              <w:rPr>
                <w:rFonts w:hint="eastAsia" w:eastAsia="方正仿宋_GBK" w:cs="Times New Roman"/>
                <w:color w:val="000000" w:themeColor="text1"/>
                <w:kern w:val="0"/>
                <w:szCs w:val="21"/>
                <w:highlight w:val="none"/>
                <w:lang w:eastAsia="zh-CN"/>
                <w14:textFill>
                  <w14:solidFill>
                    <w14:schemeClr w14:val="tx1"/>
                  </w14:solidFill>
                </w14:textFill>
              </w:rPr>
              <w:t>得</w:t>
            </w:r>
            <w:r>
              <w:rPr>
                <w:rFonts w:hint="eastAsia" w:eastAsia="方正仿宋_GBK" w:cs="Times New Roman"/>
                <w:color w:val="000000" w:themeColor="text1"/>
                <w:kern w:val="0"/>
                <w:szCs w:val="21"/>
                <w:highlight w:val="none"/>
                <w:lang w:val="en-US" w:eastAsia="zh-CN"/>
                <w14:textFill>
                  <w14:solidFill>
                    <w14:schemeClr w14:val="tx1"/>
                  </w14:solidFill>
                </w14:textFill>
              </w:rPr>
              <w:t>1分</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w:t>
            </w:r>
            <w:r>
              <w:rPr>
                <w:rFonts w:hint="eastAsia" w:eastAsia="方正仿宋_GBK" w:cs="Times New Roman"/>
                <w:color w:val="000000" w:themeColor="text1"/>
                <w:kern w:val="0"/>
                <w:szCs w:val="21"/>
                <w:highlight w:val="none"/>
                <w:lang w:eastAsia="zh-CN"/>
                <w14:textFill>
                  <w14:solidFill>
                    <w14:schemeClr w14:val="tx1"/>
                  </w14:solidFill>
                </w14:textFill>
              </w:rPr>
              <w:t>低于</w:t>
            </w:r>
            <w:r>
              <w:rPr>
                <w:rFonts w:hint="eastAsia" w:eastAsia="方正仿宋_GBK" w:cs="Times New Roman"/>
                <w:color w:val="000000" w:themeColor="text1"/>
                <w:kern w:val="0"/>
                <w:szCs w:val="21"/>
                <w:highlight w:val="none"/>
                <w:lang w:val="en-US" w:eastAsia="zh-CN"/>
                <w14:textFill>
                  <w14:solidFill>
                    <w14:schemeClr w14:val="tx1"/>
                  </w14:solidFill>
                </w14:textFill>
              </w:rPr>
              <w:t>60%不得分</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w:t>
            </w:r>
          </w:p>
        </w:tc>
        <w:tc>
          <w:tcPr>
            <w:tcW w:w="129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随机抽查、查阅资料</w:t>
            </w:r>
          </w:p>
        </w:tc>
        <w:tc>
          <w:tcPr>
            <w:tcW w:w="880"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1"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6</w:t>
            </w:r>
          </w:p>
        </w:tc>
        <w:tc>
          <w:tcPr>
            <w:tcW w:w="1537"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c>
          <w:tcPr>
            <w:tcW w:w="117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燃气用户发展情况</w:t>
            </w:r>
          </w:p>
        </w:tc>
        <w:tc>
          <w:tcPr>
            <w:tcW w:w="667"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2</w:t>
            </w:r>
          </w:p>
        </w:tc>
        <w:tc>
          <w:tcPr>
            <w:tcW w:w="785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1.燃气用户发展符合城市发展需求或达到特许经营协议约定的内容，得1分；否则不得分。2.企业管理的燃气用户数据库必须在企业所在地保存及运行，得</w:t>
            </w:r>
            <w:r>
              <w:rPr>
                <w:rFonts w:hint="eastAsia" w:eastAsia="方正仿宋_GBK" w:cs="Times New Roman"/>
                <w:color w:val="000000" w:themeColor="text1"/>
                <w:kern w:val="0"/>
                <w:szCs w:val="21"/>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分；否则不得分。</w:t>
            </w:r>
          </w:p>
        </w:tc>
        <w:tc>
          <w:tcPr>
            <w:tcW w:w="1290"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查阅资料及台账</w:t>
            </w:r>
          </w:p>
        </w:tc>
        <w:tc>
          <w:tcPr>
            <w:tcW w:w="88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1"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7</w:t>
            </w:r>
          </w:p>
        </w:tc>
        <w:tc>
          <w:tcPr>
            <w:tcW w:w="1537" w:type="dxa"/>
            <w:vMerge w:val="restart"/>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三、特许经营企业的</w:t>
            </w:r>
            <w: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t>经营</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管理能力和服务（</w:t>
            </w:r>
            <w:r>
              <w:rPr>
                <w:rFonts w:hint="eastAsia" w:eastAsia="方正仿宋_GBK" w:cs="Times New Roman"/>
                <w:color w:val="000000" w:themeColor="text1"/>
                <w:kern w:val="0"/>
                <w:szCs w:val="21"/>
                <w:highlight w:val="none"/>
                <w:lang w:val="en-US" w:eastAsia="zh-CN"/>
                <w14:textFill>
                  <w14:solidFill>
                    <w14:schemeClr w14:val="tx1"/>
                  </w14:solidFill>
                </w14:textFill>
              </w:rPr>
              <w:t>55</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w:t>
            </w:r>
          </w:p>
        </w:tc>
        <w:tc>
          <w:tcPr>
            <w:tcW w:w="1173"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eastAsia" w:eastAsia="方正仿宋_GBK" w:cs="Times New Roman"/>
                <w:color w:val="000000" w:themeColor="text1"/>
                <w:kern w:val="0"/>
                <w:szCs w:val="21"/>
                <w:highlight w:val="none"/>
                <w:lang w:eastAsia="zh-CN"/>
                <w14:textFill>
                  <w14:solidFill>
                    <w14:schemeClr w14:val="tx1"/>
                  </w14:solidFill>
                </w14:textFill>
              </w:rPr>
              <w:t>安全</w:t>
            </w:r>
            <w: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t>制度建设</w:t>
            </w:r>
          </w:p>
        </w:tc>
        <w:tc>
          <w:tcPr>
            <w:tcW w:w="667"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4</w:t>
            </w:r>
          </w:p>
        </w:tc>
        <w:tc>
          <w:tcPr>
            <w:tcW w:w="7853"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.经营管理制度、财务管理制度、安全管理制度和应急管理制度等各类制度健全的，得</w:t>
            </w:r>
            <w:r>
              <w:rPr>
                <w:rFonts w:hint="eastAsia" w:eastAsia="方正仿宋_GBK" w:cs="Times New Roman"/>
                <w:color w:val="000000" w:themeColor="text1"/>
                <w:kern w:val="0"/>
                <w:szCs w:val="21"/>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分；缺少一项扣</w:t>
            </w:r>
            <w:r>
              <w:rPr>
                <w:rFonts w:hint="eastAsia" w:eastAsia="方正仿宋_GBK" w:cs="Times New Roman"/>
                <w:color w:val="000000" w:themeColor="text1"/>
                <w:kern w:val="0"/>
                <w:szCs w:val="21"/>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分，扣完为止。</w:t>
            </w:r>
          </w:p>
        </w:tc>
        <w:tc>
          <w:tcPr>
            <w:tcW w:w="1290"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查阅资料、系统查询</w:t>
            </w:r>
          </w:p>
        </w:tc>
        <w:tc>
          <w:tcPr>
            <w:tcW w:w="88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1"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8</w:t>
            </w:r>
          </w:p>
        </w:tc>
        <w:tc>
          <w:tcPr>
            <w:tcW w:w="1537" w:type="dxa"/>
            <w:vMerge w:val="continue"/>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c>
          <w:tcPr>
            <w:tcW w:w="117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eastAsia" w:eastAsia="方正仿宋_GBK" w:cs="Times New Roman"/>
                <w:color w:val="000000" w:themeColor="text1"/>
                <w:kern w:val="0"/>
                <w:szCs w:val="21"/>
                <w:highlight w:val="none"/>
                <w:lang w:eastAsia="zh-CN"/>
                <w14:textFill>
                  <w14:solidFill>
                    <w14:schemeClr w14:val="tx1"/>
                  </w14:solidFill>
                </w14:textFill>
              </w:rPr>
              <w:t>安全</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双重预防</w:t>
            </w:r>
          </w:p>
        </w:tc>
        <w:tc>
          <w:tcPr>
            <w:tcW w:w="667"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3</w:t>
            </w:r>
          </w:p>
        </w:tc>
        <w:tc>
          <w:tcPr>
            <w:tcW w:w="785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（1）按规定建立风险分级管控和隐患排查治理双重预防机制的，得</w:t>
            </w: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0.5</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（2）按要求定期开展风险识别和隐患排查治理，建立隐患台账，并形成治理闭环的，得</w:t>
            </w: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分；有一项隐患未整改完成扣0.5分，扣完为止；</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（3）将隐患排查情况定期上报管理部门的，得</w:t>
            </w: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0.5</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w:t>
            </w:r>
          </w:p>
        </w:tc>
        <w:tc>
          <w:tcPr>
            <w:tcW w:w="1290"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查阅资料及台账</w:t>
            </w:r>
          </w:p>
        </w:tc>
        <w:tc>
          <w:tcPr>
            <w:tcW w:w="88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1"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9</w:t>
            </w:r>
          </w:p>
        </w:tc>
        <w:tc>
          <w:tcPr>
            <w:tcW w:w="1537" w:type="dxa"/>
            <w:vMerge w:val="continue"/>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c>
          <w:tcPr>
            <w:tcW w:w="117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eastAsia" w:eastAsia="方正仿宋_GBK" w:cs="Times New Roman"/>
                <w:color w:val="000000" w:themeColor="text1"/>
                <w:kern w:val="0"/>
                <w:szCs w:val="21"/>
                <w:highlight w:val="none"/>
                <w:lang w:eastAsia="zh-CN"/>
                <w14:textFill>
                  <w14:solidFill>
                    <w14:schemeClr w14:val="tx1"/>
                  </w14:solidFill>
                </w14:textFill>
              </w:rPr>
              <w:t>安全</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事故事件管理</w:t>
            </w:r>
          </w:p>
        </w:tc>
        <w:tc>
          <w:tcPr>
            <w:tcW w:w="667"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5</w:t>
            </w:r>
          </w:p>
        </w:tc>
        <w:tc>
          <w:tcPr>
            <w:tcW w:w="785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（1）制定完善的事故事件管理制度的，得</w:t>
            </w: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0.5</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（2）建立完整的事故和事件台账的，得</w:t>
            </w: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0.5</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（3）定期对事件情况进行统计分析，并提出应对或改进措施的，得</w:t>
            </w: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（4）按要求对事故进行处置和上报，并在事后及时进行分析，举一反三，开展隐患排查的，得1分。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5</w:t>
            </w:r>
            <w: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在本评估周期内：1.未发生安全责任事故，得</w:t>
            </w: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分。2.每发生1起一般事故，扣</w:t>
            </w: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0.5</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分；扣完为止。 3.每发生1起及以上较大事故或3起及以上一般事故，不得分。(注：根据事故调查结论，燃气企业无责</w:t>
            </w:r>
            <w:r>
              <w:rPr>
                <w:rFonts w:hint="eastAsia" w:eastAsia="方正仿宋_GBK" w:cs="Times New Roman"/>
                <w:color w:val="000000" w:themeColor="text1"/>
                <w:kern w:val="0"/>
                <w:szCs w:val="21"/>
                <w:highlight w:val="none"/>
                <w:lang w:eastAsia="zh-CN"/>
                <w14:textFill>
                  <w14:solidFill>
                    <w14:schemeClr w14:val="tx1"/>
                  </w14:solidFill>
                </w14:textFill>
              </w:rPr>
              <w:t>任</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安全事故不计入)</w:t>
            </w:r>
          </w:p>
        </w:tc>
        <w:tc>
          <w:tcPr>
            <w:tcW w:w="1290"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查阅资料及台账</w:t>
            </w:r>
          </w:p>
        </w:tc>
        <w:tc>
          <w:tcPr>
            <w:tcW w:w="88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1"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10</w:t>
            </w:r>
          </w:p>
        </w:tc>
        <w:tc>
          <w:tcPr>
            <w:tcW w:w="1537" w:type="dxa"/>
            <w:vMerge w:val="continue"/>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c>
          <w:tcPr>
            <w:tcW w:w="117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安全管理机构及人员持证</w:t>
            </w:r>
          </w:p>
        </w:tc>
        <w:tc>
          <w:tcPr>
            <w:tcW w:w="667"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6</w:t>
            </w:r>
          </w:p>
        </w:tc>
        <w:tc>
          <w:tcPr>
            <w:tcW w:w="785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（1）设立安全生产委员会或安全生产领导机构，并按规定定期召开安全专题会，得0.5分；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（2）配备不低于从业人员2%且不少于1名专职安全生产管理人员的，得0.5分；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（3）配备注册安全工程师，得1分；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（4）主要负责人持有安全生产知识和管理能力考核合格证（主要负责人）和燃气经营企业从业人员合格证（主要负责人），得1分；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（5）安全生产管理人员持有安全生产知识和管理能力考核合格证（安全管理人员）、燃气经营企业从业人员合格证（安全管理人员）和特种设备安全管理人员证，得1分；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 xml:space="preserve">（6）运行、维护和抢修人员按照要求（燃气用户10万户以下，每2500户不少于1人；10万户以上，每增加2500户增加1人）配备，且持有燃气经营企业从业人员合格证的，得1分； </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（7）特种作业人员、特种设备作业人员由具有资质的培训机构进行专门的安全技术和操作技能的培训和考核，取得相应资格证书，并按相关要求复审的，得1分。</w:t>
            </w:r>
          </w:p>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注：（4）（5）（6）（7）小项存在1人未按要求取证的，该小项不得分。</w:t>
            </w:r>
          </w:p>
        </w:tc>
        <w:tc>
          <w:tcPr>
            <w:tcW w:w="1290"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查阅资料及台账</w:t>
            </w:r>
          </w:p>
        </w:tc>
        <w:tc>
          <w:tcPr>
            <w:tcW w:w="88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1"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11</w:t>
            </w:r>
          </w:p>
        </w:tc>
        <w:tc>
          <w:tcPr>
            <w:tcW w:w="1537" w:type="dxa"/>
            <w:vMerge w:val="continue"/>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c>
          <w:tcPr>
            <w:tcW w:w="117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安全教育</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培训</w:t>
            </w:r>
          </w:p>
        </w:tc>
        <w:tc>
          <w:tcPr>
            <w:tcW w:w="667"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2</w:t>
            </w:r>
          </w:p>
        </w:tc>
        <w:tc>
          <w:tcPr>
            <w:tcW w:w="785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（1）对从业人员定期进行安全生产、职业卫生和应急救援教育和培训，得1分；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（2）对新员工进行三级安全教育，安全教育培训内容和时间符合《生产经营单位安全培训规定》，得0.5分；</w:t>
            </w:r>
          </w:p>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（3）从业人员在本单位内调整工作岗位或离岗一年以上重新上岗时，重新接受部门和班组级的安全教育培训的，得0.5分。</w:t>
            </w:r>
          </w:p>
        </w:tc>
        <w:tc>
          <w:tcPr>
            <w:tcW w:w="1290"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查阅资料及台账</w:t>
            </w:r>
          </w:p>
        </w:tc>
        <w:tc>
          <w:tcPr>
            <w:tcW w:w="88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1"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12</w:t>
            </w:r>
          </w:p>
        </w:tc>
        <w:tc>
          <w:tcPr>
            <w:tcW w:w="1537" w:type="dxa"/>
            <w:vMerge w:val="continue"/>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c>
          <w:tcPr>
            <w:tcW w:w="1173"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保险</w:t>
            </w:r>
            <w:r>
              <w:rPr>
                <w:rFonts w:hint="eastAsia" w:eastAsia="方正仿宋_GBK" w:cs="Times New Roman"/>
                <w:color w:val="000000" w:themeColor="text1"/>
                <w:kern w:val="0"/>
                <w:szCs w:val="21"/>
                <w:highlight w:val="none"/>
                <w:lang w:eastAsia="zh-CN"/>
                <w14:textFill>
                  <w14:solidFill>
                    <w14:schemeClr w14:val="tx1"/>
                  </w14:solidFill>
                </w14:textFill>
              </w:rPr>
              <w:t>及安全生产费用</w:t>
            </w:r>
          </w:p>
        </w:tc>
        <w:tc>
          <w:tcPr>
            <w:tcW w:w="667"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2</w:t>
            </w:r>
          </w:p>
        </w:tc>
        <w:tc>
          <w:tcPr>
            <w:tcW w:w="785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企业投保安全生产责任保险的，得1分</w:t>
            </w:r>
            <w:r>
              <w:rPr>
                <w:rFonts w:hint="eastAsia" w:eastAsia="方正仿宋_GBK" w:cs="Times New Roman"/>
                <w:color w:val="000000" w:themeColor="text1"/>
                <w:kern w:val="0"/>
                <w:szCs w:val="21"/>
                <w:highlight w:val="none"/>
                <w:lang w:val="en-US" w:eastAsia="zh-CN"/>
                <w14:textFill>
                  <w14:solidFill>
                    <w14:schemeClr w14:val="tx1"/>
                  </w14:solidFill>
                </w14:textFill>
              </w:rPr>
              <w:t>；2、按照《安全生产法》相关规定提取安全生产费用并用于安全生产投入的，得1分。</w:t>
            </w:r>
          </w:p>
        </w:tc>
        <w:tc>
          <w:tcPr>
            <w:tcW w:w="1290"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p>
        </w:tc>
        <w:tc>
          <w:tcPr>
            <w:tcW w:w="88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1"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13</w:t>
            </w:r>
          </w:p>
        </w:tc>
        <w:tc>
          <w:tcPr>
            <w:tcW w:w="1537" w:type="dxa"/>
            <w:vMerge w:val="continue"/>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c>
          <w:tcPr>
            <w:tcW w:w="117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设备设施安全管理</w:t>
            </w:r>
          </w:p>
        </w:tc>
        <w:tc>
          <w:tcPr>
            <w:tcW w:w="667"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2</w:t>
            </w:r>
          </w:p>
        </w:tc>
        <w:tc>
          <w:tcPr>
            <w:tcW w:w="785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（1）具有完善的安全技术档案及设备台账，有完善的设备维护保养制度和操作规程，并切实落实，有完整记录，得1分；</w:t>
            </w:r>
          </w:p>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2）压力容器、燃气压力管道等特种设备，以及相关安全附件仪器仪表（如安全阀、压力表等）等按规定建立了设备台账，具有完善的安全技术档案，特种设备落实了法定两检（安装监检和定期检验）并检验合格，安全附件仪器仪表定期校验并合格；按照相关安全技术规范要求落实了特种设备年度检查和日常隐患排查治理，得1分。</w:t>
            </w:r>
          </w:p>
        </w:tc>
        <w:tc>
          <w:tcPr>
            <w:tcW w:w="1290"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查阅资料及台账</w:t>
            </w:r>
          </w:p>
        </w:tc>
        <w:tc>
          <w:tcPr>
            <w:tcW w:w="88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1"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14</w:t>
            </w:r>
          </w:p>
        </w:tc>
        <w:tc>
          <w:tcPr>
            <w:tcW w:w="1537" w:type="dxa"/>
            <w:vMerge w:val="continue"/>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c>
          <w:tcPr>
            <w:tcW w:w="117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燃气设施</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保护</w:t>
            </w:r>
          </w:p>
        </w:tc>
        <w:tc>
          <w:tcPr>
            <w:tcW w:w="667"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4</w:t>
            </w:r>
          </w:p>
        </w:tc>
        <w:tc>
          <w:tcPr>
            <w:tcW w:w="785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（1）制定第三方施工管控措施并按制度执行的，得1分；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（2）按规范要求在燃气设施周边设置安全警示标志，在安全保护范围周边设置安全保护标志，得1分；缺一项扣0.5分，扣完为止；</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（3）按相关要求对燃气设施进行巡查，并建立巡检台账的，得1分。定期对燃气设施进行检测、维修和维护，确保燃气设施的安全运行的，得1分。</w:t>
            </w:r>
          </w:p>
        </w:tc>
        <w:tc>
          <w:tcPr>
            <w:tcW w:w="1290"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查阅资料及台账</w:t>
            </w:r>
          </w:p>
        </w:tc>
        <w:tc>
          <w:tcPr>
            <w:tcW w:w="88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1"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15</w:t>
            </w:r>
          </w:p>
        </w:tc>
        <w:tc>
          <w:tcPr>
            <w:tcW w:w="1537" w:type="dxa"/>
            <w:vMerge w:val="continue"/>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c>
          <w:tcPr>
            <w:tcW w:w="1173"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网络信息安全保护</w:t>
            </w:r>
            <w:r>
              <w:rPr>
                <w:rFonts w:hint="eastAsia" w:eastAsia="方正仿宋_GBK" w:cs="Times New Roman"/>
                <w:color w:val="000000" w:themeColor="text1"/>
                <w:kern w:val="0"/>
                <w:szCs w:val="21"/>
                <w:highlight w:val="none"/>
                <w:lang w:eastAsia="zh-CN"/>
                <w14:textFill>
                  <w14:solidFill>
                    <w14:schemeClr w14:val="tx1"/>
                  </w14:solidFill>
                </w14:textFill>
              </w:rPr>
              <w:t>及反恐工作</w:t>
            </w:r>
          </w:p>
        </w:tc>
        <w:tc>
          <w:tcPr>
            <w:tcW w:w="667"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3</w:t>
            </w:r>
          </w:p>
        </w:tc>
        <w:tc>
          <w:tcPr>
            <w:tcW w:w="785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按照《信息系统安全等级保护实施指南》和《信息安全等级保护管理办法》等有关要求，开展信息系统安全保护等级测评和备案的，得2分</w:t>
            </w:r>
            <w:r>
              <w:rPr>
                <w:rFonts w:hint="eastAsia" w:eastAsia="方正仿宋_GBK" w:cs="Times New Roman"/>
                <w:color w:val="000000" w:themeColor="text1"/>
                <w:kern w:val="0"/>
                <w:szCs w:val="21"/>
                <w:highlight w:val="none"/>
                <w:lang w:val="en-US" w:eastAsia="zh-CN"/>
                <w14:textFill>
                  <w14:solidFill>
                    <w14:schemeClr w14:val="tx1"/>
                  </w14:solidFill>
                </w14:textFill>
              </w:rPr>
              <w:t>；2、按照《城镇燃气反恐怖防范标准》落实反恐措施得1分。</w:t>
            </w:r>
          </w:p>
        </w:tc>
        <w:tc>
          <w:tcPr>
            <w:tcW w:w="1290"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查阅资料及台账</w:t>
            </w:r>
          </w:p>
        </w:tc>
        <w:tc>
          <w:tcPr>
            <w:tcW w:w="88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1"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16</w:t>
            </w:r>
          </w:p>
        </w:tc>
        <w:tc>
          <w:tcPr>
            <w:tcW w:w="1537" w:type="dxa"/>
            <w:vMerge w:val="continue"/>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c>
          <w:tcPr>
            <w:tcW w:w="1173"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智慧燃气</w:t>
            </w:r>
          </w:p>
        </w:tc>
        <w:tc>
          <w:tcPr>
            <w:tcW w:w="667"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7</w:t>
            </w:r>
          </w:p>
        </w:tc>
        <w:tc>
          <w:tcPr>
            <w:tcW w:w="785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（1）企业级SCADA系统（</w:t>
            </w:r>
            <w:r>
              <w:rPr>
                <w:rFonts w:hint="eastAsia" w:eastAsia="方正仿宋_GBK" w:cs="Times New Roman"/>
                <w:color w:val="000000" w:themeColor="text1"/>
                <w:kern w:val="0"/>
                <w:szCs w:val="21"/>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（2）具有GIS系统，得1分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（3）自动化程度符合《城镇燃气自动化系统技术规范（CJJT 259-2016）》的，得1分，不符合1项扣0.5分，扣完为止。</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（4）具有客户管理系统的，得1分；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（5）2020年以后新装用户智能化表具安装率（1分）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（6）特种设备检验信息数据库（1分）；1）建立了燃气压力管道等特种设备检验信息数据库，对特种设备检验信息实施信息化管理的，得0.5分；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2）燃气压力管道检验信息能够自动上传至全国压力管道检验信息系统的，得0.5分。</w:t>
            </w:r>
          </w:p>
        </w:tc>
        <w:tc>
          <w:tcPr>
            <w:tcW w:w="1290"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查阅资料及台账</w:t>
            </w:r>
          </w:p>
        </w:tc>
        <w:tc>
          <w:tcPr>
            <w:tcW w:w="88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0" w:hRule="atLeast"/>
          <w:jc w:val="center"/>
        </w:trPr>
        <w:tc>
          <w:tcPr>
            <w:tcW w:w="661"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17</w:t>
            </w:r>
          </w:p>
        </w:tc>
        <w:tc>
          <w:tcPr>
            <w:tcW w:w="1537" w:type="dxa"/>
            <w:vMerge w:val="continue"/>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c>
          <w:tcPr>
            <w:tcW w:w="117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行业服务质量</w:t>
            </w:r>
          </w:p>
        </w:tc>
        <w:tc>
          <w:tcPr>
            <w:tcW w:w="667"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7</w:t>
            </w:r>
          </w:p>
        </w:tc>
        <w:tc>
          <w:tcPr>
            <w:tcW w:w="785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1.企业对所有用户普遍地、无歧视地提供公共产品或公共服务的，得1分；否则不得分。2.符合优化营商环境用气报装便利化的要求，得</w:t>
            </w: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分；否则不得分 。3.营业网点和服务人员配置情况满足用户需求，每10万户至少配备1处营业网点，得1分；否则不得分。4.用户发展、安装施工、充值缴费、维修安检、客服热线等各类制度健全、工作流程完善，办事程序公开、便捷的，得</w:t>
            </w:r>
            <w:r>
              <w:rPr>
                <w:rFonts w:hint="eastAsia" w:eastAsia="方正仿宋_GBK" w:cs="Times New Roman"/>
                <w:color w:val="000000" w:themeColor="text1"/>
                <w:kern w:val="0"/>
                <w:szCs w:val="21"/>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分；缺少一项扣0.5分，扣完为止。5.用户报修、投诉处理及时，在规定时限内办结，报修、投诉处理有记录的，得</w:t>
            </w: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分；否则不得分。</w:t>
            </w: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提供上门服务或有投诉的用户进行回访且建立完善的回访记录档案的，得1分</w:t>
            </w:r>
            <w: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用户回访率达到10%（含）以上的，得1分；否则不得分</w:t>
            </w:r>
            <w: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.供气价格、工程安装费、延伸服务等收费，价格按物价部门文件执行的，得1分；否则不得分。</w:t>
            </w:r>
          </w:p>
        </w:tc>
        <w:tc>
          <w:tcPr>
            <w:tcW w:w="1290"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现场检查、查阅资料及台账、用户测评</w:t>
            </w:r>
          </w:p>
        </w:tc>
        <w:tc>
          <w:tcPr>
            <w:tcW w:w="88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1"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18</w:t>
            </w:r>
          </w:p>
        </w:tc>
        <w:tc>
          <w:tcPr>
            <w:tcW w:w="1537" w:type="dxa"/>
            <w:vMerge w:val="continue"/>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c>
          <w:tcPr>
            <w:tcW w:w="117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入户安检</w:t>
            </w:r>
          </w:p>
        </w:tc>
        <w:tc>
          <w:tcPr>
            <w:tcW w:w="667"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4</w:t>
            </w:r>
          </w:p>
        </w:tc>
        <w:tc>
          <w:tcPr>
            <w:tcW w:w="785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（1）有健全的入户安检制度，安检频次、安全检查内容等符合相关要求的，得1分；每存在一项不符合要求的，扣0.5分，扣完为止；</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（2）对安全检查发现的隐患及时制定整改措施，落实整改责任人和整改期限，整改完成后进行复查，得</w:t>
            </w: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1.5</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分；每存在一项不符合要求的，扣0.5分，扣完为止；</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（3）制定入户安检年度计划，并将计划和实际执行结果</w:t>
            </w:r>
            <w: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t>（含</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安检异常用户上报主管部门</w:t>
            </w:r>
            <w: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报送行业主管部门的，得</w:t>
            </w: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0.5</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分；否则不得分；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（4）实际入户率达到80%及以上，得0.5分；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（5）有完善的到访不遇制度和处置措施，且执行情况良好，得0.5分。</w:t>
            </w:r>
          </w:p>
          <w:p>
            <w:pPr>
              <w:widowControl/>
              <w:spacing w:line="400" w:lineRule="exact"/>
              <w:jc w:val="both"/>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6</w:t>
            </w:r>
            <w: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t>）以安全为由，强制用户消费，该项不得分。</w:t>
            </w:r>
          </w:p>
        </w:tc>
        <w:tc>
          <w:tcPr>
            <w:tcW w:w="129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查阅资料及台账</w:t>
            </w:r>
          </w:p>
        </w:tc>
        <w:tc>
          <w:tcPr>
            <w:tcW w:w="88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61"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19</w:t>
            </w:r>
          </w:p>
        </w:tc>
        <w:tc>
          <w:tcPr>
            <w:tcW w:w="1537" w:type="dxa"/>
            <w:vMerge w:val="continue"/>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c>
          <w:tcPr>
            <w:tcW w:w="117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用户满意度</w:t>
            </w:r>
          </w:p>
        </w:tc>
        <w:tc>
          <w:tcPr>
            <w:tcW w:w="667"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2</w:t>
            </w:r>
          </w:p>
        </w:tc>
        <w:tc>
          <w:tcPr>
            <w:tcW w:w="785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分别采取电话调查及上门调查两种形式：</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（1）电话调查满意度为95%（含）以上的，得</w:t>
            </w: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分，80%（含）-90%的，得0.5分；其余不得分；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（2）上门调查满意度为95%（含）以上的，得</w:t>
            </w: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分，80%（含）-90%的，得0.5分；其余不得分。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注：各类用户样本数量原则上为该类用户总数的1%，各类用户总量可不超过100户。</w:t>
            </w:r>
          </w:p>
        </w:tc>
        <w:tc>
          <w:tcPr>
            <w:tcW w:w="1290"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用户测评</w:t>
            </w:r>
            <w:r>
              <w:rPr>
                <w:rFonts w:hint="eastAsia" w:eastAsia="方正仿宋_GBK" w:cs="Times New Roman"/>
                <w:color w:val="000000" w:themeColor="text1"/>
                <w:kern w:val="0"/>
                <w:szCs w:val="21"/>
                <w:highlight w:val="none"/>
                <w:lang w:eastAsia="zh-CN"/>
                <w14:textFill>
                  <w14:solidFill>
                    <w14:schemeClr w14:val="tx1"/>
                  </w14:solidFill>
                </w14:textFill>
              </w:rPr>
              <w:t>或提供委托第三方测评报告</w:t>
            </w:r>
          </w:p>
        </w:tc>
        <w:tc>
          <w:tcPr>
            <w:tcW w:w="88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61"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20</w:t>
            </w:r>
          </w:p>
        </w:tc>
        <w:tc>
          <w:tcPr>
            <w:tcW w:w="1537" w:type="dxa"/>
            <w:vMerge w:val="continue"/>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c>
          <w:tcPr>
            <w:tcW w:w="117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安全宣传</w:t>
            </w:r>
          </w:p>
        </w:tc>
        <w:tc>
          <w:tcPr>
            <w:tcW w:w="667"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2</w:t>
            </w:r>
          </w:p>
        </w:tc>
        <w:tc>
          <w:tcPr>
            <w:tcW w:w="785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（1）按要求制定安全宣传制度和宣传计划，并执行良好的，得1分；有不合格的每项扣0.5分，扣完为止；</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（2）每年开展4次及以上安全宣传教育活动，得1分；每少1次扣0.5分，扣完为止。</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注：安全宣传教育活动（包括安全用气注意事项、正确选择燃气用具的方法、出现异常情况和意外事故时采取的紧急处理措施、户内燃气设施保护措施以及报修报警电话等）。</w:t>
            </w:r>
          </w:p>
        </w:tc>
        <w:tc>
          <w:tcPr>
            <w:tcW w:w="129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查阅资料及台账</w:t>
            </w:r>
          </w:p>
        </w:tc>
        <w:tc>
          <w:tcPr>
            <w:tcW w:w="88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661"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21</w:t>
            </w:r>
          </w:p>
        </w:tc>
        <w:tc>
          <w:tcPr>
            <w:tcW w:w="1537" w:type="dxa"/>
            <w:vMerge w:val="restart"/>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四、燃气设施的建设与改造依据规定的基本建设程序和规划要求执行（</w:t>
            </w:r>
            <w:r>
              <w:rPr>
                <w:rFonts w:hint="eastAsia" w:eastAsia="方正仿宋_GBK" w:cs="Times New Roman"/>
                <w:color w:val="000000" w:themeColor="text1"/>
                <w:kern w:val="0"/>
                <w:szCs w:val="21"/>
                <w:highlight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w:t>
            </w:r>
          </w:p>
        </w:tc>
        <w:tc>
          <w:tcPr>
            <w:tcW w:w="117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设施建设、保养维护、更新改造情况</w:t>
            </w:r>
          </w:p>
        </w:tc>
        <w:tc>
          <w:tcPr>
            <w:tcW w:w="667"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3</w:t>
            </w:r>
          </w:p>
        </w:tc>
        <w:tc>
          <w:tcPr>
            <w:tcW w:w="785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1.合理制定燃气设施建设、保养维护，并按计划有序开展业务的，得</w:t>
            </w:r>
            <w:r>
              <w:rPr>
                <w:rFonts w:hint="eastAsia" w:eastAsia="方正仿宋_GBK" w:cs="Times New Roman"/>
                <w:color w:val="000000" w:themeColor="text1"/>
                <w:kern w:val="0"/>
                <w:szCs w:val="21"/>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分；缺少一项扣</w:t>
            </w:r>
            <w:r>
              <w:rPr>
                <w:rFonts w:hint="eastAsia" w:eastAsia="方正仿宋_GBK" w:cs="Times New Roman"/>
                <w:color w:val="000000" w:themeColor="text1"/>
                <w:kern w:val="0"/>
                <w:szCs w:val="21"/>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扣完为止。2.燃气设施建设与更新改造符合区域城市建设规划和区域燃气专项规划的要求，得1分；否则不得分。3.在特许经营区域范围内，对已投入使用的管道燃气设施工程按设计规定的年限届满前及时进行评估的，得</w:t>
            </w:r>
            <w:r>
              <w:rPr>
                <w:rFonts w:hint="eastAsia" w:eastAsia="方正仿宋_GBK" w:cs="Times New Roman"/>
                <w:color w:val="000000" w:themeColor="text1"/>
                <w:kern w:val="0"/>
                <w:szCs w:val="21"/>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分；逾期未评估的，不得分。(所有设施设备均未到达设计规定使用年限的不扣分)</w:t>
            </w:r>
          </w:p>
        </w:tc>
        <w:tc>
          <w:tcPr>
            <w:tcW w:w="129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随机抽查、查阅资料</w:t>
            </w:r>
          </w:p>
        </w:tc>
        <w:tc>
          <w:tcPr>
            <w:tcW w:w="88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1"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22</w:t>
            </w:r>
          </w:p>
        </w:tc>
        <w:tc>
          <w:tcPr>
            <w:tcW w:w="1537" w:type="dxa"/>
            <w:vMerge w:val="continue"/>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c>
          <w:tcPr>
            <w:tcW w:w="1173"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工程建设</w:t>
            </w:r>
            <w:r>
              <w:rPr>
                <w:rFonts w:hint="eastAsia" w:eastAsia="方正仿宋_GBK" w:cs="Times New Roman"/>
                <w:color w:val="000000" w:themeColor="text1"/>
                <w:kern w:val="0"/>
                <w:szCs w:val="21"/>
                <w:highlight w:val="none"/>
                <w:lang w:eastAsia="zh-CN"/>
                <w14:textFill>
                  <w14:solidFill>
                    <w14:schemeClr w14:val="tx1"/>
                  </w14:solidFill>
                </w14:textFill>
              </w:rPr>
              <w:t>规范</w:t>
            </w:r>
          </w:p>
        </w:tc>
        <w:tc>
          <w:tcPr>
            <w:tcW w:w="667"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4</w:t>
            </w:r>
          </w:p>
        </w:tc>
        <w:tc>
          <w:tcPr>
            <w:tcW w:w="7853"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1.规范工程建设程序，燃气工程按规定办理</w:t>
            </w:r>
            <w:r>
              <w:rPr>
                <w:rFonts w:hint="eastAsia" w:eastAsia="方正仿宋_GBK" w:cs="Times New Roman"/>
                <w:color w:val="000000" w:themeColor="text1"/>
                <w:kern w:val="0"/>
                <w:szCs w:val="21"/>
                <w:highlight w:val="none"/>
                <w:lang w:eastAsia="zh-CN"/>
                <w14:textFill>
                  <w14:solidFill>
                    <w14:schemeClr w14:val="tx1"/>
                  </w14:solidFill>
                </w14:textFill>
              </w:rPr>
              <w:t>相关手续</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的，得2分，抽查发现一项未办理手续扣1分，扣完为止。2.工程竣工验收情况及时报送住房城乡建设部门备案，工程竣工资料档案及时向城建档案管理部门移交，得2分，缺少一项扣1分，扣完为止。</w:t>
            </w:r>
          </w:p>
        </w:tc>
        <w:tc>
          <w:tcPr>
            <w:tcW w:w="129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随机抽查、查阅资料</w:t>
            </w:r>
          </w:p>
        </w:tc>
        <w:tc>
          <w:tcPr>
            <w:tcW w:w="88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3" w:hRule="atLeast"/>
          <w:jc w:val="center"/>
        </w:trPr>
        <w:tc>
          <w:tcPr>
            <w:tcW w:w="661"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23</w:t>
            </w:r>
          </w:p>
        </w:tc>
        <w:tc>
          <w:tcPr>
            <w:tcW w:w="1537" w:type="dxa"/>
            <w:vMerge w:val="restart"/>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五、提供的燃气产品和服务是否满足各类标准和规范的要求（1</w:t>
            </w:r>
            <w:r>
              <w:rPr>
                <w:rFonts w:hint="eastAsia" w:eastAsia="方正仿宋_GBK" w:cs="Times New Roman"/>
                <w:color w:val="000000" w:themeColor="text1"/>
                <w:kern w:val="0"/>
                <w:szCs w:val="21"/>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w:t>
            </w:r>
          </w:p>
        </w:tc>
        <w:tc>
          <w:tcPr>
            <w:tcW w:w="117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产品质量</w:t>
            </w:r>
          </w:p>
        </w:tc>
        <w:tc>
          <w:tcPr>
            <w:tcW w:w="667"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3</w:t>
            </w:r>
          </w:p>
        </w:tc>
        <w:tc>
          <w:tcPr>
            <w:tcW w:w="785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1.定期对气源质量进行分析检测，燃气质量符合《城镇燃气技术规范》标准的，得1分；否则不得分。2.定期对管道末端(用户端按万分之一取样)管道内的加臭剂浓度进行检测分析，末端加臭量符合要求的，得1分；否则不得分。3.建立居民灶前压力检测制度，用户用气压力在正常范围的，得1分；否则不得分。</w:t>
            </w:r>
          </w:p>
        </w:tc>
        <w:tc>
          <w:tcPr>
            <w:tcW w:w="129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查阅台账、抽样检查</w:t>
            </w:r>
          </w:p>
        </w:tc>
        <w:tc>
          <w:tcPr>
            <w:tcW w:w="88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8" w:hRule="atLeast"/>
          <w:jc w:val="center"/>
        </w:trPr>
        <w:tc>
          <w:tcPr>
            <w:tcW w:w="661"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24</w:t>
            </w:r>
          </w:p>
        </w:tc>
        <w:tc>
          <w:tcPr>
            <w:tcW w:w="1537" w:type="dxa"/>
            <w:vMerge w:val="continue"/>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c>
          <w:tcPr>
            <w:tcW w:w="117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气源接收及协调</w:t>
            </w:r>
          </w:p>
        </w:tc>
        <w:tc>
          <w:tcPr>
            <w:tcW w:w="667"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4</w:t>
            </w:r>
          </w:p>
        </w:tc>
        <w:tc>
          <w:tcPr>
            <w:tcW w:w="785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1.具有接收供气需求管输能力的门站，得1分；每增加1座得0.5分， 最高得2分。2.具备良好的气源协调能力的，得1分，否则不得分。3.与上游供气企业签订长期气源采购合同，合同气量占年度用气量90%（含）及以上的，得1分。</w:t>
            </w:r>
          </w:p>
        </w:tc>
        <w:tc>
          <w:tcPr>
            <w:tcW w:w="129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查阅门站、设计图纸、供气合同</w:t>
            </w:r>
          </w:p>
        </w:tc>
        <w:tc>
          <w:tcPr>
            <w:tcW w:w="88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jc w:val="center"/>
        </w:trPr>
        <w:tc>
          <w:tcPr>
            <w:tcW w:w="661"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25</w:t>
            </w:r>
          </w:p>
        </w:tc>
        <w:tc>
          <w:tcPr>
            <w:tcW w:w="1537" w:type="dxa"/>
            <w:vMerge w:val="continue"/>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c>
          <w:tcPr>
            <w:tcW w:w="117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储气调峰及保供</w:t>
            </w:r>
          </w:p>
        </w:tc>
        <w:tc>
          <w:tcPr>
            <w:tcW w:w="667"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6</w:t>
            </w:r>
          </w:p>
        </w:tc>
        <w:tc>
          <w:tcPr>
            <w:tcW w:w="7853"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1.制定保供方案并落实的，得1分；否则不得分。2.储气调峰能力适应城市发展需求：储气能力不低于其上一年度供气量5%的，得5分；不满足其上一年度供气量5%的，不得分。</w:t>
            </w:r>
            <w:r>
              <w:rPr>
                <w:rFonts w:hint="eastAsia" w:eastAsia="方正仿宋_GBK" w:cs="Times New Roman"/>
                <w:color w:val="000000" w:themeColor="text1"/>
                <w:kern w:val="0"/>
                <w:szCs w:val="21"/>
                <w:highlight w:val="none"/>
                <w:lang w:eastAsia="zh-CN"/>
                <w14:textFill>
                  <w14:solidFill>
                    <w14:schemeClr w14:val="tx1"/>
                  </w14:solidFill>
                </w14:textFill>
              </w:rPr>
              <w:t>（注：提供代储协议或储气设施能力资料）</w:t>
            </w:r>
          </w:p>
        </w:tc>
        <w:tc>
          <w:tcPr>
            <w:tcW w:w="129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查阅资料、实地查看</w:t>
            </w:r>
          </w:p>
        </w:tc>
        <w:tc>
          <w:tcPr>
            <w:tcW w:w="88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661"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26</w:t>
            </w:r>
          </w:p>
        </w:tc>
        <w:tc>
          <w:tcPr>
            <w:tcW w:w="1537" w:type="dxa"/>
            <w:vMerge w:val="continue"/>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c>
          <w:tcPr>
            <w:tcW w:w="117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信息公示公开</w:t>
            </w:r>
          </w:p>
        </w:tc>
        <w:tc>
          <w:tcPr>
            <w:tcW w:w="667"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1</w:t>
            </w:r>
          </w:p>
        </w:tc>
        <w:tc>
          <w:tcPr>
            <w:tcW w:w="785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1.建立燃气产品信息定期公布制度，让社会公众了解和掌握天然气质量信息，提高社会满意度，得</w:t>
            </w:r>
            <w:r>
              <w:rPr>
                <w:rFonts w:hint="eastAsia" w:eastAsia="方正仿宋_GBK" w:cs="Times New Roman"/>
                <w:color w:val="000000" w:themeColor="text1"/>
                <w:kern w:val="0"/>
                <w:szCs w:val="21"/>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分，缺少一项公示内容扣</w:t>
            </w:r>
            <w:r>
              <w:rPr>
                <w:rFonts w:hint="eastAsia" w:eastAsia="方正仿宋_GBK" w:cs="Times New Roman"/>
                <w:color w:val="000000" w:themeColor="text1"/>
                <w:kern w:val="0"/>
                <w:szCs w:val="21"/>
                <w:highlight w:val="none"/>
                <w:lang w:val="en-US" w:eastAsia="zh-CN"/>
                <w14:textFill>
                  <w14:solidFill>
                    <w14:schemeClr w14:val="tx1"/>
                  </w14:solidFill>
                </w14:textFill>
              </w:rPr>
              <w:t>0.5</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分，扣完为止。</w:t>
            </w:r>
          </w:p>
        </w:tc>
        <w:tc>
          <w:tcPr>
            <w:tcW w:w="129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随机抽查、查阅资料</w:t>
            </w:r>
          </w:p>
        </w:tc>
        <w:tc>
          <w:tcPr>
            <w:tcW w:w="88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27</w:t>
            </w:r>
          </w:p>
        </w:tc>
        <w:tc>
          <w:tcPr>
            <w:tcW w:w="1537" w:type="dxa"/>
            <w:vMerge w:val="restart"/>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t>六、</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其他需要评估的相关内容</w:t>
            </w:r>
            <w:r>
              <w:rPr>
                <w:rFonts w:hint="eastAsia" w:eastAsia="方正仿宋_GBK" w:cs="Times New Roman"/>
                <w:color w:val="000000" w:themeColor="text1"/>
                <w:kern w:val="0"/>
                <w:szCs w:val="21"/>
                <w:highlight w:val="none"/>
                <w:lang w:eastAsia="zh-CN"/>
                <w14:textFill>
                  <w14:solidFill>
                    <w14:schemeClr w14:val="tx1"/>
                  </w14:solidFill>
                </w14:textFill>
              </w:rPr>
              <w:t>（</w:t>
            </w:r>
            <w:r>
              <w:rPr>
                <w:rFonts w:hint="eastAsia" w:eastAsia="方正仿宋_GBK" w:cs="Times New Roman"/>
                <w:color w:val="000000" w:themeColor="text1"/>
                <w:kern w:val="0"/>
                <w:szCs w:val="21"/>
                <w:highlight w:val="none"/>
                <w:lang w:val="en-US" w:eastAsia="zh-CN"/>
                <w14:textFill>
                  <w14:solidFill>
                    <w14:schemeClr w14:val="tx1"/>
                  </w14:solidFill>
                </w14:textFill>
              </w:rPr>
              <w:t>10</w:t>
            </w:r>
            <w:r>
              <w:rPr>
                <w:rFonts w:hint="eastAsia" w:eastAsia="方正仿宋_GBK" w:cs="Times New Roman"/>
                <w:color w:val="000000" w:themeColor="text1"/>
                <w:kern w:val="0"/>
                <w:szCs w:val="21"/>
                <w:highlight w:val="none"/>
                <w:lang w:eastAsia="zh-CN"/>
                <w14:textFill>
                  <w14:solidFill>
                    <w14:schemeClr w14:val="tx1"/>
                  </w14:solidFill>
                </w14:textFill>
              </w:rPr>
              <w:t>）</w:t>
            </w:r>
          </w:p>
        </w:tc>
        <w:tc>
          <w:tcPr>
            <w:tcW w:w="117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法律尽职调查</w:t>
            </w:r>
          </w:p>
        </w:tc>
        <w:tc>
          <w:tcPr>
            <w:tcW w:w="667"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6</w:t>
            </w:r>
          </w:p>
        </w:tc>
        <w:tc>
          <w:tcPr>
            <w:tcW w:w="785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1.企业主体是否合法存续，包括公司成立注册登记时间，股东出资情况，注册资本金缴纳情况，公司年检、变更、章程修改、公司现状等；2.企业投资，包括关联投资、履行重大合同状况；3.企业征信状况，包括是否存在单位犯罪记录，是否被行业主管处罚，是否属于失信名单；4.对外担保、关联关系；5.企业纳税状况；6.劳动用工、社会保障情况；7.其他经营关联事项承诺。低风险项，每项扣</w:t>
            </w:r>
            <w:r>
              <w:rPr>
                <w:rFonts w:hint="eastAsia" w:eastAsia="方正仿宋_GBK" w:cs="Times New Roman"/>
                <w:color w:val="000000" w:themeColor="text1"/>
                <w:kern w:val="0"/>
                <w:szCs w:val="21"/>
                <w:highlight w:val="none"/>
                <w:lang w:val="en-US" w:eastAsia="zh-CN"/>
                <w14:textFill>
                  <w14:solidFill>
                    <w14:schemeClr w14:val="tx1"/>
                  </w14:solidFill>
                </w14:textFill>
              </w:rPr>
              <w:t>0.5</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分，中风险项，每项扣</w:t>
            </w:r>
            <w:r>
              <w:rPr>
                <w:rFonts w:hint="eastAsia" w:eastAsia="方正仿宋_GBK" w:cs="Times New Roman"/>
                <w:color w:val="000000" w:themeColor="text1"/>
                <w:kern w:val="0"/>
                <w:szCs w:val="21"/>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分，高风险项，扣</w:t>
            </w:r>
            <w:r>
              <w:rPr>
                <w:rFonts w:hint="eastAsia" w:eastAsia="方正仿宋_GBK" w:cs="Times New Roman"/>
                <w:color w:val="000000" w:themeColor="text1"/>
                <w:kern w:val="0"/>
                <w:szCs w:val="21"/>
                <w:highlight w:val="none"/>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分（若企业存在影响持续经营的高风险项和特别重大的高风险，可以一项否决）</w:t>
            </w:r>
          </w:p>
        </w:tc>
        <w:tc>
          <w:tcPr>
            <w:tcW w:w="129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查阅资料、实地查看</w:t>
            </w:r>
          </w:p>
        </w:tc>
        <w:tc>
          <w:tcPr>
            <w:tcW w:w="88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28</w:t>
            </w:r>
          </w:p>
        </w:tc>
        <w:tc>
          <w:tcPr>
            <w:tcW w:w="1537" w:type="dxa"/>
            <w:vMerge w:val="continue"/>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c>
          <w:tcPr>
            <w:tcW w:w="117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财务状况</w:t>
            </w:r>
          </w:p>
        </w:tc>
        <w:tc>
          <w:tcPr>
            <w:tcW w:w="667" w:type="dxa"/>
            <w:noWrap w:val="0"/>
            <w:vAlign w:val="center"/>
          </w:tcPr>
          <w:p>
            <w:pPr>
              <w:widowControl/>
              <w:spacing w:line="400" w:lineRule="exact"/>
              <w:jc w:val="left"/>
              <w:textAlignment w:val="center"/>
              <w:rPr>
                <w:rFonts w:hint="eastAsia"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eastAsia" w:eastAsia="方正仿宋_GBK" w:cs="Times New Roman"/>
                <w:color w:val="000000" w:themeColor="text1"/>
                <w:kern w:val="0"/>
                <w:szCs w:val="21"/>
                <w:highlight w:val="none"/>
                <w:lang w:val="en-US" w:eastAsia="zh-CN"/>
                <w14:textFill>
                  <w14:solidFill>
                    <w14:schemeClr w14:val="tx1"/>
                  </w14:solidFill>
                </w14:textFill>
              </w:rPr>
              <w:t>4</w:t>
            </w:r>
          </w:p>
        </w:tc>
        <w:tc>
          <w:tcPr>
            <w:tcW w:w="7853"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（1）总资产收益率超过银行长期贷款利率，得1分；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（2）经营现金流量大于0，得1分；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（3）资产负债率小于70%（含），得1分。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lang w:eastAsia="zh-CN"/>
                <w14:textFill>
                  <w14:solidFill>
                    <w14:schemeClr w14:val="tx1"/>
                  </w14:solidFill>
                </w14:textFill>
              </w:rPr>
            </w:pPr>
            <w:r>
              <w:rPr>
                <w:rFonts w:hint="eastAsia" w:eastAsia="方正仿宋_GBK" w:cs="Times New Roman"/>
                <w:color w:val="000000" w:themeColor="text1"/>
                <w:kern w:val="0"/>
                <w:szCs w:val="21"/>
                <w:highlight w:val="none"/>
                <w:lang w:eastAsia="zh-CN"/>
                <w14:textFill>
                  <w14:solidFill>
                    <w14:schemeClr w14:val="tx1"/>
                  </w14:solidFill>
                </w14:textFill>
              </w:rPr>
              <w:t>（</w:t>
            </w:r>
            <w:r>
              <w:rPr>
                <w:rFonts w:hint="eastAsia" w:eastAsia="方正仿宋_GBK" w:cs="Times New Roman"/>
                <w:color w:val="000000" w:themeColor="text1"/>
                <w:kern w:val="0"/>
                <w:szCs w:val="21"/>
                <w:highlight w:val="none"/>
                <w:lang w:val="en-US" w:eastAsia="zh-CN"/>
                <w14:textFill>
                  <w14:solidFill>
                    <w14:schemeClr w14:val="tx1"/>
                  </w14:solidFill>
                </w14:textFill>
              </w:rPr>
              <w:t>4</w:t>
            </w:r>
            <w:r>
              <w:rPr>
                <w:rFonts w:hint="eastAsia" w:eastAsia="方正仿宋_GBK" w:cs="Times New Roman"/>
                <w:color w:val="000000" w:themeColor="text1"/>
                <w:kern w:val="0"/>
                <w:szCs w:val="2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企业资金流转正常，未发生影响特许经营业务的重大事项，得</w:t>
            </w:r>
            <w:r>
              <w:rPr>
                <w:rFonts w:hint="eastAsia" w:eastAsia="方正仿宋_GBK" w:cs="Times New Roman"/>
                <w:color w:val="000000" w:themeColor="text1"/>
                <w:kern w:val="0"/>
                <w:szCs w:val="21"/>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分；否则不得分。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注：评估期内每个单项每有1年未达到要求的，扣0.5分。</w:t>
            </w:r>
          </w:p>
        </w:tc>
        <w:tc>
          <w:tcPr>
            <w:tcW w:w="129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Cs w:val="21"/>
                <w:highlight w:val="none"/>
                <w14:textFill>
                  <w14:solidFill>
                    <w14:schemeClr w14:val="tx1"/>
                  </w14:solidFill>
                </w14:textFill>
              </w:rPr>
              <w:t>查阅资料、实地查看</w:t>
            </w:r>
          </w:p>
        </w:tc>
        <w:tc>
          <w:tcPr>
            <w:tcW w:w="880"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highlight w:val="none"/>
                <w14:textFill>
                  <w14:solidFill>
                    <w14:schemeClr w14:val="tx1"/>
                  </w14:solidFill>
                </w14:textFill>
              </w:rPr>
            </w:pPr>
          </w:p>
        </w:tc>
      </w:tr>
    </w:tbl>
    <w:p>
      <w:pPr>
        <w:tabs>
          <w:tab w:val="left" w:pos="792"/>
        </w:tabs>
        <w:rPr>
          <w:color w:val="000000" w:themeColor="text1"/>
          <w:highlight w:val="none"/>
          <w14:textFill>
            <w14:solidFill>
              <w14:schemeClr w14:val="tx1"/>
            </w14:solidFill>
          </w14:textFill>
        </w:rPr>
      </w:pPr>
    </w:p>
    <w:sectPr>
      <w:footerReference r:id="rId3" w:type="default"/>
      <w:pgSz w:w="16838" w:h="11906" w:orient="landscape"/>
      <w:pgMar w:top="1587" w:right="1474" w:bottom="1474" w:left="1474" w:header="1361" w:footer="1191" w:gutter="0"/>
      <w:pgNumType w:fmt="decimal"/>
      <w:cols w:space="0" w:num="1"/>
      <w:rtlGutter w:val="0"/>
      <w:docGrid w:type="linesAndChars" w:linePitch="287"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280" w:lineRule="exact"/>
      <w:jc w:val="center"/>
      <w:textAlignment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1"/>
  <w:drawingGridVerticalSpacing w:val="14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MTFlNzY5MDEyNWVkZTNiMGMxM2M4ZWNjNDc5ZTkifQ=="/>
  </w:docVars>
  <w:rsids>
    <w:rsidRoot w:val="491A3BBA"/>
    <w:rsid w:val="00E913CB"/>
    <w:rsid w:val="05A14A3E"/>
    <w:rsid w:val="061E1B35"/>
    <w:rsid w:val="06494438"/>
    <w:rsid w:val="06A649CA"/>
    <w:rsid w:val="072A7E8A"/>
    <w:rsid w:val="0739555C"/>
    <w:rsid w:val="07EE29D1"/>
    <w:rsid w:val="089A00AE"/>
    <w:rsid w:val="0913556F"/>
    <w:rsid w:val="0C2B27B4"/>
    <w:rsid w:val="0D6B32C1"/>
    <w:rsid w:val="100C2B59"/>
    <w:rsid w:val="123A3379"/>
    <w:rsid w:val="124F7480"/>
    <w:rsid w:val="13FF7788"/>
    <w:rsid w:val="142B34A5"/>
    <w:rsid w:val="14A879DF"/>
    <w:rsid w:val="14AB277E"/>
    <w:rsid w:val="16667099"/>
    <w:rsid w:val="16F715BC"/>
    <w:rsid w:val="1BA23FBC"/>
    <w:rsid w:val="1CD32EF7"/>
    <w:rsid w:val="1EA37672"/>
    <w:rsid w:val="201E7275"/>
    <w:rsid w:val="211D58D6"/>
    <w:rsid w:val="220B796E"/>
    <w:rsid w:val="232452DF"/>
    <w:rsid w:val="236B70D8"/>
    <w:rsid w:val="23E40C1B"/>
    <w:rsid w:val="24E26E65"/>
    <w:rsid w:val="27281C87"/>
    <w:rsid w:val="27DE6DA3"/>
    <w:rsid w:val="282F35DB"/>
    <w:rsid w:val="2A4942D0"/>
    <w:rsid w:val="303A6BA9"/>
    <w:rsid w:val="30EC16EA"/>
    <w:rsid w:val="316509CB"/>
    <w:rsid w:val="32986BEC"/>
    <w:rsid w:val="35D979A1"/>
    <w:rsid w:val="364660ED"/>
    <w:rsid w:val="38581C16"/>
    <w:rsid w:val="3C1557B6"/>
    <w:rsid w:val="3CC64930"/>
    <w:rsid w:val="419B2CC5"/>
    <w:rsid w:val="421E46B8"/>
    <w:rsid w:val="42E4730B"/>
    <w:rsid w:val="431642DA"/>
    <w:rsid w:val="434E421D"/>
    <w:rsid w:val="435C77D4"/>
    <w:rsid w:val="4366762E"/>
    <w:rsid w:val="44FD2E87"/>
    <w:rsid w:val="45B9636E"/>
    <w:rsid w:val="467E25F2"/>
    <w:rsid w:val="491A3BBA"/>
    <w:rsid w:val="4A50155B"/>
    <w:rsid w:val="4B07637C"/>
    <w:rsid w:val="4BF2341E"/>
    <w:rsid w:val="4E573133"/>
    <w:rsid w:val="4EE40A8E"/>
    <w:rsid w:val="50FE2253"/>
    <w:rsid w:val="538C0850"/>
    <w:rsid w:val="55121220"/>
    <w:rsid w:val="59276D93"/>
    <w:rsid w:val="59CA1CC4"/>
    <w:rsid w:val="5ABF490B"/>
    <w:rsid w:val="5AC91608"/>
    <w:rsid w:val="5BD56266"/>
    <w:rsid w:val="5D431142"/>
    <w:rsid w:val="605B1622"/>
    <w:rsid w:val="62EE2229"/>
    <w:rsid w:val="645A61AE"/>
    <w:rsid w:val="645C4FC8"/>
    <w:rsid w:val="64754D21"/>
    <w:rsid w:val="64F13E18"/>
    <w:rsid w:val="65EB2F60"/>
    <w:rsid w:val="662350CE"/>
    <w:rsid w:val="66A82491"/>
    <w:rsid w:val="67703F82"/>
    <w:rsid w:val="67C776FD"/>
    <w:rsid w:val="692E288F"/>
    <w:rsid w:val="6A065F1F"/>
    <w:rsid w:val="6E3D4EA7"/>
    <w:rsid w:val="6E9D41BE"/>
    <w:rsid w:val="6F641881"/>
    <w:rsid w:val="70465954"/>
    <w:rsid w:val="70CF11A8"/>
    <w:rsid w:val="730F5B1E"/>
    <w:rsid w:val="75D9264D"/>
    <w:rsid w:val="76F05D0F"/>
    <w:rsid w:val="76F84CC4"/>
    <w:rsid w:val="79AC48C3"/>
    <w:rsid w:val="7A2D451B"/>
    <w:rsid w:val="7AAB48E1"/>
    <w:rsid w:val="7BF77D25"/>
    <w:rsid w:val="7C662593"/>
    <w:rsid w:val="7CAB7138"/>
    <w:rsid w:val="7DE15396"/>
    <w:rsid w:val="7F1F4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Indent"/>
    <w:basedOn w:val="1"/>
    <w:next w:val="1"/>
    <w:unhideWhenUsed/>
    <w:qFormat/>
    <w:uiPriority w:val="99"/>
    <w:pPr>
      <w:spacing w:line="240" w:lineRule="auto"/>
      <w:ind w:firstLine="420" w:firstLineChars="200"/>
    </w:pPr>
    <w:rPr>
      <w:rFonts w:ascii="Times New Roman" w:hAnsi="Times New Roman" w:eastAsia="仿宋_GB2312"/>
      <w:sz w:val="32"/>
      <w:szCs w:val="24"/>
    </w:rPr>
  </w:style>
  <w:style w:type="paragraph" w:styleId="4">
    <w:name w:val="annotation text"/>
    <w:basedOn w:val="1"/>
    <w:qFormat/>
    <w:uiPriority w:val="0"/>
    <w:pPr>
      <w:jc w:val="left"/>
    </w:pPr>
  </w:style>
  <w:style w:type="paragraph" w:styleId="5">
    <w:name w:val="Body Text"/>
    <w:basedOn w:val="1"/>
    <w:next w:val="6"/>
    <w:qFormat/>
    <w:uiPriority w:val="99"/>
    <w:pPr>
      <w:spacing w:after="120"/>
    </w:pPr>
  </w:style>
  <w:style w:type="paragraph" w:styleId="6">
    <w:name w:val="Body Text 2"/>
    <w:basedOn w:val="1"/>
    <w:qFormat/>
    <w:uiPriority w:val="0"/>
    <w:pPr>
      <w:spacing w:after="120" w:line="480" w:lineRule="auto"/>
    </w:pPr>
  </w:style>
  <w:style w:type="paragraph" w:styleId="7">
    <w:name w:val="Body Text Indent"/>
    <w:basedOn w:val="1"/>
    <w:next w:val="3"/>
    <w:unhideWhenUsed/>
    <w:qFormat/>
    <w:uiPriority w:val="99"/>
    <w:pPr>
      <w:spacing w:after="120"/>
      <w:ind w:left="420" w:leftChars="200"/>
    </w:pPr>
  </w:style>
  <w:style w:type="paragraph" w:styleId="8">
    <w:name w:val="footer"/>
    <w:basedOn w:val="1"/>
    <w:qFormat/>
    <w:uiPriority w:val="0"/>
    <w:pPr>
      <w:tabs>
        <w:tab w:val="center" w:pos="4680"/>
        <w:tab w:val="right" w:pos="9360"/>
      </w:tabs>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7"/>
    <w:unhideWhenUsed/>
    <w:qFormat/>
    <w:uiPriority w:val="0"/>
    <w:pPr>
      <w:ind w:firstLine="420" w:firstLineChars="200"/>
    </w:pPr>
  </w:style>
  <w:style w:type="character" w:styleId="14">
    <w:name w:val="Strong"/>
    <w:basedOn w:val="13"/>
    <w:qFormat/>
    <w:uiPriority w:val="0"/>
    <w:rPr>
      <w:b/>
    </w:rPr>
  </w:style>
  <w:style w:type="character" w:styleId="15">
    <w:name w:val="page number"/>
    <w:basedOn w:val="13"/>
    <w:qFormat/>
    <w:uiPriority w:val="0"/>
  </w:style>
  <w:style w:type="paragraph" w:customStyle="1" w:styleId="16">
    <w:name w:val="Default"/>
    <w:basedOn w:val="1"/>
    <w:qFormat/>
    <w:uiPriority w:val="0"/>
    <w:pPr>
      <w:autoSpaceDE w:val="0"/>
      <w:autoSpaceDN w:val="0"/>
      <w:adjustRightInd w:val="0"/>
      <w:jc w:val="left"/>
    </w:pPr>
    <w:rPr>
      <w:rFonts w:eastAsia="仿宋_GB2312"/>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7834</Words>
  <Characters>8191</Characters>
  <Lines>0</Lines>
  <Paragraphs>0</Paragraphs>
  <TotalTime>14</TotalTime>
  <ScaleCrop>false</ScaleCrop>
  <LinksUpToDate>false</LinksUpToDate>
  <CharactersWithSpaces>8237</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2023-04-20T02:07:00Z</dcterms:created>
  <dc:creator>Cathy</dc:creator>
  <cp:lastModifiedBy>user</cp:lastModifiedBy>
  <cp:lastPrinted>2024-10-28T09:13:00Z</cp:lastPrinted>
  <dcterms:modified xsi:type="dcterms:W3CDTF">2024-10-28T10:09:58Z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3143E33175D14798AAAF6A78B99C7B40</vt:lpwstr>
  </property>
</Properties>
</file>