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eastAsia="zh-CN"/>
        </w:rPr>
        <w:t>附件</w:t>
      </w:r>
      <w:r>
        <w:rPr>
          <w:rFonts w:hint="eastAsia" w:ascii="Times New Roman" w:hAnsi="Times New Roman" w:eastAsia="方正黑体_GBK" w:cs="Times New Roman"/>
          <w:lang w:val="en-US" w:eastAsia="zh-CN"/>
        </w:rPr>
        <w:t>2</w:t>
      </w:r>
      <w:r>
        <w:rPr>
          <w:rFonts w:hint="default" w:ascii="Times New Roman" w:hAnsi="Times New Roman" w:eastAsia="方正黑体_GBK" w:cs="Times New Roman"/>
          <w:lang w:val="en-US" w:eastAsia="zh-CN"/>
        </w:rPr>
        <w:t>：</w:t>
      </w:r>
    </w:p>
    <w:p>
      <w:pPr>
        <w:pStyle w:val="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玉溪市优化营商环境促进市场主体倍增先进集体和先进个人推荐对象主要事迹</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jc w:val="left"/>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一、玉溪市科学技术局主要事迹</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w:t>
      </w:r>
      <w:r>
        <w:rPr>
          <w:rFonts w:hint="default" w:ascii="Times New Roman" w:hAnsi="Times New Roman" w:eastAsia="方正仿宋_GBK" w:cs="Times New Roman"/>
          <w:sz w:val="32"/>
          <w:szCs w:val="32"/>
          <w:lang w:eastAsia="zh-CN"/>
        </w:rPr>
        <w:t>科学技术局</w:t>
      </w:r>
      <w:r>
        <w:rPr>
          <w:rFonts w:hint="default" w:ascii="Times New Roman" w:hAnsi="Times New Roman" w:eastAsia="方正仿宋_GBK" w:cs="Times New Roman"/>
          <w:sz w:val="32"/>
          <w:szCs w:val="32"/>
        </w:rPr>
        <w:t>历来高度重视优化营商环境工作，认真</w:t>
      </w:r>
      <w:r>
        <w:rPr>
          <w:rFonts w:hint="default" w:ascii="Times New Roman" w:hAnsi="Times New Roman" w:eastAsia="方正仿宋_GBK" w:cs="Times New Roman"/>
          <w:sz w:val="32"/>
          <w:szCs w:val="32"/>
          <w:lang w:eastAsia="zh-CN"/>
        </w:rPr>
        <w:t>贯彻</w:t>
      </w:r>
      <w:r>
        <w:rPr>
          <w:rFonts w:hint="default" w:ascii="Times New Roman" w:hAnsi="Times New Roman" w:eastAsia="方正仿宋_GBK" w:cs="Times New Roman"/>
          <w:sz w:val="32"/>
          <w:szCs w:val="32"/>
        </w:rPr>
        <w:t>落实</w:t>
      </w:r>
      <w:r>
        <w:rPr>
          <w:rFonts w:hint="default" w:ascii="Times New Roman" w:hAnsi="Times New Roman" w:eastAsia="方正仿宋_GBK" w:cs="Times New Roman"/>
          <w:sz w:val="32"/>
          <w:szCs w:val="32"/>
          <w:lang w:eastAsia="zh-CN"/>
        </w:rPr>
        <w:t>各项</w:t>
      </w:r>
      <w:r>
        <w:rPr>
          <w:rFonts w:hint="default" w:ascii="Times New Roman" w:hAnsi="Times New Roman" w:eastAsia="方正仿宋_GBK" w:cs="Times New Roman"/>
          <w:sz w:val="32"/>
          <w:szCs w:val="32"/>
        </w:rPr>
        <w:t>重点任务清单，大力促进包容普惠创新工作，</w:t>
      </w:r>
      <w:r>
        <w:rPr>
          <w:rFonts w:hint="default" w:ascii="Times New Roman" w:hAnsi="Times New Roman" w:eastAsia="方正仿宋_GBK" w:cs="Times New Roman"/>
          <w:sz w:val="32"/>
          <w:szCs w:val="32"/>
          <w:lang w:eastAsia="zh-CN"/>
        </w:rPr>
        <w:t>主要先进事迹如下</w:t>
      </w:r>
      <w:r>
        <w:rPr>
          <w:rFonts w:hint="default" w:ascii="Times New Roman" w:hAnsi="Times New Roman" w:eastAsia="方正仿宋_GBK" w:cs="Times New Roman"/>
          <w:sz w:val="32"/>
          <w:szCs w:val="32"/>
        </w:rPr>
        <w:t>：</w:t>
      </w:r>
    </w:p>
    <w:p>
      <w:pPr>
        <w:spacing w:line="590" w:lineRule="exact"/>
        <w:ind w:firstLine="640" w:firstLineChars="200"/>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（一）积极培育高新技术企业</w:t>
      </w:r>
    </w:p>
    <w:p>
      <w:pPr>
        <w:spacing w:line="59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积极开展高新技术企业培育，</w:t>
      </w:r>
      <w:r>
        <w:rPr>
          <w:rFonts w:hint="default" w:ascii="Times New Roman" w:hAnsi="Times New Roman" w:eastAsia="方正仿宋_GBK" w:cs="Times New Roman"/>
          <w:sz w:val="32"/>
          <w:szCs w:val="32"/>
          <w:lang w:val="en-US" w:eastAsia="zh-CN"/>
        </w:rPr>
        <w:t>2022年国家认定备案72户</w:t>
      </w:r>
      <w:r>
        <w:rPr>
          <w:rFonts w:hint="default" w:ascii="Times New Roman" w:hAnsi="Times New Roman" w:eastAsia="方正仿宋_GBK" w:cs="Times New Roman"/>
          <w:sz w:val="32"/>
          <w:szCs w:val="32"/>
          <w:lang w:eastAsia="zh-CN"/>
        </w:rPr>
        <w:t>，玉溪市高新技术企业达196户，稳居全省第二位，且与第三名曲靖市差距较大，圆满完成省对市高新技术企业“三倍增”考核任务。玉溪市每万户企业法人中高新技术企业数为45户，远超全省25户的平均水平，居全省第一位。</w:t>
      </w:r>
    </w:p>
    <w:p>
      <w:pPr>
        <w:spacing w:line="590" w:lineRule="exact"/>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楷体_GBK" w:cs="Times New Roman"/>
          <w:sz w:val="32"/>
          <w:szCs w:val="32"/>
          <w:lang w:eastAsia="zh-CN"/>
        </w:rPr>
        <w:t>（二）积极培育科技型中小企业</w:t>
      </w:r>
    </w:p>
    <w:p>
      <w:pPr>
        <w:spacing w:line="59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2022年，玉溪市认定国家科技型中小企业143户，省级科技型中小企业199户（完成省对市考核任务的249%，总数达1250户），数量均居全省第二位，科技型企业队伍进一步发展壮大。</w:t>
      </w:r>
    </w:p>
    <w:p>
      <w:pPr>
        <w:spacing w:line="590" w:lineRule="exact"/>
        <w:ind w:firstLine="640" w:firstLineChars="200"/>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（三）积极加强创新平台建设</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2022年12月，玉溪市建成省级工程研究中心3个，国家级科技企业孵化器2个、省级科技企业孵化器3个，国家级众创空间3个、省级众创空间8个，省级工程技术中心8个、重点实验室1个；建成市级重点实验室（工程技术研究中心）69个，建成市级及以上企业技术中心104个，其中省级以上企业技术中心52个，国家级企业技术中心2个，多数指标处在全省前列，完成了省级以上平台“四个全覆盖”的目标。2022年组织申报省级众创空间3个，省级科技企业孵化器1个。持续推进星创天地创新创业服务平台建设，组织完成3个省级“星创天地”培育期满验收工作。围绕全市支柱产业、重点行业、优势领域，加快核心技术攻关，组织申报省级重点实验室2个，市级重点实验室和工程技术研究中心18个。抢抓省级财政大力支持新型研发机构发展的政策机遇，组织申报省新型研发机构培育对象2个；积极推动规上企业新建立研发机构，组织申报规上企业新建研发机构补助11户。</w:t>
      </w:r>
    </w:p>
    <w:p>
      <w:pPr>
        <w:spacing w:line="590" w:lineRule="exact"/>
        <w:ind w:firstLine="640" w:firstLineChars="200"/>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（四）健全技术经纪人制度</w:t>
      </w:r>
    </w:p>
    <w:p>
      <w:pPr>
        <w:spacing w:line="59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lang w:eastAsia="zh-CN"/>
        </w:rPr>
        <w:t>认真贯彻王宁书记“要把科技创新的‘</w:t>
      </w:r>
      <w:r>
        <w:rPr>
          <w:rFonts w:hint="default" w:ascii="Times New Roman" w:hAnsi="Times New Roman" w:eastAsia="方正仿宋_GBK" w:cs="Times New Roman"/>
          <w:sz w:val="32"/>
          <w:szCs w:val="32"/>
        </w:rPr>
        <w:t>源头活水’引入经济社会发展的‘广阔田地’”的要求，积极推进科技成果转化。2022年3户企业获省级科技成果转化新增产值类奖补资金1330万元；21项科技成果成功提名2022年云南省科学技术奖，其中特等奖2项；2021年技术合同成交额12.04亿元是上年的4.2倍，居全省第二，获奖补资金221万元；2022年技术合同成交额已达28亿元提前超额完成省科技厅4.8亿元的目标任务；县级科技成果转化中心在全省率先实现全覆盖。组织各级科技部门和企业有关科技成果转化工作人员参加技术经纪人培训，共培养初级技术经纪人50人。</w:t>
      </w:r>
    </w:p>
    <w:p>
      <w:pPr>
        <w:spacing w:line="590" w:lineRule="exact"/>
        <w:ind w:firstLine="640" w:firstLineChars="200"/>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（五）加大创业担保贷款扶持力度</w:t>
      </w:r>
    </w:p>
    <w:p>
      <w:pPr>
        <w:spacing w:line="59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部门联动对接，着力优化金融环境。</w:t>
      </w:r>
      <w:r>
        <w:rPr>
          <w:rFonts w:hint="default" w:ascii="Times New Roman" w:hAnsi="Times New Roman" w:eastAsia="方正仿宋_GBK" w:cs="Times New Roman"/>
          <w:sz w:val="32"/>
          <w:szCs w:val="32"/>
        </w:rPr>
        <w:t>举办“科技金融培训暨金融供需对接活动”，搭建科技金融政策培训解读、产品展示推介及中小微企业金融供需交流的平台，促进玉溪市辖区金</w:t>
      </w:r>
      <w:r>
        <w:rPr>
          <w:rFonts w:hint="default" w:ascii="Times New Roman" w:hAnsi="Times New Roman" w:eastAsia="方正仿宋_GBK" w:cs="Times New Roman"/>
          <w:spacing w:val="2"/>
          <w:sz w:val="32"/>
          <w:szCs w:val="32"/>
        </w:rPr>
        <w:t>融供需对接合作，落实各项金融助企惠民纾困政策，以解决好金融政策制定、传达到执行的“最后一公里”，进一步增进政、银、企共识，疏通金融服务堵点、克服难点，纾解痛点，全力支持玉</w:t>
      </w:r>
      <w:r>
        <w:rPr>
          <w:rFonts w:hint="default" w:ascii="Times New Roman" w:hAnsi="Times New Roman" w:eastAsia="方正仿宋_GBK" w:cs="Times New Roman"/>
          <w:sz w:val="32"/>
          <w:szCs w:val="32"/>
        </w:rPr>
        <w:t>溪社会经济持续恢复和高质量发展，优化玉溪辖区金融营商环境。</w:t>
      </w:r>
    </w:p>
    <w:p>
      <w:pPr>
        <w:spacing w:line="62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2.明确部门责任，合力推进金融服务。</w:t>
      </w:r>
      <w:r>
        <w:rPr>
          <w:rFonts w:hint="default" w:ascii="Times New Roman" w:hAnsi="Times New Roman" w:eastAsia="方正仿宋_GBK" w:cs="Times New Roman"/>
          <w:sz w:val="32"/>
          <w:szCs w:val="32"/>
          <w:lang w:val="en-US" w:eastAsia="zh-CN"/>
        </w:rPr>
        <w:t>督</w:t>
      </w:r>
      <w:r>
        <w:rPr>
          <w:rFonts w:hint="default" w:ascii="Times New Roman" w:hAnsi="Times New Roman" w:eastAsia="方正仿宋_GBK" w:cs="Times New Roman"/>
          <w:sz w:val="32"/>
          <w:szCs w:val="32"/>
        </w:rPr>
        <w:t>促金融机构结合自身情况，明确责任，加快科技金融服务工作的推进，明确科技金融业务牵头部门，明确职责。如：交行玉溪分行已设立金融科技部，中行玉溪市分行正在筹建科技金融行动专项工作组，平安养老保险公司玉溪中支成立了科技企业攻关团队，农行、民生银行、人保财险、泰康人寿等17家分支机构指定了科技金融业务的牵头部门，制定了职责分工机制。</w:t>
      </w:r>
    </w:p>
    <w:p>
      <w:pPr>
        <w:pStyle w:val="3"/>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2"/>
          <w:sz w:val="32"/>
          <w:szCs w:val="32"/>
          <w:lang w:val="en-US" w:eastAsia="zh-CN" w:bidi="ar-SA"/>
        </w:rPr>
        <w:t>3.精准对接需求，全力确保服务成效</w:t>
      </w:r>
      <w:r>
        <w:rPr>
          <w:rFonts w:hint="default" w:ascii="Times New Roman" w:hAnsi="Times New Roman" w:eastAsia="方正楷体_GBK" w:cs="Times New Roman"/>
          <w:b/>
          <w:bCs/>
          <w:sz w:val="32"/>
          <w:szCs w:val="32"/>
        </w:rPr>
        <w:t>。</w:t>
      </w:r>
      <w:r>
        <w:rPr>
          <w:rFonts w:hint="default" w:ascii="Times New Roman" w:hAnsi="Times New Roman" w:eastAsia="方正仿宋_GBK" w:cs="Times New Roman"/>
          <w:sz w:val="32"/>
          <w:szCs w:val="32"/>
        </w:rPr>
        <w:t>金融机构对照科技型企业名单，梳理金融产品，加强与企业对接，以优质的服务和金融产品精准浇灌科技型企业。如：邮储银行玉溪分行加强产品梳理，推动科创e贷成功在玉溪落地，为云南傲远智能环保科技有限公司提供了490万纯线上、无抵押信贷支持；大地保险加强向上级公司的沟通汇报，积极争取产品投放。近几年来，玉溪辖内银行机构累计向513户科技企业发放贷款260.25亿元，最低年化利率仅2.05%；保险机构累计为科技企业办理保险485笔，保险金额98.29亿元。2022年，新增科技企业信贷投放户数62户，新增贷款投放16.19亿元，贷款余额35.05亿元；保险机构存续科技保险191笔，保险金额17.23亿元。</w:t>
      </w:r>
    </w:p>
    <w:p>
      <w:pPr>
        <w:pStyle w:val="3"/>
        <w:rPr>
          <w:rFonts w:hint="default" w:ascii="Times New Roman" w:hAnsi="Times New Roman" w:eastAsia="方正仿宋_GBK" w:cs="Times New Roman"/>
          <w:sz w:val="32"/>
          <w:szCs w:val="32"/>
        </w:rPr>
      </w:pPr>
    </w:p>
    <w:p>
      <w:pPr>
        <w:pStyle w:val="3"/>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二、赵金秀主要事迹</w:t>
      </w:r>
    </w:p>
    <w:p>
      <w:pPr>
        <w:pStyle w:val="3"/>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（一）基本情况</w:t>
      </w:r>
    </w:p>
    <w:p>
      <w:pPr>
        <w:pStyle w:val="3"/>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赵金秀，女，汉族，1990年11月出生，云南江川人，中共党员，2014年12月参加工作，研究实习员，现为玉溪市科技局高新技术科负责人。</w:t>
      </w:r>
    </w:p>
    <w:p>
      <w:pPr>
        <w:pStyle w:val="3"/>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（二）主要事迹</w:t>
      </w:r>
    </w:p>
    <w:p>
      <w:pPr>
        <w:pStyle w:val="3"/>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1.综合表现</w:t>
      </w:r>
    </w:p>
    <w:p>
      <w:pPr>
        <w:pStyle w:val="3"/>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赵金秀同志在思想和政治上始终坚持以习近平新时代中国特色社会主义思想为指导，深入贯彻落实党的二十大精神、习近平总书记考察云南重要讲话精神及关于科技创新的重要论述，贯彻落实中央、省、市重要会议和重大决策部署要求，思想上、政治上、行动上始终同以习近平同志为核心的党中央保持一致，增强“四个意识”、坚定“四个自信”、做到“两个维护”</w:t>
      </w:r>
      <w:bookmarkStart w:id="0" w:name="_GoBack"/>
      <w:bookmarkEnd w:id="0"/>
      <w:r>
        <w:rPr>
          <w:rFonts w:hint="default" w:ascii="Times New Roman" w:hAnsi="Times New Roman" w:eastAsia="方正仿宋_GBK" w:cs="Times New Roman"/>
          <w:sz w:val="32"/>
          <w:szCs w:val="32"/>
          <w:lang w:val="en-US" w:eastAsia="zh-CN"/>
        </w:rPr>
        <w:t>，始终做到政治清醒、头脑冷静、立场坚定。在工作中，牢固树立科技创新是第一生产力的理念，勤奋踏实、爱岗敬业，坚持工作谋在先、研在先、学在前、干在前。开拓创新能力强，对重点和难点工作能够提出创新性的思路和举措；服务意识较强，经常深入企业耐心指导开展科技创新工作；业务成绩突出，带领本科室人员团结协作，出色完成各项工作任务。在廉洁自律方面，始终以一名优秀共产党员的标准严格要求自己，规范执行政治纪律和组织纪律，切实遵守法律法规和各项规章制度，落实中央八项规定精神及省市委实施办法，坚决反对“四风”特别是形式主义和官僚主义。落实党风廉政建设责任制，做到制度之内“不缺位”，制度之外“不越位”，切实履行“一岗双责”，加强自身和科室人员党风廉政建设工作，令行禁止，警钟</w:t>
      </w:r>
      <w:r>
        <w:rPr>
          <w:rFonts w:hint="eastAsia" w:ascii="Times New Roman" w:hAnsi="Times New Roman" w:eastAsia="方正仿宋_GBK" w:cs="Times New Roman"/>
          <w:sz w:val="32"/>
          <w:szCs w:val="32"/>
          <w:lang w:val="en-US" w:eastAsia="zh-CN"/>
        </w:rPr>
        <w:t>长</w:t>
      </w:r>
      <w:r>
        <w:rPr>
          <w:rFonts w:hint="default" w:ascii="Times New Roman" w:hAnsi="Times New Roman" w:eastAsia="方正仿宋_GBK" w:cs="Times New Roman"/>
          <w:sz w:val="32"/>
          <w:szCs w:val="32"/>
          <w:lang w:val="en-US" w:eastAsia="zh-CN"/>
        </w:rPr>
        <w:t>鸣，未发现违反廉政规定的行为。</w:t>
      </w:r>
    </w:p>
    <w:p>
      <w:pPr>
        <w:pStyle w:val="3"/>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lang w:val="en-US" w:eastAsia="zh-CN"/>
        </w:rPr>
        <w:t>主要业绩</w:t>
      </w:r>
    </w:p>
    <w:p>
      <w:pPr>
        <w:pStyle w:val="3"/>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在高新技术企业培育方面成绩亮眼。积极开展高新技术企业培育，2022年国家认定备案72户，玉溪市高新技术企业达196户，稳居全省第二位，且与第三名曲靖市差距较大，圆满完成省对市高新技术企业“三倍增”考核任务。玉溪市每万户企业法人中高新技术企业数为45户，远超全省25户的平均水平，居全省第一位。</w:t>
      </w:r>
    </w:p>
    <w:p>
      <w:pPr>
        <w:pStyle w:val="3"/>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是在科技型中小企业培育方面成效显著。2022年，玉溪市认定国家科技型中小企业143户，省级科技型中小企业199户（完成省对市考核任务的249%，总数达1250户），数量均居全省第二位，科技型企业队伍进一步发展壮大。</w:t>
      </w:r>
    </w:p>
    <w:p>
      <w:r>
        <w:rPr>
          <w:rFonts w:hint="default" w:ascii="Times New Roman" w:hAnsi="Times New Roman" w:eastAsia="方正仿宋_GBK" w:cs="Times New Roman"/>
          <w:sz w:val="32"/>
          <w:szCs w:val="32"/>
          <w:lang w:val="en-US" w:eastAsia="zh-CN"/>
        </w:rPr>
        <w:t>三是在创新创业平台打造方面成绩突出。积极组织企业参加业务培训，加强调研和申报指导，创新性开展市级科技企业孵化器认定工作，为申报国家级、省级创新平台培育后备力量。2022年，玉溪市新增国家级众创空间1个，省级众创空间2个，截至目前，全市拥有国家级众创空间3个，省级众创空间10个，国家级科技企业孵化器2个，省级科技企业孵化器3个，市级科技企业孵化器1个，总量居全省第三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56905"/>
    <w:rsid w:val="1A656905"/>
    <w:rsid w:val="7C3DDD54"/>
    <w:rsid w:val="978BFC9F"/>
    <w:rsid w:val="BEEEF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9"/>
    <w:pPr>
      <w:spacing w:beforeAutospacing="1" w:afterAutospacing="1"/>
      <w:jc w:val="left"/>
      <w:outlineLvl w:val="2"/>
    </w:pPr>
    <w:rPr>
      <w:rFonts w:ascii="宋体" w:hAnsi="宋体"/>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line="560" w:lineRule="exact"/>
      <w:ind w:firstLine="640" w:firstLineChars="200"/>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2023-01-29T08:20:00Z</dcterms:created>
  <dc:creator>SYF</dc:creator>
  <cp:lastModifiedBy>user</cp:lastModifiedBy>
  <dcterms:modified xsi:type="dcterms:W3CDTF">2024-09-20T16:28:37Z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