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napToGrid w:val="0"/>
        <w:spacing w:line="579" w:lineRule="exact"/>
        <w:jc w:val="center"/>
        <w:rPr>
          <w:rFonts w:hint="eastAsia" w:ascii="方正小标宋_GBK" w:hAnsi="方正小标宋_GBK" w:eastAsia="方正小标宋_GBK" w:cs="方正小标宋_GBK"/>
          <w:sz w:val="44"/>
          <w:szCs w:val="44"/>
          <w:lang w:bidi="ar"/>
        </w:rPr>
      </w:pPr>
      <w:bookmarkStart w:id="1" w:name="_GoBack"/>
      <w:bookmarkEnd w:id="1"/>
      <w:r>
        <w:rPr>
          <w:rFonts w:hint="eastAsia" w:ascii="方正小标宋_GBK" w:hAnsi="方正小标宋_GBK" w:eastAsia="方正小标宋_GBK" w:cs="方正小标宋_GBK"/>
          <w:sz w:val="44"/>
          <w:szCs w:val="44"/>
          <w:lang w:bidi="ar"/>
        </w:rPr>
        <w:t>绩效评价报告意见反馈表</w:t>
      </w:r>
    </w:p>
    <w:tbl>
      <w:tblPr>
        <w:tblStyle w:val="7"/>
        <w:tblW w:w="8845" w:type="dxa"/>
        <w:jc w:val="center"/>
        <w:tblLayout w:type="fixed"/>
        <w:tblCellMar>
          <w:top w:w="57" w:type="dxa"/>
          <w:left w:w="57" w:type="dxa"/>
          <w:bottom w:w="57" w:type="dxa"/>
          <w:right w:w="57" w:type="dxa"/>
        </w:tblCellMar>
      </w:tblPr>
      <w:tblGrid>
        <w:gridCol w:w="1647"/>
        <w:gridCol w:w="3668"/>
        <w:gridCol w:w="1768"/>
        <w:gridCol w:w="1762"/>
      </w:tblGrid>
      <w:tr>
        <w:tblPrEx>
          <w:tblCellMar>
            <w:top w:w="57" w:type="dxa"/>
            <w:left w:w="57" w:type="dxa"/>
            <w:bottom w:w="57" w:type="dxa"/>
            <w:right w:w="57" w:type="dxa"/>
          </w:tblCellMar>
        </w:tblPrEx>
        <w:trPr>
          <w:trHeight w:val="1134" w:hRule="atLeast"/>
          <w:jc w:val="center"/>
        </w:trPr>
        <w:tc>
          <w:tcPr>
            <w:tcW w:w="1647" w:type="dxa"/>
            <w:tcBorders>
              <w:top w:val="single" w:color="auto" w:sz="4" w:space="0"/>
              <w:left w:val="single" w:color="auto" w:sz="4" w:space="0"/>
              <w:bottom w:val="single" w:color="auto" w:sz="4" w:space="0"/>
              <w:right w:val="single" w:color="auto" w:sz="6" w:space="0"/>
            </w:tcBorders>
            <w:shd w:val="clear" w:color="auto" w:fill="auto"/>
            <w:vAlign w:val="center"/>
          </w:tcPr>
          <w:p>
            <w:pPr>
              <w:widowControl/>
              <w:spacing w:line="360" w:lineRule="exact"/>
              <w:jc w:val="center"/>
              <w:rPr>
                <w:rFonts w:ascii="黑体" w:hAnsi="宋体" w:eastAsia="黑体" w:cs="宋体"/>
                <w:color w:val="000000"/>
                <w:kern w:val="0"/>
                <w:sz w:val="24"/>
              </w:rPr>
            </w:pPr>
            <w:bookmarkStart w:id="0" w:name="_Hlk9988560"/>
            <w:r>
              <w:rPr>
                <w:rFonts w:hint="eastAsia" w:ascii="黑体" w:hAnsi="宋体" w:eastAsia="黑体" w:cs="黑体"/>
                <w:color w:val="000000"/>
                <w:kern w:val="0"/>
                <w:sz w:val="24"/>
                <w:lang w:bidi="ar"/>
              </w:rPr>
              <w:t>方案名称</w:t>
            </w:r>
            <w:bookmarkEnd w:id="0"/>
          </w:p>
        </w:tc>
        <w:tc>
          <w:tcPr>
            <w:tcW w:w="719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仿宋" w:hAnsi="仿宋" w:eastAsia="仿宋" w:cs="仿宋"/>
                <w:spacing w:val="6"/>
                <w:sz w:val="24"/>
                <w:highlight w:val="none"/>
                <w:lang w:bidi="ar"/>
              </w:rPr>
            </w:pPr>
            <w:r>
              <w:rPr>
                <w:rFonts w:hint="eastAsia" w:ascii="仿宋" w:hAnsi="仿宋" w:eastAsia="仿宋" w:cs="仿宋"/>
                <w:spacing w:val="6"/>
                <w:sz w:val="24"/>
                <w:highlight w:val="none"/>
                <w:lang w:bidi="ar"/>
              </w:rPr>
              <w:t>《</w:t>
            </w:r>
            <w:r>
              <w:rPr>
                <w:rFonts w:hint="eastAsia" w:ascii="仿宋" w:hAnsi="仿宋" w:eastAsia="仿宋" w:cs="仿宋"/>
                <w:kern w:val="2"/>
                <w:sz w:val="24"/>
                <w:szCs w:val="24"/>
                <w:highlight w:val="none"/>
                <w:lang w:val="en-US" w:eastAsia="zh-CN"/>
              </w:rPr>
              <w:t>2020-2022年市级专项定额补助资金绩效评价报告</w:t>
            </w:r>
            <w:r>
              <w:rPr>
                <w:rFonts w:hint="eastAsia" w:ascii="仿宋" w:hAnsi="仿宋" w:eastAsia="仿宋" w:cs="仿宋"/>
                <w:spacing w:val="6"/>
                <w:sz w:val="24"/>
                <w:highlight w:val="none"/>
                <w:lang w:bidi="ar"/>
              </w:rPr>
              <w:t>》</w:t>
            </w:r>
          </w:p>
          <w:p>
            <w:pPr>
              <w:widowControl/>
              <w:spacing w:line="360" w:lineRule="exact"/>
              <w:jc w:val="center"/>
              <w:rPr>
                <w:rFonts w:ascii="仿宋" w:hAnsi="仿宋" w:eastAsia="仿宋" w:cs="宋体"/>
                <w:color w:val="000000"/>
                <w:kern w:val="0"/>
                <w:sz w:val="24"/>
              </w:rPr>
            </w:pPr>
            <w:r>
              <w:rPr>
                <w:rFonts w:hint="eastAsia" w:ascii="仿宋" w:hAnsi="仿宋" w:eastAsia="仿宋" w:cs="仿宋"/>
                <w:spacing w:val="6"/>
                <w:sz w:val="24"/>
                <w:lang w:bidi="ar"/>
              </w:rPr>
              <w:t>（征求意见稿）</w:t>
            </w:r>
          </w:p>
        </w:tc>
      </w:tr>
      <w:tr>
        <w:tblPrEx>
          <w:tblCellMar>
            <w:top w:w="57" w:type="dxa"/>
            <w:left w:w="57" w:type="dxa"/>
            <w:bottom w:w="57" w:type="dxa"/>
            <w:right w:w="57" w:type="dxa"/>
          </w:tblCellMar>
        </w:tblPrEx>
        <w:trPr>
          <w:trHeight w:val="851" w:hRule="atLeast"/>
          <w:jc w:val="center"/>
        </w:trPr>
        <w:tc>
          <w:tcPr>
            <w:tcW w:w="164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黑体" w:hAnsi="宋体" w:eastAsia="黑体" w:cs="宋体"/>
                <w:color w:val="000000"/>
                <w:kern w:val="0"/>
                <w:sz w:val="24"/>
              </w:rPr>
            </w:pPr>
            <w:r>
              <w:rPr>
                <w:rFonts w:hint="eastAsia" w:ascii="黑体" w:hAnsi="宋体" w:eastAsia="黑体" w:cs="黑体"/>
                <w:color w:val="000000"/>
                <w:kern w:val="0"/>
                <w:sz w:val="24"/>
                <w:lang w:bidi="ar"/>
              </w:rPr>
              <w:t>评价实施</w:t>
            </w:r>
          </w:p>
          <w:p>
            <w:pPr>
              <w:widowControl/>
              <w:spacing w:line="360" w:lineRule="exact"/>
              <w:jc w:val="center"/>
              <w:rPr>
                <w:rFonts w:ascii="黑体" w:hAnsi="宋体" w:eastAsia="黑体" w:cs="宋体"/>
                <w:color w:val="000000"/>
                <w:kern w:val="0"/>
                <w:sz w:val="24"/>
              </w:rPr>
            </w:pPr>
            <w:r>
              <w:rPr>
                <w:rFonts w:hint="eastAsia" w:ascii="黑体" w:hAnsi="宋体" w:eastAsia="黑体" w:cs="黑体"/>
                <w:color w:val="000000"/>
                <w:kern w:val="0"/>
                <w:sz w:val="24"/>
                <w:lang w:bidi="ar"/>
              </w:rPr>
              <w:t>中介机构</w:t>
            </w:r>
          </w:p>
        </w:tc>
        <w:tc>
          <w:tcPr>
            <w:tcW w:w="7198"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 w:hAnsi="仿宋" w:eastAsia="仿宋" w:cs="Times New Roman"/>
                <w:spacing w:val="6"/>
                <w:sz w:val="24"/>
              </w:rPr>
            </w:pPr>
            <w:r>
              <w:rPr>
                <w:rFonts w:hint="eastAsia" w:ascii="仿宋" w:hAnsi="仿宋" w:eastAsia="仿宋" w:cs="Times New Roman"/>
                <w:spacing w:val="6"/>
                <w:sz w:val="24"/>
              </w:rPr>
              <w:t>天健会计师事务所（特殊普通合伙人）云南分所</w:t>
            </w:r>
          </w:p>
        </w:tc>
      </w:tr>
      <w:tr>
        <w:tblPrEx>
          <w:tblCellMar>
            <w:top w:w="57" w:type="dxa"/>
            <w:left w:w="57" w:type="dxa"/>
            <w:bottom w:w="57" w:type="dxa"/>
            <w:right w:w="57" w:type="dxa"/>
          </w:tblCellMar>
        </w:tblPrEx>
        <w:trPr>
          <w:trHeight w:val="851" w:hRule="atLeast"/>
          <w:jc w:val="center"/>
        </w:trPr>
        <w:tc>
          <w:tcPr>
            <w:tcW w:w="164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黑体" w:hAnsi="宋体" w:eastAsia="黑体" w:cs="宋体"/>
                <w:color w:val="000000"/>
                <w:kern w:val="0"/>
                <w:sz w:val="24"/>
              </w:rPr>
            </w:pPr>
            <w:r>
              <w:rPr>
                <w:rFonts w:hint="eastAsia" w:ascii="黑体" w:hAnsi="宋体" w:eastAsia="黑体" w:cs="黑体"/>
                <w:color w:val="000000"/>
                <w:kern w:val="0"/>
                <w:sz w:val="24"/>
                <w:lang w:bidi="ar"/>
              </w:rPr>
              <w:t>单位</w:t>
            </w:r>
          </w:p>
        </w:tc>
        <w:tc>
          <w:tcPr>
            <w:tcW w:w="3668" w:type="dxa"/>
            <w:tcBorders>
              <w:top w:val="nil"/>
              <w:left w:val="nil"/>
              <w:bottom w:val="single" w:color="auto" w:sz="4" w:space="0"/>
              <w:right w:val="nil"/>
            </w:tcBorders>
            <w:shd w:val="clear" w:color="auto" w:fill="auto"/>
            <w:vAlign w:val="center"/>
          </w:tcPr>
          <w:p>
            <w:pPr>
              <w:widowControl/>
              <w:spacing w:line="360" w:lineRule="exact"/>
              <w:jc w:val="center"/>
              <w:rPr>
                <w:rFonts w:hint="default" w:ascii="仿宋" w:hAnsi="仿宋" w:eastAsia="仿宋" w:cs="Times New Roman"/>
                <w:spacing w:val="6"/>
                <w:sz w:val="24"/>
                <w:lang w:val="en-US" w:eastAsia="zh-CN"/>
              </w:rPr>
            </w:pPr>
            <w:r>
              <w:rPr>
                <w:rFonts w:hint="eastAsia" w:ascii="仿宋" w:hAnsi="仿宋" w:eastAsia="仿宋" w:cs="Times New Roman"/>
                <w:spacing w:val="6"/>
                <w:sz w:val="24"/>
                <w:lang w:val="en-US" w:eastAsia="zh-CN"/>
              </w:rPr>
              <w:t>玉溪市卫生健康委员会</w:t>
            </w:r>
          </w:p>
        </w:tc>
        <w:tc>
          <w:tcPr>
            <w:tcW w:w="176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黑体" w:hAnsi="宋体" w:eastAsia="黑体" w:cs="宋体"/>
                <w:color w:val="000000"/>
                <w:kern w:val="0"/>
                <w:sz w:val="24"/>
              </w:rPr>
            </w:pPr>
            <w:r>
              <w:rPr>
                <w:rFonts w:hint="eastAsia" w:ascii="黑体" w:hAnsi="宋体" w:eastAsia="黑体" w:cs="黑体"/>
                <w:color w:val="000000"/>
                <w:kern w:val="0"/>
                <w:sz w:val="24"/>
                <w:lang w:bidi="ar"/>
              </w:rPr>
              <w:t>联系人及电话</w:t>
            </w:r>
          </w:p>
        </w:tc>
        <w:tc>
          <w:tcPr>
            <w:tcW w:w="176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仿宋" w:hAnsi="仿宋" w:eastAsia="仿宋" w:cs="Times New Roman"/>
                <w:spacing w:val="6"/>
                <w:sz w:val="24"/>
                <w:lang w:val="en-US"/>
              </w:rPr>
            </w:pPr>
            <w:r>
              <w:rPr>
                <w:rFonts w:hint="eastAsia" w:ascii="仿宋" w:hAnsi="仿宋" w:eastAsia="仿宋" w:cs="Times New Roman"/>
                <w:spacing w:val="6"/>
                <w:sz w:val="24"/>
                <w:lang w:val="en-US" w:eastAsia="zh-CN"/>
              </w:rPr>
              <w:t>王一舒6135234</w:t>
            </w:r>
          </w:p>
        </w:tc>
      </w:tr>
      <w:tr>
        <w:tblPrEx>
          <w:tblCellMar>
            <w:top w:w="57" w:type="dxa"/>
            <w:left w:w="57" w:type="dxa"/>
            <w:bottom w:w="57" w:type="dxa"/>
            <w:right w:w="57" w:type="dxa"/>
          </w:tblCellMar>
        </w:tblPrEx>
        <w:trPr>
          <w:trHeight w:val="3406" w:hRule="atLeast"/>
          <w:jc w:val="center"/>
        </w:trPr>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黑体" w:hAnsi="宋体" w:eastAsia="黑体" w:cs="宋体"/>
                <w:color w:val="000000"/>
                <w:kern w:val="0"/>
                <w:sz w:val="24"/>
              </w:rPr>
            </w:pPr>
            <w:r>
              <w:rPr>
                <w:rFonts w:hint="eastAsia" w:ascii="黑体" w:hAnsi="宋体" w:eastAsia="黑体" w:cs="黑体"/>
                <w:color w:val="000000"/>
                <w:kern w:val="0"/>
                <w:sz w:val="24"/>
                <w:lang w:bidi="ar"/>
              </w:rPr>
              <w:t>单位意见</w:t>
            </w:r>
          </w:p>
        </w:tc>
        <w:tc>
          <w:tcPr>
            <w:tcW w:w="7198" w:type="dxa"/>
            <w:gridSpan w:val="3"/>
            <w:tcBorders>
              <w:top w:val="nil"/>
              <w:left w:val="nil"/>
              <w:bottom w:val="single" w:color="auto" w:sz="4" w:space="0"/>
              <w:right w:val="single" w:color="auto" w:sz="4" w:space="0"/>
            </w:tcBorders>
            <w:shd w:val="clear" w:color="auto" w:fill="auto"/>
            <w:noWrap/>
          </w:tcPr>
          <w:p>
            <w:pPr>
              <w:widowControl/>
              <w:spacing w:line="360" w:lineRule="exact"/>
              <w:jc w:val="left"/>
              <w:rPr>
                <w:rFonts w:hint="eastAsia" w:ascii="仿宋" w:hAnsi="仿宋" w:eastAsia="仿宋" w:cs="Times New Roman"/>
                <w:b/>
                <w:bCs/>
                <w:spacing w:val="6"/>
                <w:sz w:val="24"/>
                <w:lang w:val="en-US" w:eastAsia="zh-CN"/>
              </w:rPr>
            </w:pPr>
            <w:r>
              <w:rPr>
                <w:rFonts w:hint="eastAsia" w:ascii="仿宋" w:hAnsi="仿宋" w:eastAsia="仿宋" w:cs="Times New Roman"/>
                <w:b/>
                <w:bCs/>
                <w:spacing w:val="6"/>
                <w:sz w:val="24"/>
                <w:lang w:val="en-US" w:eastAsia="zh-CN"/>
              </w:rPr>
              <w:t>市人民医院：</w:t>
            </w:r>
          </w:p>
          <w:p>
            <w:pPr>
              <w:widowControl/>
              <w:spacing w:line="360" w:lineRule="exact"/>
              <w:jc w:val="left"/>
              <w:rPr>
                <w:rFonts w:hint="eastAsia" w:ascii="仿宋" w:hAnsi="仿宋" w:eastAsia="仿宋" w:cs="Times New Roman"/>
                <w:spacing w:val="6"/>
                <w:sz w:val="24"/>
                <w:lang w:val="en-US" w:eastAsia="zh-CN"/>
              </w:rPr>
            </w:pPr>
            <w:r>
              <w:rPr>
                <w:rFonts w:hint="eastAsia" w:ascii="仿宋" w:hAnsi="仿宋" w:eastAsia="仿宋" w:cs="Times New Roman"/>
                <w:spacing w:val="6"/>
                <w:sz w:val="24"/>
                <w:lang w:val="en-US" w:eastAsia="zh-CN"/>
              </w:rPr>
              <w:t>一、过程指标—制度管理</w:t>
            </w:r>
          </w:p>
          <w:p>
            <w:pPr>
              <w:widowControl/>
              <w:spacing w:line="360" w:lineRule="exact"/>
              <w:jc w:val="left"/>
              <w:rPr>
                <w:rFonts w:hint="eastAsia" w:ascii="仿宋" w:hAnsi="仿宋" w:eastAsia="仿宋" w:cs="Times New Roman"/>
                <w:spacing w:val="6"/>
                <w:sz w:val="24"/>
                <w:lang w:val="en-US" w:eastAsia="zh-CN"/>
              </w:rPr>
            </w:pPr>
            <w:r>
              <w:rPr>
                <w:rFonts w:hint="eastAsia" w:ascii="仿宋" w:hAnsi="仿宋" w:eastAsia="仿宋" w:cs="Times New Roman"/>
                <w:spacing w:val="6"/>
                <w:sz w:val="24"/>
                <w:lang w:val="en-US" w:eastAsia="zh-CN"/>
              </w:rPr>
              <w:t>1.“管理机制健全性”，扣2分，扣分原因：“玉溪市人民医院建立了项目实施管理组织机构，但未建立专项资金管理办法，资金使用不明确扣1分。”</w:t>
            </w:r>
          </w:p>
          <w:p>
            <w:pPr>
              <w:widowControl/>
              <w:spacing w:line="360" w:lineRule="exact"/>
              <w:jc w:val="left"/>
              <w:rPr>
                <w:rFonts w:hint="eastAsia" w:ascii="仿宋" w:hAnsi="仿宋" w:eastAsia="仿宋" w:cs="Times New Roman"/>
                <w:spacing w:val="6"/>
                <w:sz w:val="24"/>
                <w:lang w:val="en-US" w:eastAsia="zh-CN"/>
              </w:rPr>
            </w:pPr>
            <w:r>
              <w:rPr>
                <w:rFonts w:hint="eastAsia" w:ascii="仿宋" w:hAnsi="仿宋" w:eastAsia="仿宋" w:cs="Times New Roman"/>
                <w:spacing w:val="6"/>
                <w:sz w:val="24"/>
                <w:lang w:val="en-US" w:eastAsia="zh-CN"/>
              </w:rPr>
              <w:t>意见反馈：我院制定下发了《玉溪市人民医院关于修订下发卫生事业专项资金管理规定的通知》（玉市医发﹝2023﹞9号）对我院所有的卫生事业专项资金进行规范管理，管理办法适用于各级各类卫生事业专项资金，范围覆盖本次评价项目资金。我院的专项资金管理及使用严格按照上述规定执行，不存在使用不明确问题。</w:t>
            </w:r>
          </w:p>
          <w:p>
            <w:pPr>
              <w:widowControl/>
              <w:spacing w:line="360" w:lineRule="exact"/>
              <w:jc w:val="left"/>
              <w:rPr>
                <w:rFonts w:hint="eastAsia" w:ascii="仿宋" w:hAnsi="仿宋" w:eastAsia="仿宋" w:cs="Times New Roman"/>
                <w:spacing w:val="6"/>
                <w:sz w:val="24"/>
                <w:lang w:val="en-US" w:eastAsia="zh-CN"/>
              </w:rPr>
            </w:pPr>
            <w:r>
              <w:rPr>
                <w:rFonts w:hint="eastAsia" w:ascii="仿宋" w:hAnsi="仿宋" w:eastAsia="仿宋" w:cs="Times New Roman"/>
                <w:spacing w:val="6"/>
                <w:sz w:val="24"/>
                <w:lang w:val="en-US" w:eastAsia="zh-CN"/>
              </w:rPr>
              <w:t>若考核内容为针对本项目资金是否单独制定管理规定，我院制定的管理办法已覆盖本次评价项目资金，不应扣分。</w:t>
            </w:r>
          </w:p>
          <w:p>
            <w:pPr>
              <w:widowControl/>
              <w:spacing w:line="360" w:lineRule="exact"/>
              <w:jc w:val="left"/>
              <w:rPr>
                <w:rFonts w:hint="eastAsia" w:ascii="仿宋" w:hAnsi="仿宋" w:eastAsia="仿宋" w:cs="Times New Roman"/>
                <w:spacing w:val="6"/>
                <w:sz w:val="24"/>
                <w:lang w:val="en-US" w:eastAsia="zh-CN"/>
              </w:rPr>
            </w:pPr>
            <w:r>
              <w:rPr>
                <w:rFonts w:hint="eastAsia" w:ascii="仿宋" w:hAnsi="仿宋" w:eastAsia="仿宋" w:cs="Times New Roman"/>
                <w:spacing w:val="6"/>
                <w:sz w:val="24"/>
                <w:lang w:val="en-US" w:eastAsia="zh-CN"/>
              </w:rPr>
              <w:t>2.“制度执行有效性”，扣2分，扣分原因：“玉溪市人民医院未建立考核机制扣2分。”</w:t>
            </w:r>
          </w:p>
          <w:p>
            <w:pPr>
              <w:widowControl/>
              <w:spacing w:line="360" w:lineRule="exact"/>
              <w:jc w:val="left"/>
              <w:rPr>
                <w:rFonts w:hint="eastAsia" w:ascii="仿宋" w:hAnsi="仿宋" w:eastAsia="仿宋" w:cs="Times New Roman"/>
                <w:spacing w:val="6"/>
                <w:sz w:val="24"/>
                <w:lang w:val="en-US" w:eastAsia="zh-CN"/>
              </w:rPr>
            </w:pPr>
            <w:r>
              <w:rPr>
                <w:rFonts w:hint="eastAsia" w:ascii="仿宋" w:hAnsi="仿宋" w:eastAsia="仿宋" w:cs="Times New Roman"/>
                <w:spacing w:val="6"/>
                <w:sz w:val="24"/>
                <w:lang w:val="en-US" w:eastAsia="zh-CN"/>
              </w:rPr>
              <w:t>意见反馈：我院制定下发的《玉溪市人民医院关于修订下发卫生事业专项资金管理规定的通知》（玉市医发﹝2023﹞9号）“第五章 绩效考核及结果应用”中详细制定了专项资金的考核办法、评分标准及奖惩办法；每年3月前对上一年度的专项资金进行考核，考核结果在医院OA进行公示，并提请院长办公会审议通过后进行奖惩兑现，扣分不合理。</w:t>
            </w:r>
          </w:p>
          <w:p>
            <w:pPr>
              <w:widowControl/>
              <w:spacing w:line="360" w:lineRule="exact"/>
              <w:jc w:val="left"/>
              <w:rPr>
                <w:rFonts w:hint="eastAsia" w:ascii="仿宋" w:hAnsi="仿宋" w:eastAsia="仿宋" w:cs="Times New Roman"/>
                <w:spacing w:val="6"/>
                <w:sz w:val="24"/>
                <w:lang w:val="en-US" w:eastAsia="zh-CN"/>
              </w:rPr>
            </w:pPr>
            <w:r>
              <w:rPr>
                <w:rFonts w:hint="eastAsia" w:ascii="仿宋" w:hAnsi="仿宋" w:eastAsia="仿宋" w:cs="Times New Roman"/>
                <w:spacing w:val="6"/>
                <w:sz w:val="24"/>
                <w:lang w:val="en-US" w:eastAsia="zh-CN"/>
              </w:rPr>
              <w:t>二、过程指标—组织实施</w:t>
            </w:r>
          </w:p>
          <w:p>
            <w:pPr>
              <w:widowControl/>
              <w:spacing w:line="360" w:lineRule="exact"/>
              <w:jc w:val="left"/>
              <w:rPr>
                <w:rFonts w:hint="eastAsia" w:ascii="仿宋" w:hAnsi="仿宋" w:eastAsia="仿宋" w:cs="Times New Roman"/>
                <w:spacing w:val="6"/>
                <w:sz w:val="24"/>
                <w:lang w:val="en-US" w:eastAsia="zh-CN"/>
              </w:rPr>
            </w:pPr>
            <w:r>
              <w:rPr>
                <w:rFonts w:hint="eastAsia" w:ascii="仿宋" w:hAnsi="仿宋" w:eastAsia="仿宋" w:cs="Times New Roman"/>
                <w:spacing w:val="6"/>
                <w:sz w:val="24"/>
                <w:lang w:val="en-US" w:eastAsia="zh-CN"/>
              </w:rPr>
              <w:t>绩效指标“取消药品加成后医护人员开药规范性”中，“考核要点2：医护人员是否按照相关规定对患者进行开药，开药是否规范，是否存在“病少药多”情况”。</w:t>
            </w:r>
          </w:p>
          <w:p>
            <w:pPr>
              <w:widowControl/>
              <w:spacing w:line="360" w:lineRule="exact"/>
              <w:jc w:val="left"/>
              <w:rPr>
                <w:rFonts w:hint="eastAsia" w:ascii="仿宋" w:hAnsi="仿宋" w:eastAsia="仿宋" w:cs="Times New Roman"/>
                <w:spacing w:val="6"/>
                <w:sz w:val="24"/>
                <w:lang w:val="en-US" w:eastAsia="zh-CN"/>
              </w:rPr>
            </w:pPr>
            <w:r>
              <w:rPr>
                <w:rFonts w:hint="eastAsia" w:ascii="仿宋" w:hAnsi="仿宋" w:eastAsia="仿宋" w:cs="Times New Roman"/>
                <w:spacing w:val="6"/>
                <w:sz w:val="24"/>
                <w:lang w:val="en-US" w:eastAsia="zh-CN"/>
              </w:rPr>
              <w:t>意见反馈：此项指标运用患者问卷调查数据作为评分标准，是否科学合理、是否存在片面性？医生开具处方需要专业医疗知识并结合患者的具体病情，问卷中是否存在患者对自身病情没有专业认知的情况，仅凭患者角度对医生处方提出质疑不合理。</w:t>
            </w:r>
          </w:p>
          <w:p>
            <w:pPr>
              <w:widowControl/>
              <w:spacing w:line="360" w:lineRule="exact"/>
              <w:jc w:val="left"/>
              <w:rPr>
                <w:rFonts w:hint="eastAsia" w:ascii="仿宋" w:hAnsi="仿宋" w:eastAsia="仿宋" w:cs="Times New Roman"/>
                <w:spacing w:val="6"/>
                <w:sz w:val="24"/>
                <w:lang w:val="en-US" w:eastAsia="zh-CN"/>
              </w:rPr>
            </w:pPr>
            <w:r>
              <w:rPr>
                <w:rFonts w:hint="eastAsia" w:ascii="仿宋" w:hAnsi="仿宋" w:eastAsia="仿宋" w:cs="Times New Roman"/>
                <w:spacing w:val="6"/>
                <w:sz w:val="24"/>
                <w:lang w:val="en-US" w:eastAsia="zh-CN"/>
              </w:rPr>
              <w:t>三、产出指标—产出质量</w:t>
            </w:r>
          </w:p>
          <w:p>
            <w:pPr>
              <w:widowControl/>
              <w:spacing w:line="360" w:lineRule="exact"/>
              <w:jc w:val="left"/>
              <w:rPr>
                <w:rFonts w:hint="eastAsia" w:ascii="仿宋" w:hAnsi="仿宋" w:eastAsia="仿宋" w:cs="Times New Roman"/>
                <w:spacing w:val="6"/>
                <w:sz w:val="24"/>
                <w:lang w:val="en-US" w:eastAsia="zh-CN"/>
              </w:rPr>
            </w:pPr>
            <w:r>
              <w:rPr>
                <w:rFonts w:hint="eastAsia" w:ascii="仿宋" w:hAnsi="仿宋" w:eastAsia="仿宋" w:cs="Times New Roman"/>
                <w:spacing w:val="6"/>
                <w:sz w:val="24"/>
                <w:lang w:val="en-US" w:eastAsia="zh-CN"/>
              </w:rPr>
              <w:t>绩效指标“医院药品品类齐全性”，考核要点：“医院是否在玉溪市公立医院采购平台足额购置相关药品，是否出现患者院外购药情况”。</w:t>
            </w:r>
          </w:p>
          <w:p>
            <w:pPr>
              <w:widowControl/>
              <w:spacing w:line="360" w:lineRule="exact"/>
              <w:jc w:val="left"/>
              <w:rPr>
                <w:rFonts w:hint="eastAsia" w:ascii="仿宋" w:hAnsi="仿宋" w:eastAsia="仿宋" w:cs="Times New Roman"/>
                <w:spacing w:val="6"/>
                <w:sz w:val="24"/>
                <w:lang w:val="en-US" w:eastAsia="zh-CN"/>
              </w:rPr>
            </w:pPr>
            <w:r>
              <w:rPr>
                <w:rFonts w:hint="eastAsia" w:ascii="仿宋" w:hAnsi="仿宋" w:eastAsia="仿宋" w:cs="Times New Roman"/>
                <w:spacing w:val="6"/>
                <w:sz w:val="24"/>
                <w:lang w:val="en-US" w:eastAsia="zh-CN"/>
              </w:rPr>
              <w:t>意见反馈：此项指标的考核标准为患者问卷调查中“3.您在住院或门诊期间是否存在院外购药情况？”，仅凭问卷调查中院外购药情况考核医院药品的齐全性是否符合三甲医院药品管理规定，考核是否存在片面性。</w:t>
            </w:r>
          </w:p>
          <w:p>
            <w:pPr>
              <w:widowControl/>
              <w:spacing w:line="360" w:lineRule="exact"/>
              <w:jc w:val="left"/>
              <w:rPr>
                <w:rFonts w:hint="eastAsia" w:ascii="仿宋" w:hAnsi="仿宋" w:eastAsia="仿宋" w:cs="Times New Roman"/>
                <w:spacing w:val="6"/>
                <w:sz w:val="24"/>
                <w:lang w:val="en-US" w:eastAsia="zh-CN"/>
              </w:rPr>
            </w:pPr>
            <w:r>
              <w:rPr>
                <w:rFonts w:hint="eastAsia" w:ascii="仿宋" w:hAnsi="仿宋" w:eastAsia="仿宋" w:cs="Times New Roman"/>
                <w:spacing w:val="6"/>
                <w:sz w:val="24"/>
                <w:lang w:val="en-US" w:eastAsia="zh-CN"/>
              </w:rPr>
              <w:t>首先，我院95%以上的药品均通过市招及省招平台购进，市招、省招平台，以及国家集中采购药品均会出现部分常用药品缺药情况，药品是否缺货，受外界因素影响较大，医院不可控；其次，《三级综合医院评审标准实施细则》对三甲综合医院《基本用药供应目录》品规数要求为：800床以上：西药应≤1200个品种，中成药≤300品规（医院自制制剂除外）；公立医院绩效考核指标要求，三级医院药品品种不得超1500个。国家对三级医院药品数量有严格考核标准，指标设置及问卷调查问题与上级部门对医院管理要求存在偏差。</w:t>
            </w:r>
          </w:p>
          <w:p>
            <w:pPr>
              <w:widowControl/>
              <w:spacing w:line="360" w:lineRule="exact"/>
              <w:jc w:val="left"/>
              <w:rPr>
                <w:rFonts w:hint="eastAsia" w:ascii="仿宋" w:hAnsi="仿宋" w:eastAsia="仿宋" w:cs="Times New Roman"/>
                <w:spacing w:val="6"/>
                <w:sz w:val="24"/>
                <w:lang w:val="en-US" w:eastAsia="zh-CN"/>
              </w:rPr>
            </w:pPr>
            <w:r>
              <w:rPr>
                <w:rFonts w:hint="eastAsia" w:ascii="仿宋" w:hAnsi="仿宋" w:eastAsia="仿宋" w:cs="Times New Roman"/>
                <w:spacing w:val="6"/>
                <w:sz w:val="24"/>
                <w:lang w:val="en-US" w:eastAsia="zh-CN"/>
              </w:rPr>
              <w:t>四、产出指标—产出数量、产出质量</w:t>
            </w:r>
          </w:p>
          <w:p>
            <w:pPr>
              <w:widowControl/>
              <w:spacing w:line="360" w:lineRule="exact"/>
              <w:jc w:val="left"/>
              <w:rPr>
                <w:rFonts w:hint="eastAsia" w:ascii="仿宋" w:hAnsi="仿宋" w:eastAsia="仿宋" w:cs="Times New Roman"/>
                <w:spacing w:val="6"/>
                <w:sz w:val="24"/>
                <w:lang w:val="en-US" w:eastAsia="zh-CN"/>
              </w:rPr>
            </w:pPr>
            <w:r>
              <w:rPr>
                <w:rFonts w:hint="eastAsia" w:ascii="仿宋" w:hAnsi="仿宋" w:eastAsia="仿宋" w:cs="Times New Roman"/>
                <w:spacing w:val="6"/>
                <w:sz w:val="24"/>
                <w:lang w:val="en-US" w:eastAsia="zh-CN"/>
              </w:rPr>
              <w:t>指标1.门诊病人次均医药费用增幅</w:t>
            </w:r>
          </w:p>
          <w:p>
            <w:pPr>
              <w:widowControl/>
              <w:spacing w:line="360" w:lineRule="exact"/>
              <w:jc w:val="left"/>
              <w:rPr>
                <w:rFonts w:hint="eastAsia" w:ascii="仿宋" w:hAnsi="仿宋" w:eastAsia="仿宋" w:cs="Times New Roman"/>
                <w:spacing w:val="6"/>
                <w:sz w:val="24"/>
                <w:lang w:val="en-US" w:eastAsia="zh-CN"/>
              </w:rPr>
            </w:pPr>
            <w:r>
              <w:rPr>
                <w:rFonts w:hint="eastAsia" w:ascii="仿宋" w:hAnsi="仿宋" w:eastAsia="仿宋" w:cs="Times New Roman"/>
                <w:spacing w:val="6"/>
                <w:sz w:val="24"/>
                <w:lang w:val="en-US" w:eastAsia="zh-CN"/>
              </w:rPr>
              <w:t>指标2.住院病人人均医药费用增幅</w:t>
            </w:r>
          </w:p>
          <w:p>
            <w:pPr>
              <w:widowControl/>
              <w:spacing w:line="360" w:lineRule="exact"/>
              <w:jc w:val="left"/>
              <w:rPr>
                <w:rFonts w:hint="eastAsia" w:ascii="仿宋" w:hAnsi="仿宋" w:eastAsia="仿宋" w:cs="Times New Roman"/>
                <w:spacing w:val="6"/>
                <w:sz w:val="24"/>
                <w:lang w:val="en-US" w:eastAsia="zh-CN"/>
              </w:rPr>
            </w:pPr>
            <w:r>
              <w:rPr>
                <w:rFonts w:hint="eastAsia" w:ascii="仿宋" w:hAnsi="仿宋" w:eastAsia="仿宋" w:cs="Times New Roman"/>
                <w:spacing w:val="6"/>
                <w:sz w:val="24"/>
                <w:lang w:val="en-US" w:eastAsia="zh-CN"/>
              </w:rPr>
              <w:t>指标3.药占比（不含中药饮片）</w:t>
            </w:r>
          </w:p>
          <w:p>
            <w:pPr>
              <w:widowControl/>
              <w:spacing w:line="360" w:lineRule="exact"/>
              <w:jc w:val="left"/>
              <w:rPr>
                <w:rFonts w:hint="eastAsia" w:ascii="仿宋" w:hAnsi="仿宋" w:eastAsia="仿宋" w:cs="Times New Roman"/>
                <w:b/>
                <w:bCs/>
                <w:spacing w:val="6"/>
                <w:sz w:val="24"/>
                <w:lang w:val="en-US" w:eastAsia="zh-CN"/>
              </w:rPr>
            </w:pPr>
            <w:r>
              <w:rPr>
                <w:rFonts w:hint="eastAsia" w:ascii="仿宋" w:hAnsi="仿宋" w:eastAsia="仿宋" w:cs="Times New Roman"/>
                <w:spacing w:val="6"/>
                <w:sz w:val="24"/>
                <w:lang w:val="en-US" w:eastAsia="zh-CN"/>
              </w:rPr>
              <w:t>意见反馈：由于受新冠肺炎疫情的影响，医院防疫药品及消杀药品用量大幅增加，因新冠病毒的特殊性所增加的必要检查项目增加导致试剂用量增加；疫情形势变化一定程度影响了医院的次均医药费用水平，存在不可控因素。评分标准应充分考虑疫情因素，按增减幅度进行分段评分，不应仅与上一年度进行比较扣分。</w:t>
            </w:r>
          </w:p>
          <w:p>
            <w:pPr>
              <w:widowControl/>
              <w:spacing w:line="360" w:lineRule="exact"/>
              <w:jc w:val="left"/>
              <w:rPr>
                <w:rFonts w:hint="eastAsia" w:ascii="仿宋" w:hAnsi="仿宋" w:eastAsia="仿宋" w:cs="Times New Roman"/>
                <w:b/>
                <w:bCs/>
                <w:spacing w:val="6"/>
                <w:sz w:val="24"/>
                <w:lang w:val="en-US" w:eastAsia="zh-CN"/>
              </w:rPr>
            </w:pPr>
            <w:r>
              <w:rPr>
                <w:rFonts w:hint="eastAsia" w:ascii="仿宋" w:hAnsi="仿宋" w:eastAsia="仿宋" w:cs="Times New Roman"/>
                <w:b/>
                <w:bCs/>
                <w:spacing w:val="6"/>
                <w:sz w:val="24"/>
                <w:lang w:val="en-US" w:eastAsia="zh-CN"/>
              </w:rPr>
              <w:t>市儿童医院：</w:t>
            </w:r>
          </w:p>
          <w:p>
            <w:pPr>
              <w:widowControl/>
              <w:spacing w:line="360" w:lineRule="exact"/>
              <w:jc w:val="left"/>
              <w:rPr>
                <w:rFonts w:hint="eastAsia" w:ascii="仿宋" w:hAnsi="仿宋" w:eastAsia="仿宋" w:cs="Times New Roman"/>
                <w:spacing w:val="6"/>
                <w:sz w:val="24"/>
                <w:lang w:val="en-US" w:eastAsia="zh-CN"/>
              </w:rPr>
            </w:pPr>
            <w:r>
              <w:rPr>
                <w:rFonts w:hint="eastAsia" w:ascii="仿宋" w:hAnsi="仿宋" w:eastAsia="仿宋" w:cs="Times New Roman"/>
                <w:spacing w:val="6"/>
                <w:sz w:val="24"/>
                <w:lang w:val="en-US" w:eastAsia="zh-CN"/>
              </w:rPr>
              <w:t>评价指标和评分标准存在不合理性、片面性、模糊性。</w:t>
            </w:r>
          </w:p>
          <w:p>
            <w:pPr>
              <w:widowControl/>
              <w:spacing w:line="360" w:lineRule="exact"/>
              <w:jc w:val="left"/>
              <w:rPr>
                <w:rFonts w:hint="eastAsia" w:ascii="仿宋" w:hAnsi="仿宋" w:eastAsia="仿宋" w:cs="Times New Roman"/>
                <w:spacing w:val="6"/>
                <w:sz w:val="24"/>
                <w:lang w:val="en-US" w:eastAsia="zh-CN"/>
              </w:rPr>
            </w:pPr>
            <w:r>
              <w:rPr>
                <w:rFonts w:hint="eastAsia" w:ascii="仿宋" w:hAnsi="仿宋" w:eastAsia="仿宋" w:cs="Times New Roman"/>
                <w:spacing w:val="6"/>
                <w:sz w:val="24"/>
                <w:lang w:val="en-US" w:eastAsia="zh-CN"/>
              </w:rPr>
              <w:t>指标一、医院药品品类齐全性。患者问卷调查第3个问题“您在住院或门诊期间是否存在院外购药情况？”，若选择存在，在考评中则直接反应为医院药品品类齐全性差。该问题表述易导致理解偏差，患者易简单理解为是否存在过自主院外采买药品的情况，而这种情况几乎是合理发生的，可能是其自身的便利性或者院内存在排队等各种原因，患者认为当下选择外购更合适，无法和医院的药品品类是否齐全直接相关。另外，我院大部分药品均通过市招及省招平台购进，市招、省招平台，以及国家集中采购药品均会出现部分常用药品缺药情况，药品是否缺货，受外界因素影响较大，医院不可控。同时公立医院绩效考核指标要求，三级医院药品品种不得超1500个，国家对三级医院药品数量有严格考核标准，指标设置及问卷调查问题与上级部门对医院管理要求存在偏差。</w:t>
            </w:r>
          </w:p>
          <w:p>
            <w:pPr>
              <w:widowControl/>
              <w:spacing w:line="360" w:lineRule="exact"/>
              <w:jc w:val="left"/>
              <w:rPr>
                <w:rFonts w:hint="eastAsia" w:ascii="仿宋" w:hAnsi="仿宋" w:eastAsia="仿宋" w:cs="Times New Roman"/>
                <w:spacing w:val="6"/>
                <w:sz w:val="24"/>
                <w:lang w:val="en-US" w:eastAsia="zh-CN"/>
              </w:rPr>
            </w:pPr>
            <w:r>
              <w:rPr>
                <w:rFonts w:hint="eastAsia" w:ascii="仿宋" w:hAnsi="仿宋" w:eastAsia="仿宋" w:cs="Times New Roman"/>
                <w:spacing w:val="6"/>
                <w:sz w:val="24"/>
                <w:lang w:val="en-US" w:eastAsia="zh-CN"/>
              </w:rPr>
              <w:t>指标二、取消药品加成后医护人员开药规范性。医护人员问卷调查总计119份，有效问卷94份，由此计算该项指标得分94/114*100%*5=4.12，以此评价医护人员是否按照相关规定对患者进行开药，开药是否规范，是否存在“病少药多”的情况，以何标准评价问卷是否有效？评价标准模糊，缺乏效力。另外，医生开具处方需要专业医疗知识并结合患者的具体病情，仅凭问卷某个问题的回答对医生处方提出质疑不合理。</w:t>
            </w:r>
          </w:p>
          <w:p>
            <w:pPr>
              <w:widowControl/>
              <w:spacing w:line="360" w:lineRule="exact"/>
              <w:jc w:val="left"/>
              <w:rPr>
                <w:rFonts w:hint="eastAsia" w:ascii="仿宋" w:hAnsi="仿宋" w:eastAsia="仿宋" w:cs="Times New Roman"/>
                <w:spacing w:val="6"/>
                <w:sz w:val="24"/>
                <w:lang w:val="en-US" w:eastAsia="zh-CN"/>
              </w:rPr>
            </w:pPr>
            <w:r>
              <w:rPr>
                <w:rFonts w:hint="eastAsia" w:ascii="仿宋" w:hAnsi="仿宋" w:eastAsia="仿宋" w:cs="Times New Roman"/>
                <w:spacing w:val="6"/>
                <w:sz w:val="24"/>
                <w:lang w:val="en-US" w:eastAsia="zh-CN"/>
              </w:rPr>
              <w:t>指标三、住院病人人均医药费用增幅。</w:t>
            </w:r>
          </w:p>
          <w:p>
            <w:pPr>
              <w:widowControl/>
              <w:spacing w:line="360" w:lineRule="exact"/>
              <w:jc w:val="left"/>
              <w:rPr>
                <w:rFonts w:hint="eastAsia" w:ascii="仿宋" w:hAnsi="仿宋" w:eastAsia="仿宋" w:cs="Times New Roman"/>
                <w:spacing w:val="6"/>
                <w:sz w:val="24"/>
                <w:lang w:val="en-US" w:eastAsia="zh-CN"/>
              </w:rPr>
            </w:pPr>
            <w:r>
              <w:rPr>
                <w:rFonts w:hint="eastAsia" w:ascii="仿宋" w:hAnsi="仿宋" w:eastAsia="仿宋" w:cs="Times New Roman"/>
                <w:spacing w:val="6"/>
                <w:sz w:val="24"/>
                <w:lang w:val="en-US" w:eastAsia="zh-CN"/>
              </w:rPr>
              <w:t>《关于印发控制公立医院医疗费用不合理增长的若干意见的通知》（国卫体改发〔2015〕89号）要求公立医院住院病人人均医药费用</w:t>
            </w:r>
            <w:r>
              <w:rPr>
                <w:rFonts w:hint="eastAsia" w:ascii="仿宋" w:hAnsi="仿宋" w:eastAsia="仿宋" w:cs="Times New Roman"/>
                <w:spacing w:val="6"/>
                <w:sz w:val="24"/>
                <w:u w:val="single"/>
                <w:lang w:val="en-US" w:eastAsia="zh-CN"/>
              </w:rPr>
              <w:t>增幅逐步</w:t>
            </w:r>
            <w:r>
              <w:rPr>
                <w:rFonts w:hint="eastAsia" w:ascii="仿宋" w:hAnsi="仿宋" w:eastAsia="仿宋" w:cs="Times New Roman"/>
                <w:spacing w:val="6"/>
                <w:sz w:val="24"/>
                <w:lang w:val="en-US" w:eastAsia="zh-CN"/>
              </w:rPr>
              <w:t>降低，即要求住院病人人均医药费用呈现增幅下降的趋势，不是不能有合理性的增长，也不是要求每年费用都必须低于上年度（即</w:t>
            </w:r>
            <w:r>
              <w:rPr>
                <w:rFonts w:hint="eastAsia" w:ascii="仿宋" w:hAnsi="仿宋" w:eastAsia="仿宋" w:cs="Times New Roman"/>
                <w:spacing w:val="6"/>
                <w:sz w:val="24"/>
                <w:u w:val="single"/>
                <w:lang w:val="en-US" w:eastAsia="zh-CN"/>
              </w:rPr>
              <w:t>费用逐年</w:t>
            </w:r>
            <w:r>
              <w:rPr>
                <w:rFonts w:hint="eastAsia" w:ascii="仿宋" w:hAnsi="仿宋" w:eastAsia="仿宋" w:cs="Times New Roman"/>
                <w:spacing w:val="6"/>
                <w:sz w:val="24"/>
                <w:lang w:val="en-US" w:eastAsia="zh-CN"/>
              </w:rPr>
              <w:t>降低），评价中仅凭我院2022年住院病人人均医药费用高于2021年116元便扣分，缺乏科学性。我院2020年住院病人人均医药费用6154.87元，因2021年医保总额预付指标控制，当年住院病人人均医药费用降低15%，降为5220.85元，因2021年下降幅度较大，2022出现小幅度合理性的增长，增长2%为5337.82元，总体仍为下降趋势，未违背上级要求。另外受新冠肺炎疫情的影响，因新冠病毒的特殊性所增加的必要检查项目增加，疫情形势变化一定程度影响了医院的次均医药费用水平，存在不可控因素。评分标准也应充分考虑疫情因素，不应仅与上一年度进行比较扣分。</w:t>
            </w:r>
          </w:p>
          <w:p>
            <w:pPr>
              <w:widowControl/>
              <w:spacing w:line="360" w:lineRule="exact"/>
              <w:jc w:val="left"/>
              <w:rPr>
                <w:rFonts w:hint="eastAsia" w:ascii="仿宋" w:hAnsi="仿宋" w:eastAsia="仿宋" w:cs="Times New Roman"/>
                <w:spacing w:val="6"/>
                <w:sz w:val="24"/>
                <w:lang w:val="en-US" w:eastAsia="zh-CN"/>
              </w:rPr>
            </w:pPr>
            <w:r>
              <w:rPr>
                <w:rFonts w:hint="eastAsia" w:ascii="仿宋" w:hAnsi="仿宋" w:eastAsia="仿宋" w:cs="Times New Roman"/>
                <w:b/>
                <w:bCs/>
                <w:spacing w:val="6"/>
                <w:sz w:val="24"/>
                <w:lang w:val="en-US" w:eastAsia="zh-CN"/>
              </w:rPr>
              <w:t>市第二人民医院：</w:t>
            </w:r>
            <w:r>
              <w:rPr>
                <w:rFonts w:hint="eastAsia" w:ascii="仿宋" w:hAnsi="仿宋" w:eastAsia="仿宋" w:cs="Times New Roman"/>
                <w:spacing w:val="6"/>
                <w:sz w:val="24"/>
                <w:lang w:val="en-US" w:eastAsia="zh-CN"/>
              </w:rPr>
              <w:t>无意见。</w:t>
            </w:r>
          </w:p>
          <w:p>
            <w:pPr>
              <w:widowControl/>
              <w:spacing w:line="360" w:lineRule="exact"/>
              <w:jc w:val="left"/>
              <w:rPr>
                <w:rFonts w:hint="default" w:ascii="仿宋" w:hAnsi="仿宋" w:eastAsia="仿宋" w:cs="Times New Roman"/>
                <w:spacing w:val="6"/>
                <w:sz w:val="24"/>
                <w:lang w:val="en-US" w:eastAsia="zh-CN"/>
              </w:rPr>
            </w:pPr>
            <w:r>
              <w:rPr>
                <w:rFonts w:hint="eastAsia" w:ascii="仿宋" w:hAnsi="仿宋" w:eastAsia="仿宋" w:cs="Times New Roman"/>
                <w:b/>
                <w:bCs/>
                <w:spacing w:val="6"/>
                <w:sz w:val="24"/>
                <w:lang w:val="en-US" w:eastAsia="zh-CN"/>
              </w:rPr>
              <w:t>市中医医院：</w:t>
            </w:r>
            <w:r>
              <w:rPr>
                <w:rFonts w:hint="eastAsia" w:ascii="仿宋" w:hAnsi="仿宋" w:eastAsia="仿宋" w:cs="Times New Roman"/>
                <w:spacing w:val="6"/>
                <w:sz w:val="24"/>
                <w:lang w:val="en-US" w:eastAsia="zh-CN"/>
              </w:rPr>
              <w:t>无意见。</w:t>
            </w:r>
          </w:p>
        </w:tc>
      </w:tr>
      <w:tr>
        <w:tblPrEx>
          <w:tblCellMar>
            <w:top w:w="57" w:type="dxa"/>
            <w:left w:w="57" w:type="dxa"/>
            <w:bottom w:w="57" w:type="dxa"/>
            <w:right w:w="57" w:type="dxa"/>
          </w:tblCellMar>
        </w:tblPrEx>
        <w:trPr>
          <w:trHeight w:val="2263" w:hRule="atLeast"/>
          <w:jc w:val="center"/>
        </w:trPr>
        <w:tc>
          <w:tcPr>
            <w:tcW w:w="164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黑体" w:hAnsi="宋体" w:eastAsia="黑体" w:cs="宋体"/>
                <w:color w:val="000000"/>
                <w:kern w:val="0"/>
                <w:sz w:val="24"/>
              </w:rPr>
            </w:pPr>
            <w:r>
              <w:rPr>
                <w:rFonts w:hint="eastAsia" w:ascii="黑体" w:hAnsi="宋体" w:eastAsia="黑体" w:cs="黑体"/>
                <w:color w:val="000000"/>
                <w:kern w:val="0"/>
                <w:sz w:val="24"/>
                <w:lang w:eastAsia="zh-CN" w:bidi="ar"/>
              </w:rPr>
              <w:t>6</w:t>
            </w:r>
            <w:r>
              <w:rPr>
                <w:rFonts w:hint="eastAsia" w:ascii="黑体" w:hAnsi="宋体" w:eastAsia="黑体" w:cs="黑体"/>
                <w:color w:val="000000"/>
                <w:kern w:val="0"/>
                <w:sz w:val="24"/>
                <w:lang w:bidi="ar"/>
              </w:rPr>
              <w:t>单位签章确认</w:t>
            </w:r>
          </w:p>
        </w:tc>
        <w:tc>
          <w:tcPr>
            <w:tcW w:w="7198" w:type="dxa"/>
            <w:gridSpan w:val="3"/>
            <w:tcBorders>
              <w:top w:val="nil"/>
              <w:left w:val="nil"/>
              <w:bottom w:val="single" w:color="auto" w:sz="4" w:space="0"/>
              <w:right w:val="single" w:color="000000" w:sz="4" w:space="0"/>
            </w:tcBorders>
            <w:shd w:val="clear" w:color="auto" w:fill="auto"/>
            <w:noWrap/>
          </w:tcPr>
          <w:p>
            <w:pPr>
              <w:widowControl/>
              <w:spacing w:line="360" w:lineRule="exact"/>
              <w:rPr>
                <w:rFonts w:ascii="黑体" w:hAnsi="宋体" w:eastAsia="黑体" w:cs="宋体"/>
                <w:color w:val="000000"/>
                <w:kern w:val="0"/>
                <w:sz w:val="24"/>
              </w:rPr>
            </w:pPr>
          </w:p>
          <w:p>
            <w:pPr>
              <w:widowControl/>
              <w:spacing w:line="360" w:lineRule="exact"/>
              <w:ind w:left="1680" w:leftChars="800"/>
              <w:jc w:val="left"/>
              <w:rPr>
                <w:rFonts w:hint="eastAsia" w:ascii="黑体" w:hAnsi="宋体" w:eastAsia="黑体" w:cs="宋体"/>
                <w:color w:val="000000"/>
                <w:kern w:val="0"/>
                <w:sz w:val="24"/>
                <w:lang w:eastAsia="zh-CN"/>
              </w:rPr>
            </w:pPr>
            <w:r>
              <w:rPr>
                <w:rFonts w:hint="eastAsia" w:ascii="黑体" w:hAnsi="宋体" w:eastAsia="黑体" w:cs="黑体"/>
                <w:color w:val="000000"/>
                <w:kern w:val="0"/>
                <w:sz w:val="24"/>
                <w:lang w:bidi="ar"/>
              </w:rPr>
              <w:t>单位（签章）：</w:t>
            </w:r>
            <w:r>
              <w:rPr>
                <w:rFonts w:hint="eastAsia" w:ascii="黑体" w:hAnsi="宋体" w:eastAsia="黑体" w:cs="黑体"/>
                <w:color w:val="000000"/>
                <w:kern w:val="0"/>
                <w:sz w:val="24"/>
                <w:lang w:eastAsia="zh-CN" w:bidi="ar"/>
              </w:rPr>
              <w:t>玉溪市卫生健康委员会</w:t>
            </w:r>
          </w:p>
          <w:p>
            <w:pPr>
              <w:widowControl/>
              <w:spacing w:line="360" w:lineRule="exact"/>
              <w:rPr>
                <w:rFonts w:ascii="黑体" w:hAnsi="宋体" w:eastAsia="黑体" w:cs="宋体"/>
                <w:color w:val="000000"/>
                <w:kern w:val="0"/>
                <w:sz w:val="24"/>
              </w:rPr>
            </w:pPr>
          </w:p>
          <w:p>
            <w:pPr>
              <w:widowControl/>
              <w:spacing w:line="360" w:lineRule="exact"/>
              <w:ind w:left="1680" w:leftChars="800"/>
              <w:jc w:val="left"/>
              <w:rPr>
                <w:rFonts w:hint="eastAsia" w:ascii="黑体" w:hAnsi="宋体" w:eastAsia="黑体" w:cs="宋体"/>
                <w:color w:val="000000"/>
                <w:kern w:val="0"/>
                <w:sz w:val="24"/>
                <w:lang w:eastAsia="zh-CN"/>
              </w:rPr>
            </w:pPr>
            <w:r>
              <w:rPr>
                <w:rFonts w:hint="eastAsia" w:ascii="黑体" w:hAnsi="宋体" w:eastAsia="黑体" w:cs="黑体"/>
                <w:color w:val="000000"/>
                <w:kern w:val="0"/>
                <w:sz w:val="24"/>
                <w:lang w:bidi="ar"/>
              </w:rPr>
              <w:t>负责人签字：</w:t>
            </w:r>
            <w:r>
              <w:rPr>
                <w:rFonts w:hint="eastAsia" w:ascii="黑体" w:hAnsi="宋体" w:eastAsia="黑体" w:cs="黑体"/>
                <w:color w:val="000000"/>
                <w:kern w:val="0"/>
                <w:sz w:val="24"/>
                <w:lang w:eastAsia="zh-CN" w:bidi="ar"/>
              </w:rPr>
              <w:t>黎保权</w:t>
            </w:r>
          </w:p>
          <w:p>
            <w:pPr>
              <w:widowControl/>
              <w:spacing w:line="360" w:lineRule="exact"/>
              <w:jc w:val="right"/>
              <w:rPr>
                <w:rFonts w:ascii="黑体" w:hAnsi="宋体" w:eastAsia="黑体" w:cs="宋体"/>
                <w:color w:val="000000"/>
                <w:kern w:val="0"/>
                <w:sz w:val="24"/>
              </w:rPr>
            </w:pPr>
          </w:p>
          <w:p>
            <w:pPr>
              <w:spacing w:line="360" w:lineRule="exact"/>
              <w:ind w:right="840" w:rightChars="400"/>
              <w:jc w:val="right"/>
              <w:rPr>
                <w:rFonts w:ascii="黑体" w:hAnsi="宋体" w:eastAsia="黑体" w:cs="宋体"/>
                <w:color w:val="000000"/>
                <w:kern w:val="0"/>
                <w:sz w:val="24"/>
              </w:rPr>
            </w:pPr>
            <w:r>
              <w:rPr>
                <w:rFonts w:hint="eastAsia" w:ascii="黑体" w:hAnsi="宋体" w:eastAsia="黑体" w:cs="黑体"/>
                <w:color w:val="000000"/>
                <w:kern w:val="0"/>
                <w:sz w:val="24"/>
                <w:lang w:val="en-US" w:eastAsia="zh-CN" w:bidi="ar"/>
              </w:rPr>
              <w:t>2023</w:t>
            </w:r>
            <w:r>
              <w:rPr>
                <w:rFonts w:hint="eastAsia" w:ascii="黑体" w:hAnsi="宋体" w:eastAsia="黑体" w:cs="黑体"/>
                <w:color w:val="000000"/>
                <w:kern w:val="0"/>
                <w:sz w:val="24"/>
                <w:lang w:bidi="ar"/>
              </w:rPr>
              <w:t>年</w:t>
            </w:r>
            <w:r>
              <w:rPr>
                <w:rFonts w:hint="eastAsia" w:ascii="黑体" w:hAnsi="宋体" w:eastAsia="黑体" w:cs="宋体"/>
                <w:color w:val="000000"/>
                <w:kern w:val="0"/>
                <w:sz w:val="24"/>
                <w:lang w:val="en-US" w:eastAsia="zh-CN" w:bidi="ar"/>
              </w:rPr>
              <w:t>9</w:t>
            </w:r>
            <w:r>
              <w:rPr>
                <w:rFonts w:hint="eastAsia" w:ascii="黑体" w:hAnsi="宋体" w:eastAsia="黑体" w:cs="黑体"/>
                <w:color w:val="000000"/>
                <w:kern w:val="0"/>
                <w:sz w:val="24"/>
                <w:lang w:bidi="ar"/>
              </w:rPr>
              <w:t>月</w:t>
            </w:r>
            <w:r>
              <w:rPr>
                <w:rFonts w:hint="eastAsia" w:ascii="黑体" w:hAnsi="宋体" w:eastAsia="黑体" w:cs="宋体"/>
                <w:color w:val="000000"/>
                <w:kern w:val="0"/>
                <w:sz w:val="24"/>
                <w:lang w:val="en-US" w:eastAsia="zh-CN" w:bidi="ar"/>
              </w:rPr>
              <w:t>28</w:t>
            </w:r>
            <w:r>
              <w:rPr>
                <w:rFonts w:hint="eastAsia" w:ascii="黑体" w:hAnsi="宋体" w:eastAsia="黑体" w:cs="黑体"/>
                <w:color w:val="000000"/>
                <w:kern w:val="0"/>
                <w:sz w:val="24"/>
                <w:lang w:bidi="ar"/>
              </w:rPr>
              <w:t>日</w:t>
            </w:r>
          </w:p>
        </w:tc>
      </w:tr>
    </w:tbl>
    <w:p>
      <w:pPr>
        <w:autoSpaceDE w:val="0"/>
        <w:snapToGrid w:val="0"/>
        <w:spacing w:line="579" w:lineRule="exact"/>
      </w:pPr>
      <w:r>
        <w:rPr>
          <w:rFonts w:hint="eastAsia" w:ascii="黑体" w:hAnsi="宋体" w:eastAsia="黑体" w:cs="黑体"/>
          <w:kern w:val="0"/>
          <w:sz w:val="24"/>
          <w:lang w:bidi="ar"/>
        </w:rPr>
        <w:t>注：对报告的具体意见不够填写时可单独另附纸。</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panose1 w:val="02040803050406030204"/>
    <w:charset w:val="00"/>
    <w:family w:val="roman"/>
    <w:pitch w:val="default"/>
    <w:sig w:usb0="E00006FF" w:usb1="4000045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zSVju0AAA&#10;AAUBAAAPAAAAAAAAAAEAIAAAADgAAABkcnMvZG93bnJldi54bWxQSwECFAAUAAAACACHTuJA6CPj&#10;HRACAAAHBAAADgAAAAAAAAABACAAAAA1AQAAZHJzL2Uyb0RvYy54bWxQSwUGAAAAAAYABgBZAQAA&#10;twUAAAAA&#10;">
              <v:fill on="f" focussize="0,0"/>
              <v:stroke on="f" weight="0.5pt"/>
              <v:imagedata o:title=""/>
              <o:lock v:ext="edit" aspectratio="f"/>
              <v:textbox inset="0mm,0mm,0mm,0mm" style="mso-fit-shape-to-text:t;">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yNzQzYTRkOGY1NjBmMWUzOGE1ZTkyMTA5NjU3NTUifQ=="/>
  </w:docVars>
  <w:rsids>
    <w:rsidRoot w:val="00582395"/>
    <w:rsid w:val="00582395"/>
    <w:rsid w:val="007B1E14"/>
    <w:rsid w:val="00812B9E"/>
    <w:rsid w:val="00C81B7F"/>
    <w:rsid w:val="00DD6B7D"/>
    <w:rsid w:val="00FE3731"/>
    <w:rsid w:val="0C8C63D2"/>
    <w:rsid w:val="0D5756FF"/>
    <w:rsid w:val="151E65FF"/>
    <w:rsid w:val="261E7CFD"/>
    <w:rsid w:val="271A03CF"/>
    <w:rsid w:val="29B65910"/>
    <w:rsid w:val="2AF56DCB"/>
    <w:rsid w:val="2B972E79"/>
    <w:rsid w:val="2C180827"/>
    <w:rsid w:val="2F2C0F8D"/>
    <w:rsid w:val="36DF6FAA"/>
    <w:rsid w:val="37B230AB"/>
    <w:rsid w:val="3C0F6FF3"/>
    <w:rsid w:val="3C613A80"/>
    <w:rsid w:val="3CE043FC"/>
    <w:rsid w:val="3F9253C1"/>
    <w:rsid w:val="45835C1E"/>
    <w:rsid w:val="49F64E79"/>
    <w:rsid w:val="4ABA7C17"/>
    <w:rsid w:val="4D3D4D0D"/>
    <w:rsid w:val="4F113599"/>
    <w:rsid w:val="51F02AF2"/>
    <w:rsid w:val="52132FA5"/>
    <w:rsid w:val="52CB753B"/>
    <w:rsid w:val="56155A9A"/>
    <w:rsid w:val="5FCB36CD"/>
    <w:rsid w:val="62AE40EB"/>
    <w:rsid w:val="62F70D90"/>
    <w:rsid w:val="639B2597"/>
    <w:rsid w:val="69FE3AF6"/>
    <w:rsid w:val="6A232137"/>
    <w:rsid w:val="6A2C3D22"/>
    <w:rsid w:val="733B0797"/>
    <w:rsid w:val="73CD639B"/>
    <w:rsid w:val="7A3804C1"/>
    <w:rsid w:val="7D634C22"/>
    <w:rsid w:val="7E7D1C87"/>
    <w:rsid w:val="7F7C3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qFormat/>
    <w:uiPriority w:val="0"/>
    <w:rPr>
      <w:sz w:val="18"/>
      <w:szCs w:val="18"/>
    </w:rPr>
  </w:style>
  <w:style w:type="paragraph" w:styleId="5">
    <w:name w:val="footer"/>
    <w:basedOn w:val="1"/>
    <w:qFormat/>
    <w:uiPriority w:val="0"/>
    <w:pPr>
      <w:snapToGrid w:val="0"/>
      <w:jc w:val="left"/>
    </w:pPr>
    <w:rPr>
      <w:rFonts w:ascii="Calibri" w:hAnsi="Calibri" w:eastAsia="宋体" w:cs="Times New Roman"/>
      <w:sz w:val="18"/>
      <w:szCs w:val="18"/>
    </w:rPr>
  </w:style>
  <w:style w:type="paragraph" w:styleId="6">
    <w:name w:val="header"/>
    <w:basedOn w:val="1"/>
    <w:qFormat/>
    <w:uiPriority w:val="0"/>
    <w:pPr>
      <w:pBdr>
        <w:bottom w:val="single" w:color="auto" w:sz="6" w:space="1"/>
      </w:pBdr>
      <w:snapToGrid w:val="0"/>
      <w:jc w:val="center"/>
    </w:pPr>
    <w:rPr>
      <w:rFonts w:ascii="Calibri" w:hAnsi="Calibri" w:eastAsia="宋体" w:cs="Times New Roman"/>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10">
    <w:name w:val="10"/>
    <w:basedOn w:val="9"/>
    <w:qFormat/>
    <w:uiPriority w:val="0"/>
    <w:rPr>
      <w:rFonts w:hint="default" w:ascii="Times New Roman" w:hAnsi="Times New Roman" w:cs="Times New Roman"/>
    </w:rPr>
  </w:style>
  <w:style w:type="character" w:customStyle="1" w:styleId="11">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664</Words>
  <Characters>749</Characters>
  <Lines>5</Lines>
  <Paragraphs>1</Paragraphs>
  <TotalTime>42</TotalTime>
  <ScaleCrop>false</ScaleCrop>
  <LinksUpToDate>false</LinksUpToDate>
  <CharactersWithSpaces>844</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2022-05-25T14:56:00Z</dcterms:created>
  <dc:creator>nono</dc:creator>
  <cp:lastModifiedBy>user</cp:lastModifiedBy>
  <cp:lastPrinted>2023-09-26T17:51:00Z</cp:lastPrinted>
  <dcterms:modified xsi:type="dcterms:W3CDTF">2024-01-26T15:16:27Z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DA008C0349A54B4D88EB04FB6367035E_13</vt:lpwstr>
  </property>
</Properties>
</file>