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jc w:val="center"/>
        <w:textAlignment w:val="auto"/>
        <w:rPr>
          <w:rFonts w:ascii="黑体" w:hAnsi="黑体" w:eastAsia="黑体"/>
          <w:b/>
          <w:color w:val="000000" w:themeColor="text1"/>
          <w:sz w:val="44"/>
          <w:szCs w:val="44"/>
          <w14:textFill>
            <w14:solidFill>
              <w14:schemeClr w14:val="tx1"/>
            </w14:solidFill>
          </w14:textFill>
        </w:rPr>
      </w:pPr>
      <w:bookmarkStart w:id="35" w:name="_GoBack"/>
      <w:bookmarkEnd w:id="35"/>
    </w:p>
    <w:p>
      <w:pPr>
        <w:keepNext w:val="0"/>
        <w:keepLines w:val="0"/>
        <w:pageBreakBefore w:val="0"/>
        <w:widowControl w:val="0"/>
        <w:kinsoku/>
        <w:wordWrap/>
        <w:overflowPunct/>
        <w:topLinePunct w:val="0"/>
        <w:bidi w:val="0"/>
        <w:jc w:val="center"/>
        <w:textAlignment w:val="auto"/>
        <w:rPr>
          <w:rFonts w:ascii="黑体" w:hAnsi="黑体" w:eastAsia="黑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bidi w:val="0"/>
        <w:jc w:val="center"/>
        <w:textAlignment w:val="auto"/>
        <w:rPr>
          <w:rFonts w:ascii="黑体" w:hAnsi="黑体" w:eastAsia="黑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bidi w:val="0"/>
        <w:jc w:val="center"/>
        <w:textAlignment w:val="auto"/>
        <w:rPr>
          <w:rFonts w:hint="eastAsia" w:ascii="方正小标宋_GBK" w:hAnsi="方正小标宋_GBK" w:eastAsia="方正小标宋_GBK" w:cs="方正小标宋_GBK"/>
          <w:b w:val="0"/>
          <w:bCs/>
          <w:color w:val="000000" w:themeColor="text1"/>
          <w:sz w:val="52"/>
          <w:szCs w:val="52"/>
          <w14:textFill>
            <w14:solidFill>
              <w14:schemeClr w14:val="tx1"/>
            </w14:solidFill>
          </w14:textFill>
        </w:rPr>
      </w:pPr>
      <w:r>
        <w:rPr>
          <w:rFonts w:hint="eastAsia" w:ascii="方正小标宋_GBK" w:hAnsi="方正小标宋_GBK" w:eastAsia="方正小标宋_GBK" w:cs="方正小标宋_GBK"/>
          <w:b w:val="0"/>
          <w:bCs/>
          <w:color w:val="000000" w:themeColor="text1"/>
          <w:sz w:val="52"/>
          <w:szCs w:val="52"/>
          <w14:textFill>
            <w14:solidFill>
              <w14:schemeClr w14:val="tx1"/>
            </w14:solidFill>
          </w14:textFill>
        </w:rPr>
        <w:t>玉溪市</w:t>
      </w:r>
      <w:r>
        <w:rPr>
          <w:rFonts w:hint="eastAsia" w:ascii="方正仿宋_GBK" w:hAnsi="方正仿宋_GBK" w:eastAsia="方正仿宋_GBK" w:cs="方正仿宋_GBK"/>
          <w:b w:val="0"/>
          <w:bCs/>
          <w:color w:val="000000" w:themeColor="text1"/>
          <w:sz w:val="52"/>
          <w:szCs w:val="52"/>
          <w:lang w:eastAsia="zh-CN"/>
          <w14:textFill>
            <w14:solidFill>
              <w14:schemeClr w14:val="tx1"/>
            </w14:solidFill>
          </w14:textFill>
        </w:rPr>
        <w:t>“</w:t>
      </w:r>
      <w:r>
        <w:rPr>
          <w:rFonts w:hint="eastAsia" w:ascii="方正小标宋_GBK" w:hAnsi="方正小标宋_GBK" w:eastAsia="方正小标宋_GBK" w:cs="方正小标宋_GBK"/>
          <w:b w:val="0"/>
          <w:bCs/>
          <w:color w:val="000000" w:themeColor="text1"/>
          <w:sz w:val="52"/>
          <w:szCs w:val="52"/>
          <w:lang w:eastAsia="zh-CN"/>
          <w14:textFill>
            <w14:solidFill>
              <w14:schemeClr w14:val="tx1"/>
            </w14:solidFill>
          </w14:textFill>
        </w:rPr>
        <w:t>十四五</w:t>
      </w:r>
      <w:r>
        <w:rPr>
          <w:rFonts w:hint="eastAsia" w:ascii="方正仿宋_GBK" w:hAnsi="方正仿宋_GBK" w:eastAsia="方正仿宋_GBK" w:cs="方正仿宋_GBK"/>
          <w:b w:val="0"/>
          <w:bCs/>
          <w:color w:val="000000" w:themeColor="text1"/>
          <w:sz w:val="52"/>
          <w:szCs w:val="52"/>
          <w:lang w:eastAsia="zh-CN"/>
          <w14:textFill>
            <w14:solidFill>
              <w14:schemeClr w14:val="tx1"/>
            </w14:solidFill>
          </w14:textFill>
        </w:rPr>
        <w:t>”</w:t>
      </w:r>
      <w:r>
        <w:rPr>
          <w:rFonts w:hint="eastAsia" w:ascii="方正小标宋_GBK" w:hAnsi="方正小标宋_GBK" w:eastAsia="方正小标宋_GBK" w:cs="方正小标宋_GBK"/>
          <w:b w:val="0"/>
          <w:bCs/>
          <w:color w:val="000000" w:themeColor="text1"/>
          <w:sz w:val="52"/>
          <w:szCs w:val="52"/>
          <w:lang w:eastAsia="zh-CN"/>
          <w14:textFill>
            <w14:solidFill>
              <w14:schemeClr w14:val="tx1"/>
            </w14:solidFill>
          </w14:textFill>
        </w:rPr>
        <w:t>蔬菜</w:t>
      </w:r>
      <w:r>
        <w:rPr>
          <w:rFonts w:hint="eastAsia" w:ascii="方正小标宋_GBK" w:hAnsi="方正小标宋_GBK" w:eastAsia="方正小标宋_GBK" w:cs="方正小标宋_GBK"/>
          <w:b w:val="0"/>
          <w:bCs/>
          <w:color w:val="000000" w:themeColor="text1"/>
          <w:sz w:val="52"/>
          <w:szCs w:val="52"/>
          <w14:textFill>
            <w14:solidFill>
              <w14:schemeClr w14:val="tx1"/>
            </w14:solidFill>
          </w14:textFill>
        </w:rPr>
        <w:t>产业发展规划</w:t>
      </w:r>
    </w:p>
    <w:p>
      <w:pPr>
        <w:keepNext w:val="0"/>
        <w:keepLines w:val="0"/>
        <w:pageBreakBefore w:val="0"/>
        <w:widowControl w:val="0"/>
        <w:kinsoku/>
        <w:wordWrap/>
        <w:overflowPunct/>
        <w:topLinePunct w:val="0"/>
        <w:bidi w:val="0"/>
        <w:jc w:val="center"/>
        <w:textAlignment w:val="auto"/>
        <w:rPr>
          <w:rFonts w:ascii="黑体" w:hAnsi="黑体" w:eastAsia="黑体"/>
          <w:b/>
          <w:color w:val="000000" w:themeColor="text1"/>
          <w:sz w:val="44"/>
          <w:szCs w:val="44"/>
          <w14:textFill>
            <w14:solidFill>
              <w14:schemeClr w14:val="tx1"/>
            </w14:solidFill>
          </w14:textFill>
        </w:rPr>
      </w:pPr>
    </w:p>
    <w:p>
      <w:pPr>
        <w:keepNext w:val="0"/>
        <w:keepLines w:val="0"/>
        <w:pageBreakBefore w:val="0"/>
        <w:widowControl w:val="0"/>
        <w:tabs>
          <w:tab w:val="center" w:pos="4213"/>
          <w:tab w:val="right" w:pos="8306"/>
        </w:tabs>
        <w:kinsoku/>
        <w:wordWrap/>
        <w:overflowPunct/>
        <w:topLinePunct w:val="0"/>
        <w:bidi w:val="0"/>
        <w:jc w:val="center"/>
        <w:textAlignment w:val="auto"/>
        <w:rPr>
          <w:rFonts w:hint="eastAsia" w:ascii="Times New Roman" w:hAnsi="Times New Roman" w:eastAsia="方正仿宋_GBK" w:cs="Times New Roman"/>
          <w:color w:val="000000" w:themeColor="text1"/>
          <w:sz w:val="44"/>
          <w:szCs w:val="44"/>
          <w:lang w:eastAsia="zh-CN"/>
          <w14:textFill>
            <w14:solidFill>
              <w14:schemeClr w14:val="tx1"/>
            </w14:solidFill>
          </w14:textFill>
        </w:rPr>
      </w:pPr>
      <w:r>
        <w:rPr>
          <w:rFonts w:hint="default" w:ascii="Times New Roman" w:hAnsi="Times New Roman" w:eastAsia="方正仿宋_GBK" w:cs="Times New Roman"/>
          <w:color w:val="000000" w:themeColor="text1"/>
          <w:sz w:val="44"/>
          <w:szCs w:val="44"/>
          <w14:textFill>
            <w14:solidFill>
              <w14:schemeClr w14:val="tx1"/>
            </w14:solidFill>
          </w14:textFill>
        </w:rPr>
        <w:t>（20</w:t>
      </w:r>
      <w:r>
        <w:rPr>
          <w:rFonts w:hint="default" w:ascii="Times New Roman" w:hAnsi="Times New Roman" w:eastAsia="方正仿宋_GBK" w:cs="Times New Roman"/>
          <w:color w:val="000000" w:themeColor="text1"/>
          <w:sz w:val="44"/>
          <w:szCs w:val="44"/>
          <w:lang w:val="en-US" w:eastAsia="zh-CN"/>
          <w14:textFill>
            <w14:solidFill>
              <w14:schemeClr w14:val="tx1"/>
            </w14:solidFill>
          </w14:textFill>
        </w:rPr>
        <w:t>21</w:t>
      </w:r>
      <w:r>
        <w:rPr>
          <w:rFonts w:hint="default" w:ascii="Times New Roman" w:hAnsi="Times New Roman" w:eastAsia="方正仿宋_GBK" w:cs="Times New Roman"/>
          <w:color w:val="000000" w:themeColor="text1"/>
          <w:sz w:val="44"/>
          <w:szCs w:val="44"/>
          <w:lang w:eastAsia="zh-CN"/>
          <w14:textFill>
            <w14:solidFill>
              <w14:schemeClr w14:val="tx1"/>
            </w14:solidFill>
          </w14:textFill>
        </w:rPr>
        <w:t>—</w:t>
      </w:r>
      <w:r>
        <w:rPr>
          <w:rFonts w:hint="default" w:ascii="Times New Roman" w:hAnsi="Times New Roman" w:eastAsia="方正仿宋_GBK" w:cs="Times New Roman"/>
          <w:color w:val="000000" w:themeColor="text1"/>
          <w:sz w:val="44"/>
          <w:szCs w:val="44"/>
          <w14:textFill>
            <w14:solidFill>
              <w14:schemeClr w14:val="tx1"/>
            </w14:solidFill>
          </w14:textFill>
        </w:rPr>
        <w:t>2025年）</w:t>
      </w:r>
    </w:p>
    <w:p>
      <w:pPr>
        <w:keepNext w:val="0"/>
        <w:keepLines w:val="0"/>
        <w:pageBreakBefore w:val="0"/>
        <w:widowControl w:val="0"/>
        <w:kinsoku/>
        <w:wordWrap/>
        <w:overflowPunct/>
        <w:topLinePunct w:val="0"/>
        <w:bidi w:val="0"/>
        <w:jc w:val="center"/>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玉溪市农业</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农村</w:t>
      </w:r>
      <w:r>
        <w:rPr>
          <w:rFonts w:hint="default" w:ascii="Times New Roman" w:hAnsi="Times New Roman" w:eastAsia="方正仿宋_GBK" w:cs="Times New Roman"/>
          <w:color w:val="000000" w:themeColor="text1"/>
          <w:sz w:val="32"/>
          <w:szCs w:val="32"/>
          <w14:textFill>
            <w14:solidFill>
              <w14:schemeClr w14:val="tx1"/>
            </w14:solidFill>
          </w14:textFill>
        </w:rPr>
        <w:t>局</w:t>
      </w:r>
    </w:p>
    <w:p>
      <w:pPr>
        <w:keepNext w:val="0"/>
        <w:keepLines w:val="0"/>
        <w:pageBreakBefore w:val="0"/>
        <w:widowControl w:val="0"/>
        <w:kinsoku/>
        <w:wordWrap/>
        <w:overflowPunct/>
        <w:topLinePunct w:val="0"/>
        <w:bidi w:val="0"/>
        <w:jc w:val="center"/>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月</w:t>
      </w:r>
      <w:bookmarkStart w:id="0" w:name="page4"/>
      <w:bookmarkEnd w:id="0"/>
    </w:p>
    <w:p>
      <w:pPr>
        <w:keepNext w:val="0"/>
        <w:keepLines w:val="0"/>
        <w:pageBreakBefore w:val="0"/>
        <w:widowControl w:val="0"/>
        <w:kinsoku/>
        <w:wordWrap/>
        <w:overflowPunct/>
        <w:topLinePunct w:val="0"/>
        <w:bidi w:val="0"/>
        <w:jc w:val="center"/>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jc w:val="center"/>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p>
    <w:p>
      <w:pPr>
        <w:rPr>
          <w:rFonts w:hint="default" w:ascii="Times New Roman" w:hAnsi="Times New Roman" w:eastAsia="方正仿宋_GBK" w:cs="Times New Roman"/>
          <w:color w:val="000000" w:themeColor="text1"/>
          <w:sz w:val="32"/>
          <w:szCs w:val="32"/>
          <w:lang w:eastAsia="zh-CN"/>
          <w14:textFill>
            <w14:solidFill>
              <w14:schemeClr w14:val="tx1"/>
            </w14:solidFill>
          </w14:textFill>
        </w:rPr>
        <w:sectPr>
          <w:footerReference r:id="rId3" w:type="default"/>
          <w:footerReference r:id="rId4" w:type="even"/>
          <w:pgSz w:w="11906" w:h="16838"/>
          <w:pgMar w:top="2041" w:right="1474" w:bottom="1304" w:left="1587" w:header="1361" w:footer="850" w:gutter="0"/>
          <w:pgNumType w:fmt="decimal"/>
          <w:cols w:space="0" w:num="1"/>
          <w:rtlGutter w:val="0"/>
          <w:docGrid w:type="lines" w:linePitch="312" w:charSpace="0"/>
        </w:sect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br w:type="page"/>
      </w:r>
    </w:p>
    <w:sdt>
      <w:sdtPr>
        <w:rPr>
          <w:rFonts w:ascii="宋体" w:hAnsi="宋体" w:eastAsia="宋体" w:cstheme="minorBidi"/>
          <w:kern w:val="2"/>
          <w:sz w:val="21"/>
          <w:szCs w:val="22"/>
          <w:lang w:val="en-US" w:eastAsia="zh-CN" w:bidi="ar-SA"/>
        </w:rPr>
        <w:id w:val="147457110"/>
        <w15:color w:val="DBDBDB"/>
        <w:docPartObj>
          <w:docPartGallery w:val="Table of Contents"/>
          <w:docPartUnique/>
        </w:docPartObj>
      </w:sdtPr>
      <w:sdtEndPr>
        <w:rPr>
          <w:rFonts w:hint="eastAsia" w:ascii="宋体" w:hAnsi="宋体" w:eastAsia="宋体" w:cs="宋体"/>
          <w:b/>
          <w:kern w:val="2"/>
          <w:sz w:val="24"/>
          <w:szCs w:val="2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目录</w:t>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TOC \o "1-2" \h \u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_Toc31631 </w:instrText>
          </w:r>
          <w:r>
            <w:rPr>
              <w:rFonts w:hint="default" w:ascii="Times New Roman" w:hAnsi="Times New Roman" w:eastAsia="宋体" w:cs="Times New Roman"/>
              <w:sz w:val="28"/>
              <w:szCs w:val="28"/>
            </w:rPr>
            <w:fldChar w:fldCharType="separate"/>
          </w:r>
          <w:r>
            <w:rPr>
              <w:rFonts w:hint="default" w:ascii="Times New Roman" w:hAnsi="Times New Roman" w:eastAsia="方正小标宋_GBK" w:cs="Times New Roman"/>
              <w:bCs/>
              <w:sz w:val="28"/>
              <w:szCs w:val="28"/>
            </w:rPr>
            <w:t>前</w:t>
          </w:r>
          <w:r>
            <w:rPr>
              <w:rFonts w:hint="default" w:ascii="Times New Roman" w:hAnsi="Times New Roman" w:eastAsia="方正小标宋_GBK" w:cs="Times New Roman"/>
              <w:bCs/>
              <w:sz w:val="28"/>
              <w:szCs w:val="28"/>
              <w:lang w:val="en-US" w:eastAsia="zh-CN"/>
            </w:rPr>
            <w:t xml:space="preserve">  </w:t>
          </w:r>
          <w:r>
            <w:rPr>
              <w:rFonts w:hint="default" w:ascii="Times New Roman" w:hAnsi="Times New Roman" w:eastAsia="方正小标宋_GBK" w:cs="Times New Roman"/>
              <w:bCs/>
              <w:sz w:val="28"/>
              <w:szCs w:val="28"/>
            </w:rPr>
            <w:t>言</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_Toc31631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_Toc9646 </w:instrText>
          </w:r>
          <w:r>
            <w:rPr>
              <w:rFonts w:hint="default" w:ascii="Times New Roman" w:hAnsi="Times New Roman" w:eastAsia="宋体" w:cs="Times New Roman"/>
              <w:sz w:val="28"/>
              <w:szCs w:val="28"/>
            </w:rPr>
            <w:fldChar w:fldCharType="separate"/>
          </w:r>
          <w:r>
            <w:rPr>
              <w:rFonts w:hint="default" w:ascii="Times New Roman" w:hAnsi="Times New Roman" w:eastAsia="方正小标宋_GBK" w:cs="Times New Roman"/>
              <w:bCs/>
              <w:sz w:val="28"/>
              <w:szCs w:val="28"/>
              <w:lang w:eastAsia="zh-CN"/>
            </w:rPr>
            <w:t>第一章</w:t>
          </w:r>
          <w:r>
            <w:rPr>
              <w:rFonts w:hint="default" w:ascii="Times New Roman" w:hAnsi="Times New Roman" w:eastAsia="方正小标宋_GBK" w:cs="Times New Roman"/>
              <w:bCs/>
              <w:sz w:val="28"/>
              <w:szCs w:val="28"/>
              <w:lang w:val="en-US" w:eastAsia="zh-CN"/>
            </w:rPr>
            <w:t xml:space="preserve">  蔬菜产业</w:t>
          </w:r>
          <w:r>
            <w:rPr>
              <w:rFonts w:hint="default" w:ascii="Times New Roman" w:hAnsi="Times New Roman" w:eastAsia="方正小标宋_GBK" w:cs="Times New Roman"/>
              <w:bCs/>
              <w:sz w:val="28"/>
              <w:szCs w:val="28"/>
              <w:lang w:eastAsia="zh-CN"/>
            </w:rPr>
            <w:t>发展现状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_Toc9646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HYPERLINK \l _Toc17626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val="0"/>
              <w:sz w:val="28"/>
              <w:szCs w:val="28"/>
              <w:lang w:val="en-US" w:eastAsia="zh-CN"/>
            </w:rPr>
            <w:t>一、基本情况</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_Toc17626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3</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HYPERLINK \l _Toc14639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lang w:eastAsia="zh-CN"/>
            </w:rPr>
            <w:t>二、</w:t>
          </w:r>
          <w:r>
            <w:rPr>
              <w:rFonts w:hint="default" w:ascii="Times New Roman" w:hAnsi="Times New Roman" w:eastAsia="方正楷体_GBK" w:cs="Times New Roman"/>
              <w:sz w:val="28"/>
              <w:szCs w:val="28"/>
            </w:rPr>
            <w:t>存在问题</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_Toc14639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5</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sz w:val="28"/>
              <w:szCs w:val="28"/>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_Toc10071 </w:instrText>
          </w:r>
          <w:r>
            <w:rPr>
              <w:rFonts w:hint="default" w:ascii="Times New Roman" w:hAnsi="Times New Roman" w:eastAsia="宋体" w:cs="Times New Roman"/>
              <w:sz w:val="28"/>
              <w:szCs w:val="28"/>
            </w:rPr>
            <w:fldChar w:fldCharType="separate"/>
          </w:r>
          <w:r>
            <w:rPr>
              <w:rFonts w:hint="default" w:ascii="Times New Roman" w:hAnsi="Times New Roman" w:eastAsia="方正小标宋_GBK" w:cs="Times New Roman"/>
              <w:sz w:val="28"/>
              <w:szCs w:val="28"/>
            </w:rPr>
            <w:t>第二章</w:t>
          </w:r>
          <w:r>
            <w:rPr>
              <w:rFonts w:hint="default" w:ascii="Times New Roman" w:hAnsi="Times New Roman" w:eastAsia="方正小标宋_GBK" w:cs="Times New Roman"/>
              <w:sz w:val="28"/>
              <w:szCs w:val="28"/>
              <w:lang w:val="en-US" w:eastAsia="zh-CN"/>
            </w:rPr>
            <w:t xml:space="preserve">  </w:t>
          </w:r>
          <w:r>
            <w:rPr>
              <w:rFonts w:hint="default" w:ascii="Times New Roman" w:hAnsi="Times New Roman" w:eastAsia="方正小标宋_GBK" w:cs="Times New Roman"/>
              <w:sz w:val="28"/>
              <w:szCs w:val="28"/>
            </w:rPr>
            <w:t>总体要求</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_Toc10071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HYPERLINK \l _Toc31065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lang w:eastAsia="zh-CN"/>
            </w:rPr>
            <w:t>一、</w:t>
          </w:r>
          <w:r>
            <w:rPr>
              <w:rFonts w:hint="default" w:ascii="Times New Roman" w:hAnsi="Times New Roman" w:eastAsia="方正楷体_GBK" w:cs="Times New Roman"/>
              <w:sz w:val="28"/>
              <w:szCs w:val="28"/>
            </w:rPr>
            <w:t>指导思想</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_Toc31065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8</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HYPERLINK \l _Toc29711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lang w:eastAsia="zh-CN"/>
            </w:rPr>
            <w:t>四、</w:t>
          </w:r>
          <w:r>
            <w:rPr>
              <w:rFonts w:hint="default" w:ascii="Times New Roman" w:hAnsi="Times New Roman" w:eastAsia="方正楷体_GBK" w:cs="Times New Roman"/>
              <w:sz w:val="28"/>
              <w:szCs w:val="28"/>
              <w:lang w:val="en-US" w:eastAsia="zh-CN"/>
            </w:rPr>
            <w:t>产业布局</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_Toc29711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11</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sz w:val="28"/>
              <w:szCs w:val="28"/>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_Toc7977 </w:instrText>
          </w:r>
          <w:r>
            <w:rPr>
              <w:rFonts w:hint="default" w:ascii="Times New Roman" w:hAnsi="Times New Roman" w:eastAsia="宋体" w:cs="Times New Roman"/>
              <w:sz w:val="28"/>
              <w:szCs w:val="28"/>
            </w:rPr>
            <w:fldChar w:fldCharType="separate"/>
          </w:r>
          <w:r>
            <w:rPr>
              <w:rFonts w:hint="default" w:ascii="Times New Roman" w:hAnsi="Times New Roman" w:eastAsia="方正小标宋_GBK" w:cs="Times New Roman"/>
              <w:bCs/>
              <w:sz w:val="28"/>
              <w:szCs w:val="28"/>
            </w:rPr>
            <w:t>第</w:t>
          </w:r>
          <w:r>
            <w:rPr>
              <w:rFonts w:hint="default" w:ascii="Times New Roman" w:hAnsi="Times New Roman" w:eastAsia="方正小标宋_GBK" w:cs="Times New Roman"/>
              <w:bCs/>
              <w:sz w:val="28"/>
              <w:szCs w:val="28"/>
              <w:lang w:eastAsia="zh-CN"/>
            </w:rPr>
            <w:t>三</w:t>
          </w:r>
          <w:r>
            <w:rPr>
              <w:rFonts w:hint="default" w:ascii="Times New Roman" w:hAnsi="Times New Roman" w:eastAsia="方正小标宋_GBK" w:cs="Times New Roman"/>
              <w:bCs/>
              <w:sz w:val="28"/>
              <w:szCs w:val="28"/>
            </w:rPr>
            <w:t>章</w:t>
          </w:r>
          <w:r>
            <w:rPr>
              <w:rFonts w:hint="default" w:ascii="Times New Roman" w:hAnsi="Times New Roman" w:eastAsia="方正小标宋_GBK" w:cs="Times New Roman"/>
              <w:bCs/>
              <w:sz w:val="28"/>
              <w:szCs w:val="28"/>
              <w:lang w:val="en-US" w:eastAsia="zh-CN"/>
            </w:rPr>
            <w:t xml:space="preserve">  </w:t>
          </w:r>
          <w:r>
            <w:rPr>
              <w:rFonts w:hint="default" w:ascii="Times New Roman" w:hAnsi="Times New Roman" w:eastAsia="方正小标宋_GBK" w:cs="Times New Roman"/>
              <w:bCs/>
              <w:sz w:val="28"/>
              <w:szCs w:val="28"/>
            </w:rPr>
            <w:t>重点工程任务</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_Toc7977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HYPERLINK \l _Toc17372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sz w:val="28"/>
              <w:szCs w:val="28"/>
              <w:lang w:val="en-US" w:eastAsia="zh-CN"/>
            </w:rPr>
            <w:t>一、产业</w:t>
          </w:r>
          <w:r>
            <w:rPr>
              <w:rFonts w:hint="default" w:ascii="Times New Roman" w:hAnsi="Times New Roman" w:eastAsia="方正楷体_GBK" w:cs="Times New Roman"/>
              <w:bCs/>
              <w:sz w:val="28"/>
              <w:szCs w:val="28"/>
            </w:rPr>
            <w:t>基地转型升级建设工程</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_Toc17372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16</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HYPERLINK \l _Toc15535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lang w:eastAsia="zh-CN"/>
            </w:rPr>
            <w:t>二、市场流通建设工程</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_Toc15535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17</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HYPERLINK \l _Toc21155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sz w:val="28"/>
              <w:szCs w:val="28"/>
              <w:lang w:eastAsia="zh-CN"/>
            </w:rPr>
            <w:t>三、产品加工提升建设</w:t>
          </w:r>
          <w:r>
            <w:rPr>
              <w:rFonts w:hint="default" w:ascii="Times New Roman" w:hAnsi="Times New Roman" w:eastAsia="方正楷体_GBK" w:cs="Times New Roman"/>
              <w:bCs/>
              <w:sz w:val="28"/>
              <w:szCs w:val="28"/>
            </w:rPr>
            <w:t>工程</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_Toc21155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18</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HYPERLINK \l _Toc12271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sz w:val="28"/>
              <w:szCs w:val="28"/>
              <w:lang w:eastAsia="zh-CN"/>
            </w:rPr>
            <w:t>四、农业科技创新工程</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_Toc12271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19</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HYPERLINK \l _Toc6467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sz w:val="28"/>
              <w:szCs w:val="28"/>
              <w:lang w:val="en-US" w:eastAsia="zh-CN"/>
            </w:rPr>
            <w:t>五、田园综合体建设工程</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_Toc6467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20</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HYPERLINK \l _Toc32142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sz w:val="28"/>
              <w:szCs w:val="28"/>
              <w:lang w:val="en-US" w:eastAsia="zh-CN"/>
            </w:rPr>
            <w:t>六、乡村振兴示范建设工程</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_Toc32142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20</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HYPERLINK \l _Toc17414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sz w:val="28"/>
              <w:szCs w:val="28"/>
              <w:lang w:val="en-US" w:eastAsia="zh-CN"/>
            </w:rPr>
            <w:t>七、智慧农业和数字乡村建设工程</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_Toc17414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21</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HYPERLINK \l _Toc23041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sz w:val="28"/>
              <w:szCs w:val="28"/>
              <w:lang w:eastAsia="zh-CN"/>
            </w:rPr>
            <w:t>八、</w:t>
          </w:r>
          <w:r>
            <w:rPr>
              <w:rFonts w:hint="default" w:ascii="Times New Roman" w:hAnsi="Times New Roman" w:eastAsia="方正楷体_GBK" w:cs="Times New Roman"/>
              <w:bCs/>
              <w:sz w:val="28"/>
              <w:szCs w:val="28"/>
            </w:rPr>
            <w:t>质量安全建设工程</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_Toc23041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21</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HYPERLINK \l _Toc20892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sz w:val="28"/>
              <w:szCs w:val="28"/>
              <w:lang w:val="en-US" w:eastAsia="zh-CN"/>
            </w:rPr>
            <w:t>九、</w:t>
          </w:r>
          <w:r>
            <w:rPr>
              <w:rFonts w:hint="default" w:ascii="Times New Roman" w:hAnsi="Times New Roman" w:eastAsia="方正楷体_GBK" w:cs="Times New Roman"/>
              <w:bCs/>
              <w:sz w:val="28"/>
              <w:szCs w:val="28"/>
            </w:rPr>
            <w:t>精品名牌建设工程</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_Toc20892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22</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HYPERLINK \l _Toc7449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sz w:val="28"/>
              <w:szCs w:val="28"/>
              <w:lang w:val="en-US" w:eastAsia="zh-CN"/>
            </w:rPr>
            <w:t>十、</w:t>
          </w:r>
          <w:r>
            <w:rPr>
              <w:rFonts w:hint="default" w:ascii="Times New Roman" w:hAnsi="Times New Roman" w:eastAsia="方正楷体_GBK" w:cs="Times New Roman"/>
              <w:bCs/>
              <w:sz w:val="28"/>
              <w:szCs w:val="28"/>
            </w:rPr>
            <w:t>异地蔬菜生产基地开发工程</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_Toc7449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22</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sz w:val="28"/>
              <w:szCs w:val="28"/>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_Toc18149 </w:instrText>
          </w:r>
          <w:r>
            <w:rPr>
              <w:rFonts w:hint="default" w:ascii="Times New Roman" w:hAnsi="Times New Roman" w:eastAsia="宋体" w:cs="Times New Roman"/>
              <w:sz w:val="28"/>
              <w:szCs w:val="28"/>
            </w:rPr>
            <w:fldChar w:fldCharType="separate"/>
          </w:r>
          <w:r>
            <w:rPr>
              <w:rFonts w:hint="default" w:ascii="Times New Roman" w:hAnsi="Times New Roman" w:eastAsia="方正小标宋_GBK" w:cs="Times New Roman"/>
              <w:bCs/>
              <w:sz w:val="28"/>
              <w:szCs w:val="28"/>
            </w:rPr>
            <w:t>第</w:t>
          </w:r>
          <w:r>
            <w:rPr>
              <w:rFonts w:hint="default" w:ascii="Times New Roman" w:hAnsi="Times New Roman" w:eastAsia="方正小标宋_GBK" w:cs="Times New Roman"/>
              <w:bCs/>
              <w:sz w:val="28"/>
              <w:szCs w:val="28"/>
              <w:lang w:eastAsia="zh-CN"/>
            </w:rPr>
            <w:t>四</w:t>
          </w:r>
          <w:r>
            <w:rPr>
              <w:rFonts w:hint="default" w:ascii="Times New Roman" w:hAnsi="Times New Roman" w:eastAsia="方正小标宋_GBK" w:cs="Times New Roman"/>
              <w:bCs/>
              <w:sz w:val="28"/>
              <w:szCs w:val="28"/>
            </w:rPr>
            <w:t>章</w:t>
          </w:r>
          <w:r>
            <w:rPr>
              <w:rFonts w:hint="default" w:ascii="Times New Roman" w:hAnsi="Times New Roman" w:eastAsia="方正小标宋_GBK" w:cs="Times New Roman"/>
              <w:bCs/>
              <w:sz w:val="28"/>
              <w:szCs w:val="28"/>
              <w:lang w:val="en-US" w:eastAsia="zh-CN"/>
            </w:rPr>
            <w:t xml:space="preserve">  </w:t>
          </w:r>
          <w:r>
            <w:rPr>
              <w:rFonts w:hint="default" w:ascii="Times New Roman" w:hAnsi="Times New Roman" w:eastAsia="方正小标宋_GBK" w:cs="Times New Roman"/>
              <w:bCs/>
              <w:sz w:val="28"/>
              <w:szCs w:val="28"/>
            </w:rPr>
            <w:t>保障措施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_Toc18149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23</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HYPERLINK \l _Toc31529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sz w:val="28"/>
              <w:szCs w:val="28"/>
              <w:lang w:val="en-US" w:eastAsia="zh-CN"/>
            </w:rPr>
            <w:t>一、</w:t>
          </w:r>
          <w:r>
            <w:rPr>
              <w:rFonts w:hint="default" w:ascii="Times New Roman" w:hAnsi="Times New Roman" w:eastAsia="方正楷体_GBK" w:cs="Times New Roman"/>
              <w:bCs/>
              <w:sz w:val="28"/>
              <w:szCs w:val="28"/>
            </w:rPr>
            <w:t>加强组织领导，争取政策扶持</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_Toc31529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23</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HYPERLINK \l _Toc1557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sz w:val="28"/>
              <w:szCs w:val="28"/>
              <w:lang w:val="en-US" w:eastAsia="zh-CN"/>
            </w:rPr>
            <w:t>二、</w:t>
          </w:r>
          <w:r>
            <w:rPr>
              <w:rFonts w:hint="default" w:ascii="Times New Roman" w:hAnsi="Times New Roman" w:eastAsia="方正楷体_GBK" w:cs="Times New Roman"/>
              <w:bCs/>
              <w:sz w:val="28"/>
              <w:szCs w:val="28"/>
            </w:rPr>
            <w:t>加大资金筹措力度，严格资金管理</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_Toc1557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23</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HYPERLINK \l _Toc30742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sz w:val="28"/>
              <w:szCs w:val="28"/>
              <w:lang w:val="en-US" w:eastAsia="zh-CN"/>
            </w:rPr>
            <w:t>三、</w:t>
          </w:r>
          <w:r>
            <w:rPr>
              <w:rFonts w:hint="default" w:ascii="Times New Roman" w:hAnsi="Times New Roman" w:eastAsia="方正楷体_GBK" w:cs="Times New Roman"/>
              <w:bCs/>
              <w:sz w:val="28"/>
              <w:szCs w:val="28"/>
            </w:rPr>
            <w:t>加强蔬菜营销服务，做好产销衔接</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_Toc30742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23</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HYPERLINK \l _Toc3067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sz w:val="28"/>
              <w:szCs w:val="28"/>
              <w:lang w:val="en-US" w:eastAsia="zh-CN"/>
            </w:rPr>
            <w:t>四、</w:t>
          </w:r>
          <w:r>
            <w:rPr>
              <w:rFonts w:hint="default" w:ascii="Times New Roman" w:hAnsi="Times New Roman" w:eastAsia="方正楷体_GBK" w:cs="Times New Roman"/>
              <w:bCs/>
              <w:sz w:val="28"/>
              <w:szCs w:val="28"/>
            </w:rPr>
            <w:t>加强质量安全监管，提高检测能力</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_Toc3067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24</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HYPERLINK \l _Toc27652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sz w:val="28"/>
              <w:szCs w:val="28"/>
              <w:lang w:val="en-US" w:eastAsia="zh-CN"/>
            </w:rPr>
            <w:t>五、</w:t>
          </w:r>
          <w:r>
            <w:rPr>
              <w:rFonts w:hint="default" w:ascii="Times New Roman" w:hAnsi="Times New Roman" w:eastAsia="方正楷体_GBK" w:cs="Times New Roman"/>
              <w:bCs/>
              <w:sz w:val="28"/>
              <w:szCs w:val="28"/>
            </w:rPr>
            <w:t>建设蔬菜产业平台，提高服务能力</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_Toc27652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24</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sz w:val="28"/>
              <w:szCs w:val="28"/>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HYPERLINK \l _Toc11373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bCs/>
              <w:sz w:val="28"/>
              <w:szCs w:val="28"/>
              <w:lang w:val="en-US" w:eastAsia="zh-CN"/>
            </w:rPr>
            <w:t>六、</w:t>
          </w:r>
          <w:r>
            <w:rPr>
              <w:rFonts w:hint="default" w:ascii="Times New Roman" w:hAnsi="Times New Roman" w:eastAsia="方正楷体_GBK" w:cs="Times New Roman"/>
              <w:bCs/>
              <w:sz w:val="28"/>
              <w:szCs w:val="28"/>
            </w:rPr>
            <w:t>完善蔬菜信息网络，建立预警机制</w:t>
          </w:r>
          <w:r>
            <w:rPr>
              <w:rFonts w:hint="default" w:ascii="Times New Roman" w:hAnsi="Times New Roman" w:eastAsia="方正楷体_GBK" w:cs="Times New Roman"/>
              <w:sz w:val="28"/>
              <w:szCs w:val="28"/>
            </w:rPr>
            <w:tab/>
          </w:r>
          <w:r>
            <w:rPr>
              <w:rFonts w:hint="default" w:ascii="Times New Roman" w:hAnsi="Times New Roman" w:eastAsia="方正楷体_GBK" w:cs="Times New Roman"/>
              <w:sz w:val="28"/>
              <w:szCs w:val="28"/>
            </w:rPr>
            <w:fldChar w:fldCharType="begin"/>
          </w:r>
          <w:r>
            <w:rPr>
              <w:rFonts w:hint="default" w:ascii="Times New Roman" w:hAnsi="Times New Roman" w:eastAsia="方正楷体_GBK" w:cs="Times New Roman"/>
              <w:sz w:val="28"/>
              <w:szCs w:val="28"/>
            </w:rPr>
            <w:instrText xml:space="preserve"> PAGEREF _Toc11373 \h </w:instrText>
          </w:r>
          <w:r>
            <w:rPr>
              <w:rFonts w:hint="default" w:ascii="Times New Roman" w:hAnsi="Times New Roman" w:eastAsia="方正楷体_GBK" w:cs="Times New Roman"/>
              <w:sz w:val="28"/>
              <w:szCs w:val="28"/>
            </w:rPr>
            <w:fldChar w:fldCharType="separate"/>
          </w:r>
          <w:r>
            <w:rPr>
              <w:rFonts w:hint="default" w:ascii="Times New Roman" w:hAnsi="Times New Roman" w:eastAsia="方正楷体_GBK" w:cs="Times New Roman"/>
              <w:sz w:val="28"/>
              <w:szCs w:val="28"/>
            </w:rPr>
            <w:t>24</w:t>
          </w:r>
          <w:r>
            <w:rPr>
              <w:rFonts w:hint="default" w:ascii="Times New Roman" w:hAnsi="Times New Roman" w:eastAsia="方正楷体_GBK" w:cs="Times New Roman"/>
              <w:sz w:val="28"/>
              <w:szCs w:val="28"/>
            </w:rPr>
            <w:fldChar w:fldCharType="end"/>
          </w:r>
          <w:r>
            <w:rPr>
              <w:rFonts w:hint="default" w:ascii="Times New Roman" w:hAnsi="Times New Roman" w:eastAsia="方正楷体_GBK" w:cs="Times New Roman"/>
              <w:sz w:val="28"/>
              <w:szCs w:val="28"/>
            </w:rPr>
            <w:fldChar w:fldCharType="end"/>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pPr>
          <w:r>
            <w:rPr>
              <w:rFonts w:hint="default" w:ascii="Times New Roman" w:hAnsi="Times New Roman" w:eastAsia="宋体" w:cs="Times New Roman"/>
              <w:sz w:val="28"/>
              <w:szCs w:val="28"/>
            </w:rPr>
            <w:fldChar w:fldCharType="end"/>
          </w:r>
        </w:p>
      </w:sdtContent>
    </w:sdt>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val="0"/>
          <w:bCs/>
          <w:color w:val="000000" w:themeColor="text1"/>
          <w:sz w:val="36"/>
          <w:szCs w:val="36"/>
          <w14:textFill>
            <w14:solidFill>
              <w14:schemeClr w14:val="tx1"/>
            </w14:solidFill>
          </w14:textFill>
        </w:rPr>
        <w:sectPr>
          <w:footerReference r:id="rId5" w:type="default"/>
          <w:footerReference r:id="rId6" w:type="even"/>
          <w:type w:val="oddPage"/>
          <w:pgSz w:w="11906" w:h="16838"/>
          <w:pgMar w:top="2041" w:right="1474" w:bottom="1304" w:left="1587" w:header="1361" w:footer="850" w:gutter="0"/>
          <w:pgNumType w:fmt="upperRoman"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val="0"/>
          <w:bCs/>
          <w:color w:val="000000" w:themeColor="text1"/>
          <w:sz w:val="36"/>
          <w:szCs w:val="36"/>
          <w14:textFill>
            <w14:solidFill>
              <w14:schemeClr w14:val="tx1"/>
            </w14:solidFill>
          </w14:textFill>
        </w:rPr>
      </w:pPr>
      <w:bookmarkStart w:id="1" w:name="_Toc31631"/>
      <w:r>
        <w:rPr>
          <w:rFonts w:hint="eastAsia" w:ascii="方正小标宋_GBK" w:hAnsi="方正小标宋_GBK" w:eastAsia="方正小标宋_GBK" w:cs="方正小标宋_GBK"/>
          <w:b w:val="0"/>
          <w:bCs/>
          <w:color w:val="000000" w:themeColor="text1"/>
          <w:sz w:val="36"/>
          <w:szCs w:val="36"/>
          <w14:textFill>
            <w14:solidFill>
              <w14:schemeClr w14:val="tx1"/>
            </w14:solidFill>
          </w14:textFill>
        </w:rPr>
        <w:t>前</w:t>
      </w:r>
      <w:r>
        <w:rPr>
          <w:rFonts w:hint="eastAsia" w:ascii="方正小标宋_GBK" w:hAnsi="方正小标宋_GBK" w:eastAsia="方正小标宋_GBK" w:cs="方正小标宋_GBK"/>
          <w:b w:val="0"/>
          <w:bCs/>
          <w:color w:val="000000" w:themeColor="text1"/>
          <w:sz w:val="36"/>
          <w:szCs w:val="36"/>
          <w:lang w:val="en-US" w:eastAsia="zh-CN"/>
          <w14:textFill>
            <w14:solidFill>
              <w14:schemeClr w14:val="tx1"/>
            </w14:solidFill>
          </w14:textFill>
        </w:rPr>
        <w:t xml:space="preserve">  </w:t>
      </w:r>
      <w:r>
        <w:rPr>
          <w:rFonts w:hint="eastAsia" w:ascii="方正小标宋_GBK" w:hAnsi="方正小标宋_GBK" w:eastAsia="方正小标宋_GBK" w:cs="方正小标宋_GBK"/>
          <w:b w:val="0"/>
          <w:bCs/>
          <w:color w:val="000000" w:themeColor="text1"/>
          <w:sz w:val="36"/>
          <w:szCs w:val="36"/>
          <w14:textFill>
            <w14:solidFill>
              <w14:schemeClr w14:val="tx1"/>
            </w14:solidFill>
          </w14:textFill>
        </w:rPr>
        <w:t>言</w:t>
      </w:r>
      <w:bookmarkEnd w:id="1"/>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方正仿宋_GBK" w:hAnsi="方正仿宋_GBK" w:eastAsia="方正仿宋_GBK" w:cs="方正仿宋_GBK"/>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方正仿宋_GBK" w:hAnsi="方正仿宋_GBK" w:eastAsia="方正仿宋_GBK" w:cs="方正仿宋_GBK"/>
          <w:b w:val="0"/>
          <w:bCs/>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14:textFill>
            <w14:solidFill>
              <w14:schemeClr w14:val="tx1"/>
            </w14:solidFill>
          </w14:textFill>
        </w:rPr>
        <w:t>蔬菜是城乡居民生活必不可少的重要农产品，保障蔬菜供给是重大的民生问题。“十三五”以来，玉溪市蔬菜产业发展迅速，在保障市场供应、增加农民收入、建设社会主义新农村、全面建设小康社会、提高城乡人民生活质量等方面发挥了重要作用。同时，必须看到，蔬菜产业发展还存在市场价格波动大、产品质量不稳定等突出问题。玉溪市委、市政府</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高度</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重视蔬菜产业发展，对加强蔬菜生产流通、保障市场供应等工作提出了一系列要求，同时要求制定全市蔬菜产业发展规划。</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14:textFill>
            <w14:solidFill>
              <w14:schemeClr w14:val="tx1"/>
            </w14:solidFill>
          </w14:textFill>
        </w:rPr>
        <w:t>玉溪市农业农村局</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抽调市农业技术推广站相关人员组成</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了规划编制工作小组。工作小组进行了大量调查研究，总结了我市蔬菜产业发展成就和经验，梳理和探寻了蔬菜产销存在的问题及原因，分析了未来五年对蔬菜产业发展的需求，研究提出了对策措施，并在反复论证的基础上，</w:t>
      </w:r>
      <w:r>
        <w:rPr>
          <w:rFonts w:hint="default" w:ascii="Times New Roman" w:hAnsi="Times New Roman" w:eastAsia="方正仿宋_GBK" w:cs="Times New Roman"/>
          <w:b w:val="0"/>
          <w:bCs/>
          <w:color w:val="000000" w:themeColor="text1"/>
          <w:sz w:val="32"/>
          <w:szCs w:val="32"/>
          <w14:textFill>
            <w14:solidFill>
              <w14:schemeClr w14:val="tx1"/>
            </w14:solidFill>
          </w14:textFill>
        </w:rPr>
        <w:t>编制了《玉溪市蔬菜产业发展规划（202</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1</w:t>
      </w:r>
      <w:r>
        <w:rPr>
          <w:rFonts w:hint="default" w:ascii="Times New Roman" w:hAnsi="Times New Roman" w:eastAsia="方正小标宋_GBK" w:cs="Times New Roman"/>
          <w:color w:val="000000"/>
          <w:sz w:val="32"/>
          <w:szCs w:val="32"/>
          <w:lang w:val="en-US" w:eastAsia="zh-CN"/>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2025年）》（以下简称《规划》）。</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方正仿宋_GBK" w:hAnsi="方正仿宋_GBK" w:eastAsia="方正仿宋_GBK" w:cs="方正仿宋_GBK"/>
          <w:b w:val="0"/>
          <w:bCs/>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14:textFill>
            <w14:solidFill>
              <w14:schemeClr w14:val="tx1"/>
            </w14:solidFill>
          </w14:textFill>
        </w:rPr>
        <w:t>《规划》编制和实施的目的是引导各种要素向优势区域集聚，</w:t>
      </w:r>
      <w:r>
        <w:rPr>
          <w:rFonts w:hint="default" w:ascii="Times New Roman" w:hAnsi="Times New Roman" w:eastAsia="方正仿宋_GBK" w:cs="Times New Roman"/>
          <w:color w:val="000000" w:themeColor="text1"/>
          <w:sz w:val="32"/>
          <w:szCs w:val="32"/>
          <w14:textFill>
            <w14:solidFill>
              <w14:schemeClr w14:val="tx1"/>
            </w14:solidFill>
          </w14:textFill>
        </w:rPr>
        <w:t>主动融入和服务好滇中城市经济圈一体化发展，发挥位于昆曼国际大通道、泛亚铁路中线、昆河铁路交通要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道</w:t>
      </w:r>
      <w:r>
        <w:rPr>
          <w:rFonts w:hint="default" w:ascii="Times New Roman" w:hAnsi="Times New Roman" w:eastAsia="方正仿宋_GBK" w:cs="Times New Roman"/>
          <w:color w:val="000000" w:themeColor="text1"/>
          <w:sz w:val="32"/>
          <w:szCs w:val="32"/>
          <w14:textFill>
            <w14:solidFill>
              <w14:schemeClr w14:val="tx1"/>
            </w14:solidFill>
          </w14:textFill>
        </w:rPr>
        <w:t>的独特区位优势，以现代农业示范园区、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农业产业园、</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一县一业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划定了产业优势区域，选定了产业发展重点县</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建成全国先进、云南领先</w:t>
      </w:r>
      <w:r>
        <w:rPr>
          <w:rFonts w:hint="eastAsia" w:ascii="方正仿宋_GBK" w:hAnsi="方正仿宋_GBK" w:eastAsia="方正仿宋_GBK" w:cs="方正仿宋_GBK"/>
          <w:color w:val="000000" w:themeColor="text1"/>
          <w:sz w:val="32"/>
          <w:szCs w:val="32"/>
          <w14:textFill>
            <w14:solidFill>
              <w14:schemeClr w14:val="tx1"/>
            </w14:solidFill>
          </w14:textFill>
        </w:rPr>
        <w:t>的“南菜北运”、“</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西</w:t>
      </w:r>
      <w:r>
        <w:rPr>
          <w:rFonts w:hint="eastAsia" w:ascii="方正仿宋_GBK" w:hAnsi="方正仿宋_GBK" w:eastAsia="方正仿宋_GBK" w:cs="方正仿宋_GBK"/>
          <w:color w:val="000000" w:themeColor="text1"/>
          <w:sz w:val="32"/>
          <w:szCs w:val="32"/>
          <w14:textFill>
            <w14:solidFill>
              <w14:schemeClr w14:val="tx1"/>
            </w14:solidFill>
          </w14:textFill>
        </w:rPr>
        <w:t>菜东运”生产基</w:t>
      </w:r>
      <w:r>
        <w:rPr>
          <w:rFonts w:hint="default" w:ascii="Times New Roman" w:hAnsi="Times New Roman" w:eastAsia="方正仿宋_GBK" w:cs="Times New Roman"/>
          <w:color w:val="000000" w:themeColor="text1"/>
          <w:sz w:val="32"/>
          <w:szCs w:val="32"/>
          <w14:textFill>
            <w14:solidFill>
              <w14:schemeClr w14:val="tx1"/>
            </w14:solidFill>
          </w14:textFill>
        </w:rPr>
        <w:t>地和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出口</w:t>
      </w:r>
      <w:r>
        <w:rPr>
          <w:rFonts w:hint="default" w:ascii="Times New Roman" w:hAnsi="Times New Roman" w:eastAsia="方正仿宋_GBK" w:cs="Times New Roman"/>
          <w:color w:val="000000" w:themeColor="text1"/>
          <w:sz w:val="32"/>
          <w:szCs w:val="32"/>
          <w14:textFill>
            <w14:solidFill>
              <w14:schemeClr w14:val="tx1"/>
            </w14:solidFill>
          </w14:textFill>
        </w:rPr>
        <w:t>外销基地。</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为此，《规划》在分析蔬菜产业发展现状的基础上，明确了产业发展的指导思想、基本原则和发展目标；提出了生产、流通及质量安全体系发展重点，并制定了相应的保障措施。</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方正仿宋_GBK" w:hAnsi="方正仿宋_GBK" w:eastAsia="方正仿宋_GBK" w:cs="方正仿宋_GBK"/>
          <w:b w:val="0"/>
          <w:bCs/>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规划</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与</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《中共玉溪市委</w:t>
      </w: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玉溪市人民政府关于加快推进高原特色现代农业高质量发展的意见》（</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玉发</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2020</w:t>
      </w: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13号</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《玉溪</w:t>
      </w:r>
      <w:r>
        <w:rPr>
          <w:rFonts w:hint="eastAsia" w:ascii="方正仿宋_GBK" w:hAnsi="方正仿宋_GBK" w:eastAsia="方正仿宋_GBK" w:cs="方正仿宋_GBK"/>
          <w:color w:val="000000" w:themeColor="text1"/>
          <w:sz w:val="32"/>
          <w:szCs w:val="32"/>
          <w14:textFill>
            <w14:solidFill>
              <w14:schemeClr w14:val="tx1"/>
            </w14:solidFill>
          </w14:textFill>
        </w:rPr>
        <w:t>市“十</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四</w:t>
      </w:r>
      <w:r>
        <w:rPr>
          <w:rFonts w:hint="eastAsia" w:ascii="方正仿宋_GBK" w:hAnsi="方正仿宋_GBK" w:eastAsia="方正仿宋_GBK" w:cs="方正仿宋_GBK"/>
          <w:color w:val="000000" w:themeColor="text1"/>
          <w:sz w:val="32"/>
          <w:szCs w:val="32"/>
          <w14:textFill>
            <w14:solidFill>
              <w14:schemeClr w14:val="tx1"/>
            </w14:solidFill>
          </w14:textFill>
        </w:rPr>
        <w:t>五”农</w:t>
      </w:r>
      <w:r>
        <w:rPr>
          <w:rFonts w:hint="default" w:ascii="Times New Roman" w:hAnsi="Times New Roman" w:eastAsia="方正仿宋_GBK" w:cs="Times New Roman"/>
          <w:color w:val="000000" w:themeColor="text1"/>
          <w:sz w:val="32"/>
          <w:szCs w:val="32"/>
          <w14:textFill>
            <w14:solidFill>
              <w14:schemeClr w14:val="tx1"/>
            </w14:solidFill>
          </w14:textFill>
        </w:rPr>
        <w:t>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农村现代化</w:t>
      </w:r>
      <w:r>
        <w:rPr>
          <w:rFonts w:hint="default" w:ascii="Times New Roman" w:hAnsi="Times New Roman" w:eastAsia="方正仿宋_GBK" w:cs="Times New Roman"/>
          <w:color w:val="000000" w:themeColor="text1"/>
          <w:sz w:val="32"/>
          <w:szCs w:val="32"/>
          <w14:textFill>
            <w14:solidFill>
              <w14:schemeClr w14:val="tx1"/>
            </w14:solidFill>
          </w14:textFill>
        </w:rPr>
        <w:t>发展规划</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2021</w:t>
      </w:r>
      <w:r>
        <w:rPr>
          <w:rFonts w:hint="default" w:ascii="Arial" w:hAnsi="Arial" w:eastAsia="方正仿宋_GBK" w:cs="Arial"/>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2025年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等作了衔接。</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b w:val="0"/>
          <w:bCs/>
          <w:color w:val="000000" w:themeColor="text1"/>
          <w:sz w:val="32"/>
          <w:szCs w:val="32"/>
          <w14:textFill>
            <w14:solidFill>
              <w14:schemeClr w14:val="tx1"/>
            </w14:solidFill>
          </w14:textFill>
        </w:rPr>
        <w:t>本规划是未来五年</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玉溪市</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蔬菜产业发展的基本依据。</w:t>
      </w:r>
      <w:bookmarkStart w:id="2" w:name="_Toc490751501"/>
      <w:bookmarkStart w:id="3" w:name="_Toc495779262"/>
    </w:p>
    <w:bookmarkEnd w:id="2"/>
    <w:bookmarkEnd w:id="3"/>
    <w:p>
      <w:pPr>
        <w:keepNext w:val="0"/>
        <w:keepLines w:val="0"/>
        <w:pageBreakBefore w:val="0"/>
        <w:widowControl w:val="0"/>
        <w:kinsoku/>
        <w:wordWrap/>
        <w:overflowPunct/>
        <w:topLinePunct w:val="0"/>
        <w:bidi w:val="0"/>
        <w:textAlignment w:val="auto"/>
        <w:rPr>
          <w:rFonts w:hint="eastAsia" w:ascii="方正小标宋_GBK" w:hAnsi="方正小标宋_GBK" w:eastAsia="方正小标宋_GBK" w:cs="方正小标宋_GBK"/>
          <w:b w:val="0"/>
          <w:bCs/>
          <w:sz w:val="44"/>
          <w:szCs w:val="44"/>
          <w:lang w:eastAsia="zh-CN"/>
        </w:rPr>
      </w:pPr>
      <w:bookmarkStart w:id="4" w:name="_Toc495779263"/>
      <w:bookmarkStart w:id="5" w:name="_Toc490751502"/>
      <w:r>
        <w:rPr>
          <w:rFonts w:hint="eastAsia" w:ascii="方正小标宋_GBK" w:hAnsi="方正小标宋_GBK" w:eastAsia="方正小标宋_GBK" w:cs="方正小标宋_GBK"/>
          <w:b w:val="0"/>
          <w:bCs/>
          <w:sz w:val="44"/>
          <w:szCs w:val="44"/>
          <w:lang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sz w:val="36"/>
          <w:szCs w:val="36"/>
          <w:lang w:eastAsia="zh-CN"/>
        </w:rPr>
      </w:pPr>
      <w:bookmarkStart w:id="6" w:name="_Toc9646"/>
      <w:r>
        <w:rPr>
          <w:rFonts w:hint="eastAsia" w:ascii="方正小标宋_GBK" w:hAnsi="方正小标宋_GBK" w:eastAsia="方正小标宋_GBK" w:cs="方正小标宋_GBK"/>
          <w:b w:val="0"/>
          <w:bCs/>
          <w:sz w:val="36"/>
          <w:szCs w:val="36"/>
          <w:lang w:eastAsia="zh-CN"/>
        </w:rPr>
        <w:t>第一章</w:t>
      </w:r>
      <w:r>
        <w:rPr>
          <w:rFonts w:hint="eastAsia" w:ascii="方正小标宋_GBK" w:hAnsi="方正小标宋_GBK" w:eastAsia="方正小标宋_GBK" w:cs="方正小标宋_GBK"/>
          <w:b w:val="0"/>
          <w:bCs/>
          <w:sz w:val="36"/>
          <w:szCs w:val="36"/>
          <w:lang w:val="en-US" w:eastAsia="zh-CN"/>
        </w:rPr>
        <w:t xml:space="preserve">  蔬菜产业</w:t>
      </w:r>
      <w:r>
        <w:rPr>
          <w:rFonts w:hint="eastAsia" w:ascii="方正小标宋_GBK" w:hAnsi="方正小标宋_GBK" w:eastAsia="方正小标宋_GBK" w:cs="方正小标宋_GBK"/>
          <w:b w:val="0"/>
          <w:bCs/>
          <w:sz w:val="36"/>
          <w:szCs w:val="36"/>
          <w:lang w:eastAsia="zh-CN"/>
        </w:rPr>
        <w:t>发展现状</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方正黑体_GBK" w:hAnsi="方正黑体_GBK" w:eastAsia="方正黑体_GBK" w:cs="方正黑体_GBK"/>
          <w:b w:val="0"/>
          <w:bCs w:val="0"/>
          <w:sz w:val="32"/>
          <w:szCs w:val="32"/>
          <w:lang w:val="en-US" w:eastAsia="zh-CN"/>
        </w:rPr>
      </w:pPr>
      <w:bookmarkStart w:id="7" w:name="_Toc17626"/>
      <w:r>
        <w:rPr>
          <w:rFonts w:hint="eastAsia" w:ascii="方正黑体_GBK" w:hAnsi="方正黑体_GBK" w:eastAsia="方正黑体_GBK" w:cs="方正黑体_GBK"/>
          <w:b w:val="0"/>
          <w:bCs w:val="0"/>
          <w:sz w:val="32"/>
          <w:szCs w:val="32"/>
          <w:lang w:val="en-US" w:eastAsia="zh-CN"/>
        </w:rPr>
        <w:t>一、基本情况</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“十三五”以</w:t>
      </w:r>
      <w:r>
        <w:rPr>
          <w:rFonts w:hint="default" w:ascii="Times New Roman" w:hAnsi="Times New Roman" w:eastAsia="方正仿宋_GBK" w:cs="Times New Roman"/>
          <w:sz w:val="32"/>
          <w:szCs w:val="32"/>
        </w:rPr>
        <w:t>来，</w:t>
      </w:r>
      <w:r>
        <w:rPr>
          <w:rFonts w:hint="eastAsia" w:ascii="Times New Roman" w:hAnsi="Times New Roman" w:eastAsia="方正仿宋_GBK" w:cs="Times New Roman"/>
          <w:sz w:val="32"/>
          <w:szCs w:val="32"/>
          <w:lang w:eastAsia="zh-CN"/>
        </w:rPr>
        <w:t>玉溪市</w:t>
      </w:r>
      <w:r>
        <w:rPr>
          <w:rFonts w:hint="default" w:ascii="Times New Roman" w:hAnsi="Times New Roman" w:eastAsia="方正仿宋_GBK" w:cs="Times New Roman"/>
          <w:sz w:val="32"/>
          <w:szCs w:val="32"/>
        </w:rPr>
        <w:t>蔬菜产业总体保持平稳较快发展，由供不应求到供求总量基本平衡，品种日益丰富，质量不断提高，市场体系逐步完善，总体上呈现良好的发展局面。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生产持续发展。</w:t>
      </w:r>
      <w:r>
        <w:rPr>
          <w:rFonts w:hint="default" w:ascii="Times New Roman" w:hAnsi="Times New Roman" w:eastAsia="方正仿宋_GBK" w:cs="Times New Roman"/>
          <w:sz w:val="32"/>
          <w:szCs w:val="32"/>
        </w:rPr>
        <w:t>随着种植业结构调整步伐的加快，全</w:t>
      </w:r>
      <w:r>
        <w:rPr>
          <w:rFonts w:hint="eastAsia"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蔬菜生产快速发展，产量大幅增长，上市基本均衡，供应状况发生了根本性改变。2020年</w:t>
      </w:r>
      <w:r>
        <w:rPr>
          <w:rFonts w:hint="eastAsia" w:ascii="Times New Roman" w:hAnsi="Times New Roman" w:eastAsia="方正仿宋_GBK" w:cs="Times New Roman"/>
          <w:sz w:val="32"/>
          <w:szCs w:val="32"/>
          <w:lang w:eastAsia="zh-CN"/>
        </w:rPr>
        <w:t>全市</w:t>
      </w:r>
      <w:r>
        <w:rPr>
          <w:rFonts w:hint="default" w:ascii="Times New Roman" w:hAnsi="Times New Roman" w:eastAsia="方正仿宋_GBK" w:cs="Times New Roman"/>
          <w:b w:val="0"/>
          <w:bCs w:val="0"/>
          <w:sz w:val="32"/>
          <w:szCs w:val="32"/>
        </w:rPr>
        <w:t>蔬菜</w:t>
      </w:r>
      <w:r>
        <w:rPr>
          <w:rFonts w:hint="default" w:ascii="Times New Roman" w:hAnsi="Times New Roman" w:eastAsia="方正仿宋_GBK" w:cs="Times New Roman"/>
          <w:sz w:val="32"/>
          <w:szCs w:val="32"/>
        </w:rPr>
        <w:t>种植面积</w:t>
      </w:r>
      <w:r>
        <w:rPr>
          <w:rFonts w:hint="eastAsia" w:ascii="Times New Roman" w:hAnsi="Times New Roman" w:eastAsia="方正仿宋_GBK" w:cs="Times New Roman"/>
          <w:sz w:val="32"/>
          <w:szCs w:val="32"/>
          <w:lang w:val="en-US" w:eastAsia="zh-CN"/>
        </w:rPr>
        <w:t>152.17</w:t>
      </w:r>
      <w:r>
        <w:rPr>
          <w:rFonts w:hint="default" w:ascii="Times New Roman" w:hAnsi="Times New Roman" w:eastAsia="方正仿宋_GBK" w:cs="Times New Roman"/>
          <w:sz w:val="32"/>
          <w:szCs w:val="32"/>
        </w:rPr>
        <w:t>万亩，比2015年增</w:t>
      </w:r>
      <w:r>
        <w:rPr>
          <w:rFonts w:hint="eastAsia" w:ascii="Times New Roman" w:hAnsi="Times New Roman" w:eastAsia="方正仿宋_GBK" w:cs="Times New Roman"/>
          <w:sz w:val="32"/>
          <w:szCs w:val="32"/>
          <w:lang w:val="en-US" w:eastAsia="zh-CN"/>
        </w:rPr>
        <w:t>27.72</w:t>
      </w:r>
      <w:r>
        <w:rPr>
          <w:rFonts w:hint="default" w:ascii="Times New Roman" w:hAnsi="Times New Roman" w:eastAsia="方正仿宋_GBK" w:cs="Times New Roman"/>
          <w:sz w:val="32"/>
          <w:szCs w:val="32"/>
        </w:rPr>
        <w:t>万亩，增</w:t>
      </w:r>
      <w:r>
        <w:rPr>
          <w:rFonts w:hint="eastAsia" w:ascii="Times New Roman" w:hAnsi="Times New Roman" w:eastAsia="方正仿宋_GBK" w:cs="Times New Roman"/>
          <w:sz w:val="32"/>
          <w:szCs w:val="32"/>
          <w:lang w:val="en-US" w:eastAsia="zh-CN"/>
        </w:rPr>
        <w:t>22.27</w:t>
      </w:r>
      <w:r>
        <w:rPr>
          <w:rFonts w:hint="default" w:ascii="Times New Roman" w:hAnsi="Times New Roman" w:eastAsia="方正仿宋_GBK" w:cs="Times New Roman"/>
          <w:sz w:val="32"/>
          <w:szCs w:val="32"/>
        </w:rPr>
        <w:t>%；蔬菜总产量</w:t>
      </w:r>
      <w:r>
        <w:rPr>
          <w:rFonts w:hint="eastAsia" w:ascii="Times New Roman" w:hAnsi="Times New Roman" w:eastAsia="方正仿宋_GBK" w:cs="Times New Roman"/>
          <w:sz w:val="32"/>
          <w:szCs w:val="32"/>
          <w:lang w:val="en-US" w:eastAsia="zh-CN"/>
        </w:rPr>
        <w:t>290.16</w:t>
      </w:r>
      <w:r>
        <w:rPr>
          <w:rFonts w:hint="default" w:ascii="Times New Roman" w:hAnsi="Times New Roman" w:eastAsia="方正仿宋_GBK" w:cs="Times New Roman"/>
          <w:sz w:val="32"/>
          <w:szCs w:val="32"/>
        </w:rPr>
        <w:t>万吨，比2015年增</w:t>
      </w:r>
      <w:r>
        <w:rPr>
          <w:rFonts w:hint="eastAsia" w:ascii="Times New Roman" w:hAnsi="Times New Roman" w:eastAsia="方正仿宋_GBK" w:cs="Times New Roman"/>
          <w:sz w:val="32"/>
          <w:szCs w:val="32"/>
          <w:lang w:val="en-US" w:eastAsia="zh-CN"/>
        </w:rPr>
        <w:t>70.49</w:t>
      </w:r>
      <w:r>
        <w:rPr>
          <w:rFonts w:hint="default" w:ascii="Times New Roman" w:hAnsi="Times New Roman" w:eastAsia="方正仿宋_GBK" w:cs="Times New Roman"/>
          <w:sz w:val="32"/>
          <w:szCs w:val="32"/>
        </w:rPr>
        <w:t>万吨，增</w:t>
      </w:r>
      <w:r>
        <w:rPr>
          <w:rFonts w:hint="eastAsia" w:ascii="Times New Roman" w:hAnsi="Times New Roman" w:eastAsia="方正仿宋_GBK" w:cs="Times New Roman"/>
          <w:sz w:val="32"/>
          <w:szCs w:val="32"/>
          <w:lang w:val="en-US" w:eastAsia="zh-CN"/>
        </w:rPr>
        <w:t>70.49</w:t>
      </w:r>
      <w:r>
        <w:rPr>
          <w:rFonts w:hint="default" w:ascii="Times New Roman" w:hAnsi="Times New Roman" w:eastAsia="方正仿宋_GBK" w:cs="Times New Roman"/>
          <w:sz w:val="32"/>
          <w:szCs w:val="32"/>
        </w:rPr>
        <w:t>%；蔬菜产值</w:t>
      </w:r>
      <w:r>
        <w:rPr>
          <w:rFonts w:hint="default" w:ascii="Times New Roman" w:hAnsi="Times New Roman" w:eastAsia="方正仿宋_GBK" w:cs="Times New Roman"/>
          <w:i w:val="0"/>
          <w:caps w:val="0"/>
          <w:color w:val="000000"/>
          <w:spacing w:val="0"/>
          <w:sz w:val="32"/>
          <w:szCs w:val="32"/>
          <w:shd w:val="clear" w:fill="FFFFFF"/>
        </w:rPr>
        <w:t>101.40</w:t>
      </w:r>
      <w:r>
        <w:rPr>
          <w:rFonts w:hint="default" w:ascii="Times New Roman" w:hAnsi="Times New Roman" w:eastAsia="方正仿宋_GBK" w:cs="Times New Roman"/>
          <w:sz w:val="32"/>
          <w:szCs w:val="32"/>
        </w:rPr>
        <w:t>亿元，比2015年增</w:t>
      </w:r>
      <w:r>
        <w:rPr>
          <w:rFonts w:hint="eastAsia" w:ascii="Times New Roman" w:hAnsi="Times New Roman" w:eastAsia="方正仿宋_GBK" w:cs="Times New Roman"/>
          <w:sz w:val="32"/>
          <w:szCs w:val="32"/>
          <w:lang w:val="en-US" w:eastAsia="zh-CN"/>
        </w:rPr>
        <w:t>59.97</w:t>
      </w:r>
      <w:r>
        <w:rPr>
          <w:rFonts w:hint="default" w:ascii="Times New Roman" w:hAnsi="Times New Roman" w:eastAsia="方正仿宋_GBK" w:cs="Times New Roman"/>
          <w:sz w:val="32"/>
          <w:szCs w:val="32"/>
        </w:rPr>
        <w:t>亿元，增</w:t>
      </w:r>
      <w:r>
        <w:rPr>
          <w:rFonts w:hint="eastAsia" w:ascii="Times New Roman" w:hAnsi="Times New Roman" w:eastAsia="方正仿宋_GBK" w:cs="Times New Roman"/>
          <w:sz w:val="32"/>
          <w:szCs w:val="32"/>
          <w:lang w:val="en-US" w:eastAsia="zh-CN"/>
        </w:rPr>
        <w:t>144.8</w:t>
      </w:r>
      <w:r>
        <w:rPr>
          <w:rFonts w:hint="default"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蔬菜已成为农业增效和农民增收的</w:t>
      </w:r>
      <w:r>
        <w:rPr>
          <w:rFonts w:hint="eastAsia" w:ascii="Times New Roman" w:hAnsi="Times New Roman" w:eastAsia="方正仿宋_GBK" w:cs="Times New Roman"/>
          <w:sz w:val="32"/>
          <w:szCs w:val="32"/>
          <w:lang w:eastAsia="zh-CN"/>
        </w:rPr>
        <w:t>主要渠道</w:t>
      </w:r>
      <w:r>
        <w:rPr>
          <w:rFonts w:hint="default" w:ascii="Times New Roman" w:hAnsi="Times New Roman" w:eastAsia="方正仿宋_GBK" w:cs="Times New Roman"/>
          <w:sz w:val="32"/>
          <w:szCs w:val="32"/>
        </w:rPr>
        <w:t>。常年生产的蔬菜达1</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大类</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0多个品种，逐步满足了人们多样化的消费需求。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lang w:eastAsia="zh-CN"/>
        </w:rPr>
        <w:t>（二）</w:t>
      </w:r>
      <w:r>
        <w:rPr>
          <w:rFonts w:hint="eastAsia" w:ascii="方正楷体_GBK" w:hAnsi="方正楷体_GBK" w:eastAsia="方正楷体_GBK" w:cs="方正楷体_GBK"/>
          <w:b w:val="0"/>
          <w:bCs w:val="0"/>
          <w:sz w:val="32"/>
          <w:szCs w:val="32"/>
        </w:rPr>
        <w:t>布局逐步优化。</w:t>
      </w:r>
      <w:r>
        <w:rPr>
          <w:rFonts w:eastAsia="方正仿宋_GBK"/>
          <w:color w:val="auto"/>
          <w:sz w:val="32"/>
          <w:szCs w:val="32"/>
        </w:rPr>
        <w:t>通过多年的调整和优化，</w:t>
      </w:r>
      <w:r>
        <w:rPr>
          <w:rFonts w:hint="default" w:ascii="Times New Roman" w:hAnsi="Times New Roman" w:eastAsia="方正仿宋_GBK" w:cs="Times New Roman"/>
          <w:sz w:val="32"/>
          <w:szCs w:val="32"/>
        </w:rPr>
        <w:t>生产基地逐步向优势区域集中，形成</w:t>
      </w:r>
      <w:r>
        <w:rPr>
          <w:rFonts w:eastAsia="方正仿宋_GBK"/>
          <w:color w:val="auto"/>
          <w:sz w:val="32"/>
          <w:szCs w:val="32"/>
        </w:rPr>
        <w:t>通海、江川、</w:t>
      </w:r>
      <w:r>
        <w:rPr>
          <w:rFonts w:hint="eastAsia" w:eastAsia="方正仿宋_GBK"/>
          <w:color w:val="auto"/>
          <w:sz w:val="32"/>
          <w:szCs w:val="32"/>
          <w:lang w:eastAsia="zh-CN"/>
        </w:rPr>
        <w:t>红塔、</w:t>
      </w:r>
      <w:r>
        <w:rPr>
          <w:rFonts w:eastAsia="方正仿宋_GBK"/>
          <w:color w:val="auto"/>
          <w:sz w:val="32"/>
          <w:szCs w:val="32"/>
        </w:rPr>
        <w:t>澄江中海拔</w:t>
      </w:r>
      <w:r>
        <w:rPr>
          <w:rFonts w:hint="eastAsia" w:eastAsia="方正仿宋_GBK"/>
          <w:color w:val="auto"/>
          <w:sz w:val="32"/>
          <w:szCs w:val="32"/>
          <w:lang w:eastAsia="zh-CN"/>
        </w:rPr>
        <w:t>地</w:t>
      </w:r>
      <w:r>
        <w:rPr>
          <w:rFonts w:eastAsia="方正仿宋_GBK"/>
          <w:color w:val="auto"/>
          <w:sz w:val="32"/>
          <w:szCs w:val="32"/>
        </w:rPr>
        <w:t>区叶菜类周年生产供应外销型出口蔬菜</w:t>
      </w:r>
      <w:r>
        <w:rPr>
          <w:rFonts w:hint="eastAsia" w:eastAsia="方正仿宋_GBK"/>
          <w:color w:val="auto"/>
          <w:sz w:val="32"/>
          <w:szCs w:val="32"/>
          <w:lang w:eastAsia="zh-CN"/>
        </w:rPr>
        <w:t>；</w:t>
      </w:r>
      <w:r>
        <w:rPr>
          <w:rFonts w:eastAsia="方正仿宋_GBK"/>
          <w:color w:val="auto"/>
          <w:sz w:val="32"/>
          <w:szCs w:val="32"/>
        </w:rPr>
        <w:t>易门、峨山、新平、</w:t>
      </w:r>
      <w:r>
        <w:rPr>
          <w:rFonts w:hint="eastAsia" w:eastAsia="方正仿宋_GBK"/>
          <w:color w:val="auto"/>
          <w:sz w:val="32"/>
          <w:szCs w:val="32"/>
          <w:lang w:eastAsia="zh-CN"/>
        </w:rPr>
        <w:t>华宁</w:t>
      </w:r>
      <w:r>
        <w:rPr>
          <w:rFonts w:eastAsia="方正仿宋_GBK"/>
          <w:color w:val="auto"/>
          <w:sz w:val="32"/>
          <w:szCs w:val="32"/>
        </w:rPr>
        <w:t>高海拔冷凉山区夏秋蔬菜；峨山、新平、</w:t>
      </w:r>
      <w:r>
        <w:rPr>
          <w:rFonts w:hint="eastAsia" w:eastAsia="方正仿宋_GBK"/>
          <w:color w:val="auto"/>
          <w:sz w:val="32"/>
          <w:szCs w:val="32"/>
          <w:lang w:eastAsia="zh-CN"/>
        </w:rPr>
        <w:t>易门、</w:t>
      </w:r>
      <w:r>
        <w:rPr>
          <w:rFonts w:eastAsia="方正仿宋_GBK"/>
          <w:color w:val="auto"/>
          <w:sz w:val="32"/>
          <w:szCs w:val="32"/>
        </w:rPr>
        <w:t>元江低海拔河谷区冬</w:t>
      </w:r>
      <w:r>
        <w:rPr>
          <w:rFonts w:hint="eastAsia" w:eastAsia="方正仿宋_GBK"/>
          <w:color w:val="auto"/>
          <w:sz w:val="32"/>
          <w:szCs w:val="32"/>
          <w:lang w:eastAsia="zh-CN"/>
        </w:rPr>
        <w:t>春</w:t>
      </w:r>
      <w:r>
        <w:rPr>
          <w:rFonts w:eastAsia="方正仿宋_GBK"/>
          <w:color w:val="auto"/>
          <w:sz w:val="32"/>
          <w:szCs w:val="32"/>
        </w:rPr>
        <w:t>早蔬菜三大</w:t>
      </w:r>
      <w:r>
        <w:rPr>
          <w:rFonts w:hint="default" w:ascii="Times New Roman" w:hAnsi="Times New Roman" w:eastAsia="方正仿宋_GBK" w:cs="Times New Roman"/>
          <w:sz w:val="32"/>
          <w:szCs w:val="32"/>
        </w:rPr>
        <w:t>优势区域</w:t>
      </w:r>
      <w:r>
        <w:rPr>
          <w:rFonts w:hint="eastAsia" w:eastAsia="方正仿宋_GBK"/>
          <w:color w:val="auto"/>
          <w:sz w:val="32"/>
          <w:szCs w:val="32"/>
          <w:lang w:eastAsia="zh-CN"/>
        </w:rPr>
        <w:t>，</w:t>
      </w:r>
      <w:r>
        <w:rPr>
          <w:rFonts w:hint="default" w:ascii="Times New Roman" w:hAnsi="Times New Roman" w:eastAsia="方正仿宋_GBK" w:cs="Times New Roman"/>
          <w:sz w:val="32"/>
          <w:szCs w:val="32"/>
        </w:rPr>
        <w:t>呈现栽培品种互补、上市档期不同、区域协调发展的格局，有效缓解了淡季蔬菜供求矛盾，为保障全国蔬菜均衡供应发挥了重要作用。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sz w:val="32"/>
          <w:szCs w:val="32"/>
          <w:lang w:val="en-US" w:eastAsia="zh-CN"/>
        </w:rPr>
        <w:t>（三）质量</w:t>
      </w:r>
      <w:r>
        <w:rPr>
          <w:rFonts w:hint="eastAsia" w:ascii="方正楷体_GBK" w:hAnsi="方正楷体_GBK" w:eastAsia="方正楷体_GBK" w:cs="方正楷体_GBK"/>
          <w:b w:val="0"/>
          <w:bCs/>
          <w:sz w:val="32"/>
          <w:szCs w:val="32"/>
        </w:rPr>
        <w:t>显著提高</w:t>
      </w:r>
      <w:r>
        <w:rPr>
          <w:rFonts w:hint="eastAsia" w:ascii="方正楷体_GBK" w:hAnsi="方正楷体_GBK" w:eastAsia="方正楷体_GBK" w:cs="方正楷体_GBK"/>
          <w:b w:val="0"/>
          <w:bCs/>
          <w:sz w:val="32"/>
          <w:szCs w:val="32"/>
          <w:lang w:eastAsia="zh-CN"/>
        </w:rPr>
        <w:t>。</w:t>
      </w:r>
      <w:r>
        <w:rPr>
          <w:rFonts w:hint="default" w:ascii="Times New Roman" w:hAnsi="Times New Roman" w:eastAsia="方正仿宋_GBK" w:cs="Times New Roman"/>
          <w:kern w:val="2"/>
          <w:sz w:val="32"/>
          <w:szCs w:val="32"/>
        </w:rPr>
        <w:t>以良种应用为基础，</w:t>
      </w:r>
      <w:r>
        <w:rPr>
          <w:rFonts w:hint="eastAsia" w:ascii="Times New Roman" w:hAnsi="Times New Roman" w:eastAsia="方正仿宋_GBK" w:cs="Times New Roman"/>
          <w:kern w:val="2"/>
          <w:sz w:val="32"/>
          <w:szCs w:val="32"/>
          <w:lang w:eastAsia="zh-CN"/>
        </w:rPr>
        <w:t>实施</w:t>
      </w:r>
      <w:r>
        <w:rPr>
          <w:rFonts w:hint="default" w:ascii="Times New Roman" w:hAnsi="Times New Roman" w:eastAsia="方正仿宋_GBK" w:cs="Times New Roman"/>
          <w:kern w:val="2"/>
          <w:sz w:val="32"/>
          <w:szCs w:val="32"/>
        </w:rPr>
        <w:t>标准化种植</w:t>
      </w:r>
      <w:r>
        <w:rPr>
          <w:rFonts w:hint="eastAsia"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工厂化育苗、无害化生产、绿色防控</w:t>
      </w:r>
      <w:r>
        <w:rPr>
          <w:rFonts w:hint="eastAsia" w:ascii="Times New Roman" w:hAnsi="Times New Roman" w:eastAsia="方正仿宋_GBK" w:cs="Times New Roman"/>
          <w:kern w:val="2"/>
          <w:sz w:val="32"/>
          <w:szCs w:val="32"/>
          <w:lang w:eastAsia="zh-CN"/>
        </w:rPr>
        <w:t>等</w:t>
      </w:r>
      <w:r>
        <w:rPr>
          <w:rFonts w:hint="default" w:ascii="Times New Roman" w:hAnsi="Times New Roman" w:eastAsia="方正仿宋_GBK" w:cs="Times New Roman"/>
          <w:kern w:val="2"/>
          <w:sz w:val="32"/>
          <w:szCs w:val="32"/>
        </w:rPr>
        <w:t>技术，</w:t>
      </w:r>
      <w:r>
        <w:rPr>
          <w:rFonts w:hint="default" w:ascii="Times New Roman" w:hAnsi="Times New Roman" w:eastAsia="方正仿宋_GBK" w:cs="Times New Roman"/>
          <w:color w:val="000000" w:themeColor="text1"/>
          <w:sz w:val="32"/>
          <w:szCs w:val="32"/>
          <w14:textFill>
            <w14:solidFill>
              <w14:schemeClr w14:val="tx1"/>
            </w14:solidFill>
          </w14:textFill>
        </w:rPr>
        <w:t>建成蔬菜备案基地18.20万亩</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olor w:val="000000" w:themeColor="text1"/>
          <w:sz w:val="32"/>
          <w:szCs w:val="32"/>
          <w:lang w:val="en-US" w:eastAsia="zh-CN"/>
          <w14:textFill>
            <w14:solidFill>
              <w14:schemeClr w14:val="tx1"/>
            </w14:solidFill>
          </w14:textFill>
        </w:rPr>
        <w:t>46</w:t>
      </w:r>
      <w:r>
        <w:rPr>
          <w:rFonts w:ascii="Times New Roman" w:hAnsi="Times New Roman" w:eastAsia="方正仿宋_GBK"/>
          <w:color w:val="000000" w:themeColor="text1"/>
          <w:sz w:val="32"/>
          <w:szCs w:val="32"/>
          <w14:textFill>
            <w14:solidFill>
              <w14:schemeClr w14:val="tx1"/>
            </w14:solidFill>
          </w14:textFill>
        </w:rPr>
        <w:t>个蔬菜产品通过无公害认证，认证面积</w:t>
      </w:r>
      <w:r>
        <w:rPr>
          <w:rFonts w:hint="eastAsia" w:ascii="Times New Roman" w:hAnsi="Times New Roman" w:eastAsia="方正仿宋_GBK"/>
          <w:color w:val="000000" w:themeColor="text1"/>
          <w:sz w:val="32"/>
          <w:szCs w:val="32"/>
          <w:lang w:val="en-US" w:eastAsia="zh-CN"/>
          <w14:textFill>
            <w14:solidFill>
              <w14:schemeClr w14:val="tx1"/>
            </w14:solidFill>
          </w14:textFill>
        </w:rPr>
        <w:t>56280</w:t>
      </w:r>
      <w:r>
        <w:rPr>
          <w:rFonts w:ascii="Times New Roman" w:hAnsi="Times New Roman" w:eastAsia="方正仿宋_GBK"/>
          <w:color w:val="000000" w:themeColor="text1"/>
          <w:sz w:val="32"/>
          <w:szCs w:val="32"/>
          <w14:textFill>
            <w14:solidFill>
              <w14:schemeClr w14:val="tx1"/>
            </w14:solidFill>
          </w14:textFill>
        </w:rPr>
        <w:t>亩</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olor w:val="000000" w:themeColor="text1"/>
          <w:sz w:val="32"/>
          <w:szCs w:val="32"/>
          <w:lang w:val="en-US" w:eastAsia="zh-CN"/>
          <w14:textFill>
            <w14:solidFill>
              <w14:schemeClr w14:val="tx1"/>
            </w14:solidFill>
          </w14:textFill>
        </w:rPr>
        <w:t>34</w:t>
      </w:r>
      <w:r>
        <w:rPr>
          <w:rFonts w:ascii="Times New Roman" w:hAnsi="Times New Roman" w:eastAsia="方正仿宋_GBK"/>
          <w:color w:val="000000" w:themeColor="text1"/>
          <w:sz w:val="32"/>
          <w:szCs w:val="32"/>
          <w14:textFill>
            <w14:solidFill>
              <w14:schemeClr w14:val="tx1"/>
            </w14:solidFill>
          </w14:textFill>
        </w:rPr>
        <w:t>个产品通过绿色食品认证，</w:t>
      </w:r>
      <w:r>
        <w:rPr>
          <w:rFonts w:hint="eastAsia" w:ascii="Times New Roman" w:hAnsi="Times New Roman" w:eastAsia="方正仿宋_GBK"/>
          <w:color w:val="000000" w:themeColor="text1"/>
          <w:sz w:val="32"/>
          <w:szCs w:val="32"/>
          <w14:textFill>
            <w14:solidFill>
              <w14:schemeClr w14:val="tx1"/>
            </w14:solidFill>
          </w14:textFill>
        </w:rPr>
        <w:t>认证</w:t>
      </w:r>
      <w:r>
        <w:rPr>
          <w:rFonts w:ascii="Times New Roman" w:hAnsi="Times New Roman" w:eastAsia="方正仿宋_GBK"/>
          <w:color w:val="000000" w:themeColor="text1"/>
          <w:sz w:val="32"/>
          <w:szCs w:val="32"/>
          <w14:textFill>
            <w14:solidFill>
              <w14:schemeClr w14:val="tx1"/>
            </w14:solidFill>
          </w14:textFill>
        </w:rPr>
        <w:t>面积</w:t>
      </w:r>
      <w:r>
        <w:rPr>
          <w:rFonts w:hint="eastAsia" w:ascii="Times New Roman" w:hAnsi="Times New Roman" w:eastAsia="方正仿宋_GBK"/>
          <w:color w:val="000000" w:themeColor="text1"/>
          <w:sz w:val="32"/>
          <w:szCs w:val="32"/>
          <w:lang w:val="en-US" w:eastAsia="zh-CN"/>
          <w14:textFill>
            <w14:solidFill>
              <w14:schemeClr w14:val="tx1"/>
            </w14:solidFill>
          </w14:textFill>
        </w:rPr>
        <w:t>47277</w:t>
      </w:r>
      <w:r>
        <w:rPr>
          <w:rFonts w:ascii="Times New Roman" w:hAnsi="Times New Roman" w:eastAsia="方正仿宋_GBK"/>
          <w:color w:val="000000" w:themeColor="text1"/>
          <w:sz w:val="32"/>
          <w:szCs w:val="32"/>
          <w14:textFill>
            <w14:solidFill>
              <w14:schemeClr w14:val="tx1"/>
            </w14:solidFill>
          </w14:textFill>
        </w:rPr>
        <w:t>亩</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地理标志证明商标数</w:t>
      </w:r>
      <w:r>
        <w:rPr>
          <w:rFonts w:hint="eastAsia" w:ascii="Times New Roman" w:hAnsi="Times New Roman" w:eastAsia="方正仿宋_GBK"/>
          <w:color w:val="000000" w:themeColor="text1"/>
          <w:sz w:val="32"/>
          <w:szCs w:val="32"/>
          <w14:textFill>
            <w14:solidFill>
              <w14:schemeClr w14:val="tx1"/>
            </w14:solidFill>
          </w14:textFill>
        </w:rPr>
        <w:t>2</w:t>
      </w:r>
      <w:r>
        <w:rPr>
          <w:rFonts w:ascii="Times New Roman" w:hAnsi="Times New Roman" w:eastAsia="方正仿宋_GBK"/>
          <w:color w:val="000000" w:themeColor="text1"/>
          <w:sz w:val="32"/>
          <w:szCs w:val="32"/>
          <w14:textFill>
            <w14:solidFill>
              <w14:schemeClr w14:val="tx1"/>
            </w14:solidFill>
          </w14:textFill>
        </w:rPr>
        <w:t>个</w:t>
      </w:r>
      <w:r>
        <w:rPr>
          <w:rFonts w:hint="eastAsia" w:ascii="Times New Roman" w:hAnsi="Times New Roman" w:eastAsia="方正仿宋_GBK"/>
          <w:color w:val="000000" w:themeColor="text1"/>
          <w:sz w:val="32"/>
          <w:szCs w:val="32"/>
          <w:lang w:eastAsia="zh-CN"/>
          <w14:textFill>
            <w14:solidFill>
              <w14:schemeClr w14:val="tx1"/>
            </w14:solidFill>
          </w14:textFill>
        </w:rPr>
        <w:t>，没有出现重大蔬菜产品质量安全事故发生</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在蔬菜质量安全水平提高的同时，商品质量也明显提高，净菜整理、分级、包装、预冷等商品化处理数量逐年增加。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2"/>
        <w:rPr>
          <w:rFonts w:ascii="Times New Roman" w:hAnsi="Times New Roman" w:eastAsia="仿宋_GB2312" w:cs="Times New Roman"/>
          <w:color w:val="000000" w:themeColor="text1"/>
          <w:sz w:val="28"/>
          <w:szCs w:val="28"/>
          <w14:textFill>
            <w14:solidFill>
              <w14:schemeClr w14:val="tx1"/>
            </w14:solidFill>
          </w14:textFill>
        </w:rPr>
      </w:pPr>
      <w:bookmarkStart w:id="8" w:name="_Toc24256"/>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（四）营销企业</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快速发展。</w:t>
      </w:r>
      <w:r>
        <w:rPr>
          <w:rFonts w:hint="default" w:ascii="Times New Roman" w:hAnsi="Times New Roman" w:eastAsia="方正仿宋_GBK" w:cs="Times New Roman"/>
          <w:color w:val="000000" w:themeColor="text1"/>
          <w:sz w:val="32"/>
          <w:szCs w:val="32"/>
          <w14:textFill>
            <w14:solidFill>
              <w14:schemeClr w14:val="tx1"/>
            </w14:solidFill>
          </w14:textFill>
        </w:rPr>
        <w:t>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市</w:t>
      </w:r>
      <w:r>
        <w:rPr>
          <w:rFonts w:hint="default" w:ascii="Times New Roman" w:hAnsi="Times New Roman" w:eastAsia="方正仿宋_GBK" w:cs="Times New Roman"/>
          <w:color w:val="000000" w:themeColor="text1"/>
          <w:sz w:val="32"/>
          <w:szCs w:val="32"/>
          <w14:textFill>
            <w14:solidFill>
              <w14:schemeClr w14:val="tx1"/>
            </w14:solidFill>
          </w14:textFill>
        </w:rPr>
        <w:t>蔬菜</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营销企业</w:t>
      </w:r>
      <w:r>
        <w:rPr>
          <w:rFonts w:hint="default" w:ascii="Times New Roman" w:hAnsi="Times New Roman" w:eastAsia="方正仿宋_GBK" w:cs="Times New Roman"/>
          <w:color w:val="000000" w:themeColor="text1"/>
          <w:sz w:val="32"/>
          <w:szCs w:val="32"/>
          <w14:textFill>
            <w14:solidFill>
              <w14:schemeClr w14:val="tx1"/>
            </w14:solidFill>
          </w14:textFill>
        </w:rPr>
        <w:t>发展迅速，特色优势明显，促进了出口贸易。</w:t>
      </w:r>
      <w:r>
        <w:rPr>
          <w:rFonts w:hint="default" w:eastAsia="方正仿宋_GBK"/>
          <w:color w:val="000000" w:themeColor="text1"/>
          <w:sz w:val="32"/>
          <w:szCs w:val="32"/>
          <w:lang w:val="en-US" w:eastAsia="zh-CN"/>
          <w14:textFill>
            <w14:solidFill>
              <w14:schemeClr w14:val="tx1"/>
            </w14:solidFill>
          </w14:textFill>
        </w:rPr>
        <w:t>全市</w:t>
      </w:r>
      <w:r>
        <w:rPr>
          <w:rFonts w:hint="eastAsia" w:eastAsia="方正仿宋_GBK"/>
          <w:color w:val="000000" w:themeColor="text1"/>
          <w:sz w:val="32"/>
          <w:szCs w:val="32"/>
          <w:lang w:val="en-US" w:eastAsia="zh-CN"/>
          <w14:textFill>
            <w14:solidFill>
              <w14:schemeClr w14:val="tx1"/>
            </w14:solidFill>
          </w14:textFill>
        </w:rPr>
        <w:t>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138户企业出口农产品，通海</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高原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、云南茂源等8户企业进入全国农产品出口企业百强行列，形成了国内市场以云菜集团为代表、国外市场以高原、宋威、茂源、东绿</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通泰、环泰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、留云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等为代表的一大批农产品营销企业。成</w:t>
      </w:r>
      <w:r>
        <w:rPr>
          <w:rFonts w:hint="default" w:eastAsia="方正仿宋_GBK"/>
          <w:color w:val="000000" w:themeColor="text1"/>
          <w:sz w:val="32"/>
          <w:szCs w:val="32"/>
          <w:lang w:val="en-US" w:eastAsia="zh-CN"/>
          <w14:textFill>
            <w14:solidFill>
              <w14:schemeClr w14:val="tx1"/>
            </w14:solidFill>
          </w14:textFill>
        </w:rPr>
        <w:t>功引入京东生态、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default" w:eastAsia="方正仿宋_GBK"/>
          <w:color w:val="000000" w:themeColor="text1"/>
          <w:sz w:val="32"/>
          <w:szCs w:val="32"/>
          <w:lang w:val="en-US" w:eastAsia="zh-CN"/>
          <w14:textFill>
            <w14:solidFill>
              <w14:schemeClr w14:val="tx1"/>
            </w14:solidFill>
          </w14:textFill>
        </w:rPr>
        <w:t>食行生鲜</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default" w:eastAsia="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default" w:eastAsia="方正仿宋_GBK"/>
          <w:color w:val="000000" w:themeColor="text1"/>
          <w:sz w:val="32"/>
          <w:szCs w:val="32"/>
          <w:lang w:val="en-US" w:eastAsia="zh-CN"/>
          <w14:textFill>
            <w14:solidFill>
              <w14:schemeClr w14:val="tx1"/>
            </w14:solidFill>
          </w14:textFill>
        </w:rPr>
        <w:t>盒马生鲜</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default" w:eastAsia="方正仿宋_GBK"/>
          <w:color w:val="000000" w:themeColor="text1"/>
          <w:sz w:val="32"/>
          <w:szCs w:val="32"/>
          <w:lang w:val="en-US" w:eastAsia="zh-CN"/>
          <w14:textFill>
            <w14:solidFill>
              <w14:schemeClr w14:val="tx1"/>
            </w14:solidFill>
          </w14:textFill>
        </w:rPr>
        <w:t>等企业落户玉溪发展新业态、开发新市场。</w:t>
      </w:r>
      <w:r>
        <w:rPr>
          <w:rFonts w:hint="default" w:ascii="Times New Roman" w:eastAsia="方正仿宋_GBK"/>
          <w:color w:val="000000" w:themeColor="text1"/>
          <w:kern w:val="2"/>
          <w:sz w:val="32"/>
          <w:szCs w:val="32"/>
          <w:lang w:val="en-US" w:eastAsia="zh-CN" w:bidi="ar-SA"/>
          <w14:textFill>
            <w14:solidFill>
              <w14:schemeClr w14:val="tx1"/>
            </w14:solidFill>
          </w14:textFill>
        </w:rPr>
        <w:t>2020年出口蔬菜4.39亿美元，增长10.0</w:t>
      </w:r>
      <w:r>
        <w:rPr>
          <w:rFonts w:hint="default" w:ascii="Times New Roman" w:eastAsia="方正仿宋_GBK"/>
          <w:color w:val="000000" w:themeColor="text1"/>
          <w:kern w:val="2"/>
          <w:sz w:val="32"/>
          <w:szCs w:val="32"/>
          <w:lang w:eastAsia="zh-CN" w:bidi="ar-SA"/>
          <w14:textFill>
            <w14:solidFill>
              <w14:schemeClr w14:val="tx1"/>
            </w14:solidFill>
          </w14:textFill>
        </w:rPr>
        <w:t>0</w:t>
      </w:r>
      <w:r>
        <w:rPr>
          <w:rFonts w:hint="default" w:ascii="Times New Roman" w:eastAsia="方正仿宋_GBK"/>
          <w:color w:val="000000" w:themeColor="text1"/>
          <w:kern w:val="2"/>
          <w:sz w:val="32"/>
          <w:szCs w:val="32"/>
          <w:lang w:val="en-US" w:eastAsia="zh-CN" w:bidi="ar-SA"/>
          <w14:textFill>
            <w14:solidFill>
              <w14:schemeClr w14:val="tx1"/>
            </w14:solidFill>
          </w14:textFill>
        </w:rPr>
        <w:t>%</w:t>
      </w:r>
      <w:r>
        <w:rPr>
          <w:rFonts w:hint="eastAsia" w:ascii="Times New Roman" w:eastAsia="方正仿宋_GBK"/>
          <w:color w:val="000000" w:themeColor="text1"/>
          <w:kern w:val="2"/>
          <w:sz w:val="32"/>
          <w:szCs w:val="32"/>
          <w:lang w:val="en-US" w:eastAsia="zh-CN" w:bidi="ar-SA"/>
          <w14:textFill>
            <w14:solidFill>
              <w14:schemeClr w14:val="tx1"/>
            </w14:solidFill>
          </w14:textFill>
        </w:rPr>
        <w:t>。2020年云菜集团销往海南市场蔬菜3</w:t>
      </w:r>
      <w:r>
        <w:rPr>
          <w:rFonts w:hint="default" w:ascii="Times New Roman" w:eastAsia="方正仿宋_GBK"/>
          <w:color w:val="000000" w:themeColor="text1"/>
          <w:kern w:val="2"/>
          <w:sz w:val="32"/>
          <w:szCs w:val="32"/>
          <w:lang w:eastAsia="zh-CN" w:bidi="ar-SA"/>
          <w14:textFill>
            <w14:solidFill>
              <w14:schemeClr w14:val="tx1"/>
            </w14:solidFill>
          </w14:textFill>
        </w:rPr>
        <w:t>.00</w:t>
      </w:r>
      <w:r>
        <w:rPr>
          <w:rFonts w:hint="eastAsia" w:ascii="Times New Roman" w:eastAsia="方正仿宋_GBK"/>
          <w:color w:val="000000" w:themeColor="text1"/>
          <w:kern w:val="2"/>
          <w:sz w:val="32"/>
          <w:szCs w:val="32"/>
          <w:lang w:val="en-US" w:eastAsia="zh-CN" w:bidi="ar-SA"/>
          <w14:textFill>
            <w14:solidFill>
              <w14:schemeClr w14:val="tx1"/>
            </w14:solidFill>
          </w14:textFill>
        </w:rPr>
        <w:t>万吨，年销售额1.35亿元。</w:t>
      </w:r>
      <w:bookmarkEnd w:id="8"/>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eastAsia="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color w:val="000000" w:themeColor="text1"/>
          <w:sz w:val="32"/>
          <w:szCs w:val="32"/>
          <w:lang w:eastAsia="zh-CN"/>
          <w14:textFill>
            <w14:solidFill>
              <w14:schemeClr w14:val="tx1"/>
            </w14:solidFill>
          </w14:textFill>
        </w:rPr>
        <w:t>（五）</w:t>
      </w:r>
      <w:r>
        <w:rPr>
          <w:rFonts w:hint="eastAsia" w:ascii="方正楷体_GBK" w:hAnsi="方正楷体_GBK" w:eastAsia="方正楷体_GBK" w:cs="方正楷体_GBK"/>
          <w:b w:val="0"/>
          <w:bCs/>
          <w:color w:val="000000" w:themeColor="text1"/>
          <w:sz w:val="32"/>
          <w:szCs w:val="32"/>
          <w14:textFill>
            <w14:solidFill>
              <w14:schemeClr w14:val="tx1"/>
            </w14:solidFill>
          </w14:textFill>
        </w:rPr>
        <w:t>市场流通体系不断完善</w:t>
      </w:r>
      <w:r>
        <w:rPr>
          <w:rFonts w:hint="eastAsia" w:ascii="方正楷体_GBK" w:hAnsi="方正楷体_GBK" w:eastAsia="方正楷体_GBK" w:cs="方正楷体_GBK"/>
          <w:b w:val="0"/>
          <w:bCs/>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我市加大农业信息服务体系建设，培植蔬菜产业化新型经营主体，充分发挥龙头企业的引领作用，建立蔬菜批发市场，跨区域建设营销网点，</w:t>
      </w:r>
      <w:r>
        <w:rPr>
          <w:rFonts w:hint="default" w:ascii="Times New Roman" w:hAnsi="Times New Roman" w:eastAsia="方正仿宋_GBK" w:cs="Times New Roman"/>
          <w:color w:val="000000" w:themeColor="text1"/>
          <w:sz w:val="32"/>
          <w:szCs w:val="32"/>
          <w14:textFill>
            <w14:solidFill>
              <w14:schemeClr w14:val="tx1"/>
            </w14:solidFill>
          </w14:textFill>
        </w:rPr>
        <w:t>70.00%以上的蔬菜以鲜菜方式经过冷库预冷后销往沿海城市及华东地区146个大中城市，品种主要以大白菜、甘蓝、莴笋、花菜等叶茎菜为主；15.00%销往西北市场，品种以洋葱、大蒜为主；大约有15.00%出口</w:t>
      </w:r>
      <w:r>
        <w:rPr>
          <w:rFonts w:eastAsia="方正仿宋_GBK"/>
          <w:color w:val="000000" w:themeColor="text1"/>
          <w:sz w:val="32"/>
          <w:szCs w:val="32"/>
          <w14:textFill>
            <w14:solidFill>
              <w14:schemeClr w14:val="tx1"/>
            </w14:solidFill>
          </w14:textFill>
        </w:rPr>
        <w:t>东南亚市场，品种以花椰菜为主。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2"/>
        <w:rPr>
          <w:rFonts w:ascii="Times New Roman" w:hAnsi="Times New Roman" w:eastAsia="仿宋_GB2312" w:cs="Times New Roman"/>
          <w:color w:val="000000" w:themeColor="text1"/>
          <w:sz w:val="28"/>
          <w:szCs w:val="28"/>
          <w14:textFill>
            <w14:solidFill>
              <w14:schemeClr w14:val="tx1"/>
            </w14:solidFill>
          </w14:textFill>
        </w:rPr>
      </w:pPr>
      <w:bookmarkStart w:id="9" w:name="_Toc12856"/>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（六）</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品牌</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知名度增强</w:t>
      </w: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在蔬菜优势产区，积极培植龙头企业、专业合作社等新型经营主体，大力推广以农户为基础、基地为依托、企业（合作社）为龙头的蔬菜产业化经营方式。</w:t>
      </w:r>
      <w:r>
        <w:rPr>
          <w:rFonts w:eastAsia="方正仿宋_GBK"/>
          <w:color w:val="000000" w:themeColor="text1"/>
          <w:sz w:val="32"/>
          <w:szCs w:val="28"/>
          <w14:textFill>
            <w14:solidFill>
              <w14:schemeClr w14:val="tx1"/>
            </w14:solidFill>
          </w14:textFill>
        </w:rPr>
        <w:t>创建形成了一批</w:t>
      </w:r>
      <w:r>
        <w:rPr>
          <w:rFonts w:hint="eastAsia" w:ascii="方正仿宋_GBK" w:eastAsia="方正仿宋_GBK"/>
          <w:color w:val="000000" w:themeColor="text1"/>
          <w:sz w:val="32"/>
          <w:szCs w:val="28"/>
          <w14:textFill>
            <w14:solidFill>
              <w14:schemeClr w14:val="tx1"/>
            </w14:solidFill>
          </w14:textFill>
        </w:rPr>
        <w:t>在云南省乃至全国有声誉</w:t>
      </w:r>
      <w:r>
        <w:rPr>
          <w:rFonts w:hint="eastAsia" w:ascii="方正仿宋_GBK" w:eastAsia="方正仿宋_GBK"/>
          <w:color w:val="000000" w:themeColor="text1"/>
          <w:sz w:val="32"/>
          <w:szCs w:val="28"/>
          <w:lang w:eastAsia="zh-CN"/>
          <w14:textFill>
            <w14:solidFill>
              <w14:schemeClr w14:val="tx1"/>
            </w14:solidFill>
          </w14:textFill>
        </w:rPr>
        <w:t>的</w:t>
      </w:r>
      <w:r>
        <w:rPr>
          <w:rFonts w:eastAsia="方正仿宋_GBK"/>
          <w:color w:val="000000" w:themeColor="text1"/>
          <w:sz w:val="32"/>
          <w:szCs w:val="28"/>
          <w14:textFill>
            <w14:solidFill>
              <w14:schemeClr w14:val="tx1"/>
            </w14:solidFill>
          </w14:textFill>
        </w:rPr>
        <w:t>蔬菜产品及其加工品牌，</w:t>
      </w:r>
      <w:r>
        <w:rPr>
          <w:rFonts w:hint="default" w:ascii="Times New Roman" w:hAnsi="Times New Roman" w:eastAsia="方正仿宋_GBK" w:cs="Times New Roman"/>
          <w:color w:val="000000" w:themeColor="text1"/>
          <w:sz w:val="32"/>
          <w:szCs w:val="32"/>
          <w14:textFill>
            <w14:solidFill>
              <w14:schemeClr w14:val="tx1"/>
            </w14:solidFill>
          </w14:textFill>
        </w:rPr>
        <w:t>20家企业33个品种获得云南名牌农产品殊荣。</w:t>
      </w:r>
      <w:r>
        <w:rPr>
          <w:rFonts w:hint="eastAsia" w:ascii="方正仿宋_GBK" w:hAnsi="宋体" w:eastAsia="方正仿宋_GBK"/>
          <w:color w:val="000000" w:themeColor="text1"/>
          <w:sz w:val="32"/>
          <w:szCs w:val="32"/>
          <w14:textFill>
            <w14:solidFill>
              <w14:schemeClr w14:val="tx1"/>
            </w14:solidFill>
          </w14:textFill>
        </w:rPr>
        <w:t>云南省绿色食品</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宋体" w:eastAsia="方正仿宋_GBK"/>
          <w:color w:val="000000" w:themeColor="text1"/>
          <w:sz w:val="32"/>
          <w:szCs w:val="32"/>
          <w14:textFill>
            <w14:solidFill>
              <w14:schemeClr w14:val="tx1"/>
            </w14:solidFill>
          </w14:textFill>
        </w:rPr>
        <w:t>十大名菜</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宋体" w:eastAsia="方正仿宋_GBK"/>
          <w:color w:val="000000" w:themeColor="text1"/>
          <w:sz w:val="32"/>
          <w:szCs w:val="32"/>
          <w14:textFill>
            <w14:solidFill>
              <w14:schemeClr w14:val="tx1"/>
            </w14:solidFill>
          </w14:textFill>
        </w:rPr>
        <w:t>评选</w:t>
      </w:r>
      <w:r>
        <w:rPr>
          <w:rFonts w:hint="default" w:ascii="Times New Roman" w:hAnsi="Times New Roman" w:eastAsia="方正仿宋_GBK" w:cs="Times New Roman"/>
          <w:color w:val="000000" w:themeColor="text1"/>
          <w:sz w:val="32"/>
          <w:szCs w:val="32"/>
          <w14:textFill>
            <w14:solidFill>
              <w14:schemeClr w14:val="tx1"/>
            </w14:solidFill>
          </w14:textFill>
        </w:rPr>
        <w:t>：2018年度云南宏斌绿色食品集团有限公司</w:t>
      </w:r>
      <w:r>
        <w:rPr>
          <w:rFonts w:hint="eastAsia" w:ascii="方正仿宋_GBK" w:hAnsi="方正仿宋_GBK" w:eastAsia="方正仿宋_GBK" w:cs="方正仿宋_GBK"/>
          <w:color w:val="000000" w:themeColor="text1"/>
          <w:sz w:val="32"/>
          <w:szCs w:val="32"/>
          <w14:textFill>
            <w14:solidFill>
              <w14:schemeClr w14:val="tx1"/>
            </w14:solidFill>
          </w14:textFill>
        </w:rPr>
        <w:t>“宏斌”</w:t>
      </w:r>
      <w:r>
        <w:rPr>
          <w:rFonts w:hint="default" w:ascii="Times New Roman" w:hAnsi="Times New Roman" w:eastAsia="方正仿宋_GBK" w:cs="Times New Roman"/>
          <w:color w:val="000000" w:themeColor="text1"/>
          <w:sz w:val="32"/>
          <w:szCs w:val="32"/>
          <w14:textFill>
            <w14:solidFill>
              <w14:schemeClr w14:val="tx1"/>
            </w14:solidFill>
          </w14:textFill>
        </w:rPr>
        <w:t>牌小米辣</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和</w:t>
      </w:r>
      <w:r>
        <w:rPr>
          <w:rFonts w:hint="default" w:ascii="Times New Roman" w:hAnsi="Times New Roman" w:eastAsia="方正仿宋_GBK" w:cs="Times New Roman"/>
          <w:color w:val="000000" w:themeColor="text1"/>
          <w:sz w:val="32"/>
          <w:szCs w:val="32"/>
          <w14:textFill>
            <w14:solidFill>
              <w14:schemeClr w14:val="tx1"/>
            </w14:solidFill>
          </w14:textFill>
        </w:rPr>
        <w:t>通海高原农产品有限公司</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方正仿宋_GBK" w:hAnsi="方正仿宋_GBK" w:eastAsia="方正仿宋_GBK" w:cs="方正仿宋_GBK"/>
          <w:color w:val="000000" w:themeColor="text1"/>
          <w:sz w:val="32"/>
          <w:szCs w:val="32"/>
          <w14:textFill>
            <w14:solidFill>
              <w14:schemeClr w14:val="tx1"/>
            </w14:solidFill>
          </w14:textFill>
        </w:rPr>
        <w:t>高原绿洲</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牌高山娃娃菜</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分别获第一名、第二名；</w:t>
      </w:r>
      <w:r>
        <w:rPr>
          <w:rFonts w:hint="default" w:ascii="Times New Roman" w:hAnsi="Times New Roman" w:eastAsia="方正仿宋_GBK" w:cs="Times New Roman"/>
          <w:color w:val="000000" w:themeColor="text1"/>
          <w:sz w:val="32"/>
          <w:szCs w:val="32"/>
          <w14:textFill>
            <w14:solidFill>
              <w14:schemeClr w14:val="tx1"/>
            </w14:solidFill>
          </w14:textFill>
        </w:rPr>
        <w:t>2019年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度</w:t>
      </w:r>
      <w:r>
        <w:rPr>
          <w:rFonts w:hint="default" w:ascii="Times New Roman" w:hAnsi="Times New Roman" w:eastAsia="方正仿宋_GBK" w:cs="Times New Roman"/>
          <w:color w:val="000000" w:themeColor="text1"/>
          <w:sz w:val="32"/>
          <w:szCs w:val="32"/>
          <w14:textFill>
            <w14:solidFill>
              <w14:schemeClr w14:val="tx1"/>
            </w14:solidFill>
          </w14:textFill>
        </w:rPr>
        <w:t>高原公司</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获</w:t>
      </w:r>
      <w:r>
        <w:rPr>
          <w:rFonts w:hint="default" w:ascii="Times New Roman" w:hAnsi="Times New Roman" w:eastAsia="方正仿宋_GBK" w:cs="Times New Roman"/>
          <w:color w:val="000000" w:themeColor="text1"/>
          <w:sz w:val="32"/>
          <w:szCs w:val="32"/>
          <w14:textFill>
            <w14:solidFill>
              <w14:schemeClr w14:val="tx1"/>
            </w14:solidFill>
          </w14:textFill>
        </w:rPr>
        <w:t>第一</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名</w:t>
      </w:r>
      <w:r>
        <w:rPr>
          <w:rFonts w:hint="default" w:ascii="Times New Roman" w:hAnsi="Times New Roman" w:eastAsia="方正仿宋_GBK" w:cs="Times New Roman"/>
          <w:color w:val="000000" w:themeColor="text1"/>
          <w:sz w:val="32"/>
          <w:szCs w:val="32"/>
          <w14:textFill>
            <w14:solidFill>
              <w14:schemeClr w14:val="tx1"/>
            </w14:solidFill>
          </w14:textFill>
        </w:rPr>
        <w:t>、红斌公司第二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名；</w:t>
      </w:r>
      <w:r>
        <w:rPr>
          <w:rFonts w:hint="default" w:ascii="Times New Roman" w:hAnsi="Times New Roman" w:eastAsia="方正仿宋_GBK" w:cs="Times New Roman"/>
          <w:color w:val="000000" w:themeColor="text1"/>
          <w:sz w:val="32"/>
          <w:szCs w:val="32"/>
          <w14:textFill>
            <w14:solidFill>
              <w14:schemeClr w14:val="tx1"/>
            </w14:solidFill>
          </w14:textFill>
        </w:rPr>
        <w:t>2020年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度</w:t>
      </w:r>
      <w:r>
        <w:rPr>
          <w:rFonts w:hint="default" w:ascii="Times New Roman" w:hAnsi="Times New Roman" w:eastAsia="方正仿宋_GBK" w:cs="Times New Roman"/>
          <w:color w:val="000000" w:themeColor="text1"/>
          <w:sz w:val="32"/>
          <w:szCs w:val="32"/>
          <w14:textFill>
            <w14:solidFill>
              <w14:schemeClr w14:val="tx1"/>
            </w14:solidFill>
          </w14:textFill>
        </w:rPr>
        <w:t>宏</w:t>
      </w:r>
      <w:r>
        <w:rPr>
          <w:rFonts w:hint="eastAsia" w:ascii="方正仿宋_GBK" w:hAnsi="宋体" w:eastAsia="方正仿宋_GBK"/>
          <w:color w:val="000000" w:themeColor="text1"/>
          <w:sz w:val="32"/>
          <w:szCs w:val="32"/>
          <w14:textFill>
            <w14:solidFill>
              <w14:schemeClr w14:val="tx1"/>
            </w14:solidFill>
          </w14:textFill>
        </w:rPr>
        <w:t>斌</w:t>
      </w:r>
      <w:r>
        <w:rPr>
          <w:rFonts w:hint="eastAsia" w:ascii="方正仿宋_GBK" w:hAnsi="宋体" w:eastAsia="方正仿宋_GBK"/>
          <w:color w:val="000000" w:themeColor="text1"/>
          <w:sz w:val="32"/>
          <w:szCs w:val="32"/>
          <w:lang w:eastAsia="zh-CN"/>
          <w14:textFill>
            <w14:solidFill>
              <w14:schemeClr w14:val="tx1"/>
            </w14:solidFill>
          </w14:textFill>
        </w:rPr>
        <w:t>公司获</w:t>
      </w:r>
      <w:r>
        <w:rPr>
          <w:rFonts w:hint="eastAsia" w:ascii="方正仿宋_GBK" w:hAnsi="宋体" w:eastAsia="方正仿宋_GBK"/>
          <w:color w:val="000000" w:themeColor="text1"/>
          <w:sz w:val="32"/>
          <w:szCs w:val="32"/>
          <w14:textFill>
            <w14:solidFill>
              <w14:schemeClr w14:val="tx1"/>
            </w14:solidFill>
          </w14:textFill>
        </w:rPr>
        <w:t>第一</w:t>
      </w:r>
      <w:r>
        <w:rPr>
          <w:rFonts w:hint="eastAsia" w:ascii="方正仿宋_GBK" w:hAnsi="宋体" w:eastAsia="方正仿宋_GBK"/>
          <w:color w:val="000000" w:themeColor="text1"/>
          <w:sz w:val="32"/>
          <w:szCs w:val="32"/>
          <w:lang w:eastAsia="zh-CN"/>
          <w14:textFill>
            <w14:solidFill>
              <w14:schemeClr w14:val="tx1"/>
            </w14:solidFill>
          </w14:textFill>
        </w:rPr>
        <w:t>名</w:t>
      </w:r>
      <w:r>
        <w:rPr>
          <w:rFonts w:hint="eastAsia" w:ascii="方正仿宋_GBK" w:hAnsi="宋体" w:eastAsia="方正仿宋_GBK"/>
          <w:color w:val="000000" w:themeColor="text1"/>
          <w:sz w:val="32"/>
          <w:szCs w:val="32"/>
          <w14:textFill>
            <w14:solidFill>
              <w14:schemeClr w14:val="tx1"/>
            </w14:solidFill>
          </w14:textFill>
        </w:rPr>
        <w:t>、高原公司第二</w:t>
      </w:r>
      <w:r>
        <w:rPr>
          <w:rFonts w:hint="eastAsia" w:ascii="方正仿宋_GBK" w:hAnsi="宋体" w:eastAsia="方正仿宋_GBK"/>
          <w:color w:val="000000" w:themeColor="text1"/>
          <w:sz w:val="32"/>
          <w:szCs w:val="32"/>
          <w:lang w:eastAsia="zh-CN"/>
          <w14:textFill>
            <w14:solidFill>
              <w14:schemeClr w14:val="tx1"/>
            </w14:solidFill>
          </w14:textFill>
        </w:rPr>
        <w:t>名</w:t>
      </w:r>
      <w:r>
        <w:rPr>
          <w:rFonts w:hint="eastAsia" w:ascii="方正仿宋_GBK" w:hAnsi="宋体" w:eastAsia="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玉溪蔬菜在部份产品领域已经开始掌握主导权，玉溪市被商务部评为云南省第一家</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方正仿宋_GBK" w:hAnsi="方正仿宋_GBK" w:eastAsia="方正仿宋_GBK" w:cs="方正仿宋_GBK"/>
          <w:color w:val="000000" w:themeColor="text1"/>
          <w:sz w:val="32"/>
          <w:szCs w:val="32"/>
          <w14:textFill>
            <w14:solidFill>
              <w14:schemeClr w14:val="tx1"/>
            </w14:solidFill>
          </w14:textFill>
        </w:rPr>
        <w:t>出口转型升级蔬菜基地</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方正仿宋_GBK" w:hAnsi="方正仿宋_GBK" w:eastAsia="方正仿宋_GBK" w:cs="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蔬菜成为玉溪种植业的第一大产业，也是特色产业中发展最快、外向度最高的产业。</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lang w:eastAsia="zh-CN"/>
        </w:rPr>
        <w:t>（七）</w:t>
      </w:r>
      <w:r>
        <w:rPr>
          <w:rFonts w:hint="eastAsia" w:ascii="方正楷体_GBK" w:hAnsi="方正楷体_GBK" w:eastAsia="方正楷体_GBK" w:cs="方正楷体_GBK"/>
          <w:b w:val="0"/>
          <w:bCs w:val="0"/>
          <w:sz w:val="32"/>
          <w:szCs w:val="32"/>
        </w:rPr>
        <w:t>科技水平不断提高。</w:t>
      </w:r>
      <w:r>
        <w:rPr>
          <w:rFonts w:hint="default" w:ascii="Times New Roman" w:hAnsi="Times New Roman" w:eastAsia="方正仿宋_GBK" w:cs="Times New Roman"/>
          <w:sz w:val="32"/>
          <w:szCs w:val="32"/>
        </w:rPr>
        <w:t>我</w:t>
      </w:r>
      <w:r>
        <w:rPr>
          <w:rFonts w:hint="eastAsia"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蔬菜品种、生产技术不断创新与转化，显著提高了产业科技含量和生产技术水平。</w:t>
      </w:r>
      <w:r>
        <w:rPr>
          <w:rFonts w:hint="eastAsia" w:ascii="Times New Roman" w:hAnsi="Times New Roman" w:eastAsia="方正仿宋_GBK" w:cs="Times New Roman"/>
          <w:sz w:val="32"/>
          <w:szCs w:val="32"/>
          <w:lang w:eastAsia="zh-CN"/>
        </w:rPr>
        <w:t>引进推广</w:t>
      </w:r>
      <w:r>
        <w:rPr>
          <w:rFonts w:hint="default" w:ascii="Times New Roman" w:hAnsi="Times New Roman" w:eastAsia="方正仿宋_GBK" w:cs="Times New Roman"/>
          <w:sz w:val="32"/>
          <w:szCs w:val="32"/>
        </w:rPr>
        <w:t>蔬菜优良品种，良种覆盖率达90.00%以上，病虫害综合防治、</w:t>
      </w:r>
      <w:r>
        <w:rPr>
          <w:rFonts w:hint="default" w:ascii="Times New Roman" w:hAnsi="Times New Roman" w:eastAsia="方正仿宋_GBK" w:cs="Times New Roman"/>
          <w:color w:val="000000"/>
          <w:sz w:val="32"/>
          <w:szCs w:val="32"/>
        </w:rPr>
        <w:t>测土配方施肥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sz w:val="32"/>
          <w:szCs w:val="32"/>
        </w:rPr>
        <w:t>节水灌溉</w:t>
      </w:r>
      <w:r>
        <w:rPr>
          <w:rFonts w:hint="eastAsia" w:ascii="Times New Roman" w:hAnsi="Times New Roman" w:eastAsia="方正仿宋_GBK" w:cs="Times New Roman"/>
          <w:sz w:val="32"/>
          <w:szCs w:val="32"/>
          <w:lang w:eastAsia="zh-CN"/>
        </w:rPr>
        <w:t>、工厂化育苗</w:t>
      </w:r>
      <w:r>
        <w:rPr>
          <w:rFonts w:hint="default" w:ascii="Times New Roman" w:hAnsi="Times New Roman" w:eastAsia="方正仿宋_GBK" w:cs="Times New Roman"/>
          <w:sz w:val="32"/>
          <w:szCs w:val="32"/>
        </w:rPr>
        <w:t>等技术取得明显进步。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方正黑体_GBK" w:hAnsi="方正黑体_GBK" w:eastAsia="方正黑体_GBK" w:cs="方正黑体_GBK"/>
          <w:sz w:val="32"/>
          <w:szCs w:val="32"/>
        </w:rPr>
      </w:pPr>
      <w:bookmarkStart w:id="10" w:name="_Toc14639"/>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存在问题</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蔬菜具有鲜活易腐、不耐贮运，生产季节性强、消费弹性系数小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高投入、自然风险与市场风险大等特点。当前，在新的形势下，还存在一些突出问题。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蔬菜价格波动加剧。</w:t>
      </w:r>
      <w:r>
        <w:rPr>
          <w:rFonts w:hint="eastAsia" w:ascii="方正仿宋_GBK" w:hAnsi="方正仿宋_GBK" w:eastAsia="方正仿宋_GBK" w:cs="方正仿宋_GBK"/>
          <w:sz w:val="32"/>
          <w:szCs w:val="32"/>
        </w:rPr>
        <w:t>一是受成本增加等因素影响，蔬菜价格涨幅呈加大趋势。二是受极端天气等因素影响，年际间蔬菜价格波动加大。三是受信息不对称影响，时常发生不同区域同一种蔬菜价格“贵贱两重天”的情况。四是受市场环境等多种因素影响，品种间蔬菜价格差距拉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lang w:eastAsia="zh-CN"/>
        </w:rPr>
        <w:t>（二）</w:t>
      </w:r>
      <w:r>
        <w:rPr>
          <w:rFonts w:hint="eastAsia" w:ascii="方正楷体_GBK" w:hAnsi="方正楷体_GBK" w:eastAsia="方正楷体_GBK" w:cs="方正楷体_GBK"/>
          <w:b w:val="0"/>
          <w:bCs w:val="0"/>
          <w:sz w:val="32"/>
          <w:szCs w:val="32"/>
        </w:rPr>
        <w:t>质量安全隐患仍然突</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出。</w:t>
      </w:r>
      <w:r>
        <w:rPr>
          <w:rFonts w:hint="eastAsia" w:ascii="方正仿宋_GBK" w:hAnsi="方正仿宋_GBK" w:eastAsia="方正仿宋_GBK" w:cs="方正仿宋_GBK"/>
          <w:sz w:val="32"/>
          <w:szCs w:val="32"/>
        </w:rPr>
        <w:t>我</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蔬菜质量总体是安全的、食用是放心的，但局部地区、个别品种农药残留超标问题时有发生。蔬菜生产经营规模小、环节多、产业链长</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sz w:val="32"/>
          <w:szCs w:val="32"/>
        </w:rPr>
        <w:t>杀虫灯、防虫网、</w:t>
      </w:r>
      <w:r>
        <w:rPr>
          <w:rFonts w:hint="eastAsia" w:ascii="方正仿宋_GBK" w:hAnsi="方正仿宋_GBK" w:eastAsia="方正仿宋_GBK" w:cs="方正仿宋_GBK"/>
          <w:sz w:val="32"/>
          <w:szCs w:val="32"/>
          <w:lang w:eastAsia="zh-CN"/>
        </w:rPr>
        <w:t>黄蓝</w:t>
      </w:r>
      <w:r>
        <w:rPr>
          <w:rFonts w:hint="eastAsia" w:ascii="方正仿宋_GBK" w:hAnsi="方正仿宋_GBK" w:eastAsia="方正仿宋_GBK" w:cs="方正仿宋_GBK"/>
          <w:sz w:val="32"/>
          <w:szCs w:val="32"/>
        </w:rPr>
        <w:t>板、</w:t>
      </w:r>
      <w:r>
        <w:rPr>
          <w:rFonts w:hint="eastAsia" w:ascii="方正仿宋_GBK" w:hAnsi="方正仿宋_GBK" w:eastAsia="方正仿宋_GBK" w:cs="方正仿宋_GBK"/>
          <w:sz w:val="32"/>
          <w:szCs w:val="32"/>
          <w:lang w:eastAsia="zh-CN"/>
        </w:rPr>
        <w:t>性诱剂、喷</w:t>
      </w:r>
      <w:r>
        <w:rPr>
          <w:rFonts w:hint="eastAsia" w:ascii="方正仿宋_GBK" w:hAnsi="方正仿宋_GBK" w:eastAsia="方正仿宋_GBK" w:cs="方正仿宋_GBK"/>
          <w:sz w:val="32"/>
          <w:szCs w:val="32"/>
        </w:rPr>
        <w:t>滴灌等生态栽培技术控制农残效果明显，但普及率较低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标准化生产推进力度不大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监管手段弱，监测与追溯体系不健全，致使部分农残超标蔬菜流入市场。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val="0"/>
          <w:sz w:val="32"/>
          <w:szCs w:val="32"/>
          <w:lang w:eastAsia="zh-CN"/>
        </w:rPr>
        <w:t>（三）</w:t>
      </w:r>
      <w:r>
        <w:rPr>
          <w:rFonts w:hint="eastAsia" w:ascii="方正楷体_GBK" w:hAnsi="方正楷体_GBK" w:eastAsia="方正楷体_GBK" w:cs="方正楷体_GBK"/>
          <w:b w:val="0"/>
          <w:bCs w:val="0"/>
          <w:sz w:val="32"/>
          <w:szCs w:val="32"/>
        </w:rPr>
        <w:t>基础设施建设滞后。</w:t>
      </w:r>
      <w:r>
        <w:rPr>
          <w:rFonts w:hint="eastAsia" w:ascii="方正仿宋_GBK" w:hAnsi="方正仿宋_GBK" w:eastAsia="方正仿宋_GBK" w:cs="方正仿宋_GBK"/>
          <w:color w:val="000000" w:themeColor="text1"/>
          <w:sz w:val="32"/>
          <w:szCs w:val="32"/>
          <w14:textFill>
            <w14:solidFill>
              <w14:schemeClr w14:val="tx1"/>
            </w14:solidFill>
          </w14:textFill>
        </w:rPr>
        <w:t>蔬菜产业是玉溪市农业的一大支柱产业，由于投入不足，基地水、电、路、沟渠等基础设施建设滞后。山区蔬菜栽培设施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建设</w:t>
      </w:r>
      <w:r>
        <w:rPr>
          <w:rFonts w:hint="eastAsia" w:ascii="方正仿宋_GBK" w:hAnsi="方正仿宋_GBK" w:eastAsia="方正仿宋_GBK" w:cs="方正仿宋_GBK"/>
          <w:color w:val="000000" w:themeColor="text1"/>
          <w:sz w:val="32"/>
          <w:szCs w:val="32"/>
          <w14:textFill>
            <w14:solidFill>
              <w14:schemeClr w14:val="tx1"/>
            </w14:solidFill>
          </w14:textFill>
        </w:rPr>
        <w:t>缓慢，抗御自然灾害能力较弱，四季供应不平衡，蔬菜生产受市场的约束依然严重。坝区水系水利工程设施老化，部份沟渠淤塞，排灌能力下降，综合抗灾能力脆弱，森林覆盖率较低。水资源短缺、耕地减少和环境污染等问题均需要努力遏制，实现可持续发展的难度加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（四）</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科技创新与转化能力不强。</w:t>
      </w:r>
      <w:r>
        <w:rPr>
          <w:rFonts w:hint="eastAsia" w:ascii="方正仿宋_GBK" w:hAnsi="方正仿宋_GBK" w:eastAsia="方正仿宋_GBK" w:cs="方正仿宋_GBK"/>
          <w:color w:val="000000" w:themeColor="text1"/>
          <w:sz w:val="32"/>
          <w:szCs w:val="32"/>
          <w14:textFill>
            <w14:solidFill>
              <w14:schemeClr w14:val="tx1"/>
            </w14:solidFill>
          </w14:textFill>
        </w:rPr>
        <w:t>蔬菜生产技术力量与规模生产发展不相适应，其技术力量明显不足；新老菜区生产技术差别较大，特别是随着农村青壮年劳动力的大量转移，留守农村的劳动力素质不断下降，许多蔬菜新产区缺少懂蔬菜生产、加工、销售、管理的技术人员；缺乏专用加工品种</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规模原料基地</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不足</w:t>
      </w:r>
      <w:r>
        <w:rPr>
          <w:rFonts w:hint="eastAsia" w:ascii="方正仿宋_GBK" w:hAnsi="方正仿宋_GBK" w:eastAsia="方正仿宋_GBK" w:cs="方正仿宋_GBK"/>
          <w:color w:val="000000" w:themeColor="text1"/>
          <w:sz w:val="32"/>
          <w:szCs w:val="32"/>
          <w14:textFill>
            <w14:solidFill>
              <w14:schemeClr w14:val="tx1"/>
            </w14:solidFill>
          </w14:textFill>
        </w:rPr>
        <w:t>；精品菜、特色菜以及产品合格率与全国相比还有一定差距，成为蔬菜生产发展的“瓶颈”。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（五）</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土地资源与发展需要不匹配的矛盾突出</w:t>
      </w: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“湖泊革命”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加大了“三湖”径流区种植结构调整力度，施行</w:t>
      </w:r>
      <w:r>
        <w:rPr>
          <w:rFonts w:hint="eastAsia" w:ascii="方正仿宋_GBK" w:hAnsi="方正仿宋_GBK" w:eastAsia="方正仿宋_GBK" w:cs="方正仿宋_GBK"/>
          <w:color w:val="000000" w:themeColor="text1"/>
          <w:sz w:val="32"/>
          <w:szCs w:val="32"/>
          <w14:textFill>
            <w14:solidFill>
              <w14:schemeClr w14:val="tx1"/>
            </w14:solidFill>
          </w14:textFill>
        </w:rPr>
        <w:t>“三湖”径流区耕地</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休耕轮作，</w:t>
      </w:r>
      <w:r>
        <w:rPr>
          <w:rFonts w:hint="eastAsia" w:ascii="方正仿宋_GBK" w:hAnsi="方正仿宋_GBK" w:eastAsia="方正仿宋_GBK" w:cs="方正仿宋_GBK"/>
          <w:color w:val="000000" w:themeColor="text1"/>
          <w:sz w:val="32"/>
          <w:szCs w:val="32"/>
          <w14:textFill>
            <w14:solidFill>
              <w14:schemeClr w14:val="tx1"/>
            </w14:solidFill>
          </w14:textFill>
        </w:rPr>
        <w:t>“三湖”径流区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蔬菜</w:t>
      </w:r>
      <w:r>
        <w:rPr>
          <w:rFonts w:hint="eastAsia" w:ascii="方正仿宋_GBK" w:hAnsi="方正仿宋_GBK" w:eastAsia="方正仿宋_GBK" w:cs="方正仿宋_GBK"/>
          <w:color w:val="000000" w:themeColor="text1"/>
          <w:sz w:val="32"/>
          <w:szCs w:val="32"/>
          <w14:textFill>
            <w14:solidFill>
              <w14:schemeClr w14:val="tx1"/>
            </w14:solidFill>
          </w14:textFill>
        </w:rPr>
        <w:t>的种植面积</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锐减，以及</w:t>
      </w:r>
      <w:r>
        <w:rPr>
          <w:rFonts w:hint="eastAsia" w:ascii="方正仿宋_GBK" w:hAnsi="方正仿宋_GBK" w:eastAsia="方正仿宋_GBK" w:cs="方正仿宋_GBK"/>
          <w:color w:val="000000" w:themeColor="text1"/>
          <w:sz w:val="32"/>
          <w:szCs w:val="32"/>
          <w14:textFill>
            <w14:solidFill>
              <w14:schemeClr w14:val="tx1"/>
            </w14:solidFill>
          </w14:textFill>
        </w:rPr>
        <w:t>随着城市化建设的不断扩展</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近郊蔬菜主产区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蔬菜</w:t>
      </w:r>
      <w:r>
        <w:rPr>
          <w:rFonts w:hint="eastAsia" w:ascii="方正仿宋_GBK" w:hAnsi="方正仿宋_GBK" w:eastAsia="方正仿宋_GBK" w:cs="方正仿宋_GBK"/>
          <w:color w:val="000000" w:themeColor="text1"/>
          <w:sz w:val="32"/>
          <w:szCs w:val="32"/>
          <w14:textFill>
            <w14:solidFill>
              <w14:schemeClr w14:val="tx1"/>
            </w14:solidFill>
          </w14:textFill>
        </w:rPr>
        <w:t>种植面积大幅减少，用于农业产业发展的土地存量非常有限，</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蔬菜产业发展与</w:t>
      </w:r>
      <w:r>
        <w:rPr>
          <w:rFonts w:hint="eastAsia" w:ascii="方正仿宋_GBK" w:hAnsi="方正仿宋_GBK" w:eastAsia="方正仿宋_GBK" w:cs="方正仿宋_GBK"/>
          <w:color w:val="000000" w:themeColor="text1"/>
          <w:sz w:val="32"/>
          <w:szCs w:val="32"/>
          <w14:textFill>
            <w14:solidFill>
              <w14:schemeClr w14:val="tx1"/>
            </w14:solidFill>
          </w14:textFill>
        </w:rPr>
        <w:t>土地紧缺的矛盾</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日益突出</w:t>
      </w:r>
      <w:r>
        <w:rPr>
          <w:rFonts w:hint="eastAsia" w:ascii="方正仿宋_GBK" w:hAnsi="方正仿宋_GBK" w:eastAsia="方正仿宋_GBK" w:cs="方正仿宋_GBK"/>
          <w:color w:val="000000" w:themeColor="text1"/>
          <w:sz w:val="32"/>
          <w:szCs w:val="32"/>
          <w14:textFill>
            <w14:solidFill>
              <w14:schemeClr w14:val="tx1"/>
            </w14:solidFill>
          </w14:textFill>
        </w:rPr>
        <w:t>，对蔬菜生产造成了不利</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的</w:t>
      </w:r>
      <w:r>
        <w:rPr>
          <w:rFonts w:hint="eastAsia" w:ascii="方正仿宋_GBK" w:hAnsi="方正仿宋_GBK" w:eastAsia="方正仿宋_GBK" w:cs="方正仿宋_GBK"/>
          <w:color w:val="000000" w:themeColor="text1"/>
          <w:sz w:val="32"/>
          <w:szCs w:val="32"/>
          <w14:textFill>
            <w14:solidFill>
              <w14:schemeClr w14:val="tx1"/>
            </w14:solidFill>
          </w14:textFill>
        </w:rPr>
        <w:t>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（六）</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冷链物流体系建设滞后。</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虽然目前建成的冷库</w:t>
      </w:r>
      <w:r>
        <w:rPr>
          <w:rFonts w:hint="eastAsia" w:ascii="方正仿宋_GBK" w:hAnsi="方正仿宋_GBK" w:eastAsia="方正仿宋_GBK" w:cs="方正仿宋_GBK"/>
          <w:color w:val="000000" w:themeColor="text1"/>
          <w:sz w:val="32"/>
          <w:szCs w:val="32"/>
          <w14:textFill>
            <w14:solidFill>
              <w14:schemeClr w14:val="tx1"/>
            </w14:solidFill>
          </w14:textFill>
        </w:rPr>
        <w:t>数量不少，但布局不均匀，高标准、规模化、集约化的保鲜加工冷藏设施少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难以满足高端市场出口需要。采后处理和冷藏配套设施建设滞后，</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精</w:t>
      </w:r>
      <w:r>
        <w:rPr>
          <w:rFonts w:hint="eastAsia" w:ascii="方正仿宋_GBK" w:hAnsi="方正仿宋_GBK" w:eastAsia="方正仿宋_GBK" w:cs="方正仿宋_GBK"/>
          <w:color w:val="000000" w:themeColor="text1"/>
          <w:sz w:val="32"/>
          <w:szCs w:val="32"/>
          <w14:textFill>
            <w14:solidFill>
              <w14:schemeClr w14:val="tx1"/>
            </w14:solidFill>
          </w14:textFill>
        </w:rPr>
        <w:t>深加工企业偏少，蔬菜加工的综合利用率较低，加工增值缓慢。</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32"/>
          <w:szCs w:val="32"/>
        </w:rPr>
        <w:t>　</w:t>
      </w:r>
      <w:r>
        <w:rPr>
          <w:rFonts w:hint="eastAsia" w:ascii="方正小标宋_GBK" w:hAnsi="方正小标宋_GBK" w:eastAsia="方正小标宋_GBK" w:cs="方正小标宋_GBK"/>
          <w:sz w:val="32"/>
          <w:szCs w:val="32"/>
          <w:lang w:val="en-US" w:eastAsia="zh-CN"/>
        </w:rPr>
        <w:t xml:space="preserve">     </w:t>
      </w:r>
      <w:r>
        <w:rPr>
          <w:rFonts w:hint="eastAsia" w:ascii="方正小标宋_GBK" w:hAnsi="方正小标宋_GBK" w:eastAsia="方正小标宋_GBK" w:cs="方正小标宋_GBK"/>
          <w:sz w:val="44"/>
          <w:szCs w:val="44"/>
          <w:lang w:val="en-US" w:eastAsia="zh-CN"/>
        </w:rPr>
        <w:t xml:space="preserve">  </w:t>
      </w:r>
    </w:p>
    <w:p>
      <w:pPr>
        <w:keepNext w:val="0"/>
        <w:keepLines w:val="0"/>
        <w:pageBreakBefore w:val="0"/>
        <w:widowControl w:val="0"/>
        <w:kinsoku/>
        <w:wordWrap/>
        <w:overflowPunct/>
        <w:topLinePunct w:val="0"/>
        <w:bidi w:val="0"/>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sz w:val="36"/>
          <w:szCs w:val="36"/>
        </w:rPr>
      </w:pPr>
      <w:bookmarkStart w:id="11" w:name="_Toc10071"/>
      <w:r>
        <w:rPr>
          <w:rFonts w:hint="eastAsia" w:ascii="方正小标宋_GBK" w:hAnsi="方正小标宋_GBK" w:eastAsia="方正小标宋_GBK" w:cs="方正小标宋_GBK"/>
          <w:sz w:val="36"/>
          <w:szCs w:val="36"/>
        </w:rPr>
        <w:t>第二章</w:t>
      </w:r>
      <w:r>
        <w:rPr>
          <w:rFonts w:hint="eastAsia" w:ascii="方正小标宋_GBK" w:hAnsi="方正小标宋_GBK" w:eastAsia="方正小标宋_GBK" w:cs="方正小标宋_GBK"/>
          <w:sz w:val="36"/>
          <w:szCs w:val="36"/>
          <w:lang w:val="en-US" w:eastAsia="zh-CN"/>
        </w:rPr>
        <w:t xml:space="preserve">  </w:t>
      </w:r>
      <w:r>
        <w:rPr>
          <w:rFonts w:hint="eastAsia" w:ascii="方正小标宋_GBK" w:hAnsi="方正小标宋_GBK" w:eastAsia="方正小标宋_GBK" w:cs="方正小标宋_GBK"/>
          <w:sz w:val="36"/>
          <w:szCs w:val="36"/>
        </w:rPr>
        <w:t>总体要求</w:t>
      </w:r>
      <w:bookmarkEnd w:id="11"/>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方正黑体_GBK" w:hAnsi="方正黑体_GBK" w:eastAsia="方正黑体_GBK" w:cs="方正黑体_GBK"/>
          <w:sz w:val="32"/>
          <w:szCs w:val="32"/>
        </w:rPr>
      </w:pPr>
      <w:bookmarkStart w:id="12" w:name="_Toc31065"/>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指导思想</w:t>
      </w:r>
      <w:bookmarkEnd w:id="12"/>
    </w:p>
    <w:p>
      <w:pPr>
        <w:keepNext w:val="0"/>
        <w:keepLines w:val="0"/>
        <w:pageBreakBefore w:val="0"/>
        <w:widowControl w:val="0"/>
        <w:pBdr>
          <w:bottom w:val="single" w:color="FFFFFF" w:sz="4" w:space="15"/>
        </w:pBdr>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lang w:eastAsia="zh-CN"/>
        </w:rPr>
      </w:pPr>
      <w:r>
        <w:rPr>
          <w:rFonts w:hint="default" w:ascii="Times New Roman" w:hAnsi="Times New Roman" w:eastAsia="方正仿宋_GBK" w:cs="Times New Roman"/>
          <w:color w:val="auto"/>
          <w:kern w:val="0"/>
          <w:sz w:val="32"/>
          <w:szCs w:val="32"/>
        </w:rPr>
        <w:t>以习近平新时代中国特色社会主义思想为指导，深入贯彻党的十九大、十九届二中、三中、四中、五中全会精神，认真贯彻习近平总书记考察云南重要讲话精神</w:t>
      </w:r>
      <w:r>
        <w:rPr>
          <w:rFonts w:hint="eastAsia" w:ascii="Times New Roman" w:hAnsi="Times New Roman" w:eastAsia="方正仿宋_GBK" w:cs="Times New Roman"/>
          <w:color w:val="auto"/>
          <w:kern w:val="0"/>
          <w:sz w:val="32"/>
          <w:szCs w:val="32"/>
          <w:lang w:eastAsia="zh-CN"/>
        </w:rPr>
        <w:t>，全面落实省委省政府玉溪现场办公会要求</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坚持稳中求进工作总基调，立足新发展阶段，贯彻新发展理念，构建新发展格局，坚持创新驱动发展，深化农业供给侧结构性改革，高水平打造世界一流</w:t>
      </w:r>
      <w:r>
        <w:rPr>
          <w:rFonts w:hint="eastAsia" w:ascii="方正仿宋_GBK" w:hAnsi="方正仿宋_GBK" w:eastAsia="方正仿宋_GBK" w:cs="方正仿宋_GBK"/>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绿色食品牌</w:t>
      </w:r>
      <w:r>
        <w:rPr>
          <w:rFonts w:hint="eastAsia" w:ascii="方正仿宋_GBK" w:hAnsi="方正仿宋_GBK" w:eastAsia="方正仿宋_GBK" w:cs="方正仿宋_GBK"/>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，全力保障粮食安全和重要农副产品有效供给，巩固拓展脱贫攻坚成果，全面推进乡村振兴，加快农业农村现代化，</w:t>
      </w:r>
      <w:r>
        <w:rPr>
          <w:rFonts w:hint="default" w:ascii="Times New Roman" w:hAnsi="Times New Roman" w:eastAsia="方正仿宋_GBK" w:cs="Times New Roman"/>
          <w:color w:val="auto"/>
          <w:kern w:val="0"/>
          <w:sz w:val="32"/>
          <w:szCs w:val="32"/>
        </w:rPr>
        <w:t>推动农业全面升级、农村全面进步、农民全面发展</w:t>
      </w:r>
      <w:r>
        <w:rPr>
          <w:rFonts w:hint="default" w:ascii="Times New Roman" w:hAnsi="Times New Roman" w:eastAsia="方正仿宋_GBK" w:cs="Times New Roman"/>
          <w:color w:val="auto"/>
          <w:kern w:val="0"/>
          <w:sz w:val="32"/>
          <w:szCs w:val="32"/>
          <w:lang w:eastAsia="zh-CN"/>
        </w:rPr>
        <w:t>，实现农业高质高效、农村宜居宜业、农民富裕富足</w:t>
      </w:r>
      <w:r>
        <w:rPr>
          <w:rFonts w:hint="default" w:ascii="Times New Roman" w:hAnsi="Times New Roman" w:eastAsia="方正仿宋_GBK" w:cs="Times New Roman"/>
          <w:color w:val="auto"/>
          <w:sz w:val="32"/>
          <w:lang w:eastAsia="zh-CN"/>
        </w:rPr>
        <w:t>。</w:t>
      </w:r>
    </w:p>
    <w:p>
      <w:pPr>
        <w:keepNext w:val="0"/>
        <w:keepLines w:val="0"/>
        <w:pageBreakBefore w:val="0"/>
        <w:widowControl w:val="0"/>
        <w:pBdr>
          <w:bottom w:val="single" w:color="FFFFFF" w:sz="4" w:space="15"/>
        </w:pBdr>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按照“规模化、标准化、品牌化、市场化”的发展思路，</w:t>
      </w:r>
      <w:r>
        <w:rPr>
          <w:rFonts w:hint="default" w:ascii="Times New Roman" w:hAnsi="Times New Roman" w:eastAsia="方正仿宋_GBK" w:cs="Times New Roman"/>
          <w:sz w:val="32"/>
          <w:szCs w:val="32"/>
        </w:rPr>
        <w:t>以市场需求为导向，以科技创新为支撑，坚持市场调节与政府调控相结合，以绿色、精细、特色、名牌产品为突破口，加快转变蔬菜产业发展方式，以</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优质、高产、高效、生态、安全</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为目标，强化政策扶持、项目引导和示范带动，提高基地化、规模化、集约化种植水平，优化种植品种、生产区域与上市季节，健全完善市场流通体系，扩大</w:t>
      </w:r>
      <w:r>
        <w:rPr>
          <w:rFonts w:hint="eastAsia" w:ascii="方正仿宋_GBK" w:hAnsi="方正仿宋_GBK" w:eastAsia="方正仿宋_GBK" w:cs="方正仿宋_GBK"/>
          <w:sz w:val="32"/>
          <w:szCs w:val="32"/>
          <w:lang w:eastAsia="zh-CN"/>
        </w:rPr>
        <w:t>“三品一标”产</w:t>
      </w:r>
      <w:r>
        <w:rPr>
          <w:rFonts w:hint="eastAsia" w:ascii="方正仿宋_GBK" w:hAnsi="方正仿宋_GBK" w:eastAsia="方正仿宋_GBK" w:cs="方正仿宋_GBK"/>
          <w:sz w:val="32"/>
          <w:szCs w:val="32"/>
        </w:rPr>
        <w:t>品</w:t>
      </w:r>
      <w:r>
        <w:rPr>
          <w:rFonts w:hint="default" w:ascii="Times New Roman" w:hAnsi="Times New Roman" w:eastAsia="方正仿宋_GBK" w:cs="Times New Roman"/>
          <w:sz w:val="32"/>
          <w:szCs w:val="32"/>
        </w:rPr>
        <w:t>认证比例，立足产加销一体化发展，提升蔬菜产业的综合生产能力与核心竞争力，实现生产、生态有机统一，构建生产稳定发展、产销衔接顺畅、质量安全可靠、市场波动可控的现代蔬菜产业体系，全面提升产业化经营水平，使蔬菜产业真正成为富民强县的优势特色产业。</w:t>
      </w:r>
    </w:p>
    <w:p>
      <w:pPr>
        <w:keepNext w:val="0"/>
        <w:keepLines w:val="0"/>
        <w:pageBreakBefore w:val="0"/>
        <w:widowControl w:val="0"/>
        <w:pBdr>
          <w:bottom w:val="single" w:color="FFFFFF" w:sz="4" w:space="15"/>
        </w:pBdr>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rPr>
        <w:t>基本原则</w:t>
      </w:r>
    </w:p>
    <w:p>
      <w:pPr>
        <w:keepNext w:val="0"/>
        <w:keepLines w:val="0"/>
        <w:pageBreakBefore w:val="0"/>
        <w:widowControl w:val="0"/>
        <w:numPr>
          <w:ilvl w:val="0"/>
          <w:numId w:val="1"/>
        </w:numPr>
        <w:pBdr>
          <w:bottom w:val="single" w:color="FFFFFF" w:sz="4" w:space="15"/>
        </w:pBdr>
        <w:kinsoku/>
        <w:wordWrap/>
        <w:overflowPunct/>
        <w:topLinePunct w:val="0"/>
        <w:autoSpaceDE w:val="0"/>
        <w:autoSpaceDN w:val="0"/>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b w:val="0"/>
          <w:bCs w:val="0"/>
          <w:sz w:val="32"/>
          <w:szCs w:val="32"/>
        </w:rPr>
        <w:t>市场导向，</w:t>
      </w:r>
      <w:r>
        <w:rPr>
          <w:rFonts w:hint="eastAsia" w:ascii="方正楷体_GBK" w:hAnsi="方正楷体_GBK" w:eastAsia="方正楷体_GBK" w:cs="方正楷体_GBK"/>
          <w:b w:val="0"/>
          <w:bCs w:val="0"/>
          <w:sz w:val="32"/>
          <w:szCs w:val="32"/>
          <w:lang w:eastAsia="zh-CN"/>
        </w:rPr>
        <w:t>满足需求</w:t>
      </w:r>
      <w:r>
        <w:rPr>
          <w:rFonts w:hint="eastAsia" w:ascii="方正楷体_GBK" w:hAnsi="方正楷体_GBK" w:eastAsia="方正楷体_GBK" w:cs="方正楷体_GBK"/>
          <w:b w:val="0"/>
          <w:bCs w:val="0"/>
          <w:sz w:val="32"/>
          <w:szCs w:val="32"/>
        </w:rPr>
        <w:t>。</w:t>
      </w:r>
      <w:r>
        <w:rPr>
          <w:rFonts w:hint="default" w:ascii="Times New Roman" w:hAnsi="Times New Roman" w:eastAsia="方正仿宋_GBK" w:cs="Times New Roman"/>
          <w:sz w:val="32"/>
          <w:szCs w:val="32"/>
        </w:rPr>
        <w:t>根据目标市场，科学合理确定种植品种、生产规模、上市时间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把握鲜活蔬菜产品特性，</w:t>
      </w:r>
      <w:r>
        <w:rPr>
          <w:rFonts w:hint="eastAsia" w:ascii="Times New Roman" w:hAnsi="Times New Roman" w:eastAsia="方正仿宋_GBK" w:cs="Times New Roman"/>
          <w:sz w:val="32"/>
          <w:szCs w:val="32"/>
          <w:lang w:eastAsia="zh-CN"/>
        </w:rPr>
        <w:t>保证市场供应，满足市场需求。</w:t>
      </w:r>
    </w:p>
    <w:p>
      <w:pPr>
        <w:keepNext w:val="0"/>
        <w:keepLines w:val="0"/>
        <w:pageBreakBefore w:val="0"/>
        <w:widowControl w:val="0"/>
        <w:numPr>
          <w:ilvl w:val="0"/>
          <w:numId w:val="1"/>
        </w:numPr>
        <w:pBdr>
          <w:bottom w:val="single" w:color="FFFFFF" w:sz="4" w:space="15"/>
        </w:pBdr>
        <w:kinsoku/>
        <w:wordWrap/>
        <w:overflowPunct/>
        <w:topLinePunct w:val="0"/>
        <w:autoSpaceDE w:val="0"/>
        <w:autoSpaceDN w:val="0"/>
        <w:bidi w:val="0"/>
        <w:adjustRightInd w:val="0"/>
        <w:snapToGrid w:val="0"/>
        <w:spacing w:line="56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因地制宜，突出特色。</w:t>
      </w:r>
      <w:r>
        <w:rPr>
          <w:rFonts w:hint="default" w:ascii="Times New Roman" w:hAnsi="Times New Roman" w:eastAsia="方正仿宋_GBK" w:cs="Times New Roman"/>
          <w:sz w:val="32"/>
          <w:szCs w:val="32"/>
        </w:rPr>
        <w:t>发挥高原平坝区和山区生态优势，以满足和丰富城市供应为基础，调整优化品种结构，发展具有明显地域特色的外向型蔬菜生产，实施品牌战略，以发展有机、绿色食品基地为保障，实现产量、质量和效益的统一。</w:t>
      </w:r>
    </w:p>
    <w:p>
      <w:pPr>
        <w:keepNext w:val="0"/>
        <w:keepLines w:val="0"/>
        <w:pageBreakBefore w:val="0"/>
        <w:widowControl w:val="0"/>
        <w:numPr>
          <w:ilvl w:val="0"/>
          <w:numId w:val="1"/>
        </w:numPr>
        <w:pBdr>
          <w:bottom w:val="single" w:color="FFFFFF" w:sz="4" w:space="15"/>
        </w:pBdr>
        <w:kinsoku/>
        <w:wordWrap/>
        <w:overflowPunct/>
        <w:topLinePunct w:val="0"/>
        <w:autoSpaceDE w:val="0"/>
        <w:autoSpaceDN w:val="0"/>
        <w:bidi w:val="0"/>
        <w:adjustRightInd w:val="0"/>
        <w:snapToGrid w:val="0"/>
        <w:spacing w:line="56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保护环境，绿色发展。</w:t>
      </w:r>
      <w:r>
        <w:rPr>
          <w:rFonts w:hint="default" w:ascii="Times New Roman" w:hAnsi="Times New Roman" w:eastAsia="方正仿宋_GBK" w:cs="Times New Roman"/>
          <w:sz w:val="32"/>
          <w:szCs w:val="32"/>
        </w:rPr>
        <w:t>全面推行清洁化生产和标准化生产，发展循环蔬菜，改善生产条件，保障蔬菜产业可持续发展。</w:t>
      </w:r>
    </w:p>
    <w:p>
      <w:pPr>
        <w:keepNext w:val="0"/>
        <w:keepLines w:val="0"/>
        <w:pageBreakBefore w:val="0"/>
        <w:widowControl w:val="0"/>
        <w:numPr>
          <w:ilvl w:val="0"/>
          <w:numId w:val="1"/>
        </w:numPr>
        <w:pBdr>
          <w:bottom w:val="single" w:color="FFFFFF" w:sz="4" w:space="15"/>
        </w:pBdr>
        <w:kinsoku/>
        <w:wordWrap/>
        <w:overflowPunct/>
        <w:topLinePunct w:val="0"/>
        <w:autoSpaceDE w:val="0"/>
        <w:autoSpaceDN w:val="0"/>
        <w:bidi w:val="0"/>
        <w:adjustRightInd w:val="0"/>
        <w:snapToGrid w:val="0"/>
        <w:spacing w:line="56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统筹城乡，协调发展。</w:t>
      </w:r>
      <w:r>
        <w:rPr>
          <w:rFonts w:hint="default" w:ascii="Times New Roman" w:hAnsi="Times New Roman" w:eastAsia="方正仿宋_GBK" w:cs="Times New Roman"/>
          <w:sz w:val="32"/>
          <w:szCs w:val="32"/>
        </w:rPr>
        <w:t>统筹</w:t>
      </w:r>
      <w:r>
        <w:rPr>
          <w:rFonts w:hint="eastAsia" w:ascii="Times New Roman" w:hAnsi="Times New Roman" w:eastAsia="方正仿宋_GBK" w:cs="Times New Roman"/>
          <w:sz w:val="32"/>
          <w:szCs w:val="32"/>
          <w:lang w:eastAsia="zh-CN"/>
        </w:rPr>
        <w:t>常年蔬菜与季节蔬菜、</w:t>
      </w:r>
      <w:r>
        <w:rPr>
          <w:rFonts w:hint="default" w:ascii="Times New Roman" w:hAnsi="Times New Roman" w:eastAsia="方正仿宋_GBK" w:cs="Times New Roman"/>
          <w:sz w:val="32"/>
          <w:szCs w:val="32"/>
        </w:rPr>
        <w:t>设施蔬菜与露地蔬菜、精细菜与大路菜协调发展，满足不同市场、不同层次的消费需求。</w:t>
      </w:r>
    </w:p>
    <w:p>
      <w:pPr>
        <w:keepNext w:val="0"/>
        <w:keepLines w:val="0"/>
        <w:pageBreakBefore w:val="0"/>
        <w:widowControl w:val="0"/>
        <w:numPr>
          <w:ilvl w:val="0"/>
          <w:numId w:val="1"/>
        </w:numPr>
        <w:pBdr>
          <w:bottom w:val="single" w:color="FFFFFF" w:sz="4" w:space="15"/>
        </w:pBdr>
        <w:kinsoku/>
        <w:wordWrap/>
        <w:overflowPunct/>
        <w:topLinePunct w:val="0"/>
        <w:autoSpaceDE w:val="0"/>
        <w:autoSpaceDN w:val="0"/>
        <w:bidi w:val="0"/>
        <w:adjustRightInd w:val="0"/>
        <w:snapToGrid w:val="0"/>
        <w:spacing w:line="560" w:lineRule="exact"/>
        <w:ind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sz w:val="32"/>
          <w:szCs w:val="32"/>
        </w:rPr>
        <w:t>市场调节，政府调控。</w:t>
      </w:r>
      <w:r>
        <w:rPr>
          <w:rFonts w:hint="default" w:ascii="Times New Roman" w:hAnsi="Times New Roman" w:eastAsia="方正仿宋_GBK" w:cs="Times New Roman"/>
          <w:sz w:val="32"/>
          <w:szCs w:val="32"/>
        </w:rPr>
        <w:t>充分发挥市场机制在蔬菜产业中资源配置的决定性作用，加大政府对</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菜篮子</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sz w:val="32"/>
          <w:szCs w:val="32"/>
        </w:rPr>
        <w:t>工程基础设施的投入力度，为</w:t>
      </w:r>
      <w:r>
        <w:rPr>
          <w:rFonts w:hint="eastAsia" w:ascii="方正仿宋_GBK" w:hAnsi="方正仿宋_GBK" w:eastAsia="方正仿宋_GBK" w:cs="方正仿宋_GBK"/>
          <w:sz w:val="32"/>
          <w:szCs w:val="32"/>
        </w:rPr>
        <w:t>“菜篮子”</w:t>
      </w:r>
      <w:r>
        <w:rPr>
          <w:rFonts w:hint="default" w:ascii="Times New Roman" w:hAnsi="Times New Roman" w:eastAsia="方正仿宋_GBK" w:cs="Times New Roman"/>
          <w:sz w:val="32"/>
          <w:szCs w:val="32"/>
        </w:rPr>
        <w:t>稳定发展和保障居民消费提供良好的公共服务，通过加强基础设施建设和设施化生产，坚持以优质、高效为主体，提高产品档次，促进效益持续增长。</w:t>
      </w:r>
    </w:p>
    <w:p>
      <w:pPr>
        <w:keepNext w:val="0"/>
        <w:keepLines w:val="0"/>
        <w:pageBreakBefore w:val="0"/>
        <w:widowControl w:val="0"/>
        <w:numPr>
          <w:ilvl w:val="0"/>
          <w:numId w:val="0"/>
        </w:numPr>
        <w:pBdr>
          <w:bottom w:val="single" w:color="FFFFFF" w:sz="4" w:space="15"/>
        </w:pBdr>
        <w:kinsoku/>
        <w:wordWrap/>
        <w:overflowPunct/>
        <w:topLinePunct w:val="0"/>
        <w:autoSpaceDE w:val="0"/>
        <w:autoSpaceDN w:val="0"/>
        <w:bidi w:val="0"/>
        <w:adjustRightInd w:val="0"/>
        <w:snapToGrid w:val="0"/>
        <w:spacing w:line="560" w:lineRule="exact"/>
        <w:ind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rPr>
        <w:t>发展目标</w:t>
      </w:r>
    </w:p>
    <w:p>
      <w:pPr>
        <w:keepNext w:val="0"/>
        <w:keepLines w:val="0"/>
        <w:pageBreakBefore w:val="0"/>
        <w:widowControl w:val="0"/>
        <w:numPr>
          <w:ilvl w:val="0"/>
          <w:numId w:val="0"/>
        </w:numPr>
        <w:pBdr>
          <w:bottom w:val="single" w:color="FFFFFF" w:sz="4" w:space="15"/>
        </w:pBdr>
        <w:kinsoku/>
        <w:wordWrap/>
        <w:overflowPunct/>
        <w:topLinePunct w:val="0"/>
        <w:autoSpaceDE w:val="0"/>
        <w:autoSpaceDN w:val="0"/>
        <w:bidi w:val="0"/>
        <w:adjustRightInd w:val="0"/>
        <w:snapToGrid w:val="0"/>
        <w:spacing w:line="560" w:lineRule="exact"/>
        <w:ind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根据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14:textFill>
            <w14:solidFill>
              <w14:schemeClr w14:val="tx1"/>
            </w14:solidFill>
          </w14:textFill>
        </w:rPr>
        <w:t>市农业资源的比较优势和</w:t>
      </w:r>
      <w:r>
        <w:rPr>
          <w:rFonts w:hint="eastAsia" w:ascii="方正仿宋_GBK" w:hAnsi="方正仿宋_GBK" w:eastAsia="方正仿宋_GBK" w:cs="方正仿宋_GBK"/>
          <w:color w:val="000000" w:themeColor="text1"/>
          <w:sz w:val="32"/>
          <w:szCs w:val="32"/>
          <w14:textFill>
            <w14:solidFill>
              <w14:schemeClr w14:val="tx1"/>
            </w14:solidFill>
          </w14:textFill>
        </w:rPr>
        <w:t>“滇中城市经济圈一体化”</w:t>
      </w:r>
      <w:r>
        <w:rPr>
          <w:rFonts w:hint="default" w:ascii="Times New Roman" w:hAnsi="Times New Roman" w:eastAsia="方正仿宋_GBK" w:cs="Times New Roman"/>
          <w:color w:val="000000" w:themeColor="text1"/>
          <w:sz w:val="32"/>
          <w:szCs w:val="32"/>
          <w14:textFill>
            <w14:solidFill>
              <w14:schemeClr w14:val="tx1"/>
            </w14:solidFill>
          </w14:textFill>
        </w:rPr>
        <w:t>的要求，遵循可持续发展的原则，玉溪市蔬菜产业整体定位为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打造全国露地蔬菜示范区</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“南菜北运”和“西菜东运”生</w:t>
      </w:r>
      <w:r>
        <w:rPr>
          <w:rFonts w:hint="default" w:ascii="Times New Roman" w:hAnsi="Times New Roman" w:eastAsia="方正仿宋_GBK" w:cs="Times New Roman"/>
          <w:color w:val="000000" w:themeColor="text1"/>
          <w:sz w:val="32"/>
          <w:szCs w:val="32"/>
          <w14:textFill>
            <w14:solidFill>
              <w14:schemeClr w14:val="tx1"/>
            </w14:solidFill>
          </w14:textFill>
        </w:rPr>
        <w:t>产基地</w:t>
      </w:r>
      <w:r>
        <w:rPr>
          <w:rFonts w:hint="default" w:ascii="Times New Roman" w:hAnsi="Times New Roman" w:eastAsia="方正仿宋_GBK" w:cs="Times New Roman"/>
          <w:color w:val="000000"/>
          <w:sz w:val="32"/>
          <w:szCs w:val="32"/>
        </w:rPr>
        <w:drawing>
          <wp:anchor distT="0" distB="0" distL="0" distR="0" simplePos="0" relativeHeight="251660288" behindDoc="1" locked="0" layoutInCell="1" allowOverlap="1">
            <wp:simplePos x="0" y="0"/>
            <wp:positionH relativeFrom="column">
              <wp:posOffset>641985</wp:posOffset>
            </wp:positionH>
            <wp:positionV relativeFrom="paragraph">
              <wp:posOffset>5461635</wp:posOffset>
            </wp:positionV>
            <wp:extent cx="4620260" cy="2368550"/>
            <wp:effectExtent l="0" t="0" r="66040" b="50800"/>
            <wp:wrapTight wrapText="bothSides">
              <wp:wrapPolygon>
                <wp:start x="4720" y="0"/>
                <wp:lineTo x="4008" y="174"/>
                <wp:lineTo x="1692" y="2258"/>
                <wp:lineTo x="1425" y="3301"/>
                <wp:lineTo x="445" y="5559"/>
                <wp:lineTo x="89" y="7470"/>
                <wp:lineTo x="0" y="8165"/>
                <wp:lineTo x="0" y="13898"/>
                <wp:lineTo x="712" y="16678"/>
                <wp:lineTo x="2137" y="19457"/>
                <wp:lineTo x="2226" y="19979"/>
                <wp:lineTo x="5165" y="21890"/>
                <wp:lineTo x="6234" y="21890"/>
                <wp:lineTo x="9440" y="21542"/>
                <wp:lineTo x="18792" y="19979"/>
                <wp:lineTo x="18970" y="19457"/>
                <wp:lineTo x="20751" y="16678"/>
                <wp:lineTo x="21463" y="13898"/>
                <wp:lineTo x="21731" y="11118"/>
                <wp:lineTo x="21553" y="8339"/>
                <wp:lineTo x="20840" y="5386"/>
                <wp:lineTo x="19415" y="3127"/>
                <wp:lineTo x="19059" y="2780"/>
                <wp:lineTo x="19237" y="2085"/>
                <wp:lineTo x="16832" y="1564"/>
                <wp:lineTo x="6323" y="0"/>
                <wp:lineTo x="4720" y="0"/>
              </wp:wrapPolygon>
            </wp:wrapTight>
            <wp:docPr id="1" name="对象 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8219886" cy="4502310"/>
                      <a:chOff x="500034" y="1214422"/>
                      <a:chExt cx="8219886" cy="4502310"/>
                    </a:xfrm>
                  </a:grpSpPr>
                  <a:grpSp>
                    <a:nvGrpSpPr>
                      <a:cNvPr id="4" name="组合 3"/>
                      <a:cNvGrpSpPr/>
                    </a:nvGrpSpPr>
                    <a:grpSpPr>
                      <a:xfrm>
                        <a:off x="500034" y="1214422"/>
                        <a:ext cx="8219886" cy="4502310"/>
                        <a:chOff x="1243876" y="1050543"/>
                        <a:chExt cx="8219886" cy="4502310"/>
                      </a:xfrm>
                    </a:grpSpPr>
                    <a:grpSp>
                      <a:nvGrpSpPr>
                        <a:cNvPr id="3" name="组合 4"/>
                        <a:cNvGrpSpPr/>
                      </a:nvGrpSpPr>
                      <a:grpSpPr>
                        <a:xfrm>
                          <a:off x="5619550" y="1428136"/>
                          <a:ext cx="3844212" cy="3844212"/>
                          <a:chOff x="756306" y="1163870"/>
                          <a:chExt cx="3844212" cy="3844212"/>
                        </a:xfrm>
                      </a:grpSpPr>
                      <a:sp>
                        <a:nvSpPr>
                          <a:cNvPr id="25" name="椭圆 24"/>
                          <a:cNvSpPr/>
                        </a:nvSpPr>
                        <a:spPr>
                          <a:xfrm rot="10800000">
                            <a:off x="756306" y="1163870"/>
                            <a:ext cx="3844212" cy="3844212"/>
                          </a:xfrm>
                          <a:prstGeom prst="ellipse">
                            <a:avLst/>
                          </a:prstGeom>
                          <a:gradFill>
                            <a:gsLst>
                              <a:gs pos="53000">
                                <a:schemeClr val="accent1">
                                  <a:lumMod val="45000"/>
                                  <a:lumOff val="55000"/>
                                  <a:alpha val="0"/>
                                </a:schemeClr>
                              </a:gs>
                              <a:gs pos="0">
                                <a:schemeClr val="accent5">
                                  <a:lumMod val="75000"/>
                                </a:schemeClr>
                              </a:gs>
                            </a:gsLst>
                            <a:lin ang="0" scaled="1"/>
                          </a:gra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文本框 37"/>
                          <a:cNvSpPr txBox="1"/>
                        </a:nvSpPr>
                        <a:spPr>
                          <a:xfrm>
                            <a:off x="3137726" y="1617930"/>
                            <a:ext cx="646331"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互联网</a:t>
                              </a:r>
                              <a:endParaRPr lang="zh-CN" altLang="en-US" sz="1200" dirty="0">
                                <a:latin typeface="黑体" panose="02010609060101010101" charset="-122"/>
                                <a:ea typeface="黑体" panose="02010609060101010101" charset="-122"/>
                              </a:endParaRPr>
                            </a:p>
                          </a:txBody>
                          <a:useSpRect/>
                        </a:txSp>
                      </a:sp>
                      <a:sp>
                        <a:nvSpPr>
                          <a:cNvPr id="27" name="文本框 39"/>
                          <a:cNvSpPr txBox="1"/>
                        </a:nvSpPr>
                        <a:spPr>
                          <a:xfrm>
                            <a:off x="3398271" y="2416508"/>
                            <a:ext cx="646331"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物联网</a:t>
                              </a:r>
                              <a:endParaRPr lang="zh-CN" altLang="en-US" sz="1200" dirty="0">
                                <a:latin typeface="黑体" panose="02010609060101010101" charset="-122"/>
                                <a:ea typeface="黑体" panose="02010609060101010101" charset="-122"/>
                              </a:endParaRPr>
                            </a:p>
                          </a:txBody>
                          <a:useSpRect/>
                        </a:txSp>
                      </a:sp>
                      <a:sp>
                        <a:nvSpPr>
                          <a:cNvPr id="28" name="文本框 40"/>
                          <a:cNvSpPr txBox="1"/>
                        </a:nvSpPr>
                        <a:spPr>
                          <a:xfrm>
                            <a:off x="3401332" y="3087067"/>
                            <a:ext cx="646331"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云计算</a:t>
                              </a:r>
                              <a:endParaRPr lang="zh-CN" altLang="en-US" sz="1200" dirty="0">
                                <a:latin typeface="黑体" panose="02010609060101010101" charset="-122"/>
                                <a:ea typeface="黑体" panose="02010609060101010101" charset="-122"/>
                              </a:endParaRPr>
                            </a:p>
                          </a:txBody>
                          <a:useSpRect/>
                        </a:txSp>
                      </a:sp>
                      <a:sp>
                        <a:nvSpPr>
                          <a:cNvPr id="29" name="文本框 41"/>
                          <a:cNvSpPr txBox="1"/>
                        </a:nvSpPr>
                        <a:spPr>
                          <a:xfrm>
                            <a:off x="3283535" y="3784923"/>
                            <a:ext cx="646331"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大数据</a:t>
                              </a:r>
                              <a:endParaRPr lang="zh-CN" altLang="en-US" sz="1200" dirty="0">
                                <a:latin typeface="黑体" panose="02010609060101010101" charset="-122"/>
                                <a:ea typeface="黑体" panose="02010609060101010101" charset="-122"/>
                              </a:endParaRPr>
                            </a:p>
                          </a:txBody>
                          <a:useSpRect/>
                        </a:txSp>
                      </a:sp>
                    </a:grpSp>
                    <a:grpSp>
                      <a:nvGrpSpPr>
                        <a:cNvPr id="5" name="组合 5"/>
                        <a:cNvGrpSpPr/>
                      </a:nvGrpSpPr>
                      <a:grpSpPr>
                        <a:xfrm>
                          <a:off x="1243876" y="1050543"/>
                          <a:ext cx="4502310" cy="4502310"/>
                          <a:chOff x="1243876" y="1050543"/>
                          <a:chExt cx="4502310" cy="4502310"/>
                        </a:xfrm>
                      </a:grpSpPr>
                      <a:sp>
                        <a:nvSpPr>
                          <a:cNvPr id="20" name="椭圆 19"/>
                          <a:cNvSpPr/>
                        </a:nvSpPr>
                        <a:spPr>
                          <a:xfrm>
                            <a:off x="1243876" y="1050543"/>
                            <a:ext cx="4502310" cy="4502310"/>
                          </a:xfrm>
                          <a:prstGeom prst="ellipse">
                            <a:avLst/>
                          </a:prstGeom>
                          <a:gradFill>
                            <a:gsLst>
                              <a:gs pos="53000">
                                <a:schemeClr val="accent1">
                                  <a:lumMod val="45000"/>
                                  <a:lumOff val="55000"/>
                                  <a:alpha val="0"/>
                                </a:schemeClr>
                              </a:gs>
                              <a:gs pos="0">
                                <a:srgbClr val="92D050"/>
                              </a:gs>
                            </a:gsLst>
                            <a:lin ang="0" scaled="1"/>
                          </a:gra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文本框 28"/>
                          <a:cNvSpPr txBox="1"/>
                        </a:nvSpPr>
                        <a:spPr>
                          <a:xfrm>
                            <a:off x="2248129" y="1367224"/>
                            <a:ext cx="576905"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产业园区</a:t>
                              </a:r>
                              <a:endParaRPr lang="zh-CN" altLang="en-US" sz="1200" dirty="0">
                                <a:latin typeface="黑体" panose="02010609060101010101" charset="-122"/>
                                <a:ea typeface="黑体" panose="02010609060101010101" charset="-122"/>
                              </a:endParaRPr>
                            </a:p>
                          </a:txBody>
                          <a:useSpRect/>
                        </a:txSp>
                      </a:sp>
                      <a:sp>
                        <a:nvSpPr>
                          <a:cNvPr id="22" name="文本框 29"/>
                          <a:cNvSpPr txBox="1"/>
                        </a:nvSpPr>
                        <a:spPr>
                          <a:xfrm>
                            <a:off x="1601066" y="2122113"/>
                            <a:ext cx="776610"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科技示范园区</a:t>
                              </a:r>
                              <a:endParaRPr lang="zh-CN" altLang="en-US" sz="1200" dirty="0">
                                <a:latin typeface="黑体" panose="02010609060101010101" charset="-122"/>
                                <a:ea typeface="黑体" panose="02010609060101010101" charset="-122"/>
                              </a:endParaRPr>
                            </a:p>
                          </a:txBody>
                          <a:useSpRect/>
                        </a:txSp>
                      </a:sp>
                      <a:sp>
                        <a:nvSpPr>
                          <a:cNvPr id="23" name="文本框 30"/>
                          <a:cNvSpPr txBox="1"/>
                        </a:nvSpPr>
                        <a:spPr>
                          <a:xfrm>
                            <a:off x="1355070" y="2937331"/>
                            <a:ext cx="785409"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休闲农业园区</a:t>
                              </a:r>
                              <a:endParaRPr lang="zh-CN" altLang="en-US" sz="1200" dirty="0">
                                <a:latin typeface="黑体" panose="02010609060101010101" charset="-122"/>
                                <a:ea typeface="黑体" panose="02010609060101010101" charset="-122"/>
                              </a:endParaRPr>
                            </a:p>
                          </a:txBody>
                          <a:useSpRect/>
                        </a:txSp>
                      </a:sp>
                      <a:sp>
                        <a:nvSpPr>
                          <a:cNvPr id="24" name="文本框 31"/>
                          <a:cNvSpPr txBox="1"/>
                        </a:nvSpPr>
                        <a:spPr>
                          <a:xfrm>
                            <a:off x="1778188" y="4295003"/>
                            <a:ext cx="763990"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异地农业园区</a:t>
                              </a:r>
                              <a:endParaRPr lang="zh-CN" altLang="en-US" sz="1200" dirty="0">
                                <a:latin typeface="黑体" panose="02010609060101010101" charset="-122"/>
                                <a:ea typeface="黑体" panose="02010609060101010101" charset="-122"/>
                              </a:endParaRPr>
                            </a:p>
                          </a:txBody>
                          <a:useSpRect/>
                        </a:txSp>
                      </a:sp>
                    </a:grpSp>
                    <a:sp>
                      <a:nvSpPr>
                        <a:cNvPr id="7" name="加号 6"/>
                        <a:cNvSpPr/>
                      </a:nvSpPr>
                      <a:spPr>
                        <a:xfrm>
                          <a:off x="5383183" y="2865440"/>
                          <a:ext cx="822978" cy="822978"/>
                        </a:xfrm>
                        <a:prstGeom prst="mathPlus">
                          <a:avLst/>
                        </a:prstGeom>
                        <a:solidFill>
                          <a:schemeClr val="bg1"/>
                        </a:solid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6" name="组合 7"/>
                        <a:cNvGrpSpPr/>
                      </a:nvGrpSpPr>
                      <a:grpSpPr>
                        <a:xfrm>
                          <a:off x="2311081" y="1354823"/>
                          <a:ext cx="3895080" cy="3844212"/>
                          <a:chOff x="2311081" y="1354823"/>
                          <a:chExt cx="3895080" cy="3844212"/>
                        </a:xfrm>
                      </a:grpSpPr>
                      <a:sp>
                        <a:nvSpPr>
                          <a:cNvPr id="12" name="椭圆 11"/>
                          <a:cNvSpPr/>
                        </a:nvSpPr>
                        <a:spPr>
                          <a:xfrm>
                            <a:off x="2361949" y="1354823"/>
                            <a:ext cx="3844212" cy="3844212"/>
                          </a:xfrm>
                          <a:prstGeom prst="ellipse">
                            <a:avLst/>
                          </a:prstGeom>
                          <a:gradFill>
                            <a:gsLst>
                              <a:gs pos="53000">
                                <a:schemeClr val="accent1">
                                  <a:lumMod val="45000"/>
                                  <a:lumOff val="55000"/>
                                  <a:alpha val="0"/>
                                </a:schemeClr>
                              </a:gs>
                              <a:gs pos="0">
                                <a:srgbClr val="00B050"/>
                              </a:gs>
                            </a:gsLst>
                            <a:lin ang="0" scaled="1"/>
                          </a:gra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文本框 19"/>
                          <a:cNvSpPr txBox="1"/>
                        </a:nvSpPr>
                        <a:spPr>
                          <a:xfrm>
                            <a:off x="3333048" y="1508746"/>
                            <a:ext cx="646331"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叶菜类</a:t>
                              </a:r>
                              <a:endParaRPr lang="zh-CN" altLang="en-US" sz="1200" dirty="0">
                                <a:latin typeface="黑体" panose="02010609060101010101" charset="-122"/>
                                <a:ea typeface="黑体" panose="02010609060101010101" charset="-122"/>
                              </a:endParaRPr>
                            </a:p>
                          </a:txBody>
                          <a:useSpRect/>
                        </a:txSp>
                      </a:sp>
                      <a:sp>
                        <a:nvSpPr>
                          <a:cNvPr id="14" name="文本框 20"/>
                          <a:cNvSpPr txBox="1"/>
                        </a:nvSpPr>
                        <a:spPr>
                          <a:xfrm>
                            <a:off x="2758605" y="1979569"/>
                            <a:ext cx="492443"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豆类</a:t>
                              </a:r>
                              <a:endParaRPr lang="zh-CN" altLang="en-US" sz="1200" dirty="0">
                                <a:latin typeface="黑体" panose="02010609060101010101" charset="-122"/>
                                <a:ea typeface="黑体" panose="02010609060101010101" charset="-122"/>
                              </a:endParaRPr>
                            </a:p>
                          </a:txBody>
                          <a:useSpRect/>
                        </a:txSp>
                      </a:sp>
                      <a:sp>
                        <a:nvSpPr>
                          <a:cNvPr id="15" name="文本框 21"/>
                          <a:cNvSpPr txBox="1"/>
                        </a:nvSpPr>
                        <a:spPr>
                          <a:xfrm>
                            <a:off x="2403763" y="2533429"/>
                            <a:ext cx="800219"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花椰菜类</a:t>
                              </a:r>
                              <a:endParaRPr lang="zh-CN" altLang="en-US" sz="1200" dirty="0">
                                <a:latin typeface="黑体" panose="02010609060101010101" charset="-122"/>
                                <a:ea typeface="黑体" panose="02010609060101010101" charset="-122"/>
                              </a:endParaRPr>
                            </a:p>
                          </a:txBody>
                          <a:useSpRect/>
                        </a:txSp>
                      </a:sp>
                      <a:sp>
                        <a:nvSpPr>
                          <a:cNvPr id="16" name="文本框 22"/>
                          <a:cNvSpPr txBox="1"/>
                        </a:nvSpPr>
                        <a:spPr>
                          <a:xfrm>
                            <a:off x="2311081" y="3085976"/>
                            <a:ext cx="646331"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根茎类</a:t>
                              </a:r>
                              <a:endParaRPr lang="zh-CN" altLang="en-US" sz="1200" dirty="0">
                                <a:latin typeface="黑体" panose="02010609060101010101" charset="-122"/>
                                <a:ea typeface="黑体" panose="02010609060101010101" charset="-122"/>
                              </a:endParaRPr>
                            </a:p>
                          </a:txBody>
                          <a:useSpRect/>
                        </a:txSp>
                      </a:sp>
                      <a:sp>
                        <a:nvSpPr>
                          <a:cNvPr id="17" name="文本框 23"/>
                          <a:cNvSpPr txBox="1"/>
                        </a:nvSpPr>
                        <a:spPr>
                          <a:xfrm>
                            <a:off x="2403763" y="3623786"/>
                            <a:ext cx="646331"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葱蒜类</a:t>
                              </a:r>
                              <a:endParaRPr lang="zh-CN" altLang="en-US" sz="1200" dirty="0">
                                <a:latin typeface="黑体" panose="02010609060101010101" charset="-122"/>
                                <a:ea typeface="黑体" panose="02010609060101010101" charset="-122"/>
                              </a:endParaRPr>
                            </a:p>
                          </a:txBody>
                          <a:useSpRect/>
                        </a:txSp>
                      </a:sp>
                      <a:sp>
                        <a:nvSpPr>
                          <a:cNvPr id="18" name="文本框 24"/>
                          <a:cNvSpPr txBox="1"/>
                        </a:nvSpPr>
                        <a:spPr>
                          <a:xfrm>
                            <a:off x="2865079" y="4124671"/>
                            <a:ext cx="800219"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瓜茄椒类</a:t>
                              </a:r>
                              <a:endParaRPr lang="zh-CN" altLang="en-US" sz="1200" dirty="0">
                                <a:latin typeface="黑体" panose="02010609060101010101" charset="-122"/>
                                <a:ea typeface="黑体" panose="02010609060101010101" charset="-122"/>
                              </a:endParaRPr>
                            </a:p>
                          </a:txBody>
                          <a:useSpRect/>
                        </a:txSp>
                      </a:sp>
                      <a:sp>
                        <a:nvSpPr>
                          <a:cNvPr id="19" name="文本框 25"/>
                          <a:cNvSpPr txBox="1"/>
                        </a:nvSpPr>
                        <a:spPr>
                          <a:xfrm>
                            <a:off x="3188245" y="4554023"/>
                            <a:ext cx="492443"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其它</a:t>
                              </a:r>
                              <a:endParaRPr lang="zh-CN" altLang="en-US" sz="1200" dirty="0">
                                <a:latin typeface="黑体" panose="02010609060101010101" charset="-122"/>
                                <a:ea typeface="黑体" panose="02010609060101010101" charset="-122"/>
                              </a:endParaRPr>
                            </a:p>
                          </a:txBody>
                          <a:useSpRect/>
                        </a:txSp>
                      </a:sp>
                    </a:grpSp>
                    <a:grpSp>
                      <a:nvGrpSpPr>
                        <a:cNvPr id="8" name="组合 8"/>
                        <a:cNvGrpSpPr/>
                      </a:nvGrpSpPr>
                      <a:grpSpPr>
                        <a:xfrm>
                          <a:off x="3396343" y="1987262"/>
                          <a:ext cx="4772028" cy="2579334"/>
                          <a:chOff x="3396343" y="1987262"/>
                          <a:chExt cx="4772028" cy="2579334"/>
                        </a:xfrm>
                      </a:grpSpPr>
                      <a:sp>
                        <a:nvSpPr>
                          <a:cNvPr id="10" name="椭圆 9"/>
                          <a:cNvSpPr/>
                        </a:nvSpPr>
                        <a:spPr>
                          <a:xfrm>
                            <a:off x="3396343" y="1987262"/>
                            <a:ext cx="2579334" cy="2579334"/>
                          </a:xfrm>
                          <a:prstGeom prst="ellipse">
                            <a:avLst/>
                          </a:prstGeom>
                          <a:solidFill>
                            <a:schemeClr val="accent1">
                              <a:lumMod val="75000"/>
                            </a:schemeClr>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400" dirty="0" smtClean="0">
                                  <a:latin typeface="黑体" panose="02010609060101010101" charset="-122"/>
                                  <a:ea typeface="黑体" panose="02010609060101010101" charset="-122"/>
                                </a:rPr>
                                <a:t>蔬菜产业</a:t>
                              </a:r>
                              <a:endParaRPr lang="zh-CN" altLang="en-US" sz="1400" dirty="0">
                                <a:latin typeface="黑体" panose="02010609060101010101" charset="-122"/>
                                <a:ea typeface="黑体" panose="02010609060101010101"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椭圆 10"/>
                          <a:cNvSpPr/>
                        </a:nvSpPr>
                        <a:spPr>
                          <a:xfrm>
                            <a:off x="5589037" y="1987262"/>
                            <a:ext cx="2579334" cy="2579334"/>
                          </a:xfrm>
                          <a:prstGeom prst="ellipse">
                            <a:avLst/>
                          </a:prstGeom>
                          <a:solidFill>
                            <a:schemeClr val="accent1">
                              <a:lumMod val="75000"/>
                            </a:schemeClr>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400" dirty="0" smtClean="0">
                                  <a:latin typeface="黑体" panose="02010609060101010101" charset="-122"/>
                                  <a:ea typeface="黑体" panose="02010609060101010101" charset="-122"/>
                                </a:rPr>
                                <a:t>智慧</a:t>
                              </a:r>
                              <a:r>
                                <a:rPr lang="zh-CN" altLang="en-US" sz="1400" dirty="0">
                                  <a:latin typeface="黑体" panose="02010609060101010101" charset="-122"/>
                                  <a:ea typeface="黑体" panose="02010609060101010101" charset="-122"/>
                                </a:rPr>
                                <a:t>农业</a:t>
                              </a:r>
                              <a:endParaRPr lang="zh-CN" altLang="en-US" sz="1400" dirty="0">
                                <a:latin typeface="黑体" panose="02010609060101010101" charset="-122"/>
                                <a:ea typeface="黑体" panose="02010609060101010101" charset="-122"/>
                              </a:endParaRPr>
                            </a:p>
                          </a:txBody>
                          <a:useSpRect/>
                        </a:txSp>
                        <a:style>
                          <a:lnRef idx="2">
                            <a:schemeClr val="accent1">
                              <a:shade val="50000"/>
                            </a:schemeClr>
                          </a:lnRef>
                          <a:fillRef idx="1">
                            <a:schemeClr val="accent1"/>
                          </a:fillRef>
                          <a:effectRef idx="0">
                            <a:schemeClr val="accent1"/>
                          </a:effectRef>
                          <a:fontRef idx="minor">
                            <a:schemeClr val="lt1"/>
                          </a:fontRef>
                        </a:style>
                      </a:sp>
                    </a:grpSp>
                  </a:grpSp>
                </lc:lockedCanvas>
              </a:graphicData>
            </a:graphic>
          </wp:anchor>
        </w:drawing>
      </w:r>
      <w:r>
        <w:rPr>
          <w:rFonts w:hint="default" w:ascii="Times New Roman" w:hAnsi="Times New Roman" w:eastAsia="方正仿宋_GBK" w:cs="Times New Roman"/>
          <w:color w:val="000000" w:themeColor="text1"/>
          <w:sz w:val="32"/>
          <w:szCs w:val="32"/>
          <w14:textFill>
            <w14:solidFill>
              <w14:schemeClr w14:val="tx1"/>
            </w14:solidFill>
          </w14:textFill>
        </w:rPr>
        <w:t>和外销出口基地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围绕一个战略核心、两大目标，着力打造</w:t>
      </w:r>
      <w:r>
        <w:rPr>
          <w:rFonts w:hint="eastAsia" w:ascii="方正仿宋_GBK" w:hAnsi="方正仿宋_GBK" w:eastAsia="方正仿宋_GBK" w:cs="方正仿宋_GBK"/>
          <w:color w:val="000000" w:themeColor="text1"/>
          <w:sz w:val="32"/>
          <w:szCs w:val="32"/>
          <w14:textFill>
            <w14:solidFill>
              <w14:schemeClr w14:val="tx1"/>
            </w14:solidFill>
          </w14:textFill>
        </w:rPr>
        <w:t>“三大板块”、“四大体系”、“四大园区”、“五种模式”、“六大基地”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产业发展，</w:t>
      </w:r>
      <w:r>
        <w:rPr>
          <w:rFonts w:hint="default" w:ascii="Times New Roman" w:hAnsi="Times New Roman" w:eastAsia="方正仿宋_GBK" w:cs="Times New Roman"/>
          <w:color w:val="000000" w:themeColor="text1"/>
          <w:sz w:val="32"/>
          <w:szCs w:val="32"/>
          <w14:textFill>
            <w14:solidFill>
              <w14:schemeClr w14:val="tx1"/>
            </w14:solidFill>
          </w14:textFill>
        </w:rPr>
        <w:t>充分运用先进农业科学技术、先进农业装备和先进管理理念，</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扩大山地蔬菜种植面积，</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大力推行蔬菜小包装，加强冷链物流设施建设，</w:t>
      </w:r>
      <w:r>
        <w:rPr>
          <w:rFonts w:hint="default" w:ascii="Times New Roman" w:hAnsi="Times New Roman" w:eastAsia="方正仿宋_GBK" w:cs="Times New Roman"/>
          <w:color w:val="000000" w:themeColor="text1"/>
          <w:sz w:val="32"/>
          <w:szCs w:val="32"/>
          <w14:textFill>
            <w14:solidFill>
              <w14:schemeClr w14:val="tx1"/>
            </w14:solidFill>
          </w14:textFill>
        </w:rPr>
        <w:t>以促进蔬菜产品安全、生态安全、资源安全和提高农业综合经济效益的协调统一为目标，实行标准化生产，推动社会和经济全面、协调、可持续发展。经过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年的建设，到2025年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全市蔬菜面积</w:t>
      </w:r>
      <w:r>
        <w:rPr>
          <w:rFonts w:hint="default" w:ascii="Times New Roman" w:hAnsi="Times New Roman" w:eastAsia="方正仿宋_GBK" w:cs="Times New Roman"/>
          <w:color w:val="000000" w:themeColor="text1"/>
          <w:sz w:val="32"/>
          <w:szCs w:val="32"/>
          <w14:textFill>
            <w14:solidFill>
              <w14:schemeClr w14:val="tx1"/>
            </w14:solidFill>
          </w14:textFill>
        </w:rPr>
        <w:t>基本稳定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150</w:t>
      </w:r>
      <w:r>
        <w:rPr>
          <w:rFonts w:hint="default" w:ascii="Times New Roman" w:hAnsi="Times New Roman" w:cs="Times New Roman"/>
          <w:color w:val="000000" w:themeColor="text1"/>
          <w:sz w:val="32"/>
          <w:szCs w:val="32"/>
          <w:lang w:eastAsia="zh-CN"/>
          <w14:textFill>
            <w14:solidFill>
              <w14:schemeClr w14:val="tx1"/>
            </w14:solidFill>
          </w14:textFill>
        </w:rPr>
        <w:t>.00</w:t>
      </w:r>
      <w:r>
        <w:rPr>
          <w:rFonts w:hint="default" w:ascii="Times New Roman" w:hAnsi="Times New Roman" w:eastAsia="方正仿宋_GBK" w:cs="Times New Roman"/>
          <w:color w:val="000000" w:themeColor="text1"/>
          <w:sz w:val="32"/>
          <w:szCs w:val="32"/>
          <w14:textFill>
            <w14:solidFill>
              <w14:schemeClr w14:val="tx1"/>
            </w14:solidFill>
          </w14:textFill>
        </w:rPr>
        <w:t>万亩</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左右</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蔬菜产量</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400</w:t>
      </w:r>
      <w:r>
        <w:rPr>
          <w:rFonts w:hint="default" w:ascii="Times New Roman" w:hAnsi="Times New Roman" w:cs="Times New Roman"/>
          <w:color w:val="000000" w:themeColor="text1"/>
          <w:sz w:val="32"/>
          <w:szCs w:val="32"/>
          <w:lang w:eastAsia="zh-CN"/>
          <w14:textFill>
            <w14:solidFill>
              <w14:schemeClr w14:val="tx1"/>
            </w14:solidFill>
          </w14:textFill>
        </w:rPr>
        <w:t>.00</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万吨以上，</w:t>
      </w:r>
      <w:r>
        <w:rPr>
          <w:rFonts w:hint="default" w:ascii="Times New Roman" w:hAnsi="Times New Roman" w:eastAsia="方正仿宋_GBK" w:cs="Times New Roman"/>
          <w:color w:val="auto"/>
          <w:kern w:val="0"/>
          <w:sz w:val="32"/>
          <w:szCs w:val="32"/>
          <w:lang w:val="en-US" w:eastAsia="zh-CN"/>
        </w:rPr>
        <w:t>蔬菜</w:t>
      </w:r>
      <w:r>
        <w:rPr>
          <w:rFonts w:hint="eastAsia" w:ascii="Times New Roman" w:hAnsi="Times New Roman" w:eastAsia="方正仿宋_GBK" w:cs="Times New Roman"/>
          <w:color w:val="auto"/>
          <w:kern w:val="0"/>
          <w:sz w:val="32"/>
          <w:szCs w:val="32"/>
          <w:lang w:val="en-US" w:eastAsia="zh-CN"/>
        </w:rPr>
        <w:t>综合产值300</w:t>
      </w:r>
      <w:r>
        <w:rPr>
          <w:rFonts w:hint="default" w:ascii="Times New Roman" w:hAnsi="Times New Roman" w:cs="Times New Roman"/>
          <w:color w:val="auto"/>
          <w:kern w:val="0"/>
          <w:sz w:val="32"/>
          <w:szCs w:val="32"/>
          <w:lang w:eastAsia="zh-CN"/>
        </w:rPr>
        <w:t>.00</w:t>
      </w:r>
      <w:r>
        <w:rPr>
          <w:rFonts w:hint="default" w:ascii="Times New Roman" w:hAnsi="Times New Roman" w:eastAsia="方正仿宋_GBK" w:cs="Times New Roman"/>
          <w:color w:val="auto"/>
          <w:kern w:val="0"/>
          <w:sz w:val="32"/>
          <w:szCs w:val="32"/>
          <w:lang w:val="en-US" w:eastAsia="zh-CN"/>
        </w:rPr>
        <w:t>亿元</w:t>
      </w:r>
      <w:r>
        <w:rPr>
          <w:rFonts w:hint="eastAsia" w:ascii="Times New Roman" w:hAnsi="Times New Roman" w:eastAsia="方正仿宋_GBK" w:cs="Times New Roman"/>
          <w:color w:val="auto"/>
          <w:kern w:val="0"/>
          <w:sz w:val="32"/>
          <w:szCs w:val="32"/>
          <w:lang w:val="en-US" w:eastAsia="zh-CN"/>
        </w:rPr>
        <w:t>以上</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，其中</w:t>
      </w:r>
      <w:r>
        <w:rPr>
          <w:rFonts w:hint="eastAsia" w:ascii="Times New Roman" w:hAnsi="Times New Roman" w:eastAsia="方正仿宋_GBK" w:cs="Times New Roman"/>
          <w:color w:val="auto"/>
          <w:kern w:val="0"/>
          <w:sz w:val="32"/>
          <w:szCs w:val="32"/>
          <w:lang w:val="en-US" w:eastAsia="zh-CN"/>
        </w:rPr>
        <w:t>一产</w:t>
      </w:r>
      <w:r>
        <w:rPr>
          <w:rFonts w:hint="default" w:ascii="Times New Roman" w:hAnsi="Times New Roman" w:eastAsia="方正仿宋_GBK" w:cs="Times New Roman"/>
          <w:color w:val="auto"/>
          <w:kern w:val="0"/>
          <w:sz w:val="32"/>
          <w:szCs w:val="32"/>
          <w:lang w:val="en-US" w:eastAsia="zh-CN"/>
        </w:rPr>
        <w:t>产值</w:t>
      </w:r>
      <w:r>
        <w:rPr>
          <w:rFonts w:hint="eastAsia" w:ascii="Times New Roman" w:hAnsi="Times New Roman" w:eastAsia="方正仿宋_GBK" w:cs="Times New Roman"/>
          <w:color w:val="auto"/>
          <w:kern w:val="0"/>
          <w:sz w:val="32"/>
          <w:szCs w:val="32"/>
          <w:lang w:val="en-US" w:eastAsia="zh-CN"/>
        </w:rPr>
        <w:t>130</w:t>
      </w:r>
      <w:r>
        <w:rPr>
          <w:rFonts w:hint="default" w:ascii="Times New Roman" w:hAnsi="Times New Roman" w:cs="Times New Roman"/>
          <w:color w:val="auto"/>
          <w:kern w:val="0"/>
          <w:sz w:val="32"/>
          <w:szCs w:val="32"/>
          <w:lang w:eastAsia="zh-CN"/>
        </w:rPr>
        <w:t>.00</w:t>
      </w:r>
      <w:r>
        <w:rPr>
          <w:rFonts w:hint="eastAsia" w:ascii="Times New Roman" w:hAnsi="Times New Roman" w:eastAsia="方正仿宋_GBK" w:cs="Times New Roman"/>
          <w:color w:val="auto"/>
          <w:kern w:val="0"/>
          <w:sz w:val="32"/>
          <w:szCs w:val="32"/>
          <w:lang w:val="en-US" w:eastAsia="zh-CN"/>
        </w:rPr>
        <w:t>亿元，</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出口额</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cs="Times New Roman"/>
          <w:color w:val="000000" w:themeColor="text1"/>
          <w:sz w:val="32"/>
          <w:szCs w:val="32"/>
          <w:lang w:eastAsia="zh-CN"/>
          <w14:textFill>
            <w14:solidFill>
              <w14:schemeClr w14:val="tx1"/>
            </w14:solidFill>
          </w14:textFill>
        </w:rPr>
        <w:t>.00</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亿美元以上，打造10个以上省级蔬菜产业基地、20个以上市级蔬菜产业基地、40个以上县级蔬菜产业基地，基地化率提高到80</w:t>
      </w:r>
      <w:r>
        <w:rPr>
          <w:rFonts w:hint="default" w:ascii="Times New Roman" w:hAnsi="Times New Roman" w:cs="Times New Roman"/>
          <w:color w:val="000000" w:themeColor="text1"/>
          <w:sz w:val="32"/>
          <w:szCs w:val="32"/>
          <w:lang w:eastAsia="zh-CN"/>
          <w14:textFill>
            <w14:solidFill>
              <w14:schemeClr w14:val="tx1"/>
            </w14:solidFill>
          </w14:textFill>
        </w:rPr>
        <w:t>.00</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%以上，力争小包装蔬菜产量占蔬菜商品产量50</w:t>
      </w:r>
      <w:r>
        <w:rPr>
          <w:rFonts w:hint="default" w:ascii="Times New Roman" w:hAnsi="Times New Roman" w:cs="Times New Roman"/>
          <w:color w:val="000000" w:themeColor="text1"/>
          <w:sz w:val="32"/>
          <w:szCs w:val="32"/>
          <w:lang w:eastAsia="zh-CN"/>
          <w14:textFill>
            <w14:solidFill>
              <w14:schemeClr w14:val="tx1"/>
            </w14:solidFill>
          </w14:textFill>
        </w:rPr>
        <w:t>.00</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%以上，建成蔬菜冷库700座，处理率达到70</w:t>
      </w:r>
      <w:r>
        <w:rPr>
          <w:rFonts w:hint="default" w:ascii="Times New Roman" w:hAnsi="Times New Roman" w:cs="Times New Roman"/>
          <w:color w:val="000000" w:themeColor="text1"/>
          <w:sz w:val="32"/>
          <w:szCs w:val="32"/>
          <w:lang w:eastAsia="zh-CN"/>
          <w14:textFill>
            <w14:solidFill>
              <w14:schemeClr w14:val="tx1"/>
            </w14:solidFill>
          </w14:textFill>
        </w:rPr>
        <w:t>.00</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%以上，冷链物流基础设施网络实现产地全覆盖</w:t>
      </w:r>
      <w:r>
        <w:rPr>
          <w:rFonts w:hint="default" w:ascii="Times New Roman" w:hAnsi="Times New Roman" w:eastAsia="方正仿宋_GBK" w:cs="Times New Roman"/>
          <w:color w:val="000000"/>
          <w:sz w:val="32"/>
          <w:szCs w:val="32"/>
        </w:rPr>
        <w:t>，全市</w:t>
      </w:r>
      <w:r>
        <w:rPr>
          <w:rFonts w:hint="eastAsia" w:ascii="方正仿宋_GBK" w:hAnsi="方正仿宋_GBK" w:eastAsia="方正仿宋_GBK" w:cs="方正仿宋_GBK"/>
          <w:color w:val="000000"/>
          <w:sz w:val="32"/>
          <w:szCs w:val="32"/>
        </w:rPr>
        <w:t>“三品一标”</w:t>
      </w:r>
      <w:r>
        <w:rPr>
          <w:rFonts w:hint="default" w:ascii="Times New Roman" w:hAnsi="Times New Roman" w:eastAsia="方正仿宋_GBK" w:cs="Times New Roman"/>
          <w:color w:val="000000"/>
          <w:sz w:val="32"/>
          <w:szCs w:val="32"/>
        </w:rPr>
        <w:t>认证面积占</w:t>
      </w:r>
      <w:r>
        <w:rPr>
          <w:rFonts w:hint="eastAsia" w:ascii="Times New Roman" w:hAnsi="Times New Roman" w:eastAsia="方正仿宋_GBK" w:cs="Times New Roman"/>
          <w:color w:val="000000"/>
          <w:sz w:val="32"/>
          <w:szCs w:val="32"/>
          <w:lang w:eastAsia="zh-CN"/>
        </w:rPr>
        <w:t>蔬菜</w:t>
      </w:r>
      <w:r>
        <w:rPr>
          <w:rFonts w:hint="default" w:ascii="Times New Roman" w:hAnsi="Times New Roman" w:eastAsia="方正仿宋_GBK" w:cs="Times New Roman"/>
          <w:color w:val="000000"/>
          <w:sz w:val="32"/>
          <w:szCs w:val="32"/>
        </w:rPr>
        <w:t>总面积</w:t>
      </w:r>
      <w:r>
        <w:rPr>
          <w:rFonts w:hint="default" w:ascii="Times New Roman" w:hAnsi="Times New Roman" w:eastAsia="方正仿宋_GBK" w:cs="Times New Roman"/>
          <w:color w:val="000000" w:themeColor="text1"/>
          <w:sz w:val="32"/>
          <w:szCs w:val="32"/>
          <w14:textFill>
            <w14:solidFill>
              <w14:schemeClr w14:val="tx1"/>
            </w14:solidFill>
          </w14:textFill>
        </w:rPr>
        <w:t>的6</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0</w:t>
      </w:r>
      <w:r>
        <w:rPr>
          <w:rFonts w:hint="default" w:ascii="Times New Roman" w:hAnsi="Times New Roman" w:cs="Times New Roman"/>
          <w:color w:val="000000" w:themeColor="text1"/>
          <w:sz w:val="32"/>
          <w:szCs w:val="32"/>
          <w:lang w:eastAsia="zh-CN"/>
          <w14:textFill>
            <w14:solidFill>
              <w14:schemeClr w14:val="tx1"/>
            </w14:solidFill>
          </w14:textFill>
        </w:rPr>
        <w:t>.00</w:t>
      </w:r>
      <w:r>
        <w:rPr>
          <w:rFonts w:hint="default" w:ascii="Times New Roman" w:hAnsi="Times New Roman" w:eastAsia="方正仿宋_GBK" w:cs="Times New Roman"/>
          <w:color w:val="000000" w:themeColor="text1"/>
          <w:sz w:val="32"/>
          <w:szCs w:val="32"/>
          <w14:textFill>
            <w14:solidFill>
              <w14:schemeClr w14:val="tx1"/>
            </w14:solidFill>
          </w14:textFill>
        </w:rPr>
        <w:t>%以</w:t>
      </w:r>
      <w:r>
        <w:rPr>
          <w:rFonts w:hint="default" w:ascii="Times New Roman" w:hAnsi="Times New Roman" w:eastAsia="方正仿宋_GBK" w:cs="Times New Roman"/>
          <w:color w:val="000000"/>
          <w:sz w:val="32"/>
          <w:szCs w:val="32"/>
        </w:rPr>
        <w:t>上。</w:t>
      </w:r>
    </w:p>
    <w:p>
      <w:pPr>
        <w:keepNext w:val="0"/>
        <w:keepLines w:val="0"/>
        <w:pageBreakBefore w:val="0"/>
        <w:widowControl w:val="0"/>
        <w:kinsoku/>
        <w:wordWrap/>
        <w:overflowPunct/>
        <w:topLinePunct w:val="0"/>
        <w:bidi w:val="0"/>
        <w:spacing w:before="0" w:after="0"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pacing w:line="560" w:lineRule="exact"/>
        <w:ind w:firstLine="1320" w:firstLineChars="550"/>
        <w:textAlignment w:val="auto"/>
        <w:rPr>
          <w:rFonts w:ascii="Times New Roman" w:hAnsi="Times New Roman" w:eastAsia="仿宋_GB2312" w:cs="Times New Roman"/>
          <w:color w:val="000000"/>
          <w:sz w:val="24"/>
        </w:rPr>
      </w:pPr>
    </w:p>
    <w:p>
      <w:pPr>
        <w:keepNext w:val="0"/>
        <w:keepLines w:val="0"/>
        <w:pageBreakBefore w:val="0"/>
        <w:widowControl w:val="0"/>
        <w:kinsoku/>
        <w:wordWrap/>
        <w:overflowPunct/>
        <w:topLinePunct w:val="0"/>
        <w:bidi w:val="0"/>
        <w:spacing w:line="560" w:lineRule="exact"/>
        <w:ind w:firstLine="1320" w:firstLineChars="550"/>
        <w:textAlignment w:val="auto"/>
        <w:rPr>
          <w:rFonts w:ascii="Times New Roman" w:hAnsi="Times New Roman" w:eastAsia="仿宋_GB2312" w:cs="Times New Roman"/>
          <w:color w:val="000000"/>
          <w:sz w:val="24"/>
        </w:rPr>
      </w:pPr>
    </w:p>
    <w:p>
      <w:pPr>
        <w:keepNext w:val="0"/>
        <w:keepLines w:val="0"/>
        <w:pageBreakBefore w:val="0"/>
        <w:widowControl w:val="0"/>
        <w:kinsoku/>
        <w:wordWrap/>
        <w:overflowPunct/>
        <w:topLinePunct w:val="0"/>
        <w:bidi w:val="0"/>
        <w:spacing w:line="560" w:lineRule="exact"/>
        <w:ind w:firstLine="1320" w:firstLineChars="550"/>
        <w:textAlignment w:val="auto"/>
        <w:rPr>
          <w:rFonts w:ascii="Times New Roman" w:hAnsi="Times New Roman" w:eastAsia="仿宋_GB2312" w:cs="Times New Roman"/>
          <w:color w:val="000000"/>
          <w:sz w:val="24"/>
        </w:rPr>
      </w:pPr>
    </w:p>
    <w:p>
      <w:pPr>
        <w:keepNext w:val="0"/>
        <w:keepLines w:val="0"/>
        <w:pageBreakBefore w:val="0"/>
        <w:widowControl w:val="0"/>
        <w:kinsoku/>
        <w:wordWrap/>
        <w:overflowPunct/>
        <w:topLinePunct w:val="0"/>
        <w:bidi w:val="0"/>
        <w:spacing w:line="560" w:lineRule="exact"/>
        <w:ind w:firstLine="1320" w:firstLineChars="550"/>
        <w:textAlignment w:val="auto"/>
        <w:rPr>
          <w:rFonts w:ascii="Times New Roman" w:hAnsi="Times New Roman" w:eastAsia="仿宋_GB2312" w:cs="Times New Roman"/>
          <w:color w:val="000000"/>
          <w:sz w:val="24"/>
        </w:rPr>
      </w:pPr>
    </w:p>
    <w:p>
      <w:pPr>
        <w:keepNext w:val="0"/>
        <w:keepLines w:val="0"/>
        <w:pageBreakBefore w:val="0"/>
        <w:widowControl w:val="0"/>
        <w:kinsoku/>
        <w:wordWrap/>
        <w:overflowPunct/>
        <w:topLinePunct w:val="0"/>
        <w:bidi w:val="0"/>
        <w:spacing w:line="560" w:lineRule="exact"/>
        <w:ind w:firstLine="1320" w:firstLineChars="550"/>
        <w:textAlignment w:val="auto"/>
        <w:rPr>
          <w:rFonts w:ascii="Times New Roman" w:hAnsi="Times New Roman" w:eastAsia="仿宋_GB2312" w:cs="Times New Roman"/>
          <w:color w:val="000000"/>
          <w:sz w:val="24"/>
        </w:rPr>
      </w:pPr>
    </w:p>
    <w:p>
      <w:pPr>
        <w:keepNext w:val="0"/>
        <w:keepLines w:val="0"/>
        <w:pageBreakBefore w:val="0"/>
        <w:widowControl w:val="0"/>
        <w:kinsoku/>
        <w:wordWrap/>
        <w:overflowPunct/>
        <w:topLinePunct w:val="0"/>
        <w:bidi w:val="0"/>
        <w:spacing w:line="560" w:lineRule="exact"/>
        <w:textAlignment w:val="auto"/>
        <w:rPr>
          <w:rFonts w:ascii="Times New Roman" w:hAnsi="Times New Roman" w:eastAsia="仿宋_GB2312" w:cs="Times New Roman"/>
          <w:color w:val="000000"/>
          <w:sz w:val="24"/>
        </w:rPr>
      </w:pP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4"/>
        </w:rPr>
        <w:t>图</w:t>
      </w:r>
      <w:r>
        <w:rPr>
          <w:rFonts w:hint="default" w:ascii="Times New Roman" w:hAnsi="Times New Roman" w:eastAsia="方正仿宋_GBK" w:cs="Times New Roman"/>
          <w:color w:val="000000"/>
          <w:sz w:val="24"/>
          <w:lang w:val="en-US" w:eastAsia="zh-CN"/>
        </w:rPr>
        <w:t>1</w:t>
      </w:r>
      <w:r>
        <w:rPr>
          <w:rFonts w:hint="default" w:ascii="Times New Roman" w:hAnsi="Times New Roman" w:eastAsia="方正仿宋_GBK" w:cs="Times New Roman"/>
          <w:color w:val="000000"/>
          <w:sz w:val="24"/>
        </w:rPr>
        <w:t xml:space="preserve"> 玉溪市蔬菜产业化发展思路和战略构建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bookmarkStart w:id="13" w:name="_Toc29711"/>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lang w:val="en-US" w:eastAsia="zh-CN"/>
        </w:rPr>
        <w:t>产业布局</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根据蔬菜产业和相关农业资源开发利用优势及潜力，玉溪市蔬菜产业将发展形成</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b w:val="0"/>
          <w:bCs/>
          <w:color w:val="000000" w:themeColor="text1"/>
          <w:sz w:val="32"/>
          <w:szCs w:val="32"/>
          <w:u w:val="none"/>
          <w14:textFill>
            <w14:solidFill>
              <w14:schemeClr w14:val="tx1"/>
            </w14:solidFill>
          </w14:textFill>
        </w:rPr>
        <w:t>一核两翼”、 “</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三带四区”，着力建设“四大体系”，实施“</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十</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大工程”，形成“六大基地</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color w:val="000000"/>
          <w:sz w:val="32"/>
          <w:szCs w:val="32"/>
        </w:rPr>
        <w:t>的空间布</w:t>
      </w:r>
      <w:r>
        <w:rPr>
          <w:rFonts w:hint="default" w:ascii="Times New Roman" w:hAnsi="Times New Roman" w:eastAsia="方正仿宋_GBK" w:cs="Times New Roman"/>
          <w:color w:val="000000"/>
          <w:sz w:val="32"/>
          <w:szCs w:val="32"/>
        </w:rPr>
        <w:t>局结构。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cs="Times New Roman"/>
          <w:sz w:val="28"/>
        </w:rPr>
      </w:pPr>
    </w:p>
    <w:p>
      <w:pPr>
        <w:keepNext w:val="0"/>
        <w:keepLines w:val="0"/>
        <w:pageBreakBefore w:val="0"/>
        <w:widowControl w:val="0"/>
        <w:kinsoku/>
        <w:wordWrap/>
        <w:overflowPunct/>
        <w:topLinePunct w:val="0"/>
        <w:bidi w:val="0"/>
        <w:spacing w:before="0" w:after="0" w:line="560" w:lineRule="exact"/>
        <w:textAlignment w:val="auto"/>
        <w:rPr>
          <w:rFonts w:ascii="Times New Roman" w:hAnsi="Times New Roman" w:cs="Times New Roman"/>
          <w:sz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sz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cs="Times New Roman"/>
          <w:sz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cs="Times New Roman"/>
          <w:sz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cs="Times New Roman"/>
          <w:sz w:val="28"/>
        </w:rPr>
      </w:pPr>
      <w:r>
        <w:rPr>
          <w:rFonts w:ascii="Times New Roman" w:hAnsi="Times New Roman" w:cs="Times New Roman"/>
          <w:sz w:val="28"/>
        </w:rPr>
        <w:drawing>
          <wp:inline distT="0" distB="0" distL="0" distR="0">
            <wp:extent cx="5052060" cy="2125980"/>
            <wp:effectExtent l="0" t="0" r="53340" b="7620"/>
            <wp:docPr id="18" name="对象 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6648968" cy="4451746"/>
                      <a:chOff x="1165909" y="1071546"/>
                      <a:chExt cx="6648968" cy="4451746"/>
                    </a:xfrm>
                  </a:grpSpPr>
                  <a:grpSp>
                    <a:nvGrpSpPr>
                      <a:cNvPr id="29" name="组合 28"/>
                      <a:cNvGrpSpPr/>
                    </a:nvGrpSpPr>
                    <a:grpSpPr>
                      <a:xfrm>
                        <a:off x="1165909" y="1071546"/>
                        <a:ext cx="6648968" cy="4451746"/>
                        <a:chOff x="1165909" y="1071546"/>
                        <a:chExt cx="6648968" cy="4451746"/>
                      </a:xfrm>
                    </a:grpSpPr>
                    <a:sp>
                      <a:nvSpPr>
                        <a:cNvPr id="19" name="椭圆 18"/>
                        <a:cNvSpPr/>
                      </a:nvSpPr>
                      <a:spPr>
                        <a:xfrm rot="10800000">
                          <a:off x="3714744" y="1071546"/>
                          <a:ext cx="4100133" cy="4451746"/>
                        </a:xfrm>
                        <a:prstGeom prst="ellipse">
                          <a:avLst/>
                        </a:prstGeom>
                        <a:gradFill>
                          <a:gsLst>
                            <a:gs pos="53000">
                              <a:schemeClr val="accent1">
                                <a:lumMod val="45000"/>
                                <a:lumOff val="55000"/>
                                <a:alpha val="0"/>
                              </a:schemeClr>
                            </a:gs>
                            <a:gs pos="0">
                              <a:srgbClr val="92D050"/>
                            </a:gs>
                          </a:gsLst>
                          <a:lin ang="0" scaled="1"/>
                        </a:gra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sz="1200" dirty="0"/>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4" name="组合 4"/>
                        <a:cNvGrpSpPr/>
                      </a:nvGrpSpPr>
                      <a:grpSpPr>
                        <a:xfrm rot="10800000">
                          <a:off x="2433769" y="1339606"/>
                          <a:ext cx="4604897" cy="3893925"/>
                          <a:chOff x="-3102416" y="1150221"/>
                          <a:chExt cx="4604897" cy="3893925"/>
                        </a:xfrm>
                      </a:grpSpPr>
                      <a:sp>
                        <a:nvSpPr>
                          <a:cNvPr id="24" name="椭圆 23"/>
                          <a:cNvSpPr/>
                        </a:nvSpPr>
                        <a:spPr>
                          <a:xfrm>
                            <a:off x="-2240337" y="1150221"/>
                            <a:ext cx="3742818" cy="3893925"/>
                          </a:xfrm>
                          <a:prstGeom prst="ellipse">
                            <a:avLst/>
                          </a:prstGeom>
                          <a:gradFill>
                            <a:gsLst>
                              <a:gs pos="53000">
                                <a:schemeClr val="accent1">
                                  <a:lumMod val="45000"/>
                                  <a:lumOff val="55000"/>
                                  <a:alpha val="0"/>
                                </a:schemeClr>
                              </a:gs>
                              <a:gs pos="0">
                                <a:schemeClr val="accent5">
                                  <a:lumMod val="75000"/>
                                </a:schemeClr>
                              </a:gs>
                            </a:gsLst>
                            <a:lin ang="0" scaled="1"/>
                          </a:gra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文本框 37"/>
                          <a:cNvSpPr txBox="1"/>
                        </a:nvSpPr>
                        <a:spPr>
                          <a:xfrm rot="11461897">
                            <a:off x="-2765521" y="1527619"/>
                            <a:ext cx="646331"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互联网</a:t>
                              </a:r>
                              <a:endParaRPr lang="zh-CN" altLang="en-US" sz="1200" dirty="0">
                                <a:latin typeface="黑体" panose="02010609060101010101" charset="-122"/>
                                <a:ea typeface="黑体" panose="02010609060101010101" charset="-122"/>
                              </a:endParaRPr>
                            </a:p>
                          </a:txBody>
                          <a:useSpRect/>
                        </a:txSp>
                      </a:sp>
                      <a:sp>
                        <a:nvSpPr>
                          <a:cNvPr id="26" name="文本框 39"/>
                          <a:cNvSpPr txBox="1"/>
                        </a:nvSpPr>
                        <a:spPr>
                          <a:xfrm rot="11041284">
                            <a:off x="-3078182" y="2367141"/>
                            <a:ext cx="646331"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物联网</a:t>
                              </a:r>
                              <a:endParaRPr lang="zh-CN" altLang="en-US" sz="1200" dirty="0">
                                <a:latin typeface="黑体" panose="02010609060101010101" charset="-122"/>
                                <a:ea typeface="黑体" panose="02010609060101010101" charset="-122"/>
                              </a:endParaRPr>
                            </a:p>
                          </a:txBody>
                          <a:useSpRect/>
                        </a:txSp>
                      </a:sp>
                      <a:sp>
                        <a:nvSpPr>
                          <a:cNvPr id="27" name="文本框 40"/>
                          <a:cNvSpPr txBox="1"/>
                        </a:nvSpPr>
                        <a:spPr>
                          <a:xfrm rot="10592409">
                            <a:off x="-3102416" y="3269715"/>
                            <a:ext cx="646331"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云计算</a:t>
                              </a:r>
                              <a:endParaRPr lang="zh-CN" altLang="en-US" sz="1200" dirty="0">
                                <a:latin typeface="黑体" panose="02010609060101010101" charset="-122"/>
                                <a:ea typeface="黑体" panose="02010609060101010101" charset="-122"/>
                              </a:endParaRPr>
                            </a:p>
                          </a:txBody>
                          <a:useSpRect/>
                        </a:txSp>
                      </a:sp>
                      <a:sp>
                        <a:nvSpPr>
                          <a:cNvPr id="28" name="文本框 41"/>
                          <a:cNvSpPr txBox="1"/>
                        </a:nvSpPr>
                        <a:spPr>
                          <a:xfrm rot="10456072">
                            <a:off x="-2824428" y="4172284"/>
                            <a:ext cx="646331"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大数据</a:t>
                              </a:r>
                              <a:endParaRPr lang="zh-CN" altLang="en-US" sz="1200" dirty="0">
                                <a:latin typeface="黑体" panose="02010609060101010101" charset="-122"/>
                                <a:ea typeface="黑体" panose="02010609060101010101" charset="-122"/>
                              </a:endParaRPr>
                            </a:p>
                          </a:txBody>
                          <a:useSpRect/>
                        </a:txSp>
                      </a:sp>
                    </a:grpSp>
                    <a:sp>
                      <a:nvSpPr>
                        <a:cNvPr id="20" name="文本框 28"/>
                        <a:cNvSpPr txBox="1"/>
                      </a:nvSpPr>
                      <a:spPr>
                        <a:xfrm rot="20906143">
                          <a:off x="4227044" y="1592933"/>
                          <a:ext cx="800219"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产业园区</a:t>
                            </a:r>
                            <a:endParaRPr lang="zh-CN" altLang="en-US" sz="1200" dirty="0">
                              <a:latin typeface="黑体" panose="02010609060101010101" charset="-122"/>
                              <a:ea typeface="黑体" panose="02010609060101010101" charset="-122"/>
                            </a:endParaRPr>
                          </a:p>
                        </a:txBody>
                        <a:useSpRect/>
                      </a:txSp>
                    </a:sp>
                    <a:sp>
                      <a:nvSpPr>
                        <a:cNvPr id="21" name="文本框 29"/>
                        <a:cNvSpPr txBox="1"/>
                      </a:nvSpPr>
                      <a:spPr>
                        <a:xfrm rot="21003935">
                          <a:off x="4570039" y="2086467"/>
                          <a:ext cx="1107996"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科技示范园区</a:t>
                            </a:r>
                            <a:endParaRPr lang="zh-CN" altLang="en-US" sz="1200" dirty="0">
                              <a:latin typeface="黑体" panose="02010609060101010101" charset="-122"/>
                              <a:ea typeface="黑体" panose="02010609060101010101" charset="-122"/>
                            </a:endParaRPr>
                          </a:p>
                        </a:txBody>
                        <a:useSpRect/>
                      </a:txSp>
                    </a:sp>
                    <a:sp>
                      <a:nvSpPr>
                        <a:cNvPr id="22" name="文本框 30"/>
                        <a:cNvSpPr txBox="1"/>
                      </a:nvSpPr>
                      <a:spPr>
                        <a:xfrm rot="21327118">
                          <a:off x="4729064" y="2797251"/>
                          <a:ext cx="1107996"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休闲农业园区</a:t>
                            </a:r>
                            <a:endParaRPr lang="zh-CN" altLang="en-US" sz="1200" dirty="0">
                              <a:latin typeface="黑体" panose="02010609060101010101" charset="-122"/>
                              <a:ea typeface="黑体" panose="02010609060101010101" charset="-122"/>
                            </a:endParaRPr>
                          </a:p>
                        </a:txBody>
                        <a:useSpRect/>
                      </a:txSp>
                    </a:sp>
                    <a:sp>
                      <a:nvSpPr>
                        <a:cNvPr id="23" name="文本框 31"/>
                        <a:cNvSpPr txBox="1"/>
                      </a:nvSpPr>
                      <a:spPr>
                        <a:xfrm>
                          <a:off x="4878699" y="3478258"/>
                          <a:ext cx="800219"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异地农业</a:t>
                            </a:r>
                            <a:endParaRPr lang="zh-CN" altLang="en-US" sz="1200" dirty="0">
                              <a:latin typeface="黑体" panose="02010609060101010101" charset="-122"/>
                              <a:ea typeface="黑体" panose="02010609060101010101" charset="-122"/>
                            </a:endParaRPr>
                          </a:p>
                        </a:txBody>
                        <a:useSpRect/>
                      </a:txSp>
                    </a:sp>
                    <a:grpSp>
                      <a:nvGrpSpPr>
                        <a:cNvPr id="9" name="组合 6"/>
                        <a:cNvGrpSpPr/>
                      </a:nvGrpSpPr>
                      <a:grpSpPr>
                        <a:xfrm rot="10800000">
                          <a:off x="1199764" y="1571618"/>
                          <a:ext cx="4412792" cy="3588598"/>
                          <a:chOff x="2311984" y="1354823"/>
                          <a:chExt cx="4412792" cy="3588598"/>
                        </a:xfrm>
                      </a:grpSpPr>
                      <a:sp>
                        <a:nvSpPr>
                          <a:cNvPr id="11" name="椭圆 10"/>
                          <a:cNvSpPr/>
                        </a:nvSpPr>
                        <a:spPr>
                          <a:xfrm>
                            <a:off x="3262854" y="1354823"/>
                            <a:ext cx="3461922" cy="3588598"/>
                          </a:xfrm>
                          <a:prstGeom prst="ellipse">
                            <a:avLst/>
                          </a:prstGeom>
                          <a:gradFill>
                            <a:gsLst>
                              <a:gs pos="53000">
                                <a:schemeClr val="accent1">
                                  <a:lumMod val="45000"/>
                                  <a:lumOff val="55000"/>
                                  <a:alpha val="0"/>
                                </a:schemeClr>
                              </a:gs>
                              <a:gs pos="0">
                                <a:srgbClr val="00B050"/>
                              </a:gs>
                            </a:gsLst>
                            <a:lin ang="0" scaled="1"/>
                          </a:gra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文本框 19"/>
                          <a:cNvSpPr txBox="1"/>
                        </a:nvSpPr>
                        <a:spPr>
                          <a:xfrm rot="11363466">
                            <a:off x="3921889" y="2551201"/>
                            <a:ext cx="646331"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葱蒜类</a:t>
                              </a:r>
                              <a:endParaRPr lang="zh-CN" altLang="en-US" sz="1200" dirty="0">
                                <a:latin typeface="黑体" panose="02010609060101010101" charset="-122"/>
                                <a:ea typeface="黑体" panose="02010609060101010101" charset="-122"/>
                              </a:endParaRPr>
                            </a:p>
                          </a:txBody>
                          <a:useSpRect/>
                        </a:txSp>
                      </a:sp>
                      <a:sp>
                        <a:nvSpPr>
                          <a:cNvPr id="13" name="文本框 20"/>
                          <a:cNvSpPr txBox="1"/>
                        </a:nvSpPr>
                        <a:spPr>
                          <a:xfrm rot="10426827">
                            <a:off x="3823441" y="3567938"/>
                            <a:ext cx="800219"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花椰菜类</a:t>
                              </a:r>
                              <a:endParaRPr lang="zh-CN" altLang="en-US" sz="1200" dirty="0">
                                <a:latin typeface="黑体" panose="02010609060101010101" charset="-122"/>
                                <a:ea typeface="黑体" panose="02010609060101010101" charset="-122"/>
                              </a:endParaRPr>
                            </a:p>
                          </a:txBody>
                          <a:useSpRect/>
                        </a:txSp>
                      </a:sp>
                      <a:sp>
                        <a:nvSpPr>
                          <a:cNvPr id="14" name="文本框 21"/>
                          <a:cNvSpPr txBox="1"/>
                        </a:nvSpPr>
                        <a:spPr>
                          <a:xfrm rot="10800000">
                            <a:off x="3984547" y="3103435"/>
                            <a:ext cx="646331"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根茎类</a:t>
                              </a:r>
                              <a:endParaRPr lang="zh-CN" altLang="en-US" sz="1200" dirty="0">
                                <a:latin typeface="黑体" panose="02010609060101010101" charset="-122"/>
                                <a:ea typeface="黑体" panose="02010609060101010101" charset="-122"/>
                              </a:endParaRPr>
                            </a:p>
                          </a:txBody>
                          <a:useSpRect/>
                        </a:txSp>
                      </a:sp>
                      <a:sp>
                        <a:nvSpPr>
                          <a:cNvPr id="15" name="文本框 22"/>
                          <a:cNvSpPr txBox="1"/>
                        </a:nvSpPr>
                        <a:spPr>
                          <a:xfrm rot="11460720">
                            <a:off x="3816089" y="2094919"/>
                            <a:ext cx="800219"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瓜茄椒类</a:t>
                              </a:r>
                              <a:endParaRPr lang="zh-CN" altLang="en-US" sz="1200" dirty="0">
                                <a:latin typeface="黑体" panose="02010609060101010101" charset="-122"/>
                                <a:ea typeface="黑体" panose="02010609060101010101" charset="-122"/>
                              </a:endParaRPr>
                            </a:p>
                          </a:txBody>
                          <a:useSpRect/>
                        </a:txSp>
                      </a:sp>
                      <a:sp>
                        <a:nvSpPr>
                          <a:cNvPr id="16" name="文本框 23"/>
                          <a:cNvSpPr txBox="1"/>
                        </a:nvSpPr>
                        <a:spPr>
                          <a:xfrm rot="11274440">
                            <a:off x="2311984" y="2141416"/>
                            <a:ext cx="800219"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综合利用</a:t>
                              </a:r>
                              <a:endParaRPr lang="zh-CN" altLang="en-US" sz="1200" dirty="0">
                                <a:latin typeface="黑体" panose="02010609060101010101" charset="-122"/>
                                <a:ea typeface="黑体" panose="02010609060101010101" charset="-122"/>
                              </a:endParaRPr>
                            </a:p>
                          </a:txBody>
                          <a:useSpRect/>
                        </a:txSp>
                      </a:sp>
                      <a:sp>
                        <a:nvSpPr>
                          <a:cNvPr id="17" name="文本框 24"/>
                          <a:cNvSpPr txBox="1"/>
                        </a:nvSpPr>
                        <a:spPr>
                          <a:xfrm rot="10274887">
                            <a:off x="4265859" y="4034364"/>
                            <a:ext cx="492443"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豆类</a:t>
                              </a:r>
                              <a:endParaRPr lang="zh-CN" altLang="en-US" sz="1200" dirty="0">
                                <a:latin typeface="黑体" panose="02010609060101010101" charset="-122"/>
                                <a:ea typeface="黑体" panose="02010609060101010101" charset="-122"/>
                              </a:endParaRPr>
                            </a:p>
                          </a:txBody>
                          <a:useSpRect/>
                        </a:txSp>
                      </a:sp>
                      <a:sp>
                        <a:nvSpPr>
                          <a:cNvPr id="18" name="文本框 25"/>
                          <a:cNvSpPr txBox="1"/>
                        </a:nvSpPr>
                        <a:spPr>
                          <a:xfrm rot="10130214">
                            <a:off x="4422782" y="4518307"/>
                            <a:ext cx="646331"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叶菜类</a:t>
                              </a:r>
                              <a:endParaRPr lang="zh-CN" altLang="en-US" sz="1200" dirty="0">
                                <a:latin typeface="黑体" panose="02010609060101010101" charset="-122"/>
                                <a:ea typeface="黑体" panose="02010609060101010101" charset="-122"/>
                              </a:endParaRPr>
                            </a:p>
                          </a:txBody>
                          <a:useSpRect/>
                        </a:txSp>
                      </a:sp>
                    </a:grpSp>
                    <a:sp>
                      <a:nvSpPr>
                        <a:cNvPr id="8" name="椭圆 7"/>
                        <a:cNvSpPr/>
                      </a:nvSpPr>
                      <a:spPr>
                        <a:xfrm>
                          <a:off x="1165909" y="2335891"/>
                          <a:ext cx="2049115" cy="2219181"/>
                        </a:xfrm>
                        <a:prstGeom prst="ellipse">
                          <a:avLst/>
                        </a:prstGeom>
                        <a:solidFill>
                          <a:schemeClr val="accent1">
                            <a:lumMod val="75000"/>
                          </a:schemeClr>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400" dirty="0" smtClean="0">
                                <a:latin typeface="黑体" panose="02010609060101010101" charset="-122"/>
                                <a:ea typeface="黑体" panose="02010609060101010101" charset="-122"/>
                              </a:rPr>
                              <a:t>高原蔬菜</a:t>
                            </a:r>
                            <a:endParaRPr lang="zh-CN" altLang="en-US" sz="1400" dirty="0">
                              <a:latin typeface="黑体" panose="02010609060101010101" charset="-122"/>
                              <a:ea typeface="黑体" panose="02010609060101010101"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 name="文本框 23"/>
                        <a:cNvSpPr txBox="1"/>
                      </a:nvSpPr>
                      <a:spPr>
                        <a:xfrm rot="565041">
                          <a:off x="4377873" y="4631168"/>
                          <a:ext cx="800219"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技术体系</a:t>
                            </a:r>
                            <a:endParaRPr lang="zh-CN" altLang="en-US" sz="1200" dirty="0">
                              <a:latin typeface="黑体" panose="02010609060101010101" charset="-122"/>
                              <a:ea typeface="黑体" panose="02010609060101010101" charset="-122"/>
                            </a:endParaRPr>
                          </a:p>
                        </a:txBody>
                        <a:useSpRect/>
                      </a:txSp>
                    </a:sp>
                    <a:sp>
                      <a:nvSpPr>
                        <a:cNvPr id="10" name="文本框 22"/>
                        <a:cNvSpPr txBox="1"/>
                      </a:nvSpPr>
                      <a:spPr>
                        <a:xfrm rot="660720">
                          <a:off x="2851423" y="4568478"/>
                          <a:ext cx="954107" cy="276999"/>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latin typeface="黑体" panose="02010609060101010101" charset="-122"/>
                                <a:ea typeface="黑体" panose="02010609060101010101" charset="-122"/>
                              </a:rPr>
                              <a:t>新特野生类</a:t>
                            </a:r>
                            <a:endParaRPr lang="zh-CN" altLang="en-US" sz="1200" dirty="0">
                              <a:latin typeface="黑体" panose="02010609060101010101" charset="-122"/>
                              <a:ea typeface="黑体" panose="02010609060101010101" charset="-122"/>
                            </a:endParaRPr>
                          </a:p>
                        </a:txBody>
                        <a:useSpRect/>
                      </a:txSp>
                    </a:sp>
                  </a:grpSp>
                </lc:lockedCanvas>
              </a:graphicData>
            </a:graphic>
          </wp:inline>
        </w:drawing>
      </w: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图2 玉溪市蔬菜产业发展层次示意图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u w:val="none"/>
          <w:lang w:eastAsia="zh-CN"/>
        </w:rPr>
        <w:t>（一）</w:t>
      </w:r>
      <w:r>
        <w:rPr>
          <w:rFonts w:hint="eastAsia" w:ascii="方正楷体_GBK" w:hAnsi="方正楷体_GBK" w:eastAsia="方正楷体_GBK" w:cs="方正楷体_GBK"/>
          <w:b w:val="0"/>
          <w:bCs w:val="0"/>
          <w:color w:val="000000"/>
          <w:sz w:val="32"/>
          <w:szCs w:val="32"/>
          <w:u w:val="none"/>
        </w:rPr>
        <w:t>一核两翼</w:t>
      </w:r>
      <w:r>
        <w:rPr>
          <w:rFonts w:hint="eastAsia" w:ascii="方正楷体_GBK" w:hAnsi="方正楷体_GBK" w:eastAsia="方正楷体_GBK" w:cs="方正楷体_GBK"/>
          <w:b w:val="0"/>
          <w:bCs w:val="0"/>
          <w:color w:val="000000"/>
          <w:sz w:val="32"/>
          <w:szCs w:val="32"/>
          <w:u w:val="none"/>
          <w:lang w:eastAsia="zh-CN"/>
        </w:rPr>
        <w:t>。</w:t>
      </w:r>
      <w:r>
        <w:rPr>
          <w:rFonts w:hint="default" w:ascii="Times New Roman" w:hAnsi="Times New Roman" w:eastAsia="方正仿宋_GBK" w:cs="Times New Roman"/>
          <w:b/>
          <w:color w:val="000000" w:themeColor="text1"/>
          <w:sz w:val="32"/>
          <w:szCs w:val="32"/>
          <w:u w:val="single"/>
          <w14:textFill>
            <w14:solidFill>
              <w14:schemeClr w14:val="tx1"/>
            </w14:solidFill>
          </w14:textFill>
        </w:rPr>
        <w:t>一核</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以</w:t>
      </w:r>
      <w:r>
        <w:rPr>
          <w:rFonts w:hint="default" w:ascii="Times New Roman" w:hAnsi="Times New Roman" w:eastAsia="方正仿宋_GBK" w:cs="Times New Roman"/>
          <w:color w:val="000000" w:themeColor="text1"/>
          <w:sz w:val="32"/>
          <w:szCs w:val="32"/>
          <w14:textFill>
            <w14:solidFill>
              <w14:schemeClr w14:val="tx1"/>
            </w14:solidFill>
          </w14:textFill>
        </w:rPr>
        <w:t>江川区、通海县、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红塔区</w:t>
      </w:r>
      <w:r>
        <w:rPr>
          <w:rFonts w:hint="default" w:ascii="Times New Roman" w:hAnsi="Times New Roman" w:eastAsia="方正仿宋_GBK" w:cs="Times New Roman"/>
          <w:color w:val="000000" w:themeColor="text1"/>
          <w:sz w:val="32"/>
          <w:szCs w:val="32"/>
          <w14:textFill>
            <w14:solidFill>
              <w14:schemeClr w14:val="tx1"/>
            </w14:solidFill>
          </w14:textFill>
        </w:rPr>
        <w:t>的乡镇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为主</w:t>
      </w:r>
      <w:r>
        <w:rPr>
          <w:rFonts w:hint="default" w:ascii="Times New Roman" w:hAnsi="Times New Roman" w:eastAsia="方正仿宋_GBK" w:cs="Times New Roman"/>
          <w:color w:val="000000" w:themeColor="text1"/>
          <w:sz w:val="32"/>
          <w:szCs w:val="32"/>
          <w14:textFill>
            <w14:solidFill>
              <w14:schemeClr w14:val="tx1"/>
            </w14:solidFill>
          </w14:textFill>
        </w:rPr>
        <w:t>，重点发展周年蔬菜生产，建设和完善蔬菜深加工园区、蔬菜科技园区、物流园区，发展以现代物流、电子商务、农业旅游、休闲度假等绿色服务业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color w:val="000000"/>
          <w:sz w:val="32"/>
          <w:szCs w:val="32"/>
          <w:u w:val="single"/>
        </w:rPr>
        <w:t>两翼</w:t>
      </w:r>
      <w:r>
        <w:rPr>
          <w:rFonts w:hint="default" w:ascii="Times New Roman" w:hAnsi="Times New Roman" w:eastAsia="方正仿宋_GBK" w:cs="Times New Roman"/>
          <w:color w:val="000000"/>
          <w:sz w:val="32"/>
          <w:szCs w:val="32"/>
        </w:rPr>
        <w:t>：玉溪市行政境内河流水系发育，主要分属珠江、红河两大水系，由位于峨山中部的总果山和红塔区西部的高鲁山相连接构成珠江、红河两大水系分水岭，将蔬菜发展区域分为珠江水系流域发展翼和红河水系发展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其中：珠江水系流域发展翼包括红塔区、澄江</w:t>
      </w:r>
      <w:r>
        <w:rPr>
          <w:rFonts w:hint="eastAsia" w:ascii="Times New Roman" w:hAnsi="Times New Roman" w:eastAsia="方正仿宋_GBK" w:cs="Times New Roman"/>
          <w:color w:val="000000"/>
          <w:sz w:val="32"/>
          <w:szCs w:val="32"/>
          <w:lang w:eastAsia="zh-CN"/>
        </w:rPr>
        <w:t>市</w:t>
      </w:r>
      <w:r>
        <w:rPr>
          <w:rFonts w:hint="default" w:ascii="Times New Roman" w:hAnsi="Times New Roman" w:eastAsia="方正仿宋_GBK" w:cs="Times New Roman"/>
          <w:color w:val="000000"/>
          <w:sz w:val="32"/>
          <w:szCs w:val="32"/>
        </w:rPr>
        <w:t>、江川区、通海县、华宁县和峨山县东部；红河水系发展翼包括易门县、新平县、元江县和峨山县西部。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4"/>
          <w:szCs w:val="24"/>
        </w:rPr>
      </w:pPr>
      <w:r>
        <w:rPr>
          <w:rFonts w:hint="default" w:ascii="Times New Roman" w:hAnsi="Times New Roman" w:eastAsia="方正仿宋_GBK" w:cs="Times New Roman"/>
          <w:color w:val="000000"/>
          <w:sz w:val="24"/>
          <w:szCs w:val="24"/>
        </w:rPr>
        <w:drawing>
          <wp:anchor distT="0" distB="0" distL="0" distR="0" simplePos="0" relativeHeight="251662336" behindDoc="0" locked="0" layoutInCell="1" allowOverlap="1">
            <wp:simplePos x="0" y="0"/>
            <wp:positionH relativeFrom="column">
              <wp:posOffset>-66040</wp:posOffset>
            </wp:positionH>
            <wp:positionV relativeFrom="paragraph">
              <wp:posOffset>33020</wp:posOffset>
            </wp:positionV>
            <wp:extent cx="5754370" cy="1852295"/>
            <wp:effectExtent l="0" t="0" r="6350" b="6985"/>
            <wp:wrapSquare wrapText="bothSides"/>
            <wp:docPr id="3" name="图片 1" descr="D:\外接项目\2017年\蔬菜产业规划资料-玉溪-9.18\玉溪蔬菜规划\04-05-06\04 蔬菜布局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外接项目\2017年\蔬菜产业规划资料-玉溪-9.18\玉溪蔬菜规划\04-05-06\04 蔬菜布局_2.jpg"/>
                    <pic:cNvPicPr>
                      <a:picLocks noChangeAspect="1" noChangeArrowheads="1"/>
                    </pic:cNvPicPr>
                  </pic:nvPicPr>
                  <pic:blipFill>
                    <a:blip r:embed="rId10" cstate="print"/>
                    <a:srcRect/>
                    <a:stretch>
                      <a:fillRect/>
                    </a:stretch>
                  </pic:blipFill>
                  <pic:spPr>
                    <a:xfrm>
                      <a:off x="0" y="0"/>
                      <a:ext cx="5754370" cy="1852295"/>
                    </a:xfrm>
                    <a:prstGeom prst="rect">
                      <a:avLst/>
                    </a:prstGeom>
                    <a:noFill/>
                    <a:ln w="9525">
                      <a:noFill/>
                      <a:miter lim="800000"/>
                      <a:headEnd/>
                      <a:tailEnd/>
                    </a:ln>
                  </pic:spPr>
                </pic:pic>
              </a:graphicData>
            </a:graphic>
          </wp:anchor>
        </w:drawing>
      </w:r>
      <w:r>
        <w:rPr>
          <w:rFonts w:hint="default" w:ascii="Times New Roman" w:hAnsi="Times New Roman" w:eastAsia="方正仿宋_GBK" w:cs="Times New Roman"/>
          <w:color w:val="000000"/>
          <w:sz w:val="24"/>
          <w:szCs w:val="24"/>
        </w:rPr>
        <w:t>图</w:t>
      </w:r>
      <w:r>
        <w:rPr>
          <w:rFonts w:hint="default"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rPr>
        <w:t xml:space="preserve"> 玉溪市蔬菜产业发展基本架构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楷体_GBK" w:hAnsi="方正楷体_GBK" w:eastAsia="方正楷体_GBK" w:cs="方正楷体_GBK"/>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color w:val="000000"/>
          <w:sz w:val="28"/>
          <w:szCs w:val="28"/>
        </w:rPr>
      </w:pPr>
      <w:r>
        <w:rPr>
          <w:rFonts w:hint="eastAsia" w:ascii="方正楷体_GBK" w:hAnsi="方正楷体_GBK" w:eastAsia="方正楷体_GBK" w:cs="方正楷体_GBK"/>
          <w:b w:val="0"/>
          <w:bCs w:val="0"/>
          <w:color w:val="000000"/>
          <w:sz w:val="32"/>
          <w:szCs w:val="32"/>
          <w:lang w:eastAsia="zh-CN"/>
        </w:rPr>
        <w:t>（二）</w:t>
      </w:r>
      <w:r>
        <w:rPr>
          <w:rFonts w:hint="eastAsia" w:ascii="方正楷体_GBK" w:hAnsi="方正楷体_GBK" w:eastAsia="方正楷体_GBK" w:cs="方正楷体_GBK"/>
          <w:b w:val="0"/>
          <w:bCs w:val="0"/>
          <w:color w:val="000000"/>
          <w:sz w:val="32"/>
          <w:szCs w:val="32"/>
        </w:rPr>
        <w:t>三带四区</w:t>
      </w:r>
      <w:r>
        <w:rPr>
          <w:rFonts w:hint="eastAsia" w:ascii="方正楷体_GBK" w:hAnsi="方正楷体_GBK" w:eastAsia="方正楷体_GBK" w:cs="方正楷体_GBK"/>
          <w:b w:val="0"/>
          <w:bCs w:val="0"/>
          <w:color w:val="000000"/>
          <w:sz w:val="32"/>
          <w:szCs w:val="32"/>
          <w:lang w:eastAsia="zh-CN"/>
        </w:rPr>
        <w:t>。</w:t>
      </w:r>
      <w:r>
        <w:rPr>
          <w:rFonts w:hint="eastAsia" w:ascii="方正仿宋_GBK" w:hAnsi="方正仿宋_GBK" w:eastAsia="方正仿宋_GBK" w:cs="方正仿宋_GBK"/>
          <w:b/>
          <w:bCs/>
          <w:color w:val="000000"/>
          <w:sz w:val="32"/>
          <w:szCs w:val="32"/>
          <w:u w:val="single"/>
        </w:rPr>
        <w:t>三带</w:t>
      </w:r>
      <w:r>
        <w:rPr>
          <w:rFonts w:hint="eastAsia" w:ascii="方正仿宋_GBK" w:hAnsi="方正仿宋_GBK" w:eastAsia="方正仿宋_GBK" w:cs="方正仿宋_GBK"/>
          <w:b w:val="0"/>
          <w:bCs w:val="0"/>
          <w:color w:val="000000"/>
          <w:sz w:val="32"/>
          <w:szCs w:val="32"/>
          <w:u w:val="none"/>
        </w:rPr>
        <w:t>：</w:t>
      </w:r>
      <w:r>
        <w:rPr>
          <w:rFonts w:hint="default" w:ascii="Times New Roman" w:hAnsi="Times New Roman" w:eastAsia="方正仿宋_GBK" w:cs="Times New Roman"/>
          <w:color w:val="000000" w:themeColor="text1"/>
          <w:sz w:val="32"/>
          <w:szCs w:val="32"/>
          <w14:textFill>
            <w14:solidFill>
              <w14:schemeClr w14:val="tx1"/>
            </w14:solidFill>
          </w14:textFill>
        </w:rPr>
        <w:t>江川区、通海县、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红塔区</w:t>
      </w:r>
      <w:r>
        <w:rPr>
          <w:rFonts w:hint="default" w:ascii="Times New Roman" w:hAnsi="Times New Roman" w:eastAsia="方正仿宋_GBK" w:cs="Times New Roman"/>
          <w:color w:val="000000" w:themeColor="text1"/>
          <w:sz w:val="32"/>
          <w:szCs w:val="32"/>
          <w14:textFill>
            <w14:solidFill>
              <w14:schemeClr w14:val="tx1"/>
            </w14:solidFill>
          </w14:textFill>
        </w:rPr>
        <w:t>周年生产外销出口蔬菜产业带、红河</w:t>
      </w:r>
      <w:r>
        <w:rPr>
          <w:rFonts w:hint="default" w:ascii="Times New Roman" w:hAnsi="Times New Roman" w:eastAsia="方正仿宋_GBK" w:cs="Times New Roman"/>
          <w:color w:val="000000"/>
          <w:sz w:val="32"/>
          <w:szCs w:val="32"/>
        </w:rPr>
        <w:t>谷冬春蔬菜产业带和中高海拔夏秋蔬菜产业带；</w:t>
      </w:r>
      <w:r>
        <w:rPr>
          <w:rFonts w:hint="default" w:ascii="Times New Roman" w:hAnsi="Times New Roman" w:eastAsia="方正仿宋_GBK" w:cs="Times New Roman"/>
          <w:b/>
          <w:color w:val="000000"/>
          <w:sz w:val="32"/>
          <w:szCs w:val="32"/>
          <w:u w:val="single"/>
        </w:rPr>
        <w:t>四区</w:t>
      </w:r>
      <w:r>
        <w:rPr>
          <w:rFonts w:hint="default" w:ascii="Times New Roman" w:hAnsi="Times New Roman" w:eastAsia="方正仿宋_GBK" w:cs="Times New Roman"/>
          <w:color w:val="000000"/>
          <w:sz w:val="32"/>
          <w:szCs w:val="32"/>
          <w:u w:val="none"/>
        </w:rPr>
        <w:t>：</w:t>
      </w:r>
      <w:r>
        <w:rPr>
          <w:rFonts w:hint="default" w:ascii="Times New Roman" w:hAnsi="Times New Roman" w:eastAsia="方正仿宋_GBK" w:cs="Times New Roman"/>
          <w:color w:val="000000"/>
          <w:sz w:val="32"/>
          <w:szCs w:val="32"/>
        </w:rPr>
        <w:t>现代蔬菜产业园区（含农业庄园）、蔬菜科技示范加工园区、休闲农业园区和外向农业园区。</w:t>
      </w: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drawing>
          <wp:anchor distT="0" distB="0" distL="0" distR="0" simplePos="0" relativeHeight="251661312" behindDoc="1" locked="0" layoutInCell="1" allowOverlap="1">
            <wp:simplePos x="0" y="0"/>
            <wp:positionH relativeFrom="column">
              <wp:posOffset>29210</wp:posOffset>
            </wp:positionH>
            <wp:positionV relativeFrom="paragraph">
              <wp:posOffset>139700</wp:posOffset>
            </wp:positionV>
            <wp:extent cx="5557520" cy="2009140"/>
            <wp:effectExtent l="0" t="0" r="5080" b="0"/>
            <wp:wrapTight wrapText="bothSides">
              <wp:wrapPolygon>
                <wp:start x="0" y="0"/>
                <wp:lineTo x="0" y="21300"/>
                <wp:lineTo x="21546" y="21300"/>
                <wp:lineTo x="21546" y="0"/>
                <wp:lineTo x="0" y="0"/>
              </wp:wrapPolygon>
            </wp:wrapTight>
            <wp:docPr id="4" name="图片 1" descr="D:\外接项目\2017年\蔬菜产业规划资料-玉溪-9.18\玉溪蔬菜规划\04-05-06\05三个产业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外接项目\2017年\蔬菜产业规划资料-玉溪-9.18\玉溪蔬菜规划\04-05-06\05三个产业带.jpg"/>
                    <pic:cNvPicPr>
                      <a:picLocks noChangeAspect="1" noChangeArrowheads="1"/>
                    </pic:cNvPicPr>
                  </pic:nvPicPr>
                  <pic:blipFill>
                    <a:blip r:embed="rId11" cstate="print"/>
                    <a:srcRect/>
                    <a:stretch>
                      <a:fillRect/>
                    </a:stretch>
                  </pic:blipFill>
                  <pic:spPr>
                    <a:xfrm>
                      <a:off x="0" y="0"/>
                      <a:ext cx="5557520" cy="2009140"/>
                    </a:xfrm>
                    <a:prstGeom prst="rect">
                      <a:avLst/>
                    </a:prstGeom>
                    <a:noFill/>
                    <a:ln w="9525">
                      <a:noFill/>
                      <a:miter lim="800000"/>
                      <a:headEnd/>
                      <a:tailEnd/>
                    </a:ln>
                  </pic:spPr>
                </pic:pic>
              </a:graphicData>
            </a:graphic>
          </wp:anchor>
        </w:drawing>
      </w:r>
      <w:r>
        <w:rPr>
          <w:rFonts w:hint="default" w:ascii="Times New Roman" w:hAnsi="Times New Roman" w:eastAsia="方正仿宋_GBK" w:cs="Times New Roman"/>
          <w:color w:val="000000"/>
          <w:sz w:val="24"/>
          <w:szCs w:val="24"/>
        </w:rPr>
        <w:t>图</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 xml:space="preserve"> 玉溪市蔬菜产业发展</w:t>
      </w:r>
      <w:r>
        <w:rPr>
          <w:rFonts w:hint="eastAsia" w:ascii="方正仿宋_GBK" w:hAnsi="方正仿宋_GBK" w:eastAsia="方正仿宋_GBK" w:cs="方正仿宋_GBK"/>
          <w:color w:val="000000"/>
          <w:sz w:val="24"/>
          <w:szCs w:val="24"/>
        </w:rPr>
        <w:t>“三个产业带”示</w:t>
      </w:r>
      <w:r>
        <w:rPr>
          <w:rFonts w:hint="default" w:ascii="Times New Roman" w:hAnsi="Times New Roman" w:eastAsia="方正仿宋_GBK" w:cs="Times New Roman"/>
          <w:color w:val="000000"/>
          <w:sz w:val="24"/>
          <w:szCs w:val="24"/>
        </w:rPr>
        <w:t>意图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楷体_GBK" w:hAnsi="方正楷体_GBK" w:eastAsia="方正楷体_GBK" w:cs="方正楷体_GBK"/>
          <w:b w:val="0"/>
          <w:bCs/>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color w:val="000000"/>
          <w:sz w:val="32"/>
          <w:szCs w:val="32"/>
          <w:u w:val="none"/>
          <w:lang w:val="en-US" w:eastAsia="zh-CN"/>
        </w:rPr>
        <w:t>（三）</w:t>
      </w:r>
      <w:r>
        <w:rPr>
          <w:rFonts w:hint="eastAsia" w:ascii="方正楷体_GBK" w:hAnsi="方正楷体_GBK" w:eastAsia="方正楷体_GBK" w:cs="方正楷体_GBK"/>
          <w:b w:val="0"/>
          <w:bCs/>
          <w:color w:val="000000"/>
          <w:sz w:val="32"/>
          <w:szCs w:val="32"/>
          <w:u w:val="none"/>
        </w:rPr>
        <w:t>四大体系</w:t>
      </w:r>
      <w:r>
        <w:rPr>
          <w:rFonts w:hint="eastAsia" w:ascii="方正楷体_GBK" w:hAnsi="方正楷体_GBK" w:eastAsia="方正楷体_GBK" w:cs="方正楷体_GBK"/>
          <w:b w:val="0"/>
          <w:bCs/>
          <w:color w:val="000000"/>
          <w:sz w:val="32"/>
          <w:szCs w:val="32"/>
          <w:u w:val="none"/>
          <w:lang w:eastAsia="zh-CN"/>
        </w:rPr>
        <w:t>。</w:t>
      </w:r>
      <w:r>
        <w:rPr>
          <w:rFonts w:hint="default" w:ascii="Times New Roman" w:hAnsi="Times New Roman" w:eastAsia="方正仿宋_GBK" w:cs="Times New Roman"/>
          <w:color w:val="000000"/>
          <w:sz w:val="32"/>
          <w:szCs w:val="32"/>
        </w:rPr>
        <w:t>包括市场体系、冷链物流体系、蔬菜精深加工体系、技术支撑体系。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方正仿宋_GBK" w:hAnsi="方正仿宋_GBK" w:eastAsia="方正仿宋_GBK" w:cs="方正仿宋_GBK"/>
          <w:b w:val="0"/>
          <w:bCs/>
          <w:sz w:val="32"/>
          <w:szCs w:val="32"/>
          <w:lang w:eastAsia="zh-CN"/>
        </w:rPr>
      </w:pPr>
      <w:bookmarkStart w:id="14" w:name="_Toc8623"/>
      <w:bookmarkStart w:id="15" w:name="_Toc5588"/>
      <w:r>
        <w:rPr>
          <w:rFonts w:hint="eastAsia" w:ascii="方正楷体_GBK" w:hAnsi="方正楷体_GBK" w:eastAsia="方正楷体_GBK" w:cs="方正楷体_GBK"/>
          <w:b w:val="0"/>
          <w:bCs/>
          <w:color w:val="000000"/>
          <w:sz w:val="32"/>
          <w:szCs w:val="32"/>
          <w:u w:val="none"/>
          <w:lang w:val="en-US" w:eastAsia="zh-CN"/>
        </w:rPr>
        <w:t>（四）</w:t>
      </w:r>
      <w:r>
        <w:rPr>
          <w:rFonts w:hint="eastAsia" w:ascii="方正楷体_GBK" w:hAnsi="方正楷体_GBK" w:eastAsia="方正楷体_GBK" w:cs="方正楷体_GBK"/>
          <w:b w:val="0"/>
          <w:bCs/>
          <w:color w:val="000000"/>
          <w:sz w:val="32"/>
          <w:szCs w:val="32"/>
          <w:u w:val="none"/>
          <w:lang w:eastAsia="zh-CN"/>
        </w:rPr>
        <w:t>十</w:t>
      </w:r>
      <w:r>
        <w:rPr>
          <w:rFonts w:hint="eastAsia" w:ascii="方正楷体_GBK" w:hAnsi="方正楷体_GBK" w:eastAsia="方正楷体_GBK" w:cs="方正楷体_GBK"/>
          <w:b w:val="0"/>
          <w:bCs/>
          <w:color w:val="000000"/>
          <w:sz w:val="32"/>
          <w:szCs w:val="32"/>
          <w:u w:val="none"/>
        </w:rPr>
        <w:t>大工程</w:t>
      </w:r>
      <w:r>
        <w:rPr>
          <w:rFonts w:hint="eastAsia" w:ascii="方正楷体_GBK" w:hAnsi="方正楷体_GBK" w:eastAsia="方正楷体_GBK" w:cs="方正楷体_GBK"/>
          <w:b w:val="0"/>
          <w:bCs/>
          <w:color w:val="000000"/>
          <w:sz w:val="32"/>
          <w:szCs w:val="32"/>
          <w:u w:val="none"/>
          <w:lang w:eastAsia="zh-CN"/>
        </w:rPr>
        <w:t>。</w:t>
      </w:r>
      <w:r>
        <w:rPr>
          <w:rFonts w:hint="default" w:ascii="Times New Roman" w:hAnsi="Times New Roman" w:eastAsia="方正仿宋_GBK" w:cs="Times New Roman"/>
          <w:color w:val="000000"/>
          <w:sz w:val="32"/>
          <w:szCs w:val="32"/>
        </w:rPr>
        <w:t>包括</w:t>
      </w:r>
      <w:r>
        <w:rPr>
          <w:rFonts w:hint="eastAsia" w:ascii="Times New Roman" w:hAnsi="Times New Roman" w:eastAsia="方正仿宋_GBK" w:cs="Times New Roman"/>
          <w:color w:val="000000"/>
          <w:sz w:val="32"/>
          <w:szCs w:val="32"/>
          <w:lang w:eastAsia="zh-CN"/>
        </w:rPr>
        <w:t>产业基地转型升级建设工程、市场流通建设工程、产品加工提升建设工程、科技创新建设工程、田园综合体建设工程、乡村振兴示范建设工程、智慧农业与数字乡村建设工程、</w:t>
      </w:r>
      <w:r>
        <w:rPr>
          <w:rFonts w:hint="eastAsia" w:ascii="方正仿宋_GBK" w:hAnsi="方正仿宋_GBK" w:eastAsia="方正仿宋_GBK" w:cs="方正仿宋_GBK"/>
          <w:b w:val="0"/>
          <w:bCs/>
          <w:sz w:val="32"/>
          <w:szCs w:val="32"/>
        </w:rPr>
        <w:t>质量安全建设工程</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精品名牌建设工程</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异地蔬菜生产基地开发工程</w:t>
      </w:r>
      <w:r>
        <w:rPr>
          <w:rFonts w:hint="eastAsia" w:ascii="方正仿宋_GBK" w:hAnsi="方正仿宋_GBK" w:eastAsia="方正仿宋_GBK" w:cs="方正仿宋_GBK"/>
          <w:b w:val="0"/>
          <w:bCs/>
          <w:sz w:val="32"/>
          <w:szCs w:val="32"/>
          <w:lang w:eastAsia="zh-CN"/>
        </w:rPr>
        <w:t>。</w:t>
      </w:r>
      <w:bookmarkEnd w:id="14"/>
      <w:bookmarkEnd w:id="15"/>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color w:val="000000"/>
          <w:sz w:val="32"/>
          <w:szCs w:val="32"/>
          <w:u w:val="none"/>
          <w:lang w:val="en-US" w:eastAsia="zh-CN"/>
        </w:rPr>
        <w:t>（五）</w:t>
      </w:r>
      <w:r>
        <w:rPr>
          <w:rFonts w:hint="eastAsia" w:ascii="方正楷体_GBK" w:hAnsi="方正楷体_GBK" w:eastAsia="方正楷体_GBK" w:cs="方正楷体_GBK"/>
          <w:b w:val="0"/>
          <w:bCs/>
          <w:color w:val="000000"/>
          <w:sz w:val="32"/>
          <w:szCs w:val="32"/>
          <w:u w:val="none"/>
        </w:rPr>
        <w:t>六大基地</w:t>
      </w:r>
      <w:r>
        <w:rPr>
          <w:rFonts w:hint="eastAsia" w:ascii="方正楷体_GBK" w:hAnsi="方正楷体_GBK" w:eastAsia="方正楷体_GBK" w:cs="方正楷体_GBK"/>
          <w:b w:val="0"/>
          <w:bCs/>
          <w:color w:val="000000"/>
          <w:sz w:val="32"/>
          <w:szCs w:val="32"/>
          <w:u w:val="none"/>
          <w:lang w:eastAsia="zh-CN"/>
        </w:rPr>
        <w:t>。</w:t>
      </w:r>
      <w:r>
        <w:rPr>
          <w:rFonts w:hint="default" w:ascii="Times New Roman" w:hAnsi="Times New Roman" w:eastAsia="方正仿宋_GBK" w:cs="Times New Roman"/>
          <w:color w:val="000000"/>
          <w:sz w:val="32"/>
          <w:szCs w:val="32"/>
        </w:rPr>
        <w:t>以澄江、华宁为主的菜用豆类生产基地；以通海、华宁和峨山为主的叶菜类（含白菜、甘蓝、菠菜、芹菜）生产基地；以江川、华宁、新平为主的花椰菜类（青花、白花）生产基地；以江川、通海县为主的根茎类（萝卜、莴笋、马铃薯、茨菇、藕）生产基地；以红塔区、华宁、易门等为主的葱蒜类（含小香葱）生产基地；以新平、华宁、峨山、元江热区为主的瓜茄椒类生产基地。</w:t>
      </w:r>
    </w:p>
    <w:p>
      <w:pPr>
        <w:keepNext w:val="0"/>
        <w:keepLines w:val="0"/>
        <w:pageBreakBefore w:val="0"/>
        <w:widowControl w:val="0"/>
        <w:kinsoku/>
        <w:wordWrap/>
        <w:overflowPunct/>
        <w:topLinePunct w:val="0"/>
        <w:bidi w:val="0"/>
        <w:spacing w:line="360" w:lineRule="auto"/>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drawing>
          <wp:inline distT="0" distB="0" distL="0" distR="0">
            <wp:extent cx="5708015" cy="2694305"/>
            <wp:effectExtent l="0" t="0" r="6985" b="10795"/>
            <wp:docPr id="5" name="图片 2" descr="D:\外接项目\2017年\蔬菜产业规划资料-玉溪-9.18\玉溪蔬菜规划\04-05-06\06 玉溪市蔬菜品种布局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D:\外接项目\2017年\蔬菜产业规划资料-玉溪-9.18\玉溪蔬菜规划\04-05-06\06 玉溪市蔬菜品种布局图.jpg"/>
                    <pic:cNvPicPr>
                      <a:picLocks noChangeAspect="1" noChangeArrowheads="1"/>
                    </pic:cNvPicPr>
                  </pic:nvPicPr>
                  <pic:blipFill>
                    <a:blip r:embed="rId12" cstate="print"/>
                    <a:srcRect/>
                    <a:stretch>
                      <a:fillRect/>
                    </a:stretch>
                  </pic:blipFill>
                  <pic:spPr>
                    <a:xfrm>
                      <a:off x="0" y="0"/>
                      <a:ext cx="5708015" cy="2694305"/>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bidi w:val="0"/>
        <w:spacing w:line="360" w:lineRule="auto"/>
        <w:ind w:firstLine="1560" w:firstLineChars="650"/>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4"/>
          <w:szCs w:val="24"/>
        </w:rPr>
        <w:t>图</w:t>
      </w:r>
      <w:r>
        <w:rPr>
          <w:rFonts w:hint="eastAsia" w:ascii="Times New Roman" w:hAnsi="Times New Roman" w:eastAsia="仿宋_GB2312" w:cs="Times New Roman"/>
          <w:color w:val="000000"/>
          <w:sz w:val="24"/>
          <w:szCs w:val="24"/>
          <w:lang w:val="en-US" w:eastAsia="zh-CN"/>
        </w:rPr>
        <w:t xml:space="preserve">5  </w:t>
      </w:r>
      <w:r>
        <w:rPr>
          <w:rFonts w:ascii="Times New Roman" w:hAnsi="Times New Roman" w:eastAsia="仿宋_GB2312" w:cs="Times New Roman"/>
          <w:color w:val="000000"/>
          <w:sz w:val="24"/>
          <w:szCs w:val="24"/>
        </w:rPr>
        <w:t xml:space="preserve"> 玉溪市蔬菜产业发展</w:t>
      </w:r>
      <w:r>
        <w:rPr>
          <w:rFonts w:hint="eastAsia" w:ascii="方正仿宋_GBK" w:hAnsi="方正仿宋_GBK" w:eastAsia="方正仿宋_GBK" w:cs="方正仿宋_GBK"/>
          <w:color w:val="000000"/>
          <w:sz w:val="24"/>
          <w:szCs w:val="24"/>
        </w:rPr>
        <w:t>“</w:t>
      </w:r>
      <w:r>
        <w:rPr>
          <w:rFonts w:ascii="Times New Roman" w:hAnsi="Times New Roman" w:eastAsia="仿宋_GB2312" w:cs="Times New Roman"/>
          <w:color w:val="000000"/>
          <w:sz w:val="24"/>
          <w:szCs w:val="24"/>
        </w:rPr>
        <w:t>六大基地</w:t>
      </w:r>
      <w:r>
        <w:rPr>
          <w:rFonts w:hint="eastAsia" w:ascii="方正仿宋_GBK" w:hAnsi="方正仿宋_GBK" w:eastAsia="方正仿宋_GBK" w:cs="方正仿宋_GBK"/>
          <w:color w:val="000000"/>
          <w:sz w:val="24"/>
          <w:szCs w:val="24"/>
        </w:rPr>
        <w:t>”</w:t>
      </w:r>
      <w:r>
        <w:rPr>
          <w:rFonts w:ascii="Times New Roman" w:hAnsi="Times New Roman" w:eastAsia="仿宋_GB2312" w:cs="Times New Roman"/>
          <w:color w:val="000000"/>
          <w:sz w:val="24"/>
          <w:szCs w:val="24"/>
        </w:rPr>
        <w:t>示意图</w:t>
      </w:r>
    </w:p>
    <w:p>
      <w:pPr>
        <w:keepNext w:val="0"/>
        <w:keepLines w:val="0"/>
        <w:pageBreakBefore w:val="0"/>
        <w:widowControl w:val="0"/>
        <w:kinsoku/>
        <w:wordWrap/>
        <w:overflowPunct/>
        <w:topLinePunct w:val="0"/>
        <w:bidi w:val="0"/>
        <w:spacing w:line="300" w:lineRule="exact"/>
        <w:textAlignment w:val="auto"/>
        <w:rPr>
          <w:rFonts w:ascii="Times New Roman" w:hAnsi="Times New Roman" w:cs="Times New Roman"/>
          <w:sz w:val="24"/>
          <w:szCs w:val="24"/>
        </w:rPr>
      </w:pPr>
    </w:p>
    <w:p>
      <w:pPr>
        <w:keepNext w:val="0"/>
        <w:keepLines w:val="0"/>
        <w:pageBreakBefore w:val="0"/>
        <w:widowControl w:val="0"/>
        <w:kinsoku/>
        <w:wordWrap/>
        <w:overflowPunct/>
        <w:topLinePunct w:val="0"/>
        <w:bidi w:val="0"/>
        <w:spacing w:line="300" w:lineRule="exact"/>
        <w:textAlignment w:val="auto"/>
        <w:rPr>
          <w:rFonts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color w:val="000000"/>
          <w:sz w:val="32"/>
          <w:szCs w:val="32"/>
        </w:rPr>
      </w:pPr>
      <w:r>
        <w:rPr>
          <w:rFonts w:hint="default" w:ascii="Times New Roman" w:hAnsi="Times New Roman" w:eastAsia="方正黑体_GBK" w:cs="Times New Roman"/>
          <w:color w:val="000000"/>
          <w:sz w:val="32"/>
          <w:szCs w:val="32"/>
        </w:rPr>
        <w:t>表</w:t>
      </w:r>
      <w:r>
        <w:rPr>
          <w:rFonts w:hint="default" w:ascii="Times New Roman" w:hAnsi="Times New Roman" w:eastAsia="方正黑体_GBK" w:cs="Times New Roman"/>
          <w:color w:val="000000"/>
          <w:sz w:val="32"/>
          <w:szCs w:val="32"/>
          <w:lang w:val="en-US" w:eastAsia="zh-CN"/>
        </w:rPr>
        <w:t>1</w:t>
      </w:r>
      <w:r>
        <w:rPr>
          <w:rFonts w:hint="default" w:ascii="Times New Roman" w:hAnsi="Times New Roman" w:eastAsia="方正小标宋_GBK" w:cs="Times New Roman"/>
          <w:color w:val="000000"/>
          <w:sz w:val="32"/>
          <w:szCs w:val="32"/>
        </w:rPr>
        <w:t xml:space="preserve"> </w:t>
      </w:r>
      <w:r>
        <w:rPr>
          <w:rFonts w:hint="default" w:ascii="Times New Roman" w:hAnsi="Times New Roman" w:eastAsia="方正黑体_GBK" w:cs="Times New Roman"/>
          <w:color w:val="000000"/>
          <w:sz w:val="32"/>
          <w:szCs w:val="32"/>
        </w:rPr>
        <w:t>玉溪市2021</w:t>
      </w:r>
      <w:r>
        <w:rPr>
          <w:rFonts w:hint="default" w:ascii="Times New Roman" w:hAnsi="Times New Roman" w:eastAsia="方正黑体_GBK" w:cs="Times New Roman"/>
          <w:color w:val="000000"/>
          <w:sz w:val="32"/>
          <w:szCs w:val="32"/>
          <w:lang w:val="en-US" w:eastAsia="zh-CN"/>
        </w:rPr>
        <w:t>－</w:t>
      </w:r>
      <w:r>
        <w:rPr>
          <w:rFonts w:hint="default" w:ascii="Times New Roman" w:hAnsi="Times New Roman" w:eastAsia="方正黑体_GBK" w:cs="Times New Roman"/>
          <w:color w:val="000000"/>
          <w:sz w:val="32"/>
          <w:szCs w:val="32"/>
        </w:rPr>
        <w:t>2025年蔬菜产业</w:t>
      </w:r>
      <w:r>
        <w:rPr>
          <w:rFonts w:hint="eastAsia" w:ascii="方正仿宋_GBK" w:hAnsi="方正仿宋_GBK" w:eastAsia="方正仿宋_GBK" w:cs="方正仿宋_GBK"/>
          <w:color w:val="000000"/>
          <w:sz w:val="32"/>
          <w:szCs w:val="32"/>
        </w:rPr>
        <w:t>“</w:t>
      </w:r>
      <w:r>
        <w:rPr>
          <w:rFonts w:hint="eastAsia" w:ascii="方正黑体_GBK" w:hAnsi="方正黑体_GBK" w:eastAsia="方正黑体_GBK" w:cs="方正黑体_GBK"/>
          <w:color w:val="000000"/>
          <w:sz w:val="32"/>
          <w:szCs w:val="32"/>
        </w:rPr>
        <w:t>三大板块</w:t>
      </w:r>
      <w:r>
        <w:rPr>
          <w:rFonts w:hint="eastAsia" w:ascii="方正仿宋_GBK" w:hAnsi="方正仿宋_GBK" w:eastAsia="方正仿宋_GBK" w:cs="方正仿宋_GBK"/>
          <w:color w:val="000000"/>
          <w:sz w:val="32"/>
          <w:szCs w:val="32"/>
        </w:rPr>
        <w:t>”</w:t>
      </w:r>
      <w:r>
        <w:rPr>
          <w:rFonts w:hint="default" w:ascii="Times New Roman" w:hAnsi="Times New Roman" w:eastAsia="方正黑体_GBK" w:cs="Times New Roman"/>
          <w:color w:val="000000"/>
          <w:sz w:val="32"/>
          <w:szCs w:val="32"/>
        </w:rPr>
        <w:t>发展布局</w:t>
      </w:r>
    </w:p>
    <w:tbl>
      <w:tblPr>
        <w:tblStyle w:val="11"/>
        <w:tblW w:w="8899" w:type="dxa"/>
        <w:tblInd w:w="93" w:type="dxa"/>
        <w:tblLayout w:type="fixed"/>
        <w:tblCellMar>
          <w:top w:w="0" w:type="dxa"/>
          <w:left w:w="108" w:type="dxa"/>
          <w:bottom w:w="0" w:type="dxa"/>
          <w:right w:w="108" w:type="dxa"/>
        </w:tblCellMar>
      </w:tblPr>
      <w:tblGrid>
        <w:gridCol w:w="996"/>
        <w:gridCol w:w="3565"/>
        <w:gridCol w:w="1315"/>
        <w:gridCol w:w="981"/>
        <w:gridCol w:w="2042"/>
      </w:tblGrid>
      <w:tr>
        <w:tblPrEx>
          <w:tblLayout w:type="fixed"/>
          <w:tblCellMar>
            <w:top w:w="0" w:type="dxa"/>
            <w:left w:w="108" w:type="dxa"/>
            <w:bottom w:w="0" w:type="dxa"/>
            <w:right w:w="108" w:type="dxa"/>
          </w:tblCellMar>
        </w:tblPrEx>
        <w:trPr>
          <w:trHeight w:val="270" w:hRule="atLeast"/>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区域类型</w:t>
            </w:r>
          </w:p>
        </w:tc>
        <w:tc>
          <w:tcPr>
            <w:tcW w:w="35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分布区域</w:t>
            </w:r>
          </w:p>
        </w:tc>
        <w:tc>
          <w:tcPr>
            <w:tcW w:w="13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发展品种</w:t>
            </w:r>
          </w:p>
        </w:tc>
        <w:tc>
          <w:tcPr>
            <w:tcW w:w="9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上市时间</w:t>
            </w:r>
          </w:p>
        </w:tc>
        <w:tc>
          <w:tcPr>
            <w:tcW w:w="2042"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发展方向</w:t>
            </w:r>
          </w:p>
        </w:tc>
      </w:tr>
      <w:tr>
        <w:tblPrEx>
          <w:tblLayout w:type="fixed"/>
          <w:tblCellMar>
            <w:top w:w="0" w:type="dxa"/>
            <w:left w:w="108" w:type="dxa"/>
            <w:bottom w:w="0" w:type="dxa"/>
            <w:right w:w="108" w:type="dxa"/>
          </w:tblCellMar>
        </w:tblPrEx>
        <w:trPr>
          <w:trHeight w:val="319" w:hRule="atLeast"/>
        </w:trPr>
        <w:tc>
          <w:tcPr>
            <w:tcW w:w="99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周年性叶菜类产区</w:t>
            </w:r>
          </w:p>
        </w:tc>
        <w:tc>
          <w:tcPr>
            <w:tcW w:w="356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通海县：四街、秀山、河西、九龙、兴蒙、纳古、杨广；江川区：大街、前卫、江城、路居、九溪；红塔区：高仓、春和、研和、大营街、北城；峨山县：小街、双江。华宁县：宁州、青龙。</w:t>
            </w:r>
          </w:p>
        </w:tc>
        <w:tc>
          <w:tcPr>
            <w:tcW w:w="131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叶菜类为主，根茎类、葱蒜类、瓜茄类、鲜食玉米等为辅。</w:t>
            </w:r>
          </w:p>
        </w:tc>
        <w:tc>
          <w:tcPr>
            <w:tcW w:w="98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周年生产</w:t>
            </w:r>
          </w:p>
        </w:tc>
        <w:tc>
          <w:tcPr>
            <w:tcW w:w="204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新品种筛选应用；绿色栽培；采后加工技术；深加工及综合利用；冷链物流；市场开拓。</w:t>
            </w:r>
          </w:p>
        </w:tc>
      </w:tr>
      <w:tr>
        <w:tblPrEx>
          <w:tblLayout w:type="fixed"/>
          <w:tblCellMar>
            <w:top w:w="0" w:type="dxa"/>
            <w:left w:w="108" w:type="dxa"/>
            <w:bottom w:w="0" w:type="dxa"/>
            <w:right w:w="108" w:type="dxa"/>
          </w:tblCellMar>
        </w:tblPrEx>
        <w:trPr>
          <w:trHeight w:val="319" w:hRule="atLeast"/>
        </w:trPr>
        <w:tc>
          <w:tcPr>
            <w:tcW w:w="9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35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131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98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2042"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319" w:hRule="atLeast"/>
        </w:trPr>
        <w:tc>
          <w:tcPr>
            <w:tcW w:w="9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35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131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98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2042"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319" w:hRule="atLeast"/>
        </w:trPr>
        <w:tc>
          <w:tcPr>
            <w:tcW w:w="9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35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131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98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2042"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99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中低海拔河谷区冬春蔬菜产区</w:t>
            </w:r>
          </w:p>
        </w:tc>
        <w:tc>
          <w:tcPr>
            <w:tcW w:w="356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华宁县：盘溪、华溪；通海县：高大；峨山县：化念；新平县：水塘、戛洒、漠沙、新化、老厂；元江县：甘庄、曼来、澧江；易门县：绿汁。</w:t>
            </w:r>
          </w:p>
        </w:tc>
        <w:tc>
          <w:tcPr>
            <w:tcW w:w="131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花椰菜、苦瓜、辣椒、豆类、鲜食玉米等为主。</w:t>
            </w:r>
          </w:p>
        </w:tc>
        <w:tc>
          <w:tcPr>
            <w:tcW w:w="98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冬春蔬菜</w:t>
            </w:r>
          </w:p>
        </w:tc>
        <w:tc>
          <w:tcPr>
            <w:tcW w:w="204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新、特、优品种应用；注重挖掘优良地方品种；茬口合理安排；绿色种植；采后加工；包装和冷链物流；产地农贸市场；国外市场拓展。</w:t>
            </w:r>
          </w:p>
        </w:tc>
      </w:tr>
      <w:tr>
        <w:tblPrEx>
          <w:tblLayout w:type="fixed"/>
          <w:tblCellMar>
            <w:top w:w="0" w:type="dxa"/>
            <w:left w:w="108" w:type="dxa"/>
            <w:bottom w:w="0" w:type="dxa"/>
            <w:right w:w="108" w:type="dxa"/>
          </w:tblCellMar>
        </w:tblPrEx>
        <w:trPr>
          <w:trHeight w:val="312" w:hRule="atLeast"/>
        </w:trPr>
        <w:tc>
          <w:tcPr>
            <w:tcW w:w="9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35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131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98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204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9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35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131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98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204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9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35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131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98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204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9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35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131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98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204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799" w:hRule="atLeast"/>
        </w:trPr>
        <w:tc>
          <w:tcPr>
            <w:tcW w:w="99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中高海拔夏秋蔬菜产区</w:t>
            </w:r>
          </w:p>
        </w:tc>
        <w:tc>
          <w:tcPr>
            <w:tcW w:w="356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易门县：小街、十街、六街、龙泉、铜厂、浦贝；元江：曼来、咪哩、那诺、羊街、甘庄、因远；新平县：平掌、建兴、新化、者竜、扬武、平甸、古城、桂山；峨山县：岔河、甸中、富良棚、大龙潭、塔甸；华宁县：青龙、宁州、通红甸；</w:t>
            </w:r>
            <w:r>
              <w:rPr>
                <w:rFonts w:hint="default" w:ascii="Times New Roman" w:hAnsi="Times New Roman" w:eastAsia="方正仿宋_GBK" w:cs="Times New Roman"/>
                <w:color w:val="000000"/>
                <w:kern w:val="0"/>
                <w:sz w:val="18"/>
                <w:szCs w:val="18"/>
                <w:lang w:eastAsia="zh-CN"/>
              </w:rPr>
              <w:t>澄江市</w:t>
            </w:r>
            <w:r>
              <w:rPr>
                <w:rFonts w:hint="default" w:ascii="Times New Roman" w:hAnsi="Times New Roman" w:eastAsia="方正仿宋_GBK" w:cs="Times New Roman"/>
                <w:color w:val="000000"/>
                <w:kern w:val="0"/>
                <w:sz w:val="18"/>
                <w:szCs w:val="18"/>
              </w:rPr>
              <w:t>：凤麓镇、阳宗镇、九村镇；江川区：雄关、安化；通海县：里山；红塔区：洛河、小石桥。</w:t>
            </w:r>
          </w:p>
        </w:tc>
        <w:tc>
          <w:tcPr>
            <w:tcW w:w="131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叶菜类、根茎类、葱蒜类、瓜茄类、水生蔬菜、野生蔬菜等。</w:t>
            </w:r>
          </w:p>
        </w:tc>
        <w:tc>
          <w:tcPr>
            <w:tcW w:w="98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夏秋蔬菜</w:t>
            </w:r>
          </w:p>
        </w:tc>
        <w:tc>
          <w:tcPr>
            <w:tcW w:w="204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新、特、优品种应用；注意挖掘野生蔬菜驯化栽培；绿色种植；采后深加工；包装、冷链物流；产地农贸市场；市场开拓。</w:t>
            </w:r>
          </w:p>
        </w:tc>
      </w:tr>
      <w:tr>
        <w:tblPrEx>
          <w:tblLayout w:type="fixed"/>
          <w:tblCellMar>
            <w:top w:w="0" w:type="dxa"/>
            <w:left w:w="108" w:type="dxa"/>
            <w:bottom w:w="0" w:type="dxa"/>
            <w:right w:w="108" w:type="dxa"/>
          </w:tblCellMar>
        </w:tblPrEx>
        <w:trPr>
          <w:trHeight w:val="799" w:hRule="atLeast"/>
        </w:trPr>
        <w:tc>
          <w:tcPr>
            <w:tcW w:w="9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35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131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98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204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799" w:hRule="atLeast"/>
        </w:trPr>
        <w:tc>
          <w:tcPr>
            <w:tcW w:w="9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35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131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98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c>
          <w:tcPr>
            <w:tcW w:w="204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18"/>
                <w:szCs w:val="18"/>
              </w:rPr>
            </w:pP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仿宋_GB2312" w:cs="Times New Roman"/>
          <w:color w:val="000000"/>
          <w:sz w:val="18"/>
          <w:szCs w:val="18"/>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color w:val="000000"/>
          <w:sz w:val="32"/>
          <w:szCs w:val="32"/>
        </w:rPr>
      </w:pPr>
      <w:r>
        <w:rPr>
          <w:rFonts w:ascii="Times New Roman" w:hAnsi="Times New Roman" w:eastAsia="仿宋_GB2312" w:cs="Times New Roman"/>
          <w:color w:val="000000"/>
          <w:sz w:val="32"/>
          <w:szCs w:val="32"/>
        </w:rPr>
        <w:t xml:space="preserve">   </w:t>
      </w:r>
      <w:r>
        <w:rPr>
          <w:rFonts w:hint="eastAsia" w:ascii="方正小标宋_GBK" w:hAnsi="方正小标宋_GBK" w:eastAsia="方正小标宋_GBK" w:cs="方正小标宋_GBK"/>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表</w:t>
      </w:r>
      <w:r>
        <w:rPr>
          <w:rFonts w:hint="default" w:ascii="Times New Roman" w:hAnsi="Times New Roman" w:eastAsia="方正黑体_GBK" w:cs="Times New Roman"/>
          <w:color w:val="000000"/>
          <w:sz w:val="32"/>
          <w:szCs w:val="32"/>
          <w:lang w:val="en-US" w:eastAsia="zh-CN"/>
        </w:rPr>
        <w:t>1－1</w:t>
      </w:r>
      <w:r>
        <w:rPr>
          <w:rFonts w:hint="default" w:ascii="Times New Roman" w:hAnsi="Times New Roman" w:eastAsia="方正黑体_GBK" w:cs="Times New Roman"/>
          <w:color w:val="000000"/>
          <w:sz w:val="32"/>
          <w:szCs w:val="32"/>
        </w:rPr>
        <w:t xml:space="preserve">  玉溪市2021</w:t>
      </w:r>
      <w:r>
        <w:rPr>
          <w:rFonts w:hint="default" w:ascii="Times New Roman" w:hAnsi="Times New Roman" w:eastAsia="方正黑体_GBK" w:cs="Times New Roman"/>
          <w:color w:val="000000"/>
          <w:sz w:val="32"/>
          <w:szCs w:val="32"/>
          <w:lang w:val="en-US" w:eastAsia="zh-CN"/>
        </w:rPr>
        <w:t>－</w:t>
      </w:r>
      <w:r>
        <w:rPr>
          <w:rFonts w:hint="default" w:ascii="Times New Roman" w:hAnsi="Times New Roman" w:eastAsia="方正黑体_GBK" w:cs="Times New Roman"/>
          <w:color w:val="000000"/>
          <w:sz w:val="32"/>
          <w:szCs w:val="32"/>
        </w:rPr>
        <w:t>2025年蔬菜产业布局（续）</w:t>
      </w:r>
    </w:p>
    <w:tbl>
      <w:tblPr>
        <w:tblStyle w:val="11"/>
        <w:tblW w:w="8520" w:type="dxa"/>
        <w:jc w:val="center"/>
        <w:tblInd w:w="0" w:type="dxa"/>
        <w:tblLayout w:type="fixed"/>
        <w:tblCellMar>
          <w:top w:w="0" w:type="dxa"/>
          <w:left w:w="108" w:type="dxa"/>
          <w:bottom w:w="0" w:type="dxa"/>
          <w:right w:w="108" w:type="dxa"/>
        </w:tblCellMar>
      </w:tblPr>
      <w:tblGrid>
        <w:gridCol w:w="796"/>
        <w:gridCol w:w="996"/>
        <w:gridCol w:w="796"/>
        <w:gridCol w:w="1340"/>
        <w:gridCol w:w="1056"/>
        <w:gridCol w:w="2119"/>
        <w:gridCol w:w="1417"/>
      </w:tblGrid>
      <w:tr>
        <w:tblPrEx>
          <w:tblLayout w:type="fixed"/>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品种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类型</w:t>
            </w:r>
          </w:p>
        </w:tc>
        <w:tc>
          <w:tcPr>
            <w:tcW w:w="9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分布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区域</w:t>
            </w:r>
          </w:p>
        </w:tc>
        <w:tc>
          <w:tcPr>
            <w:tcW w:w="7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发展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品种</w:t>
            </w:r>
          </w:p>
        </w:tc>
        <w:tc>
          <w:tcPr>
            <w:tcW w:w="13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种植海拔</w:t>
            </w:r>
          </w:p>
        </w:tc>
        <w:tc>
          <w:tcPr>
            <w:tcW w:w="10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播种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时间</w:t>
            </w:r>
          </w:p>
        </w:tc>
        <w:tc>
          <w:tcPr>
            <w:tcW w:w="211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主要品种</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发展方向</w:t>
            </w:r>
          </w:p>
        </w:tc>
      </w:tr>
      <w:tr>
        <w:tblPrEx>
          <w:tblLayout w:type="fixed"/>
          <w:tblCellMar>
            <w:top w:w="0" w:type="dxa"/>
            <w:left w:w="108" w:type="dxa"/>
            <w:bottom w:w="0" w:type="dxa"/>
            <w:right w:w="108" w:type="dxa"/>
          </w:tblCellMar>
        </w:tblPrEx>
        <w:trPr>
          <w:trHeight w:val="270" w:hRule="atLeast"/>
          <w:jc w:val="center"/>
        </w:trPr>
        <w:tc>
          <w:tcPr>
            <w:tcW w:w="79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菜用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豆类</w:t>
            </w:r>
          </w:p>
        </w:tc>
        <w:tc>
          <w:tcPr>
            <w:tcW w:w="99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rPr>
            </w:pPr>
            <w:r>
              <w:rPr>
                <w:rFonts w:hint="default" w:ascii="Times New Roman" w:hAnsi="Times New Roman" w:eastAsia="方正仿宋_GBK" w:cs="Times New Roman"/>
                <w:color w:val="000000"/>
                <w:kern w:val="0"/>
                <w:sz w:val="18"/>
                <w:szCs w:val="18"/>
              </w:rPr>
              <w:t>澄江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华宁</w:t>
            </w:r>
          </w:p>
        </w:tc>
        <w:tc>
          <w:tcPr>
            <w:tcW w:w="7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豌豆</w:t>
            </w:r>
          </w:p>
        </w:tc>
        <w:tc>
          <w:tcPr>
            <w:tcW w:w="13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1600-2200米</w:t>
            </w:r>
          </w:p>
        </w:tc>
        <w:tc>
          <w:tcPr>
            <w:tcW w:w="10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3-10月</w:t>
            </w:r>
          </w:p>
        </w:tc>
        <w:tc>
          <w:tcPr>
            <w:tcW w:w="21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菜用豌豆</w:t>
            </w: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选择抗病优良品种；合理安排上市；绿色防控；深加工。</w:t>
            </w:r>
          </w:p>
        </w:tc>
      </w:tr>
      <w:tr>
        <w:tblPrEx>
          <w:tblLayout w:type="fixed"/>
          <w:tblCellMar>
            <w:top w:w="0" w:type="dxa"/>
            <w:left w:w="108" w:type="dxa"/>
            <w:bottom w:w="0" w:type="dxa"/>
            <w:right w:w="108" w:type="dxa"/>
          </w:tblCellMar>
        </w:tblPrEx>
        <w:trPr>
          <w:trHeight w:val="270" w:hRule="atLeast"/>
          <w:jc w:val="center"/>
        </w:trPr>
        <w:tc>
          <w:tcPr>
            <w:tcW w:w="7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p>
        </w:tc>
        <w:tc>
          <w:tcPr>
            <w:tcW w:w="9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p>
        </w:tc>
        <w:tc>
          <w:tcPr>
            <w:tcW w:w="7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豇豆</w:t>
            </w:r>
          </w:p>
        </w:tc>
        <w:tc>
          <w:tcPr>
            <w:tcW w:w="13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1400-1600米</w:t>
            </w:r>
          </w:p>
        </w:tc>
        <w:tc>
          <w:tcPr>
            <w:tcW w:w="10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p>
        </w:tc>
        <w:tc>
          <w:tcPr>
            <w:tcW w:w="21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蔓生或矮生，肉厚有光泽</w:t>
            </w:r>
          </w:p>
        </w:tc>
        <w:tc>
          <w:tcPr>
            <w:tcW w:w="1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7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p>
        </w:tc>
        <w:tc>
          <w:tcPr>
            <w:tcW w:w="9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p>
        </w:tc>
        <w:tc>
          <w:tcPr>
            <w:tcW w:w="7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菜豆</w:t>
            </w:r>
          </w:p>
        </w:tc>
        <w:tc>
          <w:tcPr>
            <w:tcW w:w="13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1600-1800米</w:t>
            </w:r>
          </w:p>
        </w:tc>
        <w:tc>
          <w:tcPr>
            <w:tcW w:w="10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p>
        </w:tc>
        <w:tc>
          <w:tcPr>
            <w:tcW w:w="21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无筋豆</w:t>
            </w:r>
          </w:p>
        </w:tc>
        <w:tc>
          <w:tcPr>
            <w:tcW w:w="1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7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p>
        </w:tc>
        <w:tc>
          <w:tcPr>
            <w:tcW w:w="9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p>
        </w:tc>
        <w:tc>
          <w:tcPr>
            <w:tcW w:w="7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毛豆</w:t>
            </w:r>
          </w:p>
        </w:tc>
        <w:tc>
          <w:tcPr>
            <w:tcW w:w="13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1500-1800米</w:t>
            </w:r>
          </w:p>
        </w:tc>
        <w:tc>
          <w:tcPr>
            <w:tcW w:w="10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p>
        </w:tc>
        <w:tc>
          <w:tcPr>
            <w:tcW w:w="21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粒大、口感好品种</w:t>
            </w:r>
          </w:p>
        </w:tc>
        <w:tc>
          <w:tcPr>
            <w:tcW w:w="1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735" w:hRule="atLeast"/>
          <w:jc w:val="center"/>
        </w:trPr>
        <w:tc>
          <w:tcPr>
            <w:tcW w:w="79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叶菜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类</w:t>
            </w:r>
          </w:p>
        </w:tc>
        <w:tc>
          <w:tcPr>
            <w:tcW w:w="99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通海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华宁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峨山</w:t>
            </w:r>
          </w:p>
        </w:tc>
        <w:tc>
          <w:tcPr>
            <w:tcW w:w="7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白菜</w:t>
            </w:r>
          </w:p>
        </w:tc>
        <w:tc>
          <w:tcPr>
            <w:tcW w:w="13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2200米以下</w:t>
            </w:r>
          </w:p>
        </w:tc>
        <w:tc>
          <w:tcPr>
            <w:tcW w:w="10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周年生产</w:t>
            </w:r>
          </w:p>
        </w:tc>
        <w:tc>
          <w:tcPr>
            <w:tcW w:w="21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一代杂种，其生长期大都在85～110天左右，属中晚熟类型</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合理轮作；新品种引进应用；配方施肥；绿色防控；采后加工及综合利用。</w:t>
            </w:r>
          </w:p>
        </w:tc>
      </w:tr>
      <w:tr>
        <w:tblPrEx>
          <w:tblLayout w:type="fixed"/>
          <w:tblCellMar>
            <w:top w:w="0" w:type="dxa"/>
            <w:left w:w="108" w:type="dxa"/>
            <w:bottom w:w="0" w:type="dxa"/>
            <w:right w:w="108" w:type="dxa"/>
          </w:tblCellMar>
        </w:tblPrEx>
        <w:trPr>
          <w:trHeight w:val="480" w:hRule="atLeast"/>
          <w:jc w:val="center"/>
        </w:trPr>
        <w:tc>
          <w:tcPr>
            <w:tcW w:w="7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p>
        </w:tc>
        <w:tc>
          <w:tcPr>
            <w:tcW w:w="9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p>
        </w:tc>
        <w:tc>
          <w:tcPr>
            <w:tcW w:w="7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甘蓝</w:t>
            </w:r>
          </w:p>
        </w:tc>
        <w:tc>
          <w:tcPr>
            <w:tcW w:w="13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2200米以下</w:t>
            </w:r>
          </w:p>
        </w:tc>
        <w:tc>
          <w:tcPr>
            <w:tcW w:w="10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p>
        </w:tc>
        <w:tc>
          <w:tcPr>
            <w:tcW w:w="21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结球甘蓝、皱叶甘蓝、抱子甘蓝</w:t>
            </w:r>
          </w:p>
        </w:tc>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480" w:hRule="atLeast"/>
          <w:jc w:val="center"/>
        </w:trPr>
        <w:tc>
          <w:tcPr>
            <w:tcW w:w="7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p>
        </w:tc>
        <w:tc>
          <w:tcPr>
            <w:tcW w:w="9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p>
        </w:tc>
        <w:tc>
          <w:tcPr>
            <w:tcW w:w="7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菠菜</w:t>
            </w:r>
          </w:p>
        </w:tc>
        <w:tc>
          <w:tcPr>
            <w:tcW w:w="13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2000米以下</w:t>
            </w:r>
          </w:p>
        </w:tc>
        <w:tc>
          <w:tcPr>
            <w:tcW w:w="10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p>
        </w:tc>
        <w:tc>
          <w:tcPr>
            <w:tcW w:w="21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圆叶菠菜，尖叶菠菜，日本超能菠菜，荷兰菠菜</w:t>
            </w:r>
          </w:p>
        </w:tc>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7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p>
        </w:tc>
        <w:tc>
          <w:tcPr>
            <w:tcW w:w="9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p>
        </w:tc>
        <w:tc>
          <w:tcPr>
            <w:tcW w:w="7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芹菜</w:t>
            </w:r>
          </w:p>
        </w:tc>
        <w:tc>
          <w:tcPr>
            <w:tcW w:w="13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2000米以下</w:t>
            </w:r>
          </w:p>
        </w:tc>
        <w:tc>
          <w:tcPr>
            <w:tcW w:w="10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p>
        </w:tc>
        <w:tc>
          <w:tcPr>
            <w:tcW w:w="21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中国芹菜、西洋芹菜</w:t>
            </w:r>
          </w:p>
        </w:tc>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18"/>
                <w:szCs w:val="18"/>
              </w:rPr>
            </w:pP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cs="Times New Roman"/>
          <w:sz w:val="18"/>
          <w:szCs w:val="18"/>
          <w:highlight w:val="yellow"/>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小标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表</w:t>
      </w:r>
      <w:r>
        <w:rPr>
          <w:rFonts w:hint="eastAsia" w:ascii="Times New Roman" w:hAnsi="Times New Roman" w:eastAsia="方正黑体_GBK" w:cs="Times New Roman"/>
          <w:color w:val="000000"/>
          <w:sz w:val="32"/>
          <w:szCs w:val="32"/>
          <w:lang w:val="en-US" w:eastAsia="zh-CN"/>
        </w:rPr>
        <w:t>1</w:t>
      </w:r>
      <w:r>
        <w:rPr>
          <w:rFonts w:hint="default" w:ascii="Times New Roman" w:hAnsi="Times New Roman" w:eastAsia="方正黑体_GBK" w:cs="Times New Roman"/>
          <w:color w:val="000000"/>
          <w:sz w:val="32"/>
          <w:szCs w:val="32"/>
          <w:lang w:val="en-US" w:eastAsia="zh-CN"/>
        </w:rPr>
        <w:t>－</w:t>
      </w:r>
      <w:r>
        <w:rPr>
          <w:rFonts w:hint="eastAsia" w:ascii="Times New Roman" w:hAnsi="Times New Roman" w:eastAsia="方正黑体_GBK" w:cs="Times New Roman"/>
          <w:color w:val="000000"/>
          <w:sz w:val="32"/>
          <w:szCs w:val="32"/>
        </w:rPr>
        <w:t>2  玉溪市2021</w:t>
      </w:r>
      <w:r>
        <w:rPr>
          <w:rFonts w:hint="default" w:ascii="Times New Roman" w:hAnsi="Times New Roman" w:eastAsia="方正黑体_GBK" w:cs="Times New Roman"/>
          <w:color w:val="000000"/>
          <w:sz w:val="32"/>
          <w:szCs w:val="32"/>
          <w:lang w:val="en-US" w:eastAsia="zh-CN"/>
        </w:rPr>
        <w:t>－</w:t>
      </w:r>
      <w:r>
        <w:rPr>
          <w:rFonts w:hint="eastAsia" w:ascii="Times New Roman" w:hAnsi="Times New Roman" w:eastAsia="方正黑体_GBK" w:cs="Times New Roman"/>
          <w:color w:val="000000"/>
          <w:sz w:val="32"/>
          <w:szCs w:val="32"/>
        </w:rPr>
        <w:t>2025年蔬菜产业布局（续）</w:t>
      </w:r>
    </w:p>
    <w:tbl>
      <w:tblPr>
        <w:tblStyle w:val="11"/>
        <w:tblW w:w="8520" w:type="dxa"/>
        <w:jc w:val="center"/>
        <w:tblInd w:w="0" w:type="dxa"/>
        <w:tblLayout w:type="fixed"/>
        <w:tblCellMar>
          <w:top w:w="0" w:type="dxa"/>
          <w:left w:w="108" w:type="dxa"/>
          <w:bottom w:w="0" w:type="dxa"/>
          <w:right w:w="108" w:type="dxa"/>
        </w:tblCellMar>
      </w:tblPr>
      <w:tblGrid>
        <w:gridCol w:w="622"/>
        <w:gridCol w:w="635"/>
        <w:gridCol w:w="865"/>
        <w:gridCol w:w="1339"/>
        <w:gridCol w:w="1558"/>
        <w:gridCol w:w="2226"/>
        <w:gridCol w:w="1275"/>
      </w:tblGrid>
      <w:tr>
        <w:tblPrEx>
          <w:tblLayout w:type="fixed"/>
          <w:tblCellMar>
            <w:top w:w="0" w:type="dxa"/>
            <w:left w:w="108" w:type="dxa"/>
            <w:bottom w:w="0" w:type="dxa"/>
            <w:right w:w="108" w:type="dxa"/>
          </w:tblCellMar>
        </w:tblPrEx>
        <w:trPr>
          <w:trHeight w:val="270" w:hRule="atLeast"/>
          <w:jc w:val="center"/>
        </w:trPr>
        <w:tc>
          <w:tcPr>
            <w:tcW w:w="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品种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类型</w:t>
            </w:r>
          </w:p>
        </w:tc>
        <w:tc>
          <w:tcPr>
            <w:tcW w:w="6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分布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区域</w:t>
            </w:r>
          </w:p>
        </w:tc>
        <w:tc>
          <w:tcPr>
            <w:tcW w:w="8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发展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品种</w:t>
            </w:r>
          </w:p>
        </w:tc>
        <w:tc>
          <w:tcPr>
            <w:tcW w:w="133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种植海拔</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播种时间</w:t>
            </w:r>
          </w:p>
        </w:tc>
        <w:tc>
          <w:tcPr>
            <w:tcW w:w="22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主要品种</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发展方向</w:t>
            </w:r>
          </w:p>
        </w:tc>
      </w:tr>
      <w:tr>
        <w:tblPrEx>
          <w:tblLayout w:type="fixed"/>
          <w:tblCellMar>
            <w:top w:w="0" w:type="dxa"/>
            <w:left w:w="108" w:type="dxa"/>
            <w:bottom w:w="0" w:type="dxa"/>
            <w:right w:w="108" w:type="dxa"/>
          </w:tblCellMar>
        </w:tblPrEx>
        <w:trPr>
          <w:trHeight w:val="270" w:hRule="atLeast"/>
          <w:jc w:val="center"/>
        </w:trPr>
        <w:tc>
          <w:tcPr>
            <w:tcW w:w="62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花椰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菜类</w:t>
            </w:r>
          </w:p>
        </w:tc>
        <w:tc>
          <w:tcPr>
            <w:tcW w:w="63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江川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华宁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新平</w:t>
            </w:r>
          </w:p>
        </w:tc>
        <w:tc>
          <w:tcPr>
            <w:tcW w:w="86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花椰菜</w:t>
            </w:r>
          </w:p>
        </w:tc>
        <w:tc>
          <w:tcPr>
            <w:tcW w:w="13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1000-1800米</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夏播：4-7月</w:t>
            </w:r>
          </w:p>
        </w:tc>
        <w:tc>
          <w:tcPr>
            <w:tcW w:w="22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富强、高富、兴利花王、天秀</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选用新品种；绿色种植；后处理和加工；拓展国外市场。</w:t>
            </w:r>
          </w:p>
        </w:tc>
      </w:tr>
      <w:tr>
        <w:tblPrEx>
          <w:tblLayout w:type="fixed"/>
          <w:tblCellMar>
            <w:top w:w="0" w:type="dxa"/>
            <w:left w:w="108" w:type="dxa"/>
            <w:bottom w:w="0" w:type="dxa"/>
            <w:right w:w="108" w:type="dxa"/>
          </w:tblCellMar>
        </w:tblPrEx>
        <w:trPr>
          <w:trHeight w:val="495" w:hRule="atLeast"/>
          <w:jc w:val="center"/>
        </w:trPr>
        <w:tc>
          <w:tcPr>
            <w:tcW w:w="62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63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8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13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1600米以下</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秋播：7-9月</w:t>
            </w:r>
          </w:p>
        </w:tc>
        <w:tc>
          <w:tcPr>
            <w:tcW w:w="22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雪霏、雪姬、雪球、雪天使、白荷、雪妃、赛白80</w:t>
            </w:r>
          </w:p>
        </w:tc>
        <w:tc>
          <w:tcPr>
            <w:tcW w:w="127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62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63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8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13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1500米以下</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冬播：10-1月</w:t>
            </w:r>
          </w:p>
        </w:tc>
        <w:tc>
          <w:tcPr>
            <w:tcW w:w="22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赛白108、白阳</w:t>
            </w:r>
          </w:p>
        </w:tc>
        <w:tc>
          <w:tcPr>
            <w:tcW w:w="127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62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63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86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青花菜</w:t>
            </w:r>
          </w:p>
        </w:tc>
        <w:tc>
          <w:tcPr>
            <w:tcW w:w="13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1000-1800米</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夏秋播：3-9月</w:t>
            </w:r>
          </w:p>
        </w:tc>
        <w:tc>
          <w:tcPr>
            <w:tcW w:w="22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强汉、优秀、耐寒优秀、蔓陀绿、佳绿</w:t>
            </w:r>
          </w:p>
        </w:tc>
        <w:tc>
          <w:tcPr>
            <w:tcW w:w="127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62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63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8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13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1600米以下</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冬春播：9-2月</w:t>
            </w:r>
          </w:p>
        </w:tc>
        <w:tc>
          <w:tcPr>
            <w:tcW w:w="22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马拉松、玉皇、鹦鹉、冷翠、斯巴达</w:t>
            </w:r>
          </w:p>
        </w:tc>
        <w:tc>
          <w:tcPr>
            <w:tcW w:w="127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62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根茎</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类</w:t>
            </w:r>
          </w:p>
        </w:tc>
        <w:tc>
          <w:tcPr>
            <w:tcW w:w="63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江川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通海</w:t>
            </w:r>
          </w:p>
        </w:tc>
        <w:tc>
          <w:tcPr>
            <w:tcW w:w="8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萝卜</w:t>
            </w:r>
          </w:p>
        </w:tc>
        <w:tc>
          <w:tcPr>
            <w:tcW w:w="13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2000米以下</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周年生产</w:t>
            </w:r>
          </w:p>
        </w:tc>
        <w:tc>
          <w:tcPr>
            <w:tcW w:w="22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外引品种为主</w:t>
            </w:r>
          </w:p>
        </w:tc>
        <w:tc>
          <w:tcPr>
            <w:tcW w:w="127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合理轮作；新品种引进应用；配方施肥；绿色防控；采后加工及综合利用。</w:t>
            </w:r>
          </w:p>
        </w:tc>
      </w:tr>
      <w:tr>
        <w:tblPrEx>
          <w:tblLayout w:type="fixed"/>
          <w:tblCellMar>
            <w:top w:w="0" w:type="dxa"/>
            <w:left w:w="108" w:type="dxa"/>
            <w:bottom w:w="0" w:type="dxa"/>
            <w:right w:w="108" w:type="dxa"/>
          </w:tblCellMar>
        </w:tblPrEx>
        <w:trPr>
          <w:trHeight w:val="270" w:hRule="atLeast"/>
          <w:jc w:val="center"/>
        </w:trPr>
        <w:tc>
          <w:tcPr>
            <w:tcW w:w="62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63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8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莴笋</w:t>
            </w:r>
          </w:p>
        </w:tc>
        <w:tc>
          <w:tcPr>
            <w:tcW w:w="13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2000米以下</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秋播多见</w:t>
            </w:r>
          </w:p>
        </w:tc>
        <w:tc>
          <w:tcPr>
            <w:tcW w:w="22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叶用和茎用</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62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63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8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马铃薯</w:t>
            </w:r>
          </w:p>
        </w:tc>
        <w:tc>
          <w:tcPr>
            <w:tcW w:w="13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2200米以下</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春播和冬播</w:t>
            </w:r>
          </w:p>
        </w:tc>
        <w:tc>
          <w:tcPr>
            <w:tcW w:w="22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合作88、米拉、会-4</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62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63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8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慈菇</w:t>
            </w:r>
          </w:p>
        </w:tc>
        <w:tc>
          <w:tcPr>
            <w:tcW w:w="13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1500-1800米</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春播</w:t>
            </w:r>
          </w:p>
        </w:tc>
        <w:tc>
          <w:tcPr>
            <w:tcW w:w="22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本地品种为主</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62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63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8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藕</w:t>
            </w:r>
          </w:p>
        </w:tc>
        <w:tc>
          <w:tcPr>
            <w:tcW w:w="13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1500-1800米</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春播</w:t>
            </w:r>
          </w:p>
        </w:tc>
        <w:tc>
          <w:tcPr>
            <w:tcW w:w="22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本地品种为主</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62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葱蒜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类</w:t>
            </w:r>
          </w:p>
        </w:tc>
        <w:tc>
          <w:tcPr>
            <w:tcW w:w="63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红塔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华宁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易门</w:t>
            </w:r>
          </w:p>
        </w:tc>
        <w:tc>
          <w:tcPr>
            <w:tcW w:w="8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小香葱</w:t>
            </w:r>
          </w:p>
        </w:tc>
        <w:tc>
          <w:tcPr>
            <w:tcW w:w="13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1500-1700米</w:t>
            </w:r>
          </w:p>
        </w:tc>
        <w:tc>
          <w:tcPr>
            <w:tcW w:w="155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周年生产</w:t>
            </w:r>
          </w:p>
        </w:tc>
        <w:tc>
          <w:tcPr>
            <w:tcW w:w="22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四季小香葱、四季葱</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选用新品种；集约化栽培；后处理和深加工；拓展国外市场。</w:t>
            </w:r>
          </w:p>
        </w:tc>
      </w:tr>
      <w:tr>
        <w:tblPrEx>
          <w:tblLayout w:type="fixed"/>
          <w:tblCellMar>
            <w:top w:w="0" w:type="dxa"/>
            <w:left w:w="108" w:type="dxa"/>
            <w:bottom w:w="0" w:type="dxa"/>
            <w:right w:w="108" w:type="dxa"/>
          </w:tblCellMar>
        </w:tblPrEx>
        <w:trPr>
          <w:trHeight w:val="480" w:hRule="atLeast"/>
          <w:jc w:val="center"/>
        </w:trPr>
        <w:tc>
          <w:tcPr>
            <w:tcW w:w="62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63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8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大蒜</w:t>
            </w:r>
          </w:p>
        </w:tc>
        <w:tc>
          <w:tcPr>
            <w:tcW w:w="13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1400-1800米</w:t>
            </w:r>
          </w:p>
        </w:tc>
        <w:tc>
          <w:tcPr>
            <w:tcW w:w="155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22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苍山蒲棵大蒜、嘉祥大蒜、苏联大蒜、河北白皮蒜</w:t>
            </w:r>
          </w:p>
        </w:tc>
        <w:tc>
          <w:tcPr>
            <w:tcW w:w="127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480" w:hRule="atLeast"/>
          <w:jc w:val="center"/>
        </w:trPr>
        <w:tc>
          <w:tcPr>
            <w:tcW w:w="62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63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8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洋葱</w:t>
            </w:r>
          </w:p>
        </w:tc>
        <w:tc>
          <w:tcPr>
            <w:tcW w:w="13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1600-1800米</w:t>
            </w:r>
          </w:p>
        </w:tc>
        <w:tc>
          <w:tcPr>
            <w:tcW w:w="155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22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红皮洋葱、玛西迪、日本大宝、白皮洋葱</w:t>
            </w:r>
          </w:p>
        </w:tc>
        <w:tc>
          <w:tcPr>
            <w:tcW w:w="127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62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瓜茄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辣椒</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类</w:t>
            </w:r>
          </w:p>
        </w:tc>
        <w:tc>
          <w:tcPr>
            <w:tcW w:w="63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新平</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华宁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峨山</w:t>
            </w:r>
          </w:p>
        </w:tc>
        <w:tc>
          <w:tcPr>
            <w:tcW w:w="8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苦瓜</w:t>
            </w:r>
          </w:p>
        </w:tc>
        <w:tc>
          <w:tcPr>
            <w:tcW w:w="13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1300米以下</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9-10月</w:t>
            </w:r>
          </w:p>
        </w:tc>
        <w:tc>
          <w:tcPr>
            <w:tcW w:w="2226" w:type="dxa"/>
            <w:tcBorders>
              <w:top w:val="nil"/>
              <w:left w:val="nil"/>
              <w:bottom w:val="single" w:color="auto"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外引品种为主</w:t>
            </w:r>
          </w:p>
        </w:tc>
        <w:tc>
          <w:tcPr>
            <w:tcW w:w="127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选用优质品种，并注意地方资源的利用；合理安排茬口；绿色防控；后处理和深加工；拓展国外市场。</w:t>
            </w:r>
          </w:p>
        </w:tc>
      </w:tr>
      <w:tr>
        <w:tblPrEx>
          <w:tblLayout w:type="fixed"/>
          <w:tblCellMar>
            <w:top w:w="0" w:type="dxa"/>
            <w:left w:w="108" w:type="dxa"/>
            <w:bottom w:w="0" w:type="dxa"/>
            <w:right w:w="108" w:type="dxa"/>
          </w:tblCellMar>
        </w:tblPrEx>
        <w:trPr>
          <w:trHeight w:val="270" w:hRule="atLeast"/>
          <w:jc w:val="center"/>
        </w:trPr>
        <w:tc>
          <w:tcPr>
            <w:tcW w:w="62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6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8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丝瓜</w:t>
            </w:r>
          </w:p>
        </w:tc>
        <w:tc>
          <w:tcPr>
            <w:tcW w:w="13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1300米以下</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2-3月，8-9月</w:t>
            </w:r>
          </w:p>
        </w:tc>
        <w:tc>
          <w:tcPr>
            <w:tcW w:w="22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外引品种为主</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62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6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8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辣椒</w:t>
            </w:r>
          </w:p>
        </w:tc>
        <w:tc>
          <w:tcPr>
            <w:tcW w:w="13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1300米以下</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2-3月，10-11月</w:t>
            </w:r>
          </w:p>
        </w:tc>
        <w:tc>
          <w:tcPr>
            <w:tcW w:w="22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菜椒为主</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62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6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8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茄子</w:t>
            </w:r>
          </w:p>
        </w:tc>
        <w:tc>
          <w:tcPr>
            <w:tcW w:w="13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1300米以下</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周年生产</w:t>
            </w:r>
          </w:p>
        </w:tc>
        <w:tc>
          <w:tcPr>
            <w:tcW w:w="22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外引品种为主</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62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6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8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番茄</w:t>
            </w:r>
          </w:p>
        </w:tc>
        <w:tc>
          <w:tcPr>
            <w:tcW w:w="13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1300米以下</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8-9月为主</w:t>
            </w:r>
          </w:p>
        </w:tc>
        <w:tc>
          <w:tcPr>
            <w:tcW w:w="22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外引品种为主</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62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6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8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西葫芦</w:t>
            </w:r>
          </w:p>
        </w:tc>
        <w:tc>
          <w:tcPr>
            <w:tcW w:w="13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1300米以下</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2-3月为主</w:t>
            </w:r>
          </w:p>
        </w:tc>
        <w:tc>
          <w:tcPr>
            <w:tcW w:w="22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外引品种为主</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62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6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c>
          <w:tcPr>
            <w:tcW w:w="8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毛豆</w:t>
            </w:r>
          </w:p>
        </w:tc>
        <w:tc>
          <w:tcPr>
            <w:tcW w:w="13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1300米以下</w:t>
            </w:r>
          </w:p>
        </w:tc>
        <w:tc>
          <w:tcPr>
            <w:tcW w:w="15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8-11月，2-5月</w:t>
            </w:r>
          </w:p>
        </w:tc>
        <w:tc>
          <w:tcPr>
            <w:tcW w:w="22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粒大、口感好品种</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18"/>
                <w:szCs w:val="18"/>
              </w:rPr>
            </w:pPr>
          </w:p>
        </w:tc>
      </w:tr>
    </w:tbl>
    <w:p>
      <w:pPr>
        <w:keepNext w:val="0"/>
        <w:keepLines w:val="0"/>
        <w:pageBreakBefore w:val="0"/>
        <w:widowControl w:val="0"/>
        <w:kinsoku/>
        <w:wordWrap/>
        <w:overflowPunct/>
        <w:topLinePunct w:val="0"/>
        <w:bidi w:val="0"/>
        <w:textAlignment w:val="auto"/>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br w:type="page"/>
      </w:r>
    </w:p>
    <w:p>
      <w:pPr>
        <w:keepNext w:val="0"/>
        <w:keepLines w:val="0"/>
        <w:pageBreakBefore w:val="0"/>
        <w:widowControl w:val="0"/>
        <w:kinsoku/>
        <w:wordWrap/>
        <w:overflowPunct/>
        <w:topLinePunct w:val="0"/>
        <w:bidi w:val="0"/>
        <w:snapToGrid/>
        <w:spacing w:line="590" w:lineRule="exact"/>
        <w:jc w:val="center"/>
        <w:textAlignment w:val="auto"/>
        <w:outlineLvl w:val="0"/>
        <w:rPr>
          <w:rFonts w:hint="eastAsia" w:ascii="方正小标宋_GBK" w:hAnsi="方正小标宋_GBK" w:eastAsia="方正小标宋_GBK" w:cs="方正小标宋_GBK"/>
          <w:b w:val="0"/>
          <w:bCs/>
          <w:sz w:val="36"/>
          <w:szCs w:val="36"/>
        </w:rPr>
      </w:pPr>
      <w:bookmarkStart w:id="16" w:name="_Toc7977"/>
      <w:r>
        <w:rPr>
          <w:rFonts w:hint="eastAsia" w:ascii="方正小标宋_GBK" w:hAnsi="方正小标宋_GBK" w:eastAsia="方正小标宋_GBK" w:cs="方正小标宋_GBK"/>
          <w:b w:val="0"/>
          <w:bCs/>
          <w:sz w:val="36"/>
          <w:szCs w:val="36"/>
        </w:rPr>
        <w:t>第</w:t>
      </w:r>
      <w:r>
        <w:rPr>
          <w:rFonts w:hint="eastAsia" w:ascii="方正小标宋_GBK" w:hAnsi="方正小标宋_GBK" w:eastAsia="方正小标宋_GBK" w:cs="方正小标宋_GBK"/>
          <w:b w:val="0"/>
          <w:bCs/>
          <w:sz w:val="36"/>
          <w:szCs w:val="36"/>
          <w:lang w:eastAsia="zh-CN"/>
        </w:rPr>
        <w:t>三</w:t>
      </w:r>
      <w:r>
        <w:rPr>
          <w:rFonts w:hint="eastAsia" w:ascii="方正小标宋_GBK" w:hAnsi="方正小标宋_GBK" w:eastAsia="方正小标宋_GBK" w:cs="方正小标宋_GBK"/>
          <w:b w:val="0"/>
          <w:bCs/>
          <w:sz w:val="36"/>
          <w:szCs w:val="36"/>
        </w:rPr>
        <w:t>章</w:t>
      </w:r>
      <w:r>
        <w:rPr>
          <w:rFonts w:hint="eastAsia" w:ascii="方正小标宋_GBK" w:hAnsi="方正小标宋_GBK" w:eastAsia="方正小标宋_GBK" w:cs="方正小标宋_GBK"/>
          <w:b w:val="0"/>
          <w:bCs/>
          <w:sz w:val="36"/>
          <w:szCs w:val="36"/>
          <w:lang w:val="en-US" w:eastAsia="zh-CN"/>
        </w:rPr>
        <w:t xml:space="preserve">  </w:t>
      </w:r>
      <w:r>
        <w:rPr>
          <w:rFonts w:hint="eastAsia" w:ascii="方正小标宋_GBK" w:hAnsi="方正小标宋_GBK" w:eastAsia="方正小标宋_GBK" w:cs="方正小标宋_GBK"/>
          <w:b w:val="0"/>
          <w:bCs/>
          <w:sz w:val="36"/>
          <w:szCs w:val="36"/>
        </w:rPr>
        <w:t>重点工程任务</w:t>
      </w:r>
      <w:bookmarkEnd w:id="16"/>
    </w:p>
    <w:p>
      <w:pPr>
        <w:keepNext w:val="0"/>
        <w:keepLines w:val="0"/>
        <w:pageBreakBefore w:val="0"/>
        <w:widowControl w:val="0"/>
        <w:kinsoku/>
        <w:wordWrap/>
        <w:overflowPunct/>
        <w:topLinePunct w:val="0"/>
        <w:bidi w:val="0"/>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napToGrid/>
        <w:spacing w:line="590" w:lineRule="exact"/>
        <w:ind w:firstLine="640" w:firstLineChars="200"/>
        <w:textAlignment w:val="auto"/>
        <w:outlineLvl w:val="1"/>
        <w:rPr>
          <w:rFonts w:hint="eastAsia" w:ascii="方正黑体_GBK" w:hAnsi="方正黑体_GBK" w:eastAsia="方正黑体_GBK" w:cs="方正黑体_GBK"/>
          <w:b w:val="0"/>
          <w:bCs/>
          <w:sz w:val="32"/>
          <w:szCs w:val="32"/>
        </w:rPr>
      </w:pPr>
      <w:bookmarkStart w:id="17" w:name="_Toc17372"/>
      <w:r>
        <w:rPr>
          <w:rFonts w:hint="eastAsia" w:ascii="方正黑体_GBK" w:hAnsi="方正黑体_GBK" w:eastAsia="方正黑体_GBK" w:cs="方正黑体_GBK"/>
          <w:b w:val="0"/>
          <w:bCs/>
          <w:sz w:val="32"/>
          <w:szCs w:val="32"/>
          <w:lang w:val="en-US" w:eastAsia="zh-CN"/>
        </w:rPr>
        <w:t>一、产业</w:t>
      </w:r>
      <w:r>
        <w:rPr>
          <w:rFonts w:hint="eastAsia" w:ascii="方正黑体_GBK" w:hAnsi="方正黑体_GBK" w:eastAsia="方正黑体_GBK" w:cs="方正黑体_GBK"/>
          <w:b w:val="0"/>
          <w:bCs/>
          <w:sz w:val="32"/>
          <w:szCs w:val="32"/>
        </w:rPr>
        <w:t>基地转型升级建设工程</w:t>
      </w:r>
      <w:bookmarkEnd w:id="17"/>
    </w:p>
    <w:p>
      <w:pPr>
        <w:keepNext w:val="0"/>
        <w:keepLines w:val="0"/>
        <w:pageBreakBefore w:val="0"/>
        <w:widowControl w:val="0"/>
        <w:kinsoku/>
        <w:wordWrap/>
        <w:overflowPunct/>
        <w:topLinePunct w:val="0"/>
        <w:bidi w:val="0"/>
        <w:snapToGrid/>
        <w:spacing w:line="590" w:lineRule="exact"/>
        <w:ind w:firstLine="640" w:firstLineChars="200"/>
        <w:jc w:val="left"/>
        <w:textAlignment w:val="auto"/>
        <w:outlineLvl w:val="2"/>
        <w:rPr>
          <w:rFonts w:hint="eastAsia" w:ascii="Times New Roman" w:hAnsi="Times New Roman" w:eastAsia="方正仿宋_GBK" w:cs="Times New Roman"/>
          <w:b w:val="0"/>
          <w:bCs/>
          <w:sz w:val="32"/>
          <w:szCs w:val="32"/>
          <w:lang w:val="en-US" w:eastAsia="zh-CN"/>
        </w:rPr>
      </w:pPr>
      <w:bookmarkStart w:id="18" w:name="_Toc16223"/>
      <w:r>
        <w:rPr>
          <w:rFonts w:hint="eastAsia" w:ascii="方正楷体_GBK" w:hAnsi="方正楷体_GBK" w:eastAsia="方正楷体_GBK" w:cs="方正楷体_GBK"/>
          <w:b w:val="0"/>
          <w:bCs/>
          <w:sz w:val="32"/>
          <w:szCs w:val="32"/>
          <w:lang w:val="en-US" w:eastAsia="zh-CN"/>
        </w:rPr>
        <w:t>（一）</w:t>
      </w:r>
      <w:r>
        <w:rPr>
          <w:rFonts w:hint="eastAsia" w:ascii="方正仿宋_GBK" w:hAnsi="方正仿宋_GBK" w:eastAsia="方正仿宋_GBK" w:cs="方正仿宋_GBK"/>
          <w:b w:val="0"/>
          <w:bCs/>
          <w:sz w:val="32"/>
          <w:szCs w:val="32"/>
          <w:lang w:val="en-US" w:eastAsia="zh-CN"/>
        </w:rPr>
        <w:t>“</w:t>
      </w:r>
      <w:r>
        <w:rPr>
          <w:rFonts w:hint="eastAsia" w:ascii="方正楷体_GBK" w:hAnsi="方正楷体_GBK" w:eastAsia="方正楷体_GBK" w:cs="方正楷体_GBK"/>
          <w:b w:val="0"/>
          <w:bCs/>
          <w:sz w:val="32"/>
          <w:szCs w:val="32"/>
          <w:lang w:val="en-US" w:eastAsia="zh-CN"/>
        </w:rPr>
        <w:t>一县一业</w:t>
      </w:r>
      <w:r>
        <w:rPr>
          <w:rFonts w:hint="eastAsia" w:ascii="方正仿宋_GBK" w:hAnsi="方正仿宋_GBK" w:eastAsia="方正仿宋_GBK" w:cs="方正仿宋_GBK"/>
          <w:b w:val="0"/>
          <w:bCs/>
          <w:sz w:val="32"/>
          <w:szCs w:val="32"/>
          <w:lang w:val="en-US" w:eastAsia="zh-CN"/>
        </w:rPr>
        <w:t>”</w:t>
      </w:r>
      <w:r>
        <w:rPr>
          <w:rFonts w:hint="eastAsia" w:ascii="方正楷体_GBK" w:hAnsi="方正楷体_GBK" w:eastAsia="方正楷体_GBK" w:cs="方正楷体_GBK"/>
          <w:b w:val="0"/>
          <w:bCs/>
          <w:sz w:val="32"/>
          <w:szCs w:val="32"/>
          <w:lang w:val="en-US" w:eastAsia="zh-CN"/>
        </w:rPr>
        <w:t>示范县创建。</w:t>
      </w:r>
      <w:r>
        <w:rPr>
          <w:rFonts w:hint="eastAsia" w:ascii="方正仿宋_GBK" w:hAnsi="方正仿宋_GBK" w:eastAsia="方正仿宋_GBK" w:cs="方正仿宋_GBK"/>
          <w:b w:val="0"/>
          <w:bCs/>
          <w:sz w:val="32"/>
          <w:szCs w:val="32"/>
          <w:lang w:val="en-US" w:eastAsia="zh-CN"/>
        </w:rPr>
        <w:t>继续做好</w:t>
      </w:r>
      <w:r>
        <w:rPr>
          <w:rFonts w:hint="eastAsia" w:ascii="Times New Roman" w:hAnsi="Times New Roman" w:eastAsia="方正仿宋_GBK" w:cs="Times New Roman"/>
          <w:b w:val="0"/>
          <w:bCs/>
          <w:sz w:val="32"/>
          <w:szCs w:val="32"/>
          <w:lang w:val="en-US" w:eastAsia="zh-CN"/>
        </w:rPr>
        <w:t>通海</w:t>
      </w:r>
      <w:r>
        <w:rPr>
          <w:rFonts w:hint="eastAsia" w:ascii="方正仿宋_GBK" w:hAnsi="方正仿宋_GBK" w:eastAsia="方正仿宋_GBK" w:cs="方正仿宋_GBK"/>
          <w:b w:val="0"/>
          <w:bCs/>
          <w:sz w:val="32"/>
          <w:szCs w:val="32"/>
          <w:lang w:val="en-US" w:eastAsia="zh-CN"/>
        </w:rPr>
        <w:t>“</w:t>
      </w:r>
      <w:r>
        <w:rPr>
          <w:rFonts w:hint="eastAsia" w:ascii="Times New Roman" w:hAnsi="Times New Roman" w:eastAsia="方正仿宋_GBK" w:cs="Times New Roman"/>
          <w:b w:val="0"/>
          <w:bCs/>
          <w:sz w:val="32"/>
          <w:szCs w:val="32"/>
          <w:lang w:val="en-US" w:eastAsia="zh-CN"/>
        </w:rPr>
        <w:t>一县一业</w:t>
      </w:r>
      <w:r>
        <w:rPr>
          <w:rFonts w:hint="eastAsia" w:ascii="方正仿宋_GBK" w:hAnsi="方正仿宋_GBK" w:eastAsia="方正仿宋_GBK" w:cs="方正仿宋_GBK"/>
          <w:b w:val="0"/>
          <w:bCs/>
          <w:sz w:val="32"/>
          <w:szCs w:val="32"/>
          <w:lang w:val="en-US" w:eastAsia="zh-CN"/>
        </w:rPr>
        <w:t>”</w:t>
      </w:r>
      <w:r>
        <w:rPr>
          <w:rFonts w:hint="eastAsia" w:ascii="Times New Roman" w:hAnsi="Times New Roman" w:eastAsia="方正仿宋_GBK" w:cs="Times New Roman"/>
          <w:b w:val="0"/>
          <w:bCs/>
          <w:sz w:val="32"/>
          <w:szCs w:val="32"/>
          <w:lang w:val="en-US" w:eastAsia="zh-CN"/>
        </w:rPr>
        <w:t>蔬菜示范县工作，续建绿色食品基地10</w:t>
      </w:r>
      <w:r>
        <w:rPr>
          <w:rFonts w:hint="default" w:ascii="Times New Roman" w:hAnsi="Times New Roman" w:cs="Times New Roman"/>
          <w:b w:val="0"/>
          <w:bCs/>
          <w:sz w:val="32"/>
          <w:szCs w:val="32"/>
          <w:lang w:eastAsia="zh-CN"/>
        </w:rPr>
        <w:t>.00</w:t>
      </w:r>
      <w:r>
        <w:rPr>
          <w:rFonts w:hint="eastAsia" w:ascii="Times New Roman" w:hAnsi="Times New Roman" w:eastAsia="方正仿宋_GBK" w:cs="Times New Roman"/>
          <w:b w:val="0"/>
          <w:bCs/>
          <w:sz w:val="32"/>
          <w:szCs w:val="32"/>
          <w:lang w:val="en-US" w:eastAsia="zh-CN"/>
        </w:rPr>
        <w:t>万亩以上，绿色食品认证30个以上，加快杨广智慧农业小镇建设，实现一二三产融合发展；做大做强龙头企业，实现</w:t>
      </w:r>
      <w:r>
        <w:rPr>
          <w:rFonts w:hint="eastAsia" w:ascii="方正仿宋_GBK" w:hAnsi="方正仿宋_GBK" w:eastAsia="方正仿宋_GBK" w:cs="方正仿宋_GBK"/>
          <w:b w:val="0"/>
          <w:bCs/>
          <w:sz w:val="32"/>
          <w:szCs w:val="32"/>
          <w:lang w:val="en-US" w:eastAsia="zh-CN"/>
        </w:rPr>
        <w:t>“</w:t>
      </w:r>
      <w:r>
        <w:rPr>
          <w:rFonts w:hint="eastAsia" w:ascii="Times New Roman" w:hAnsi="Times New Roman" w:eastAsia="方正仿宋_GBK" w:cs="Times New Roman"/>
          <w:b w:val="0"/>
          <w:bCs/>
          <w:sz w:val="32"/>
          <w:szCs w:val="32"/>
          <w:lang w:val="en-US" w:eastAsia="zh-CN"/>
        </w:rPr>
        <w:t>一村一品</w:t>
      </w:r>
      <w:r>
        <w:rPr>
          <w:rFonts w:hint="eastAsia" w:ascii="方正仿宋_GBK" w:hAnsi="方正仿宋_GBK" w:eastAsia="方正仿宋_GBK" w:cs="方正仿宋_GBK"/>
          <w:b w:val="0"/>
          <w:bCs/>
          <w:sz w:val="32"/>
          <w:szCs w:val="32"/>
          <w:lang w:val="en-US" w:eastAsia="zh-CN"/>
        </w:rPr>
        <w:t>”</w:t>
      </w:r>
      <w:r>
        <w:rPr>
          <w:rFonts w:hint="eastAsia" w:ascii="Times New Roman" w:hAnsi="Times New Roman" w:eastAsia="方正仿宋_GBK" w:cs="Times New Roman"/>
          <w:b w:val="0"/>
          <w:bCs/>
          <w:sz w:val="32"/>
          <w:szCs w:val="32"/>
          <w:lang w:val="en-US" w:eastAsia="zh-CN"/>
        </w:rPr>
        <w:t>全覆盖；进一步开拓国际市场和国内一线超市；建立健全农产品质量安全监管体系、标准体系、检测体系和可追溯体系，实现龙头企业追溯全覆盖。</w:t>
      </w:r>
      <w:bookmarkEnd w:id="18"/>
    </w:p>
    <w:p>
      <w:pPr>
        <w:keepNext w:val="0"/>
        <w:keepLines w:val="0"/>
        <w:pageBreakBefore w:val="0"/>
        <w:widowControl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sz w:val="32"/>
          <w:szCs w:val="32"/>
          <w:lang w:val="en-US" w:eastAsia="zh-CN"/>
        </w:rPr>
        <w:t>（二）特色蔬菜生产基地建设。</w:t>
      </w:r>
      <w:r>
        <w:rPr>
          <w:rFonts w:hint="default" w:ascii="Times New Roman" w:hAnsi="Times New Roman" w:eastAsia="方正仿宋_GBK" w:cs="Times New Roman"/>
          <w:color w:val="000000"/>
          <w:sz w:val="32"/>
          <w:szCs w:val="32"/>
        </w:rPr>
        <w:t>发展具有玉溪特</w:t>
      </w:r>
      <w:r>
        <w:rPr>
          <w:rFonts w:hint="eastAsia" w:ascii="方正仿宋_GBK" w:hAnsi="方正仿宋_GBK" w:eastAsia="方正仿宋_GBK" w:cs="方正仿宋_GBK"/>
          <w:color w:val="000000"/>
          <w:sz w:val="32"/>
          <w:szCs w:val="32"/>
        </w:rPr>
        <w:t>色的“玉溪模式”，</w:t>
      </w:r>
      <w:r>
        <w:rPr>
          <w:rFonts w:hint="eastAsia" w:ascii="方正仿宋_GBK" w:hAnsi="方正仿宋_GBK" w:eastAsia="方正仿宋_GBK" w:cs="方正仿宋_GBK"/>
          <w:b w:val="0"/>
          <w:bCs/>
          <w:sz w:val="32"/>
          <w:szCs w:val="32"/>
          <w:lang w:val="en-US" w:eastAsia="zh-CN"/>
        </w:rPr>
        <w:t>加强</w:t>
      </w:r>
      <w:r>
        <w:rPr>
          <w:rFonts w:hint="eastAsia" w:ascii="方正仿宋_GBK" w:hAnsi="方正仿宋_GBK" w:eastAsia="方正仿宋_GBK" w:cs="方正仿宋_GBK"/>
          <w:b w:val="0"/>
          <w:bCs/>
          <w:color w:val="000000"/>
          <w:sz w:val="32"/>
          <w:szCs w:val="32"/>
        </w:rPr>
        <w:t>节水灌溉水池、喷滴灌系统、沟渠、田间道路</w:t>
      </w:r>
      <w:r>
        <w:rPr>
          <w:rFonts w:hint="eastAsia" w:ascii="方正仿宋_GBK" w:hAnsi="方正仿宋_GBK" w:eastAsia="方正仿宋_GBK" w:cs="方正仿宋_GBK"/>
          <w:b w:val="0"/>
          <w:bCs/>
          <w:color w:val="000000"/>
          <w:sz w:val="32"/>
          <w:szCs w:val="32"/>
          <w:lang w:eastAsia="zh-CN"/>
        </w:rPr>
        <w:t>等产业基础配套建设，</w:t>
      </w:r>
      <w:r>
        <w:rPr>
          <w:rFonts w:hint="eastAsia" w:ascii="方正仿宋_GBK" w:hAnsi="方正仿宋_GBK" w:eastAsia="方正仿宋_GBK" w:cs="方正仿宋_GBK"/>
          <w:b w:val="0"/>
          <w:bCs/>
          <w:sz w:val="32"/>
          <w:szCs w:val="32"/>
          <w:lang w:val="en-US" w:eastAsia="zh-CN"/>
        </w:rPr>
        <w:t>以通海、新平、华宁县为重点，辐射带红塔、峨山、元江等县（区），建成</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100</w:t>
      </w:r>
      <w:r>
        <w:rPr>
          <w:rFonts w:hint="default" w:ascii="Times New Roman" w:hAnsi="Times New Roman" w:cs="Times New Roman"/>
          <w:b w:val="0"/>
          <w:bCs/>
          <w:color w:val="000000" w:themeColor="text1"/>
          <w:sz w:val="32"/>
          <w:szCs w:val="32"/>
          <w:lang w:eastAsia="zh-CN"/>
          <w14:textFill>
            <w14:solidFill>
              <w14:schemeClr w14:val="tx1"/>
            </w14:solidFill>
          </w14:textFill>
        </w:rPr>
        <w:t>.00</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万</w:t>
      </w: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亩的特色蔬菜生产基地，</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以“</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标准化、</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规模化、耐贮运、品种多</w:t>
      </w:r>
      <w:r>
        <w:rPr>
          <w:rFonts w:hint="eastAsia" w:ascii="方正仿宋_GBK" w:hAnsi="方正仿宋_GBK" w:eastAsia="方正仿宋_GBK" w:cs="方正仿宋_GBK"/>
          <w:b w:val="0"/>
          <w:bCs/>
          <w:color w:val="000000"/>
          <w:sz w:val="32"/>
          <w:szCs w:val="32"/>
        </w:rPr>
        <w:t>样性”为原则，以</w:t>
      </w:r>
      <w:r>
        <w:rPr>
          <w:rFonts w:hint="default" w:ascii="Times New Roman" w:hAnsi="Times New Roman" w:eastAsia="方正仿宋_GBK" w:cs="Times New Roman"/>
          <w:color w:val="000000"/>
          <w:sz w:val="32"/>
          <w:szCs w:val="32"/>
        </w:rPr>
        <w:t>外销为主，</w:t>
      </w:r>
      <w:r>
        <w:rPr>
          <w:rFonts w:hint="eastAsia" w:ascii="Times New Roman" w:hAnsi="Times New Roman" w:eastAsia="方正仿宋_GBK" w:cs="Times New Roman"/>
          <w:color w:val="000000"/>
          <w:sz w:val="32"/>
          <w:szCs w:val="32"/>
          <w:lang w:eastAsia="zh-CN"/>
        </w:rPr>
        <w:t>保障</w:t>
      </w:r>
      <w:r>
        <w:rPr>
          <w:rFonts w:hint="default" w:ascii="Times New Roman" w:hAnsi="Times New Roman" w:eastAsia="方正仿宋_GBK" w:cs="Times New Roman"/>
          <w:color w:val="000000"/>
          <w:sz w:val="32"/>
          <w:szCs w:val="32"/>
        </w:rPr>
        <w:t>我国秋冬春蔬菜市场供应以及供应东南亚市场。</w:t>
      </w:r>
    </w:p>
    <w:p>
      <w:pPr>
        <w:keepNext w:val="0"/>
        <w:keepLines w:val="0"/>
        <w:pageBreakBefore w:val="0"/>
        <w:widowControl w:val="0"/>
        <w:kinsoku/>
        <w:wordWrap/>
        <w:overflowPunct/>
        <w:topLinePunct w:val="0"/>
        <w:bidi w:val="0"/>
        <w:ind w:left="0" w:leftChars="0"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楷体_GBK" w:hAnsi="方正楷体_GBK" w:eastAsia="方正楷体_GBK" w:cs="方正楷体_GBK"/>
          <w:b w:val="0"/>
          <w:bCs w:val="0"/>
          <w:color w:val="000000"/>
          <w:sz w:val="32"/>
          <w:szCs w:val="32"/>
          <w:lang w:eastAsia="zh-CN"/>
        </w:rPr>
        <w:t>（三）</w:t>
      </w:r>
      <w:r>
        <w:rPr>
          <w:rFonts w:hint="eastAsia" w:ascii="方正楷体_GBK" w:hAnsi="方正楷体_GBK" w:eastAsia="方正楷体_GBK" w:cs="方正楷体_GBK"/>
          <w:b w:val="0"/>
          <w:bCs w:val="0"/>
          <w:sz w:val="32"/>
          <w:szCs w:val="32"/>
          <w:lang w:val="en-US" w:eastAsia="zh-CN"/>
        </w:rPr>
        <w:t>正大云南果蔬产业链建设</w:t>
      </w:r>
      <w:r>
        <w:rPr>
          <w:rFonts w:hint="eastAsia" w:ascii="方正小标宋_GBK" w:hAnsi="方正小标宋_GBK" w:eastAsia="方正小标宋_GBK" w:cs="方正小标宋_GBK"/>
          <w:b w:val="0"/>
          <w:bCs/>
          <w:sz w:val="32"/>
          <w:szCs w:val="32"/>
          <w:lang w:val="en-US" w:eastAsia="zh-CN"/>
        </w:rPr>
        <w:t>。</w:t>
      </w:r>
      <w:r>
        <w:rPr>
          <w:rFonts w:hint="eastAsia" w:ascii="方正仿宋_GBK" w:hAnsi="方正仿宋_GBK" w:eastAsia="方正仿宋_GBK" w:cs="方正仿宋_GBK"/>
          <w:b w:val="0"/>
          <w:bCs/>
          <w:sz w:val="32"/>
          <w:szCs w:val="32"/>
          <w:lang w:val="en-US" w:eastAsia="zh-CN"/>
        </w:rPr>
        <w:t xml:space="preserve">在通海县建设种业研发中心、种业孵化基金，构建正大菜博士系统、农民田间大讲堂培训体系，创建正大云南蔬果产业学院，正大云南果蔬市场、品牌建设，建设果蔬产后化处理与精深加工中心。 </w:t>
      </w:r>
    </w:p>
    <w:p>
      <w:pPr>
        <w:keepNext w:val="0"/>
        <w:keepLines w:val="0"/>
        <w:pageBreakBefore w:val="0"/>
        <w:widowControl w:val="0"/>
        <w:kinsoku/>
        <w:wordWrap/>
        <w:overflowPunct/>
        <w:topLinePunct w:val="0"/>
        <w:bidi w:val="0"/>
        <w:ind w:left="0" w:leftChars="0"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楷体_GBK" w:hAnsi="方正楷体_GBK" w:eastAsia="方正楷体_GBK" w:cs="方正楷体_GBK"/>
          <w:b w:val="0"/>
          <w:bCs w:val="0"/>
          <w:color w:val="000000"/>
          <w:sz w:val="32"/>
          <w:szCs w:val="32"/>
          <w:lang w:eastAsia="zh-CN"/>
        </w:rPr>
        <w:t>（四）</w:t>
      </w:r>
      <w:r>
        <w:rPr>
          <w:rFonts w:hint="eastAsia" w:ascii="方正楷体_GBK" w:hAnsi="方正楷体_GBK" w:eastAsia="方正楷体_GBK" w:cs="方正楷体_GBK"/>
          <w:b w:val="0"/>
          <w:bCs w:val="0"/>
          <w:sz w:val="32"/>
          <w:szCs w:val="32"/>
          <w:lang w:val="en-US" w:eastAsia="zh-CN"/>
        </w:rPr>
        <w:t>国家现代农业产业园建设。</w:t>
      </w:r>
      <w:r>
        <w:rPr>
          <w:rFonts w:hint="eastAsia" w:ascii="方正仿宋_GBK" w:hAnsi="方正仿宋_GBK" w:eastAsia="方正仿宋_GBK" w:cs="方正仿宋_GBK"/>
          <w:b w:val="0"/>
          <w:bCs/>
          <w:sz w:val="32"/>
          <w:szCs w:val="32"/>
          <w:lang w:val="en-US" w:eastAsia="zh-CN"/>
        </w:rPr>
        <w:t>在通海县</w:t>
      </w:r>
      <w:r>
        <w:rPr>
          <w:rFonts w:hint="default" w:ascii="Times New Roman" w:hAnsi="Times New Roman" w:eastAsia="方正仿宋_GBK" w:cs="Times New Roman"/>
          <w:b w:val="0"/>
          <w:bCs/>
          <w:sz w:val="32"/>
          <w:szCs w:val="32"/>
          <w:lang w:val="en-US" w:eastAsia="zh-CN"/>
        </w:rPr>
        <w:t>2街道4镇1</w:t>
      </w:r>
      <w:r>
        <w:rPr>
          <w:rFonts w:hint="eastAsia" w:ascii="方正仿宋_GBK" w:hAnsi="方正仿宋_GBK" w:eastAsia="方正仿宋_GBK" w:cs="方正仿宋_GBK"/>
          <w:b w:val="0"/>
          <w:bCs/>
          <w:sz w:val="32"/>
          <w:szCs w:val="32"/>
          <w:lang w:val="en-US" w:eastAsia="zh-CN"/>
        </w:rPr>
        <w:t>乡，规划面积约为</w:t>
      </w:r>
      <w:r>
        <w:rPr>
          <w:rFonts w:hint="default" w:ascii="Times New Roman" w:hAnsi="Times New Roman" w:eastAsia="方正仿宋_GBK" w:cs="Times New Roman"/>
          <w:b w:val="0"/>
          <w:bCs/>
          <w:sz w:val="32"/>
          <w:szCs w:val="32"/>
          <w:lang w:val="en-US" w:eastAsia="zh-CN"/>
        </w:rPr>
        <w:t>511</w:t>
      </w:r>
      <w:r>
        <w:rPr>
          <w:rFonts w:hint="eastAsia" w:ascii="方正仿宋_GBK" w:hAnsi="方正仿宋_GBK" w:eastAsia="方正仿宋_GBK" w:cs="方正仿宋_GBK"/>
          <w:b w:val="0"/>
          <w:bCs/>
          <w:sz w:val="32"/>
          <w:szCs w:val="32"/>
          <w:lang w:val="en-US" w:eastAsia="zh-CN"/>
        </w:rPr>
        <w:t>平方千米，建设高标准蔬菜基地、冷链物流园区、蔬菜品牌打造、市场开拓、农旅结合等国家现代农业产业园。</w:t>
      </w:r>
    </w:p>
    <w:p>
      <w:pPr>
        <w:keepNext w:val="0"/>
        <w:keepLines w:val="0"/>
        <w:pageBreakBefore w:val="0"/>
        <w:widowControl w:val="0"/>
        <w:kinsoku/>
        <w:wordWrap/>
        <w:overflowPunct/>
        <w:topLinePunct w:val="0"/>
        <w:bidi w:val="0"/>
        <w:ind w:left="0" w:leftChars="0"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楷体_GBK" w:hAnsi="方正楷体_GBK" w:eastAsia="方正楷体_GBK" w:cs="方正楷体_GBK"/>
          <w:b w:val="0"/>
          <w:bCs/>
          <w:sz w:val="32"/>
          <w:szCs w:val="32"/>
          <w:lang w:val="en-US" w:eastAsia="zh-CN"/>
        </w:rPr>
        <w:t>（五）现代种业提升建设。</w:t>
      </w:r>
      <w:r>
        <w:rPr>
          <w:rFonts w:hint="eastAsia" w:ascii="方正仿宋_GBK" w:hAnsi="方正仿宋_GBK" w:eastAsia="方正仿宋_GBK" w:cs="方正仿宋_GBK"/>
          <w:b w:val="0"/>
          <w:bCs/>
          <w:sz w:val="32"/>
          <w:szCs w:val="32"/>
          <w:lang w:val="en-US" w:eastAsia="zh-CN"/>
        </w:rPr>
        <w:t>在华宁县宁州街道建设京华蔬菜种苗基地，种植出口蔬菜基地</w:t>
      </w:r>
      <w:r>
        <w:rPr>
          <w:rFonts w:hint="default" w:ascii="Times New Roman" w:hAnsi="Times New Roman" w:eastAsia="方正仿宋_GBK" w:cs="Times New Roman"/>
          <w:b w:val="0"/>
          <w:bCs/>
          <w:sz w:val="32"/>
          <w:szCs w:val="32"/>
          <w:lang w:val="en-US" w:eastAsia="zh-CN"/>
        </w:rPr>
        <w:t>3000亩，建设种子研发中心；在9</w:t>
      </w:r>
      <w:r>
        <w:rPr>
          <w:rFonts w:hint="eastAsia" w:ascii="方正仿宋_GBK" w:hAnsi="方正仿宋_GBK" w:eastAsia="方正仿宋_GBK" w:cs="方正仿宋_GBK"/>
          <w:b w:val="0"/>
          <w:bCs/>
          <w:sz w:val="32"/>
          <w:szCs w:val="32"/>
          <w:lang w:val="en-US" w:eastAsia="zh-CN"/>
        </w:rPr>
        <w:t>县（市</w:t>
      </w:r>
      <w:r>
        <w:rPr>
          <w:rFonts w:hint="default" w:ascii="方正仿宋_GBK" w:hAnsi="方正仿宋_GBK" w:cs="方正仿宋_GBK"/>
          <w:b w:val="0"/>
          <w:bCs/>
          <w:sz w:val="32"/>
          <w:szCs w:val="32"/>
          <w:lang w:eastAsia="zh-CN"/>
        </w:rPr>
        <w:t>、</w:t>
      </w:r>
      <w:r>
        <w:rPr>
          <w:rFonts w:hint="eastAsia" w:ascii="方正仿宋_GBK" w:hAnsi="方正仿宋_GBK" w:eastAsia="方正仿宋_GBK" w:cs="方正仿宋_GBK"/>
          <w:b w:val="0"/>
          <w:bCs/>
          <w:sz w:val="32"/>
          <w:szCs w:val="32"/>
          <w:lang w:val="en-US" w:eastAsia="zh-CN"/>
        </w:rPr>
        <w:t>区）建设现代种业提升工程项目，开展蔬菜新品种引进和选育，并依托种子企业和市农科院，在红塔区、江川区、华宁县、易门县、元江县建设农作物种质资源圃，开展育繁推一体化基地示范，加强种子质量监督检测中心和区域试验站建设；在新平县建设蔬菜工厂化育苗基地</w:t>
      </w:r>
      <w:r>
        <w:rPr>
          <w:rFonts w:hint="default" w:ascii="Times New Roman" w:hAnsi="Times New Roman" w:eastAsia="方正仿宋_GBK" w:cs="Times New Roman"/>
          <w:b w:val="0"/>
          <w:bCs/>
          <w:sz w:val="32"/>
          <w:szCs w:val="32"/>
          <w:lang w:val="en-US" w:eastAsia="zh-CN"/>
        </w:rPr>
        <w:t>200</w:t>
      </w:r>
      <w:r>
        <w:rPr>
          <w:rFonts w:hint="eastAsia" w:ascii="方正仿宋_GBK" w:hAnsi="方正仿宋_GBK" w:eastAsia="方正仿宋_GBK" w:cs="方正仿宋_GBK"/>
          <w:b w:val="0"/>
          <w:bCs/>
          <w:sz w:val="32"/>
          <w:szCs w:val="32"/>
          <w:lang w:val="en-US" w:eastAsia="zh-CN"/>
        </w:rPr>
        <w:t xml:space="preserve">亩。 </w:t>
      </w:r>
    </w:p>
    <w:p>
      <w:pPr>
        <w:keepNext w:val="0"/>
        <w:keepLines w:val="0"/>
        <w:pageBreakBefore w:val="0"/>
        <w:widowControl w:val="0"/>
        <w:kinsoku/>
        <w:wordWrap/>
        <w:overflowPunct/>
        <w:topLinePunct w:val="0"/>
        <w:bidi w:val="0"/>
        <w:snapToGrid/>
        <w:spacing w:line="590" w:lineRule="exact"/>
        <w:ind w:firstLine="640" w:firstLineChars="200"/>
        <w:jc w:val="left"/>
        <w:textAlignment w:val="auto"/>
        <w:outlineLvl w:val="1"/>
        <w:rPr>
          <w:rFonts w:hint="eastAsia" w:ascii="方正黑体_GBK" w:hAnsi="方正黑体_GBK" w:eastAsia="方正黑体_GBK" w:cs="方正黑体_GBK"/>
          <w:color w:val="000000"/>
          <w:sz w:val="32"/>
          <w:szCs w:val="32"/>
          <w:lang w:eastAsia="zh-CN"/>
        </w:rPr>
      </w:pPr>
      <w:bookmarkStart w:id="19" w:name="_Toc15535"/>
      <w:r>
        <w:rPr>
          <w:rFonts w:hint="eastAsia" w:ascii="方正黑体_GBK" w:hAnsi="方正黑体_GBK" w:eastAsia="方正黑体_GBK" w:cs="方正黑体_GBK"/>
          <w:color w:val="000000"/>
          <w:sz w:val="32"/>
          <w:szCs w:val="32"/>
          <w:lang w:eastAsia="zh-CN"/>
        </w:rPr>
        <w:t>二、市场流通建设工程</w:t>
      </w:r>
      <w:bookmarkEnd w:id="19"/>
    </w:p>
    <w:p>
      <w:pPr>
        <w:keepNext w:val="0"/>
        <w:keepLines w:val="0"/>
        <w:pageBreakBefore w:val="0"/>
        <w:widowControl w:val="0"/>
        <w:numPr>
          <w:ilvl w:val="0"/>
          <w:numId w:val="0"/>
        </w:numPr>
        <w:kinsoku/>
        <w:wordWrap/>
        <w:overflowPunct/>
        <w:topLinePunct w:val="0"/>
        <w:bidi w:val="0"/>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color w:val="000000"/>
          <w:sz w:val="32"/>
          <w:szCs w:val="32"/>
          <w:lang w:eastAsia="zh-CN"/>
        </w:rPr>
        <w:t>（一）冷链物流冷库建设。</w:t>
      </w:r>
      <w:r>
        <w:rPr>
          <w:rFonts w:hint="eastAsia" w:ascii="Times New Roman" w:hAnsi="Times New Roman" w:eastAsia="方正仿宋_GBK" w:cs="Times New Roman"/>
          <w:color w:val="000000"/>
          <w:sz w:val="32"/>
          <w:szCs w:val="32"/>
          <w:lang w:eastAsia="zh-CN"/>
        </w:rPr>
        <w:t>以</w:t>
      </w:r>
      <w:r>
        <w:rPr>
          <w:rFonts w:hint="eastAsia" w:ascii="Times New Roman" w:hAnsi="Times New Roman" w:eastAsia="方正仿宋_GBK" w:cs="Times New Roman"/>
          <w:color w:val="000000"/>
          <w:sz w:val="32"/>
          <w:szCs w:val="32"/>
          <w:lang w:val="en-US" w:eastAsia="zh-CN"/>
        </w:rPr>
        <w:t>玉溪市中心城区冷链物流及快递分拣为主，建成玉溪市冷链物流及快递分拣中心，各县区建成</w:t>
      </w:r>
      <w:r>
        <w:rPr>
          <w:rFonts w:hint="eastAsia" w:ascii="方正仿宋_GBK" w:hAnsi="方正仿宋_GBK" w:eastAsia="方正仿宋_GBK" w:cs="方正仿宋_GBK"/>
          <w:color w:val="000000"/>
          <w:sz w:val="32"/>
          <w:szCs w:val="32"/>
          <w:lang w:eastAsia="zh-CN"/>
        </w:rPr>
        <w:t>节能型贮藏通风库（冷藏库、预冷库、气调储藏库、配套分拣包装）；</w:t>
      </w:r>
      <w:r>
        <w:rPr>
          <w:rFonts w:hint="eastAsia" w:ascii="Times New Roman" w:hAnsi="Times New Roman" w:eastAsia="方正仿宋_GBK" w:cs="Times New Roman"/>
          <w:color w:val="000000"/>
          <w:sz w:val="32"/>
          <w:szCs w:val="32"/>
          <w:lang w:val="en-US" w:eastAsia="zh-CN"/>
        </w:rPr>
        <w:t>在通海县杨广镇建设冷链物流中心、农产品综合加工区、配套综合商业区；峨山红楹蔬果交易市场仓储冷链物流；续建江川区雄关乡滇中绿色农产品产业园冷链物流基础设施及配套、江川区雄关乡滇中特色农副产品冷链储运中心6</w:t>
      </w:r>
      <w:r>
        <w:rPr>
          <w:rFonts w:hint="default" w:ascii="Times New Roman" w:hAnsi="Times New Roman" w:cs="Times New Roman"/>
          <w:color w:val="000000"/>
          <w:sz w:val="32"/>
          <w:szCs w:val="32"/>
          <w:lang w:eastAsia="zh-CN"/>
        </w:rPr>
        <w:t>.00</w:t>
      </w:r>
      <w:r>
        <w:rPr>
          <w:rFonts w:hint="eastAsia" w:ascii="Times New Roman" w:hAnsi="Times New Roman" w:eastAsia="方正仿宋_GBK" w:cs="Times New Roman"/>
          <w:color w:val="000000"/>
          <w:sz w:val="32"/>
          <w:szCs w:val="32"/>
          <w:lang w:val="en-US" w:eastAsia="zh-CN"/>
        </w:rPr>
        <w:t>万吨∕年保鲜蔬菜冷链物流。</w:t>
      </w:r>
      <w:r>
        <w:rPr>
          <w:rFonts w:hint="eastAsia" w:ascii="方正仿宋_GBK" w:hAnsi="方正仿宋_GBK" w:eastAsia="方正仿宋_GBK" w:cs="方正仿宋_GBK"/>
          <w:b w:val="0"/>
          <w:bCs w:val="0"/>
          <w:color w:val="000000"/>
          <w:sz w:val="32"/>
          <w:szCs w:val="32"/>
        </w:rPr>
        <w:t>加快推进蔬菜冷链物流产业发展</w:t>
      </w:r>
      <w:r>
        <w:rPr>
          <w:rFonts w:hint="eastAsia" w:ascii="方正仿宋_GBK" w:hAnsi="方正仿宋_GBK" w:eastAsia="方正仿宋_GBK" w:cs="方正仿宋_GBK"/>
          <w:b w:val="0"/>
          <w:bCs w:val="0"/>
          <w:color w:val="000000"/>
          <w:sz w:val="32"/>
          <w:szCs w:val="32"/>
          <w:lang w:eastAsia="zh-CN"/>
        </w:rPr>
        <w:t>，</w:t>
      </w:r>
      <w:r>
        <w:rPr>
          <w:rFonts w:hint="default" w:ascii="Times New Roman" w:hAnsi="Times New Roman" w:eastAsia="方正仿宋_GBK" w:cs="Times New Roman"/>
          <w:color w:val="000000"/>
          <w:sz w:val="32"/>
          <w:szCs w:val="32"/>
        </w:rPr>
        <w:t>加大产地蔬菜预冷设施、批发市场冷藏设施、大城市蔬菜低温配送中心建设，购置节能环保冷链运输车及配套设备等，不断完善冷储设施建设。</w:t>
      </w:r>
    </w:p>
    <w:p>
      <w:pPr>
        <w:keepNext w:val="0"/>
        <w:keepLines w:val="0"/>
        <w:pageBreakBefore w:val="0"/>
        <w:widowControl w:val="0"/>
        <w:numPr>
          <w:ilvl w:val="0"/>
          <w:numId w:val="0"/>
        </w:numPr>
        <w:kinsoku/>
        <w:wordWrap/>
        <w:overflowPunct/>
        <w:topLinePunct w:val="0"/>
        <w:bidi w:val="0"/>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（二）玉溪国际农产品交易中心建设</w:t>
      </w:r>
      <w:r>
        <w:rPr>
          <w:rFonts w:hint="eastAsia" w:ascii="Times New Roman" w:hAnsi="Times New Roman" w:eastAsia="方正仿宋_GBK" w:cs="Times New Roman"/>
          <w:b/>
          <w:bCs/>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依托中老铁路建成通车，在研和物流港片区建设对内辐射西南乃至全国，对外辐射东南亚的农产品进出口集散中心，打通玉溪连通东南亚市场贸易双向流通渠道；在红塔区工业园区，江川区雄关、前卫镇，峨山岔河乡、甸中镇、化念镇，易门县绿汁镇、铜厂乡、十街乡，华宁县红甸乡、青龙镇，元江工业园区甘庄片区，建设农产品综合展示交易区、加工仓储区、物流中心、质检中心、管理服务中心等。</w:t>
      </w:r>
    </w:p>
    <w:p>
      <w:pPr>
        <w:keepNext w:val="0"/>
        <w:keepLines w:val="0"/>
        <w:pageBreakBefore w:val="0"/>
        <w:widowControl w:val="0"/>
        <w:numPr>
          <w:ilvl w:val="0"/>
          <w:numId w:val="0"/>
        </w:numPr>
        <w:kinsoku/>
        <w:wordWrap/>
        <w:overflowPunct/>
        <w:topLinePunct w:val="0"/>
        <w:bidi w:val="0"/>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（三）红河谷农产品物流与交易园区建设。</w:t>
      </w:r>
      <w:r>
        <w:rPr>
          <w:rFonts w:hint="eastAsia" w:ascii="Times New Roman" w:hAnsi="Times New Roman" w:eastAsia="方正仿宋_GBK" w:cs="Times New Roman"/>
          <w:color w:val="000000"/>
          <w:sz w:val="32"/>
          <w:szCs w:val="32"/>
          <w:lang w:val="en-US" w:eastAsia="zh-CN"/>
        </w:rPr>
        <w:t>在元江工业园区甘庄片区续建红河谷农产品物流与交易园区，项目总用地66.34公顷，道路总面积395942平方米，建筑总面积285593平方米，以及配套的各类公共服务及公用设施。</w:t>
      </w:r>
    </w:p>
    <w:p>
      <w:pPr>
        <w:keepNext w:val="0"/>
        <w:keepLines w:val="0"/>
        <w:pageBreakBefore w:val="0"/>
        <w:widowControl w:val="0"/>
        <w:numPr>
          <w:ilvl w:val="0"/>
          <w:numId w:val="0"/>
        </w:numPr>
        <w:kinsoku/>
        <w:wordWrap/>
        <w:overflowPunct/>
        <w:topLinePunct w:val="0"/>
        <w:bidi w:val="0"/>
        <w:ind w:firstLine="640" w:firstLineChars="200"/>
        <w:textAlignment w:val="auto"/>
        <w:outlineLvl w:val="1"/>
        <w:rPr>
          <w:rFonts w:hint="eastAsia" w:ascii="方正小标宋_GBK" w:hAnsi="方正小标宋_GBK" w:eastAsia="方正小标宋_GBK" w:cs="方正小标宋_GBK"/>
          <w:b w:val="0"/>
          <w:bCs/>
          <w:sz w:val="32"/>
          <w:szCs w:val="32"/>
          <w:lang w:eastAsia="zh-CN"/>
        </w:rPr>
      </w:pPr>
      <w:bookmarkStart w:id="20" w:name="_Toc21155"/>
      <w:r>
        <w:rPr>
          <w:rFonts w:hint="eastAsia" w:ascii="方正黑体_GBK" w:hAnsi="方正黑体_GBK" w:eastAsia="方正黑体_GBK" w:cs="方正黑体_GBK"/>
          <w:b w:val="0"/>
          <w:bCs/>
          <w:sz w:val="32"/>
          <w:szCs w:val="32"/>
          <w:lang w:eastAsia="zh-CN"/>
        </w:rPr>
        <w:t>三、产品加工提升建设</w:t>
      </w:r>
      <w:r>
        <w:rPr>
          <w:rFonts w:hint="eastAsia" w:ascii="方正黑体_GBK" w:hAnsi="方正黑体_GBK" w:eastAsia="方正黑体_GBK" w:cs="方正黑体_GBK"/>
          <w:b w:val="0"/>
          <w:bCs/>
          <w:sz w:val="32"/>
          <w:szCs w:val="32"/>
        </w:rPr>
        <w:t>工程</w:t>
      </w:r>
      <w:bookmarkEnd w:id="20"/>
    </w:p>
    <w:p>
      <w:pPr>
        <w:keepNext w:val="0"/>
        <w:keepLines w:val="0"/>
        <w:pageBreakBefore w:val="0"/>
        <w:widowControl w:val="0"/>
        <w:numPr>
          <w:ilvl w:val="0"/>
          <w:numId w:val="0"/>
        </w:numPr>
        <w:kinsoku/>
        <w:wordWrap/>
        <w:overflowPunct/>
        <w:topLinePunct w:val="0"/>
        <w:bidi w:val="0"/>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color w:val="000000"/>
          <w:sz w:val="32"/>
          <w:szCs w:val="32"/>
          <w:lang w:eastAsia="zh-CN"/>
        </w:rPr>
        <w:t>（一）</w:t>
      </w:r>
      <w:r>
        <w:rPr>
          <w:rFonts w:hint="eastAsia" w:ascii="方正楷体_GBK" w:hAnsi="方正楷体_GBK" w:eastAsia="方正楷体_GBK" w:cs="方正楷体_GBK"/>
          <w:b w:val="0"/>
          <w:bCs w:val="0"/>
          <w:color w:val="000000"/>
          <w:sz w:val="32"/>
          <w:szCs w:val="32"/>
        </w:rPr>
        <w:t>蔬菜加工设施和技术体系</w:t>
      </w:r>
      <w:r>
        <w:rPr>
          <w:rFonts w:hint="eastAsia" w:ascii="方正楷体_GBK" w:hAnsi="方正楷体_GBK" w:eastAsia="方正楷体_GBK" w:cs="方正楷体_GBK"/>
          <w:b w:val="0"/>
          <w:bCs w:val="0"/>
          <w:color w:val="000000"/>
          <w:sz w:val="32"/>
          <w:szCs w:val="32"/>
          <w:lang w:eastAsia="zh-CN"/>
        </w:rPr>
        <w:t>建设。</w:t>
      </w:r>
      <w:r>
        <w:rPr>
          <w:rFonts w:hint="default" w:ascii="Times New Roman" w:hAnsi="Times New Roman" w:eastAsia="方正仿宋_GBK" w:cs="Times New Roman"/>
          <w:color w:val="000000"/>
          <w:sz w:val="32"/>
          <w:szCs w:val="32"/>
        </w:rPr>
        <w:t>以</w:t>
      </w:r>
      <w:r>
        <w:rPr>
          <w:rFonts w:hint="eastAsia" w:ascii="Times New Roman" w:hAnsi="Times New Roman" w:eastAsia="方正仿宋_GBK" w:cs="Times New Roman"/>
          <w:color w:val="000000"/>
          <w:sz w:val="32"/>
          <w:szCs w:val="32"/>
          <w:lang w:eastAsia="zh-CN"/>
        </w:rPr>
        <w:t>红塔区、江川区、通海县、新平县为重点，</w:t>
      </w:r>
      <w:r>
        <w:rPr>
          <w:rFonts w:hint="default" w:ascii="Times New Roman" w:hAnsi="Times New Roman" w:eastAsia="方正仿宋_GBK" w:cs="Times New Roman"/>
          <w:color w:val="000000"/>
          <w:sz w:val="32"/>
          <w:szCs w:val="32"/>
        </w:rPr>
        <w:t>建设</w:t>
      </w:r>
      <w:r>
        <w:rPr>
          <w:rFonts w:hint="eastAsia" w:ascii="Times New Roman" w:hAnsi="Times New Roman" w:eastAsia="方正仿宋_GBK" w:cs="Times New Roman"/>
          <w:color w:val="000000"/>
          <w:sz w:val="32"/>
          <w:szCs w:val="32"/>
          <w:lang w:eastAsia="zh-CN"/>
        </w:rPr>
        <w:t>和提升</w:t>
      </w:r>
      <w:r>
        <w:rPr>
          <w:rFonts w:hint="default" w:ascii="Times New Roman" w:hAnsi="Times New Roman" w:eastAsia="方正仿宋_GBK" w:cs="Times New Roman"/>
          <w:color w:val="000000"/>
          <w:sz w:val="32"/>
          <w:szCs w:val="32"/>
        </w:rPr>
        <w:t>蔬菜加工设施和技术体系。</w:t>
      </w:r>
      <w:r>
        <w:rPr>
          <w:rFonts w:hint="eastAsia" w:ascii="方正仿宋_GBK" w:hAnsi="方正仿宋_GBK" w:eastAsia="方正仿宋_GBK" w:cs="方正仿宋_GBK"/>
          <w:sz w:val="32"/>
          <w:szCs w:val="32"/>
          <w:lang w:val="en-US" w:eastAsia="zh-CN"/>
        </w:rPr>
        <w:t>在红塔区建设年产</w:t>
      </w:r>
      <w:r>
        <w:rPr>
          <w:rFonts w:hint="default" w:ascii="Times New Roman" w:hAnsi="Times New Roman" w:eastAsia="方正仿宋_GBK" w:cs="Times New Roman"/>
          <w:sz w:val="32"/>
          <w:szCs w:val="32"/>
          <w:lang w:val="en-US" w:eastAsia="zh-CN"/>
        </w:rPr>
        <w:t>3</w:t>
      </w:r>
      <w:r>
        <w:rPr>
          <w:rFonts w:hint="default" w:ascii="Times New Roman" w:hAnsi="Times New Roman" w:cs="Times New Roman"/>
          <w:sz w:val="32"/>
          <w:szCs w:val="32"/>
          <w:lang w:eastAsia="zh-CN"/>
        </w:rPr>
        <w:t>.00</w:t>
      </w:r>
      <w:r>
        <w:rPr>
          <w:rFonts w:hint="default" w:ascii="Times New Roman" w:hAnsi="Times New Roman" w:eastAsia="方正仿宋_GBK" w:cs="Times New Roman"/>
          <w:sz w:val="32"/>
          <w:szCs w:val="32"/>
          <w:lang w:val="en-US" w:eastAsia="zh-CN"/>
        </w:rPr>
        <w:t>万吨日韩泡菜精深加工加工厂，建设生产车间、发酵池、化验室、冷库</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购置脱水加工设备20台套，购置设备、修建道路等基础设施建设；江川建设云</w:t>
      </w:r>
      <w:r>
        <w:rPr>
          <w:rFonts w:hint="eastAsia" w:ascii="方正仿宋_GBK" w:hAnsi="方正仿宋_GBK" w:eastAsia="方正仿宋_GBK" w:cs="方正仿宋_GBK"/>
          <w:sz w:val="32"/>
          <w:szCs w:val="32"/>
          <w:lang w:val="en-US" w:eastAsia="zh-CN"/>
        </w:rPr>
        <w:t>菜“链享”净</w:t>
      </w:r>
      <w:r>
        <w:rPr>
          <w:rFonts w:hint="default" w:ascii="Times New Roman" w:hAnsi="Times New Roman" w:eastAsia="方正仿宋_GBK" w:cs="Times New Roman"/>
          <w:sz w:val="32"/>
          <w:szCs w:val="32"/>
          <w:lang w:val="en-US" w:eastAsia="zh-CN"/>
        </w:rPr>
        <w:t>菜加工配送，建设净菜加工车间6000平方米，中转配送中心3000平方米，购置去皮清洗机、提升机、风干机、包装机等净菜加工设备，合互联网平台主营净菜加工配送，占地32亩；通海县建</w:t>
      </w:r>
      <w:r>
        <w:rPr>
          <w:rFonts w:hint="eastAsia" w:ascii="方正仿宋_GBK" w:hAnsi="方正仿宋_GBK" w:eastAsia="方正仿宋_GBK" w:cs="方正仿宋_GBK"/>
          <w:sz w:val="32"/>
          <w:szCs w:val="32"/>
          <w:lang w:val="en-US" w:eastAsia="zh-CN"/>
        </w:rPr>
        <w:t>设蔬菜深加工产业园，引进食品加工企业，建设研发中心、生产中心、物流中心，开发天然、绿色、无添加食品，包括天然果蔬脆皮及饮料产品、营养强化食品等。</w:t>
      </w:r>
    </w:p>
    <w:p>
      <w:pPr>
        <w:keepNext w:val="0"/>
        <w:keepLines w:val="0"/>
        <w:pageBreakBefore w:val="0"/>
        <w:widowControl w:val="0"/>
        <w:numPr>
          <w:ilvl w:val="0"/>
          <w:numId w:val="0"/>
        </w:numPr>
        <w:kinsoku/>
        <w:wordWrap/>
        <w:overflowPunct/>
        <w:topLinePunct w:val="0"/>
        <w:bidi w:val="0"/>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（二）玉溪智慧城市中央厨房建设</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sz w:val="32"/>
          <w:szCs w:val="32"/>
          <w:lang w:val="en-US" w:eastAsia="zh-CN"/>
        </w:rPr>
        <w:t>在玉溪中心城区建设中央厨房，占地</w:t>
      </w:r>
      <w:r>
        <w:rPr>
          <w:rFonts w:hint="default" w:ascii="Times New Roman" w:hAnsi="Times New Roman" w:eastAsia="方正仿宋_GBK" w:cs="Times New Roman"/>
          <w:sz w:val="32"/>
          <w:szCs w:val="32"/>
          <w:lang w:val="en-US" w:eastAsia="zh-CN"/>
        </w:rPr>
        <w:t>约5000平方米，辐射范围100</w:t>
      </w:r>
      <w:r>
        <w:rPr>
          <w:rFonts w:hint="eastAsia" w:ascii="方正仿宋_GBK" w:hAnsi="方正仿宋_GBK" w:eastAsia="方正仿宋_GBK" w:cs="方正仿宋_GBK"/>
          <w:sz w:val="32"/>
          <w:szCs w:val="32"/>
          <w:lang w:val="en-US" w:eastAsia="zh-CN"/>
        </w:rPr>
        <w:t>公里以构建中央加工厂、净菜加工配送加工中心、大数据管理中心、食品安全培训中心、农产品集散中心。拟选两个县区分别建设二级分拣厨房。</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sz w:val="32"/>
          <w:szCs w:val="32"/>
          <w:lang w:eastAsia="zh-CN"/>
        </w:rPr>
        <w:t>（三）培育壮大新型经营主体。</w:t>
      </w:r>
      <w:r>
        <w:rPr>
          <w:rFonts w:hint="default" w:ascii="Times New Roman" w:hAnsi="Times New Roman" w:eastAsia="方正仿宋_GBK" w:cs="Times New Roman"/>
          <w:color w:val="000000"/>
          <w:sz w:val="32"/>
          <w:szCs w:val="32"/>
        </w:rPr>
        <w:t>重点围绕蔬菜</w:t>
      </w:r>
      <w:r>
        <w:rPr>
          <w:rFonts w:hint="eastAsia" w:ascii="Times New Roman" w:hAnsi="Times New Roman" w:eastAsia="方正仿宋_GBK" w:cs="Times New Roman"/>
          <w:color w:val="000000"/>
          <w:sz w:val="32"/>
          <w:szCs w:val="32"/>
          <w:lang w:eastAsia="zh-CN"/>
        </w:rPr>
        <w:t>生产、</w:t>
      </w:r>
      <w:r>
        <w:rPr>
          <w:rFonts w:hint="default" w:ascii="Times New Roman" w:hAnsi="Times New Roman" w:eastAsia="方正仿宋_GBK" w:cs="Times New Roman"/>
          <w:color w:val="000000"/>
          <w:sz w:val="32"/>
          <w:szCs w:val="32"/>
        </w:rPr>
        <w:t>加工、冷贮、运销业务，培育壮大家庭农场、农民专业合作社、农业龙头企业等新型农业经营主体，鼓励支持新型农业经营主体流转土地，推动土地规模经营。力争到2025年全市家庭农场达1400个、农民专业合作社2000个、农业龙头企业200家。推进蔬菜生产销售一体化经营。</w:t>
      </w:r>
    </w:p>
    <w:p>
      <w:pPr>
        <w:keepNext w:val="0"/>
        <w:keepLines w:val="0"/>
        <w:pageBreakBefore w:val="0"/>
        <w:widowControl w:val="0"/>
        <w:kinsoku/>
        <w:wordWrap/>
        <w:overflowPunct/>
        <w:topLinePunct w:val="0"/>
        <w:bidi w:val="0"/>
        <w:ind w:left="0" w:leftChars="0" w:firstLine="640" w:firstLineChars="200"/>
        <w:textAlignment w:val="auto"/>
        <w:outlineLvl w:val="1"/>
        <w:rPr>
          <w:rFonts w:hint="eastAsia" w:ascii="方正黑体_GBK" w:hAnsi="方正黑体_GBK" w:eastAsia="方正黑体_GBK" w:cs="方正黑体_GBK"/>
          <w:b w:val="0"/>
          <w:bCs/>
          <w:sz w:val="32"/>
          <w:szCs w:val="32"/>
          <w:lang w:eastAsia="zh-CN"/>
        </w:rPr>
      </w:pPr>
      <w:bookmarkStart w:id="21" w:name="_Toc12271"/>
      <w:r>
        <w:rPr>
          <w:rFonts w:hint="eastAsia" w:ascii="方正黑体_GBK" w:hAnsi="方正黑体_GBK" w:eastAsia="方正黑体_GBK" w:cs="方正黑体_GBK"/>
          <w:b w:val="0"/>
          <w:bCs/>
          <w:sz w:val="32"/>
          <w:szCs w:val="32"/>
          <w:lang w:eastAsia="zh-CN"/>
        </w:rPr>
        <w:t>四、农业科技创新工程</w:t>
      </w:r>
      <w:bookmarkEnd w:id="21"/>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lang w:eastAsia="zh-CN"/>
        </w:rPr>
        <w:t>（一）</w:t>
      </w:r>
      <w:r>
        <w:rPr>
          <w:rFonts w:hint="eastAsia" w:ascii="方正楷体_GBK" w:hAnsi="方正楷体_GBK" w:eastAsia="方正楷体_GBK" w:cs="方正楷体_GBK"/>
          <w:b w:val="0"/>
          <w:bCs w:val="0"/>
          <w:color w:val="000000"/>
          <w:sz w:val="32"/>
          <w:szCs w:val="32"/>
        </w:rPr>
        <w:t>创新科技服务体系。</w:t>
      </w:r>
      <w:r>
        <w:rPr>
          <w:rFonts w:hint="eastAsia" w:ascii="方正仿宋_GBK" w:hAnsi="方正仿宋_GBK" w:eastAsia="方正仿宋_GBK" w:cs="方正仿宋_GBK"/>
          <w:b w:val="0"/>
          <w:bCs w:val="0"/>
          <w:color w:val="000000"/>
          <w:sz w:val="32"/>
          <w:szCs w:val="32"/>
          <w:lang w:eastAsia="zh-CN"/>
        </w:rPr>
        <w:t>依托</w:t>
      </w:r>
      <w:r>
        <w:rPr>
          <w:rFonts w:hint="eastAsia" w:ascii="方正仿宋_GBK" w:hAnsi="方正仿宋_GBK" w:eastAsia="方正仿宋_GBK" w:cs="方正仿宋_GBK"/>
          <w:b w:val="0"/>
          <w:bCs/>
          <w:sz w:val="32"/>
          <w:szCs w:val="32"/>
          <w:lang w:val="en-US" w:eastAsia="zh-CN"/>
        </w:rPr>
        <w:t>基层农技推广体系改革与建设补助项目，全面实施农技推广服务特聘计划，提供产业扶贫亟需的精准指导和咨询服务；支持农业科研院校开展农技推广工作，加快科技成果转化落地；每年遴选</w:t>
      </w:r>
      <w:r>
        <w:rPr>
          <w:rFonts w:hint="default" w:ascii="Times New Roman" w:hAnsi="Times New Roman" w:eastAsia="方正仿宋_GBK" w:cs="Times New Roman"/>
          <w:b w:val="0"/>
          <w:bCs/>
          <w:sz w:val="32"/>
          <w:szCs w:val="32"/>
          <w:lang w:val="en-US" w:eastAsia="zh-CN"/>
        </w:rPr>
        <w:t>5</w:t>
      </w:r>
      <w:r>
        <w:rPr>
          <w:rFonts w:hint="default" w:ascii="Arial" w:hAnsi="Arial" w:eastAsia="方正仿宋_GBK" w:cs="Arial"/>
          <w:b w:val="0"/>
          <w:bCs/>
          <w:sz w:val="32"/>
          <w:szCs w:val="32"/>
          <w:lang w:val="en-US" w:eastAsia="zh-CN"/>
        </w:rPr>
        <w:t>－</w:t>
      </w:r>
      <w:r>
        <w:rPr>
          <w:rFonts w:hint="default" w:ascii="Times New Roman" w:hAnsi="Times New Roman" w:eastAsia="方正仿宋_GBK" w:cs="Times New Roman"/>
          <w:b w:val="0"/>
          <w:bCs/>
          <w:sz w:val="32"/>
          <w:szCs w:val="32"/>
          <w:lang w:val="en-US" w:eastAsia="zh-CN"/>
        </w:rPr>
        <w:t>10</w:t>
      </w:r>
      <w:r>
        <w:rPr>
          <w:rFonts w:hint="eastAsia" w:ascii="方正仿宋_GBK" w:hAnsi="方正仿宋_GBK" w:eastAsia="方正仿宋_GBK" w:cs="方正仿宋_GBK"/>
          <w:b w:val="0"/>
          <w:bCs/>
          <w:sz w:val="32"/>
          <w:szCs w:val="32"/>
          <w:lang w:val="en-US" w:eastAsia="zh-CN"/>
        </w:rPr>
        <w:t>个生产规模较大、辐射带动面广的农民专业合作社、龙头企业、种养大户、乡土专家等新型农业经营主体作为农业科技示范主体；</w:t>
      </w:r>
      <w:r>
        <w:rPr>
          <w:rFonts w:hint="default" w:ascii="Times New Roman" w:hAnsi="Times New Roman" w:eastAsia="方正仿宋_GBK" w:cs="Times New Roman"/>
          <w:color w:val="000000"/>
          <w:sz w:val="32"/>
          <w:szCs w:val="32"/>
        </w:rPr>
        <w:t>组建由首席专家和学科带头人组成的市</w:t>
      </w:r>
      <w:r>
        <w:rPr>
          <w:rFonts w:hint="eastAsia" w:ascii="Times New Roman" w:hAnsi="Times New Roman" w:eastAsia="方正仿宋_GBK" w:cs="Times New Roman"/>
          <w:color w:val="000000"/>
          <w:sz w:val="32"/>
          <w:szCs w:val="32"/>
          <w:lang w:eastAsia="zh-CN"/>
        </w:rPr>
        <w:t>级</w:t>
      </w:r>
      <w:r>
        <w:rPr>
          <w:rFonts w:hint="default" w:ascii="Times New Roman" w:hAnsi="Times New Roman" w:eastAsia="方正仿宋_GBK" w:cs="Times New Roman"/>
          <w:color w:val="000000"/>
          <w:sz w:val="32"/>
          <w:szCs w:val="32"/>
        </w:rPr>
        <w:t>蔬菜专家顾问团，为政府决策提供服务，协助制</w:t>
      </w:r>
      <w:r>
        <w:rPr>
          <w:rFonts w:hint="eastAsia" w:ascii="Times New Roman" w:hAnsi="Times New Roman" w:eastAsia="方正仿宋_GBK" w:cs="Times New Roman"/>
          <w:color w:val="000000"/>
          <w:sz w:val="32"/>
          <w:szCs w:val="32"/>
          <w:lang w:eastAsia="zh-CN"/>
        </w:rPr>
        <w:t>定</w:t>
      </w:r>
      <w:r>
        <w:rPr>
          <w:rFonts w:hint="default" w:ascii="Times New Roman" w:hAnsi="Times New Roman" w:eastAsia="方正仿宋_GBK" w:cs="Times New Roman"/>
          <w:color w:val="000000"/>
          <w:sz w:val="32"/>
          <w:szCs w:val="32"/>
        </w:rPr>
        <w:t>产业发展政策，组织开展各种学术交流。加强与科研院所、大专院校的技术合作，建立</w:t>
      </w:r>
      <w:r>
        <w:rPr>
          <w:rFonts w:hint="eastAsia" w:ascii="Times New Roman" w:hAnsi="Times New Roman" w:eastAsia="方正仿宋_GBK" w:cs="Times New Roman"/>
          <w:color w:val="000000"/>
          <w:sz w:val="32"/>
          <w:szCs w:val="32"/>
          <w:lang w:eastAsia="zh-CN"/>
        </w:rPr>
        <w:t>产学研</w:t>
      </w:r>
      <w:r>
        <w:rPr>
          <w:rFonts w:hint="default" w:ascii="Times New Roman" w:hAnsi="Times New Roman" w:eastAsia="方正仿宋_GBK" w:cs="Times New Roman"/>
          <w:color w:val="000000"/>
          <w:sz w:val="32"/>
          <w:szCs w:val="32"/>
        </w:rPr>
        <w:t>联系机制，共同研究解决技术难题。</w:t>
      </w:r>
    </w:p>
    <w:p>
      <w:pPr>
        <w:keepNext w:val="0"/>
        <w:keepLines w:val="0"/>
        <w:pageBreakBefore w:val="0"/>
        <w:widowControl w:val="0"/>
        <w:kinsoku/>
        <w:wordWrap/>
        <w:overflowPunct/>
        <w:topLinePunct w:val="0"/>
        <w:bidi w:val="0"/>
        <w:ind w:left="0" w:leftChars="0"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楷体_GBK" w:hAnsi="方正楷体_GBK" w:eastAsia="方正楷体_GBK" w:cs="方正楷体_GBK"/>
          <w:b w:val="0"/>
          <w:bCs w:val="0"/>
          <w:color w:val="000000"/>
          <w:sz w:val="32"/>
          <w:szCs w:val="32"/>
          <w:lang w:eastAsia="zh-CN"/>
        </w:rPr>
        <w:t>（二）</w:t>
      </w:r>
      <w:r>
        <w:rPr>
          <w:rFonts w:hint="eastAsia" w:ascii="方正楷体_GBK" w:hAnsi="方正楷体_GBK" w:eastAsia="方正楷体_GBK" w:cs="方正楷体_GBK"/>
          <w:b w:val="0"/>
          <w:bCs w:val="0"/>
          <w:color w:val="000000"/>
          <w:sz w:val="32"/>
          <w:szCs w:val="32"/>
        </w:rPr>
        <w:t>创新蔬菜技术研究。</w:t>
      </w:r>
      <w:r>
        <w:rPr>
          <w:rFonts w:hint="eastAsia" w:ascii="Times New Roman" w:hAnsi="Times New Roman" w:eastAsia="方正仿宋_GBK" w:cs="Times New Roman"/>
          <w:b w:val="0"/>
          <w:bCs w:val="0"/>
          <w:color w:val="000000"/>
          <w:sz w:val="32"/>
          <w:szCs w:val="32"/>
          <w:lang w:eastAsia="zh-CN"/>
        </w:rPr>
        <w:t>在</w:t>
      </w:r>
      <w:r>
        <w:rPr>
          <w:rFonts w:hint="eastAsia" w:ascii="方正仿宋_GBK" w:hAnsi="方正仿宋_GBK" w:eastAsia="方正仿宋_GBK" w:cs="方正仿宋_GBK"/>
          <w:b w:val="0"/>
          <w:bCs/>
          <w:sz w:val="32"/>
          <w:szCs w:val="32"/>
          <w:lang w:val="en-US" w:eastAsia="zh-CN"/>
        </w:rPr>
        <w:t>红塔区研和街道新建玉溪市高原特色现代农业科技创新试验示范基地，租用土地</w:t>
      </w:r>
      <w:r>
        <w:rPr>
          <w:rFonts w:hint="default" w:ascii="Times New Roman" w:hAnsi="Times New Roman" w:eastAsia="方正仿宋_GBK" w:cs="Times New Roman"/>
          <w:b w:val="0"/>
          <w:bCs/>
          <w:sz w:val="32"/>
          <w:szCs w:val="32"/>
          <w:lang w:val="en-US" w:eastAsia="zh-CN"/>
        </w:rPr>
        <w:t>200</w:t>
      </w:r>
      <w:r>
        <w:rPr>
          <w:rFonts w:hint="eastAsia" w:ascii="方正仿宋_GBK" w:hAnsi="方正仿宋_GBK" w:eastAsia="方正仿宋_GBK" w:cs="方正仿宋_GBK"/>
          <w:b w:val="0"/>
          <w:bCs/>
          <w:sz w:val="32"/>
          <w:szCs w:val="32"/>
          <w:lang w:val="en-US" w:eastAsia="zh-CN"/>
        </w:rPr>
        <w:t>亩，完成水、电、路等改造，建设高标准科研用田；新建农业科创孵化平台，购置一批植物生理生化检测设备，打造与农业现代化发展相匹配的科研平台，提升与省内外高等院校开展科研合作的能力。开展新品种、新技术的创新研发，为玉溪农业现代化的发展起到引领、支撑和服务的作用。</w:t>
      </w:r>
    </w:p>
    <w:p>
      <w:pPr>
        <w:keepNext w:val="0"/>
        <w:keepLines w:val="0"/>
        <w:pageBreakBefore w:val="0"/>
        <w:widowControl w:val="0"/>
        <w:kinsoku/>
        <w:wordWrap/>
        <w:overflowPunct/>
        <w:topLinePunct w:val="0"/>
        <w:bidi w:val="0"/>
        <w:ind w:left="0" w:leftChars="0" w:firstLine="640" w:firstLineChars="200"/>
        <w:textAlignment w:val="auto"/>
        <w:rPr>
          <w:rFonts w:hint="default" w:ascii="Times New Roman" w:hAnsi="Times New Roman" w:eastAsia="方正仿宋_GBK" w:cs="Times New Roman"/>
          <w:b w:val="0"/>
          <w:bCs/>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（三）</w:t>
      </w:r>
      <w:r>
        <w:rPr>
          <w:rFonts w:hint="eastAsia" w:ascii="方正楷体_GBK" w:hAnsi="方正楷体_GBK" w:eastAsia="方正楷体_GBK" w:cs="方正楷体_GBK"/>
          <w:b w:val="0"/>
          <w:bCs w:val="0"/>
          <w:color w:val="000000"/>
          <w:sz w:val="32"/>
          <w:szCs w:val="32"/>
        </w:rPr>
        <w:t>创新蔬菜科技培训。</w:t>
      </w:r>
      <w:r>
        <w:rPr>
          <w:rFonts w:hint="eastAsia" w:ascii="方正仿宋_GBK" w:hAnsi="方正仿宋_GBK" w:eastAsia="方正仿宋_GBK" w:cs="方正仿宋_GBK"/>
          <w:b w:val="0"/>
          <w:bCs/>
          <w:sz w:val="32"/>
          <w:szCs w:val="32"/>
          <w:lang w:val="en-US" w:eastAsia="zh-CN"/>
        </w:rPr>
        <w:t>在</w:t>
      </w:r>
      <w:r>
        <w:rPr>
          <w:rFonts w:hint="default" w:ascii="Times New Roman" w:hAnsi="Times New Roman" w:eastAsia="方正仿宋_GBK" w:cs="Times New Roman"/>
          <w:b w:val="0"/>
          <w:bCs/>
          <w:sz w:val="32"/>
          <w:szCs w:val="32"/>
          <w:lang w:val="en-US" w:eastAsia="zh-CN"/>
        </w:rPr>
        <w:t>9</w:t>
      </w:r>
      <w:r>
        <w:rPr>
          <w:rFonts w:hint="eastAsia" w:ascii="方正仿宋_GBK" w:hAnsi="方正仿宋_GBK" w:eastAsia="方正仿宋_GBK" w:cs="方正仿宋_GBK"/>
          <w:b w:val="0"/>
          <w:bCs/>
          <w:sz w:val="32"/>
          <w:szCs w:val="32"/>
          <w:lang w:val="en-US" w:eastAsia="zh-CN"/>
        </w:rPr>
        <w:t>县（市</w:t>
      </w:r>
      <w:r>
        <w:rPr>
          <w:rFonts w:hint="default" w:ascii="方正仿宋_GBK" w:hAnsi="方正仿宋_GBK" w:cs="方正仿宋_GBK"/>
          <w:b w:val="0"/>
          <w:bCs/>
          <w:sz w:val="32"/>
          <w:szCs w:val="32"/>
          <w:lang w:eastAsia="zh-CN"/>
        </w:rPr>
        <w:t>、</w:t>
      </w:r>
      <w:r>
        <w:rPr>
          <w:rFonts w:hint="eastAsia" w:ascii="方正仿宋_GBK" w:hAnsi="方正仿宋_GBK" w:eastAsia="方正仿宋_GBK" w:cs="方正仿宋_GBK"/>
          <w:b w:val="0"/>
          <w:bCs/>
          <w:sz w:val="32"/>
          <w:szCs w:val="32"/>
          <w:lang w:val="en-US" w:eastAsia="zh-CN"/>
        </w:rPr>
        <w:t>区），以中央、省、市财政项目为支撑，按照“政府主导、农民自愿、产业导向、分类指导”的原则，以种养大户、家庭农场的主要成员，以及农民专业合作组织、农业庄园、龙头企业、基层农业社会化服务机构的业务骨干为重点对象，按照生产经营型、专业技能型、专业服务三种类型，着力培育一支有文化、懂技术、善经营、会管理，门类齐全、结构合理、素质优良的新型职业农民队伍。</w:t>
      </w:r>
      <w:r>
        <w:rPr>
          <w:rFonts w:hint="default" w:ascii="Times New Roman" w:hAnsi="Times New Roman" w:eastAsia="方正仿宋_GBK" w:cs="Times New Roman"/>
          <w:b w:val="0"/>
          <w:bCs/>
          <w:sz w:val="32"/>
          <w:szCs w:val="32"/>
          <w:lang w:val="en-US" w:eastAsia="zh-CN"/>
        </w:rPr>
        <w:t>2021年</w:t>
      </w:r>
      <w:r>
        <w:rPr>
          <w:rFonts w:hint="default" w:ascii="Arial" w:hAnsi="Arial" w:eastAsia="方正仿宋_GBK" w:cs="Arial"/>
          <w:b w:val="0"/>
          <w:bCs/>
          <w:sz w:val="32"/>
          <w:szCs w:val="32"/>
          <w:lang w:val="en-US" w:eastAsia="zh-CN"/>
        </w:rPr>
        <w:t>－</w:t>
      </w:r>
      <w:r>
        <w:rPr>
          <w:rFonts w:hint="default" w:ascii="Times New Roman" w:hAnsi="Times New Roman" w:eastAsia="方正仿宋_GBK" w:cs="Times New Roman"/>
          <w:b w:val="0"/>
          <w:bCs/>
          <w:sz w:val="32"/>
          <w:szCs w:val="32"/>
          <w:lang w:val="en-US" w:eastAsia="zh-CN"/>
        </w:rPr>
        <w:t>2025年计划培育生产经营型、专业技能型和专业服务</w:t>
      </w:r>
      <w:r>
        <w:rPr>
          <w:rFonts w:hint="eastAsia" w:ascii="Times New Roman" w:hAnsi="Times New Roman" w:eastAsia="方正仿宋_GBK" w:cs="Times New Roman"/>
          <w:b w:val="0"/>
          <w:bCs/>
          <w:sz w:val="32"/>
          <w:szCs w:val="32"/>
          <w:lang w:val="en-US" w:eastAsia="zh-CN"/>
        </w:rPr>
        <w:t>高素质农民</w:t>
      </w:r>
      <w:r>
        <w:rPr>
          <w:rFonts w:hint="default" w:ascii="Times New Roman" w:hAnsi="Times New Roman" w:eastAsia="方正仿宋_GBK" w:cs="Times New Roman"/>
          <w:b w:val="0"/>
          <w:bCs/>
          <w:sz w:val="32"/>
          <w:szCs w:val="32"/>
          <w:lang w:val="en-US" w:eastAsia="zh-CN"/>
        </w:rPr>
        <w:t>总计20000人。</w:t>
      </w:r>
    </w:p>
    <w:p>
      <w:pPr>
        <w:keepNext w:val="0"/>
        <w:keepLines w:val="0"/>
        <w:pageBreakBefore w:val="0"/>
        <w:widowControl w:val="0"/>
        <w:kinsoku/>
        <w:wordWrap/>
        <w:overflowPunct/>
        <w:topLinePunct w:val="0"/>
        <w:bidi w:val="0"/>
        <w:ind w:left="0" w:leftChars="0" w:firstLine="640" w:firstLineChars="200"/>
        <w:textAlignment w:val="auto"/>
        <w:outlineLvl w:val="1"/>
        <w:rPr>
          <w:rFonts w:hint="eastAsia" w:ascii="方正黑体_GBK" w:hAnsi="方正黑体_GBK" w:eastAsia="方正黑体_GBK" w:cs="方正黑体_GBK"/>
          <w:b w:val="0"/>
          <w:bCs/>
          <w:sz w:val="32"/>
          <w:szCs w:val="32"/>
          <w:lang w:val="en-US" w:eastAsia="zh-CN"/>
        </w:rPr>
      </w:pPr>
      <w:bookmarkStart w:id="22" w:name="_Toc6467"/>
      <w:r>
        <w:rPr>
          <w:rFonts w:hint="eastAsia" w:ascii="方正黑体_GBK" w:hAnsi="方正黑体_GBK" w:eastAsia="方正黑体_GBK" w:cs="方正黑体_GBK"/>
          <w:b w:val="0"/>
          <w:bCs/>
          <w:sz w:val="32"/>
          <w:szCs w:val="32"/>
          <w:lang w:val="en-US" w:eastAsia="zh-CN"/>
        </w:rPr>
        <w:t>五、田园综合体建设工程</w:t>
      </w:r>
      <w:bookmarkEnd w:id="22"/>
    </w:p>
    <w:p>
      <w:pPr>
        <w:keepNext w:val="0"/>
        <w:keepLines w:val="0"/>
        <w:pageBreakBefore w:val="0"/>
        <w:widowControl w:val="0"/>
        <w:kinsoku/>
        <w:wordWrap/>
        <w:overflowPunct/>
        <w:topLinePunct w:val="0"/>
        <w:bidi w:val="0"/>
        <w:ind w:left="0" w:leftChars="0"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在易门县龙泉街道，峨山县小街街道、双江、岔河、化念，新平县戛洒镇建设田园综合体，利用区位和资源特色，种植水生植物荷藕、茭瓜、茨菇、水稻，养殖水生动物鱼、蟹、虾、泥鳅、鳝鱼，配套水、电、路工程设施建设，建成五彩花田、金色田野、亲水栈道、生态菜园、垂钓乐园、滇中村落民俗体验、手工艺制作坊、乡村儿童乐园、农事博物馆、山地自行车道、越野车道、露营地等，形成城郊创意休闲农业田园综合体。</w:t>
      </w:r>
    </w:p>
    <w:p>
      <w:pPr>
        <w:keepNext w:val="0"/>
        <w:keepLines w:val="0"/>
        <w:pageBreakBefore w:val="0"/>
        <w:widowControl w:val="0"/>
        <w:kinsoku/>
        <w:wordWrap/>
        <w:overflowPunct/>
        <w:topLinePunct w:val="0"/>
        <w:bidi w:val="0"/>
        <w:ind w:left="0" w:leftChars="0" w:firstLine="640" w:firstLineChars="200"/>
        <w:textAlignment w:val="auto"/>
        <w:outlineLvl w:val="1"/>
        <w:rPr>
          <w:rFonts w:hint="eastAsia" w:ascii="方正黑体_GBK" w:hAnsi="方正黑体_GBK" w:eastAsia="方正黑体_GBK" w:cs="方正黑体_GBK"/>
          <w:b w:val="0"/>
          <w:bCs/>
          <w:sz w:val="32"/>
          <w:szCs w:val="32"/>
          <w:lang w:val="en-US" w:eastAsia="zh-CN"/>
        </w:rPr>
      </w:pPr>
      <w:bookmarkStart w:id="23" w:name="_Toc32142"/>
      <w:r>
        <w:rPr>
          <w:rFonts w:hint="eastAsia" w:ascii="方正黑体_GBK" w:hAnsi="方正黑体_GBK" w:eastAsia="方正黑体_GBK" w:cs="方正黑体_GBK"/>
          <w:b w:val="0"/>
          <w:bCs/>
          <w:sz w:val="32"/>
          <w:szCs w:val="32"/>
          <w:lang w:val="en-US" w:eastAsia="zh-CN"/>
        </w:rPr>
        <w:t>六、乡村振兴示范建设工程</w:t>
      </w:r>
      <w:bookmarkEnd w:id="23"/>
    </w:p>
    <w:p>
      <w:pPr>
        <w:keepNext w:val="0"/>
        <w:keepLines w:val="0"/>
        <w:pageBreakBefore w:val="0"/>
        <w:widowControl w:val="0"/>
        <w:kinsoku/>
        <w:wordWrap/>
        <w:overflowPunct/>
        <w:topLinePunct w:val="0"/>
        <w:bidi w:val="0"/>
        <w:ind w:left="0" w:leftChars="0"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（一）</w:t>
      </w:r>
      <w:r>
        <w:rPr>
          <w:rFonts w:hint="eastAsia" w:ascii="方正仿宋_GBK" w:hAnsi="方正仿宋_GBK" w:eastAsia="方正仿宋_GBK" w:cs="方正仿宋_GBK"/>
          <w:b w:val="0"/>
          <w:bCs/>
          <w:sz w:val="32"/>
          <w:szCs w:val="32"/>
          <w:lang w:val="en-US" w:eastAsia="zh-CN"/>
        </w:rPr>
        <w:t>“</w:t>
      </w:r>
      <w:r>
        <w:rPr>
          <w:rFonts w:hint="eastAsia" w:ascii="方正楷体_GBK" w:hAnsi="方正楷体_GBK" w:eastAsia="方正楷体_GBK" w:cs="方正楷体_GBK"/>
          <w:b w:val="0"/>
          <w:bCs/>
          <w:sz w:val="32"/>
          <w:szCs w:val="32"/>
          <w:lang w:val="en-US" w:eastAsia="zh-CN"/>
        </w:rPr>
        <w:t>一村一品</w:t>
      </w:r>
      <w:r>
        <w:rPr>
          <w:rFonts w:hint="eastAsia" w:ascii="方正仿宋_GBK" w:hAnsi="方正仿宋_GBK" w:eastAsia="方正仿宋_GBK" w:cs="方正仿宋_GBK"/>
          <w:b w:val="0"/>
          <w:bCs/>
          <w:sz w:val="32"/>
          <w:szCs w:val="32"/>
          <w:lang w:val="en-US" w:eastAsia="zh-CN"/>
        </w:rPr>
        <w:t>”</w:t>
      </w:r>
      <w:r>
        <w:rPr>
          <w:rFonts w:hint="eastAsia" w:ascii="方正楷体_GBK" w:hAnsi="方正楷体_GBK" w:eastAsia="方正楷体_GBK" w:cs="方正楷体_GBK"/>
          <w:b w:val="0"/>
          <w:bCs/>
          <w:sz w:val="32"/>
          <w:szCs w:val="32"/>
          <w:lang w:val="en-US" w:eastAsia="zh-CN"/>
        </w:rPr>
        <w:t>示范村镇建设。</w:t>
      </w:r>
      <w:r>
        <w:rPr>
          <w:rFonts w:hint="eastAsia" w:ascii="方正仿宋_GBK" w:hAnsi="方正仿宋_GBK" w:eastAsia="方正仿宋_GBK" w:cs="方正仿宋_GBK"/>
          <w:b w:val="0"/>
          <w:bCs/>
          <w:sz w:val="32"/>
          <w:szCs w:val="32"/>
          <w:lang w:val="en-US" w:eastAsia="zh-CN"/>
        </w:rPr>
        <w:t>打造一批主导产业突出，品牌优势明显，农民增收效果显著,农村经济发展迅速的专业村镇。每年评选创建“一村一品”示范村</w:t>
      </w:r>
      <w:r>
        <w:rPr>
          <w:rFonts w:hint="default" w:ascii="Times New Roman" w:hAnsi="Times New Roman" w:eastAsia="方正仿宋_GBK" w:cs="Times New Roman"/>
          <w:b w:val="0"/>
          <w:bCs/>
          <w:sz w:val="32"/>
          <w:szCs w:val="32"/>
          <w:lang w:val="en-US" w:eastAsia="zh-CN"/>
        </w:rPr>
        <w:t>15个、示范乡镇5个</w:t>
      </w:r>
      <w:r>
        <w:rPr>
          <w:rFonts w:hint="eastAsia" w:ascii="方正仿宋_GBK" w:hAnsi="方正仿宋_GBK" w:eastAsia="方正仿宋_GBK" w:cs="方正仿宋_GBK"/>
          <w:b w:val="0"/>
          <w:bCs/>
          <w:sz w:val="32"/>
          <w:szCs w:val="32"/>
          <w:lang w:val="en-US" w:eastAsia="zh-CN"/>
        </w:rPr>
        <w:t>。</w:t>
      </w:r>
    </w:p>
    <w:p>
      <w:pPr>
        <w:keepNext w:val="0"/>
        <w:keepLines w:val="0"/>
        <w:pageBreakBefore w:val="0"/>
        <w:widowControl w:val="0"/>
        <w:kinsoku/>
        <w:wordWrap/>
        <w:overflowPunct/>
        <w:topLinePunct w:val="0"/>
        <w:bidi w:val="0"/>
        <w:ind w:left="0" w:leftChars="0"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楷体_GBK" w:hAnsi="方正楷体_GBK" w:eastAsia="方正楷体_GBK" w:cs="方正楷体_GBK"/>
          <w:b w:val="0"/>
          <w:bCs/>
          <w:sz w:val="32"/>
          <w:szCs w:val="32"/>
          <w:lang w:val="en-US" w:eastAsia="zh-CN"/>
        </w:rPr>
        <w:t>（二）乡村振兴示范园建设。</w:t>
      </w:r>
      <w:r>
        <w:rPr>
          <w:rFonts w:hint="eastAsia" w:ascii="方正仿宋_GBK" w:hAnsi="方正仿宋_GBK" w:eastAsia="方正仿宋_GBK" w:cs="方正仿宋_GBK"/>
          <w:b w:val="0"/>
          <w:bCs/>
          <w:sz w:val="32"/>
          <w:szCs w:val="32"/>
          <w:lang w:val="en-US" w:eastAsia="zh-CN"/>
        </w:rPr>
        <w:t>在大营街街道建设乡村振兴示范园，引植花卉、蔬菜、水果，建设花卉自动温控大棚、田间游憩步道、休闲聚集区、游客接待中心及会议中心、室内外花卉参观交易中心、农事体验中心、垂钓休闲娱乐中心、“特色中国玉溪馆”电子商务营销系统建设。</w:t>
      </w:r>
    </w:p>
    <w:p>
      <w:pPr>
        <w:keepNext w:val="0"/>
        <w:keepLines w:val="0"/>
        <w:pageBreakBefore w:val="0"/>
        <w:widowControl w:val="0"/>
        <w:kinsoku/>
        <w:wordWrap/>
        <w:overflowPunct/>
        <w:topLinePunct w:val="0"/>
        <w:bidi w:val="0"/>
        <w:ind w:left="0" w:leftChars="0" w:firstLine="640" w:firstLineChars="200"/>
        <w:textAlignment w:val="auto"/>
        <w:rPr>
          <w:rFonts w:hint="default" w:ascii="方正仿宋_GBK" w:hAnsi="方正仿宋_GBK" w:eastAsia="方正仿宋_GBK" w:cs="方正仿宋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（三）农业产业强镇建设。</w:t>
      </w:r>
      <w:r>
        <w:rPr>
          <w:rFonts w:hint="eastAsia" w:ascii="方正仿宋_GBK" w:hAnsi="方正仿宋_GBK" w:eastAsia="方正仿宋_GBK" w:cs="方正仿宋_GBK"/>
          <w:b w:val="0"/>
          <w:bCs/>
          <w:sz w:val="32"/>
          <w:szCs w:val="32"/>
          <w:lang w:val="en-US" w:eastAsia="zh-CN"/>
        </w:rPr>
        <w:t>在</w:t>
      </w:r>
      <w:r>
        <w:rPr>
          <w:rFonts w:hint="default" w:ascii="方正仿宋_GBK" w:hAnsi="方正仿宋_GBK" w:eastAsia="方正仿宋_GBK" w:cs="方正仿宋_GBK"/>
          <w:b w:val="0"/>
          <w:bCs/>
          <w:sz w:val="32"/>
          <w:szCs w:val="32"/>
          <w:lang w:val="en-US" w:eastAsia="zh-CN"/>
        </w:rPr>
        <w:t>江川区以主导产业发展牢固、联农带农紧密、一二三产业融合发展为重点发展方向，打造九溪镇雄关乡蔬菜加工产业，培育扶持一批龙头企业，完善配套基础设施建设。</w:t>
      </w:r>
    </w:p>
    <w:p>
      <w:pPr>
        <w:keepNext w:val="0"/>
        <w:keepLines w:val="0"/>
        <w:pageBreakBefore w:val="0"/>
        <w:widowControl w:val="0"/>
        <w:kinsoku/>
        <w:wordWrap/>
        <w:overflowPunct/>
        <w:topLinePunct w:val="0"/>
        <w:bidi w:val="0"/>
        <w:ind w:left="0" w:leftChars="0" w:firstLine="640" w:firstLineChars="200"/>
        <w:textAlignment w:val="auto"/>
        <w:outlineLvl w:val="1"/>
        <w:rPr>
          <w:rFonts w:hint="eastAsia" w:ascii="方正黑体_GBK" w:hAnsi="方正黑体_GBK" w:eastAsia="方正黑体_GBK" w:cs="方正黑体_GBK"/>
          <w:b w:val="0"/>
          <w:bCs/>
          <w:sz w:val="32"/>
          <w:szCs w:val="32"/>
          <w:lang w:val="en-US" w:eastAsia="zh-CN"/>
        </w:rPr>
      </w:pPr>
      <w:bookmarkStart w:id="24" w:name="_Toc17414"/>
      <w:r>
        <w:rPr>
          <w:rFonts w:hint="eastAsia" w:ascii="方正黑体_GBK" w:hAnsi="方正黑体_GBK" w:eastAsia="方正黑体_GBK" w:cs="方正黑体_GBK"/>
          <w:b w:val="0"/>
          <w:bCs/>
          <w:sz w:val="32"/>
          <w:szCs w:val="32"/>
          <w:lang w:val="en-US" w:eastAsia="zh-CN"/>
        </w:rPr>
        <w:t>七、智慧农业和数字乡村建设工程</w:t>
      </w:r>
      <w:bookmarkEnd w:id="24"/>
    </w:p>
    <w:p>
      <w:pPr>
        <w:keepNext w:val="0"/>
        <w:keepLines w:val="0"/>
        <w:pageBreakBefore w:val="0"/>
        <w:widowControl w:val="0"/>
        <w:kinsoku/>
        <w:wordWrap/>
        <w:overflowPunct/>
        <w:topLinePunct w:val="0"/>
        <w:bidi w:val="0"/>
        <w:ind w:left="0" w:leftChars="0" w:firstLine="640" w:firstLineChars="200"/>
        <w:textAlignment w:val="auto"/>
        <w:rPr>
          <w:rFonts w:hint="default"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在全市选取设施化、标准化、规模化、生产基础好的</w:t>
      </w:r>
      <w:r>
        <w:rPr>
          <w:rFonts w:hint="default" w:ascii="Times New Roman" w:hAnsi="Times New Roman" w:eastAsia="方正仿宋_GBK" w:cs="Times New Roman"/>
          <w:b w:val="0"/>
          <w:bCs/>
          <w:sz w:val="32"/>
          <w:szCs w:val="32"/>
          <w:lang w:val="en-US" w:eastAsia="zh-CN"/>
        </w:rPr>
        <w:t>25个农业基地，开展智慧农业和数字农业示范建设，推动互联网、大数据、云计算、物联网和人工智能在农业中的应用，带动农业产业实现大幅跃升；在通海示范建设通通收菜农村互联网购销服务云平台</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2022年覆盖全市所有乡镇村组预计30万农户，2025</w:t>
      </w:r>
      <w:r>
        <w:rPr>
          <w:rFonts w:hint="eastAsia" w:ascii="方正仿宋_GBK" w:hAnsi="方正仿宋_GBK" w:eastAsia="方正仿宋_GBK" w:cs="方正仿宋_GBK"/>
          <w:b w:val="0"/>
          <w:bCs/>
          <w:sz w:val="32"/>
          <w:szCs w:val="32"/>
          <w:lang w:val="en-US" w:eastAsia="zh-CN"/>
        </w:rPr>
        <w:t>年覆盖全省农村并向省外农村拓展。</w:t>
      </w:r>
    </w:p>
    <w:p>
      <w:pPr>
        <w:keepNext w:val="0"/>
        <w:keepLines w:val="0"/>
        <w:pageBreakBefore w:val="0"/>
        <w:widowControl w:val="0"/>
        <w:kinsoku/>
        <w:wordWrap/>
        <w:overflowPunct/>
        <w:topLinePunct w:val="0"/>
        <w:bidi w:val="0"/>
        <w:snapToGrid/>
        <w:spacing w:line="590" w:lineRule="exact"/>
        <w:ind w:firstLine="640" w:firstLineChars="200"/>
        <w:textAlignment w:val="auto"/>
        <w:outlineLvl w:val="1"/>
        <w:rPr>
          <w:rFonts w:hint="eastAsia" w:ascii="方正黑体_GBK" w:hAnsi="方正黑体_GBK" w:eastAsia="方正黑体_GBK" w:cs="方正黑体_GBK"/>
          <w:b w:val="0"/>
          <w:bCs/>
          <w:sz w:val="32"/>
          <w:szCs w:val="32"/>
        </w:rPr>
      </w:pPr>
      <w:bookmarkStart w:id="25" w:name="_Toc23041"/>
      <w:r>
        <w:rPr>
          <w:rFonts w:hint="eastAsia" w:ascii="方正黑体_GBK" w:hAnsi="方正黑体_GBK" w:eastAsia="方正黑体_GBK" w:cs="方正黑体_GBK"/>
          <w:b w:val="0"/>
          <w:bCs/>
          <w:sz w:val="32"/>
          <w:szCs w:val="32"/>
          <w:lang w:eastAsia="zh-CN"/>
        </w:rPr>
        <w:t>八、</w:t>
      </w:r>
      <w:r>
        <w:rPr>
          <w:rFonts w:hint="eastAsia" w:ascii="方正黑体_GBK" w:hAnsi="方正黑体_GBK" w:eastAsia="方正黑体_GBK" w:cs="方正黑体_GBK"/>
          <w:b w:val="0"/>
          <w:bCs/>
          <w:sz w:val="32"/>
          <w:szCs w:val="32"/>
        </w:rPr>
        <w:t>质量安全建设工程</w:t>
      </w:r>
      <w:bookmarkEnd w:id="25"/>
    </w:p>
    <w:p>
      <w:pPr>
        <w:keepNext w:val="0"/>
        <w:keepLines w:val="0"/>
        <w:pageBreakBefore w:val="0"/>
        <w:widowControl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lang w:val="en-US" w:eastAsia="zh-CN"/>
        </w:rPr>
        <w:t>（一）</w:t>
      </w:r>
      <w:r>
        <w:rPr>
          <w:rFonts w:hint="eastAsia" w:ascii="方正楷体_GBK" w:hAnsi="方正楷体_GBK" w:eastAsia="方正楷体_GBK" w:cs="方正楷体_GBK"/>
          <w:b w:val="0"/>
          <w:bCs w:val="0"/>
          <w:color w:val="000000"/>
          <w:sz w:val="32"/>
          <w:szCs w:val="32"/>
        </w:rPr>
        <w:t>着力推行标准化生产。</w:t>
      </w:r>
      <w:r>
        <w:rPr>
          <w:rFonts w:hint="eastAsia" w:ascii="方正仿宋_GBK" w:hAnsi="方正仿宋_GBK" w:eastAsia="方正仿宋_GBK" w:cs="方正仿宋_GBK"/>
          <w:b w:val="0"/>
          <w:bCs w:val="0"/>
          <w:color w:val="000000"/>
          <w:sz w:val="32"/>
          <w:szCs w:val="32"/>
          <w:lang w:eastAsia="zh-CN"/>
        </w:rPr>
        <w:t>完成制定</w:t>
      </w:r>
      <w:r>
        <w:rPr>
          <w:rFonts w:hint="default" w:ascii="Times New Roman" w:hAnsi="Times New Roman" w:eastAsia="方正仿宋_GBK" w:cs="Times New Roman"/>
          <w:color w:val="000000"/>
          <w:sz w:val="32"/>
          <w:szCs w:val="32"/>
        </w:rPr>
        <w:t>玉溪市蔬菜无公害</w:t>
      </w:r>
      <w:r>
        <w:rPr>
          <w:rFonts w:hint="default" w:ascii="Times New Roman" w:hAnsi="Times New Roman" w:cs="Times New Roman"/>
          <w:color w:val="000000"/>
          <w:sz w:val="32"/>
          <w:szCs w:val="32"/>
        </w:rPr>
        <w:t>（</w:t>
      </w:r>
      <w:r>
        <w:rPr>
          <w:rFonts w:hint="default" w:ascii="Times New Roman" w:hAnsi="Times New Roman" w:eastAsia="方正仿宋_GBK" w:cs="Times New Roman"/>
          <w:color w:val="000000"/>
          <w:sz w:val="32"/>
          <w:szCs w:val="32"/>
        </w:rPr>
        <w:t>绿色、有机</w:t>
      </w:r>
      <w:r>
        <w:rPr>
          <w:rFonts w:hint="default" w:ascii="Times New Roman" w:hAnsi="Times New Roman" w:cs="Times New Roman"/>
          <w:color w:val="000000"/>
          <w:sz w:val="32"/>
          <w:szCs w:val="32"/>
        </w:rPr>
        <w:t>）</w:t>
      </w:r>
      <w:r>
        <w:rPr>
          <w:rFonts w:hint="default" w:ascii="Times New Roman" w:hAnsi="Times New Roman" w:eastAsia="方正仿宋_GBK" w:cs="Times New Roman"/>
          <w:color w:val="000000"/>
          <w:sz w:val="32"/>
          <w:szCs w:val="32"/>
        </w:rPr>
        <w:t>生产操作规程，严格执行蔬菜质量安全生产标准，推进生产过程标准化，加强蔬菜基地的环境监测和保护，推广应用灯诱、色诱、性诱、防虫网和生物农药等绿色生态防控技术。</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sz w:val="32"/>
          <w:szCs w:val="32"/>
          <w:lang w:val="en-US" w:eastAsia="zh-CN"/>
        </w:rPr>
        <w:t>（二）农产品质量安全示范县创建。</w:t>
      </w:r>
      <w:r>
        <w:rPr>
          <w:rFonts w:hint="eastAsia" w:ascii="Times New Roman" w:hAnsi="Times New Roman" w:eastAsia="方正仿宋_GBK" w:cs="Times New Roman"/>
          <w:color w:val="000000"/>
          <w:sz w:val="32"/>
          <w:szCs w:val="32"/>
          <w:lang w:val="en-US" w:eastAsia="zh-CN"/>
        </w:rPr>
        <w:t>积极争创元江县</w:t>
      </w:r>
      <w:r>
        <w:rPr>
          <w:rFonts w:hint="eastAsia" w:ascii="方正仿宋_GBK" w:hAnsi="方正仿宋_GBK" w:eastAsia="方正仿宋_GBK" w:cs="方正仿宋_GBK"/>
          <w:b w:val="0"/>
          <w:bCs w:val="0"/>
          <w:color w:val="000000"/>
          <w:sz w:val="32"/>
          <w:szCs w:val="32"/>
          <w:lang w:val="en-US" w:eastAsia="zh-CN"/>
        </w:rPr>
        <w:t>农产品质量安全示范县</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实现农业投入品销售、使用全程监管；新建农产品综合检测标准化实验室，配置检测仪器设备，</w:t>
      </w:r>
      <w:r>
        <w:rPr>
          <w:rFonts w:hint="eastAsia" w:ascii="方正仿宋_GBK" w:hAnsi="方正仿宋_GBK" w:eastAsia="方正仿宋_GBK" w:cs="方正仿宋_GBK"/>
          <w:b w:val="0"/>
          <w:bCs w:val="0"/>
          <w:color w:val="000000"/>
          <w:sz w:val="32"/>
          <w:szCs w:val="32"/>
          <w:lang w:eastAsia="zh-CN"/>
        </w:rPr>
        <w:t>开展</w:t>
      </w:r>
      <w:r>
        <w:rPr>
          <w:rFonts w:hint="eastAsia" w:ascii="方正仿宋_GBK" w:hAnsi="方正仿宋_GBK" w:eastAsia="方正仿宋_GBK" w:cs="方正仿宋_GBK"/>
          <w:b w:val="0"/>
          <w:bCs w:val="0"/>
          <w:color w:val="000000"/>
          <w:sz w:val="32"/>
          <w:szCs w:val="32"/>
        </w:rPr>
        <w:t>农产品例行监测、监督抽查定量检测</w:t>
      </w:r>
      <w:r>
        <w:rPr>
          <w:rFonts w:hint="default" w:ascii="Times New Roman" w:hAnsi="Times New Roman" w:eastAsia="方正仿宋_GBK" w:cs="Times New Roman"/>
          <w:b w:val="0"/>
          <w:bCs w:val="0"/>
          <w:color w:val="000000"/>
          <w:sz w:val="32"/>
          <w:szCs w:val="32"/>
        </w:rPr>
        <w:t>。建设15</w:t>
      </w:r>
      <w:r>
        <w:rPr>
          <w:rFonts w:hint="eastAsia" w:ascii="方正仿宋_GBK" w:hAnsi="方正仿宋_GBK" w:eastAsia="方正仿宋_GBK" w:cs="方正仿宋_GBK"/>
          <w:b w:val="0"/>
          <w:bCs w:val="0"/>
          <w:color w:val="000000"/>
          <w:sz w:val="32"/>
          <w:szCs w:val="32"/>
        </w:rPr>
        <w:t>家特色农产品质量安全示范基地，以点带面，实现农产品质量安全全程可追溯。</w:t>
      </w:r>
    </w:p>
    <w:p>
      <w:pPr>
        <w:keepNext w:val="0"/>
        <w:keepLines w:val="0"/>
        <w:pageBreakBefore w:val="0"/>
        <w:widowControl w:val="0"/>
        <w:kinsoku/>
        <w:wordWrap/>
        <w:overflowPunct/>
        <w:topLinePunct w:val="0"/>
        <w:bidi w:val="0"/>
        <w:snapToGrid/>
        <w:spacing w:line="590" w:lineRule="exact"/>
        <w:ind w:firstLine="640" w:firstLineChars="200"/>
        <w:textAlignment w:val="auto"/>
        <w:outlineLvl w:val="1"/>
        <w:rPr>
          <w:rFonts w:hint="eastAsia" w:ascii="方正黑体_GBK" w:hAnsi="方正黑体_GBK" w:eastAsia="方正黑体_GBK" w:cs="方正黑体_GBK"/>
          <w:b w:val="0"/>
          <w:bCs/>
          <w:sz w:val="32"/>
          <w:szCs w:val="32"/>
        </w:rPr>
      </w:pPr>
      <w:bookmarkStart w:id="26" w:name="_Toc20892"/>
      <w:r>
        <w:rPr>
          <w:rFonts w:hint="eastAsia" w:ascii="方正黑体_GBK" w:hAnsi="方正黑体_GBK" w:eastAsia="方正黑体_GBK" w:cs="方正黑体_GBK"/>
          <w:b w:val="0"/>
          <w:bCs/>
          <w:sz w:val="32"/>
          <w:szCs w:val="32"/>
          <w:lang w:val="en-US" w:eastAsia="zh-CN"/>
        </w:rPr>
        <w:t>九、</w:t>
      </w:r>
      <w:r>
        <w:rPr>
          <w:rFonts w:hint="eastAsia" w:ascii="方正黑体_GBK" w:hAnsi="方正黑体_GBK" w:eastAsia="方正黑体_GBK" w:cs="方正黑体_GBK"/>
          <w:b w:val="0"/>
          <w:bCs/>
          <w:sz w:val="32"/>
          <w:szCs w:val="32"/>
        </w:rPr>
        <w:t>精品名牌建设工程</w:t>
      </w:r>
      <w:bookmarkEnd w:id="26"/>
    </w:p>
    <w:p>
      <w:pPr>
        <w:keepNext w:val="0"/>
        <w:keepLines w:val="0"/>
        <w:pageBreakBefore w:val="0"/>
        <w:widowControl w:val="0"/>
        <w:kinsoku/>
        <w:wordWrap/>
        <w:overflowPunct/>
        <w:topLinePunct w:val="0"/>
        <w:bidi w:val="0"/>
        <w:snapToGrid/>
        <w:spacing w:line="59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鼓励龙头企业、农民专业合作组织、生产经营大户等开展无公害蔬菜、绿色蔬菜、有机蔬菜的产地认定和产品认证；在优势产品、特色产品中培育一批公共品牌，发挥公共品牌的凝聚、引领效应，组织开展行业优质品牌评选活动，打造知名品牌；巩固老品牌，壮大小品牌，创造新品牌，建设玉溪蔬菜品牌集群；积极开展产品推介促销活动，提高品牌知名度。推行蔬菜产品质量追溯制度，蔬菜示范基地和标准园生产的蔬菜产品全部建立质量追溯档案。</w:t>
      </w:r>
    </w:p>
    <w:p>
      <w:pPr>
        <w:keepNext w:val="0"/>
        <w:keepLines w:val="0"/>
        <w:pageBreakBefore w:val="0"/>
        <w:widowControl w:val="0"/>
        <w:kinsoku/>
        <w:wordWrap/>
        <w:overflowPunct/>
        <w:topLinePunct w:val="0"/>
        <w:bidi w:val="0"/>
        <w:snapToGrid/>
        <w:spacing w:line="590" w:lineRule="exact"/>
        <w:ind w:firstLine="640" w:firstLineChars="200"/>
        <w:textAlignment w:val="auto"/>
        <w:outlineLvl w:val="1"/>
        <w:rPr>
          <w:rFonts w:hint="default" w:ascii="Times New Roman" w:hAnsi="Times New Roman" w:eastAsia="方正仿宋_GBK" w:cs="Times New Roman"/>
          <w:b/>
          <w:sz w:val="32"/>
          <w:szCs w:val="32"/>
        </w:rPr>
      </w:pPr>
      <w:bookmarkStart w:id="27" w:name="_Toc7449"/>
      <w:r>
        <w:rPr>
          <w:rFonts w:hint="eastAsia" w:ascii="方正黑体_GBK" w:hAnsi="方正黑体_GBK" w:eastAsia="方正黑体_GBK" w:cs="方正黑体_GBK"/>
          <w:b w:val="0"/>
          <w:bCs/>
          <w:sz w:val="32"/>
          <w:szCs w:val="32"/>
          <w:lang w:val="en-US" w:eastAsia="zh-CN"/>
        </w:rPr>
        <w:t>十、</w:t>
      </w:r>
      <w:r>
        <w:rPr>
          <w:rFonts w:hint="eastAsia" w:ascii="方正黑体_GBK" w:hAnsi="方正黑体_GBK" w:eastAsia="方正黑体_GBK" w:cs="方正黑体_GBK"/>
          <w:b w:val="0"/>
          <w:bCs/>
          <w:sz w:val="32"/>
          <w:szCs w:val="32"/>
        </w:rPr>
        <w:t>异地蔬菜生产基地开发工程</w:t>
      </w:r>
      <w:bookmarkEnd w:id="27"/>
    </w:p>
    <w:p>
      <w:pPr>
        <w:keepNext w:val="0"/>
        <w:keepLines w:val="0"/>
        <w:pageBreakBefore w:val="0"/>
        <w:widowControl w:val="0"/>
        <w:kinsoku/>
        <w:wordWrap/>
        <w:overflowPunct/>
        <w:topLinePunct w:val="0"/>
        <w:autoSpaceDE w:val="0"/>
        <w:autoSpaceDN w:val="0"/>
        <w:bidi w:val="0"/>
        <w:adjustRightInd w:val="0"/>
        <w:snapToGrid/>
        <w:spacing w:line="590" w:lineRule="exact"/>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开发异地蔬菜生产基地</w:t>
      </w:r>
      <w:r>
        <w:rPr>
          <w:rFonts w:hint="eastAsia" w:ascii="Times New Roman" w:hAnsi="Times New Roman" w:eastAsia="方正仿宋_GBK" w:cs="Times New Roman"/>
          <w:color w:val="000000"/>
          <w:sz w:val="32"/>
          <w:szCs w:val="32"/>
          <w:lang w:eastAsia="zh-CN"/>
        </w:rPr>
        <w:t>是</w:t>
      </w:r>
      <w:r>
        <w:rPr>
          <w:rFonts w:hint="default" w:ascii="Times New Roman" w:hAnsi="Times New Roman" w:eastAsia="方正仿宋_GBK" w:cs="Times New Roman"/>
          <w:color w:val="000000"/>
          <w:sz w:val="32"/>
          <w:szCs w:val="32"/>
        </w:rPr>
        <w:t>玉溪市农业创新的重要举措</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对</w:t>
      </w:r>
      <w:r>
        <w:rPr>
          <w:rFonts w:hint="eastAsia" w:ascii="Times New Roman" w:hAnsi="Times New Roman" w:eastAsia="方正仿宋_GBK" w:cs="Times New Roman"/>
          <w:color w:val="000000"/>
          <w:sz w:val="32"/>
          <w:szCs w:val="32"/>
          <w:lang w:eastAsia="zh-CN"/>
        </w:rPr>
        <w:t>于</w:t>
      </w:r>
      <w:r>
        <w:rPr>
          <w:rFonts w:hint="default" w:ascii="Times New Roman" w:hAnsi="Times New Roman" w:eastAsia="方正仿宋_GBK" w:cs="Times New Roman"/>
          <w:color w:val="000000"/>
          <w:sz w:val="32"/>
          <w:szCs w:val="32"/>
        </w:rPr>
        <w:t>保障玉溪市市场农产品质量安全和供应安全也具有深远的意义。</w:t>
      </w:r>
      <w:r>
        <w:rPr>
          <w:rFonts w:hint="eastAsia" w:ascii="Times New Roman" w:hAnsi="Times New Roman" w:eastAsia="方正仿宋_GBK" w:cs="Times New Roman"/>
          <w:color w:val="000000"/>
          <w:sz w:val="32"/>
          <w:szCs w:val="32"/>
          <w:lang w:eastAsia="zh-CN"/>
        </w:rPr>
        <w:t>采取</w:t>
      </w:r>
      <w:r>
        <w:rPr>
          <w:rFonts w:hint="default" w:ascii="Times New Roman" w:hAnsi="Times New Roman" w:eastAsia="方正仿宋_GBK" w:cs="Times New Roman"/>
          <w:color w:val="000000"/>
          <w:sz w:val="32"/>
          <w:szCs w:val="32"/>
        </w:rPr>
        <w:t>购并开发</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租赁开发</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技术辐射开发</w:t>
      </w:r>
      <w:r>
        <w:rPr>
          <w:rFonts w:hint="eastAsia" w:ascii="Times New Roman" w:hAnsi="Times New Roman" w:eastAsia="方正仿宋_GBK" w:cs="Times New Roman"/>
          <w:color w:val="000000"/>
          <w:sz w:val="32"/>
          <w:szCs w:val="32"/>
          <w:lang w:eastAsia="zh-CN"/>
        </w:rPr>
        <w:t>、</w:t>
      </w:r>
      <w:r>
        <w:rPr>
          <w:rFonts w:hint="eastAsia" w:ascii="方正仿宋_GBK" w:hAnsi="方正仿宋_GBK" w:eastAsia="方正仿宋_GBK" w:cs="方正仿宋_GBK"/>
          <w:color w:val="000000"/>
          <w:sz w:val="32"/>
          <w:szCs w:val="32"/>
          <w:lang w:eastAsia="zh-CN"/>
        </w:rPr>
        <w:t>“</w:t>
      </w:r>
      <w:r>
        <w:rPr>
          <w:rFonts w:hint="default" w:ascii="Times New Roman" w:hAnsi="Times New Roman" w:eastAsia="方正仿宋_GBK" w:cs="Times New Roman"/>
          <w:color w:val="000000"/>
          <w:sz w:val="32"/>
          <w:szCs w:val="32"/>
        </w:rPr>
        <w:t>品牌</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带动开发</w:t>
      </w:r>
      <w:r>
        <w:rPr>
          <w:rFonts w:hint="eastAsia" w:ascii="Times New Roman" w:hAnsi="Times New Roman" w:eastAsia="方正仿宋_GBK" w:cs="Times New Roman"/>
          <w:color w:val="000000"/>
          <w:sz w:val="32"/>
          <w:szCs w:val="32"/>
          <w:lang w:eastAsia="zh-CN"/>
        </w:rPr>
        <w:t>等模式</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在玉溪市外</w:t>
      </w:r>
      <w:r>
        <w:rPr>
          <w:rFonts w:hint="default" w:ascii="Times New Roman" w:hAnsi="Times New Roman" w:eastAsia="方正仿宋_GBK" w:cs="Times New Roman"/>
          <w:color w:val="000000"/>
          <w:sz w:val="32"/>
          <w:szCs w:val="32"/>
        </w:rPr>
        <w:t>建立生产基地</w:t>
      </w:r>
      <w:r>
        <w:rPr>
          <w:rFonts w:hint="eastAsia" w:ascii="Times New Roman" w:hAnsi="Times New Roman" w:eastAsia="方正仿宋_GBK" w:cs="Times New Roman"/>
          <w:color w:val="000000"/>
          <w:sz w:val="32"/>
          <w:szCs w:val="32"/>
          <w:lang w:eastAsia="zh-CN"/>
        </w:rPr>
        <w:t>，扩大基地规模，</w:t>
      </w:r>
      <w:r>
        <w:rPr>
          <w:rFonts w:hint="default" w:ascii="Times New Roman" w:hAnsi="Times New Roman" w:eastAsia="方正仿宋_GBK" w:cs="Times New Roman"/>
          <w:color w:val="000000"/>
          <w:sz w:val="32"/>
          <w:szCs w:val="32"/>
        </w:rPr>
        <w:t>组织当地农户按照企业的统一标准，生产加工原料产品</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弥补玉溪的土地和劳动力资源短板</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bidi w:val="0"/>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br w:type="page"/>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eastAsia" w:ascii="方正小标宋_GBK" w:hAnsi="方正小标宋_GBK" w:eastAsia="方正小标宋_GBK" w:cs="方正小标宋_GBK"/>
          <w:b w:val="0"/>
          <w:bCs/>
          <w:sz w:val="44"/>
          <w:szCs w:val="44"/>
        </w:rPr>
      </w:pPr>
      <w:bookmarkStart w:id="28" w:name="_Toc18149"/>
      <w:r>
        <w:rPr>
          <w:rFonts w:hint="eastAsia" w:ascii="方正小标宋_GBK" w:hAnsi="方正小标宋_GBK" w:eastAsia="方正小标宋_GBK" w:cs="方正小标宋_GBK"/>
          <w:b w:val="0"/>
          <w:bCs/>
          <w:sz w:val="36"/>
          <w:szCs w:val="36"/>
        </w:rPr>
        <w:t>第</w:t>
      </w:r>
      <w:r>
        <w:rPr>
          <w:rFonts w:hint="eastAsia" w:ascii="方正小标宋_GBK" w:hAnsi="方正小标宋_GBK" w:eastAsia="方正小标宋_GBK" w:cs="方正小标宋_GBK"/>
          <w:b w:val="0"/>
          <w:bCs/>
          <w:sz w:val="36"/>
          <w:szCs w:val="36"/>
          <w:lang w:eastAsia="zh-CN"/>
        </w:rPr>
        <w:t>四</w:t>
      </w:r>
      <w:r>
        <w:rPr>
          <w:rFonts w:hint="eastAsia" w:ascii="方正小标宋_GBK" w:hAnsi="方正小标宋_GBK" w:eastAsia="方正小标宋_GBK" w:cs="方正小标宋_GBK"/>
          <w:b w:val="0"/>
          <w:bCs/>
          <w:sz w:val="36"/>
          <w:szCs w:val="36"/>
        </w:rPr>
        <w:t>章</w:t>
      </w:r>
      <w:r>
        <w:rPr>
          <w:rFonts w:hint="eastAsia" w:ascii="方正小标宋_GBK" w:hAnsi="方正小标宋_GBK" w:eastAsia="方正小标宋_GBK" w:cs="方正小标宋_GBK"/>
          <w:b w:val="0"/>
          <w:bCs/>
          <w:sz w:val="36"/>
          <w:szCs w:val="36"/>
          <w:lang w:val="en-US" w:eastAsia="zh-CN"/>
        </w:rPr>
        <w:t xml:space="preserve">  </w:t>
      </w:r>
      <w:r>
        <w:rPr>
          <w:rFonts w:hint="eastAsia" w:ascii="方正小标宋_GBK" w:hAnsi="方正小标宋_GBK" w:eastAsia="方正小标宋_GBK" w:cs="方正小标宋_GBK"/>
          <w:b w:val="0"/>
          <w:bCs/>
          <w:sz w:val="36"/>
          <w:szCs w:val="36"/>
        </w:rPr>
        <w:t>保障措施</w:t>
      </w:r>
      <w:bookmarkEnd w:id="28"/>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hint="eastAsia" w:ascii="方正黑体_GBK" w:hAnsi="方正黑体_GBK" w:eastAsia="方正黑体_GBK" w:cs="方正黑体_GBK"/>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hint="eastAsia" w:ascii="方正黑体_GBK" w:hAnsi="方正黑体_GBK" w:eastAsia="方正黑体_GBK" w:cs="方正黑体_GBK"/>
          <w:b w:val="0"/>
          <w:bCs/>
          <w:sz w:val="32"/>
          <w:szCs w:val="32"/>
          <w:lang w:val="en-US" w:eastAsia="zh-CN"/>
        </w:rPr>
      </w:pPr>
      <w:bookmarkStart w:id="29" w:name="_Toc31529"/>
      <w:r>
        <w:rPr>
          <w:rFonts w:hint="eastAsia" w:ascii="方正黑体_GBK" w:hAnsi="方正黑体_GBK" w:eastAsia="方正黑体_GBK" w:cs="方正黑体_GBK"/>
          <w:b w:val="0"/>
          <w:bCs/>
          <w:sz w:val="32"/>
          <w:szCs w:val="32"/>
          <w:lang w:val="en-US" w:eastAsia="zh-CN"/>
        </w:rPr>
        <w:t>一、</w:t>
      </w:r>
      <w:r>
        <w:rPr>
          <w:rFonts w:hint="eastAsia" w:ascii="方正黑体_GBK" w:hAnsi="方正黑体_GBK" w:eastAsia="方正黑体_GBK" w:cs="方正黑体_GBK"/>
          <w:b w:val="0"/>
          <w:bCs/>
          <w:sz w:val="32"/>
          <w:szCs w:val="32"/>
        </w:rPr>
        <w:t>加强组织领导，争取政策扶持</w:t>
      </w:r>
      <w:bookmarkEnd w:id="29"/>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推动落实</w:t>
      </w:r>
      <w:r>
        <w:rPr>
          <w:rFonts w:hint="eastAsia" w:ascii="方正仿宋_GBK" w:hAnsi="方正仿宋_GBK" w:eastAsia="方正仿宋_GBK" w:cs="方正仿宋_GBK"/>
          <w:sz w:val="32"/>
          <w:szCs w:val="32"/>
        </w:rPr>
        <w:t>“菜篮子”市</w:t>
      </w:r>
      <w:r>
        <w:rPr>
          <w:rFonts w:hint="default" w:ascii="Times New Roman" w:hAnsi="Times New Roman" w:eastAsia="方正仿宋_GBK" w:cs="Times New Roman"/>
          <w:sz w:val="32"/>
          <w:szCs w:val="32"/>
        </w:rPr>
        <w:t>长负责制，认真履行部门职能职责，切实加强蔬菜产业组织领导。建立蔬菜产业发展联席会议制度，研究解决蔬菜产业发展中的重大问题。搞好协调服务，强化目标考核，根据目标要求和各自工作实际，统筹安排，周密部署，认真制定详细的工作方案和实施计划，明确各个阶段的具体工作内容和目标、职责分工和时间进度，完善考评奖惩制度，抓好任务落实，确保工作取得实实在在的效果。健全蔬菜技术推广体系，切实抓好蔬菜产业的组织协调和技术服务。各单位、各部门要全力支持蔬菜产业化建设，新闻宣传部门要加大对特色优势产业发展的宣传力度，努力营造全社会共同支持和发展蔬菜产业的良好氛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hint="eastAsia" w:ascii="方正黑体_GBK" w:hAnsi="方正黑体_GBK" w:eastAsia="方正黑体_GBK" w:cs="方正黑体_GBK"/>
          <w:b w:val="0"/>
          <w:bCs/>
          <w:sz w:val="32"/>
          <w:szCs w:val="32"/>
          <w:lang w:eastAsia="zh-CN"/>
        </w:rPr>
      </w:pPr>
      <w:bookmarkStart w:id="30" w:name="_Toc1557"/>
      <w:r>
        <w:rPr>
          <w:rFonts w:hint="eastAsia" w:ascii="方正黑体_GBK" w:hAnsi="方正黑体_GBK" w:eastAsia="方正黑体_GBK" w:cs="方正黑体_GBK"/>
          <w:b w:val="0"/>
          <w:bCs/>
          <w:sz w:val="32"/>
          <w:szCs w:val="32"/>
          <w:lang w:val="en-US" w:eastAsia="zh-CN"/>
        </w:rPr>
        <w:t>二、</w:t>
      </w:r>
      <w:r>
        <w:rPr>
          <w:rFonts w:hint="eastAsia" w:ascii="方正黑体_GBK" w:hAnsi="方正黑体_GBK" w:eastAsia="方正黑体_GBK" w:cs="方正黑体_GBK"/>
          <w:b w:val="0"/>
          <w:bCs/>
          <w:sz w:val="32"/>
          <w:szCs w:val="32"/>
        </w:rPr>
        <w:t>加大资金筹措力度，严格资金管理</w:t>
      </w:r>
      <w:bookmarkEnd w:id="30"/>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强化政策引导与支撑，支持市场主体积极投入蔬菜产业开发。多渠道筹集资金，逐步构建政府投资为引导、农民和企业投资为主体的多元投入机制，采取多种方式吸引社会资金发展蔬菜产业；加强蔬菜资金管理，提高资金使用效率和综合效益。争取银行业金融机构加大对蔬菜产业发展的信贷支持，拓宽融资渠道，引导更多的信贷资金投向蔬菜产业，提高融资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hint="eastAsia" w:ascii="方正黑体_GBK" w:hAnsi="方正黑体_GBK" w:eastAsia="方正黑体_GBK" w:cs="方正黑体_GBK"/>
          <w:b w:val="0"/>
          <w:bCs/>
          <w:sz w:val="32"/>
          <w:szCs w:val="32"/>
          <w:lang w:eastAsia="zh-CN"/>
        </w:rPr>
      </w:pPr>
      <w:bookmarkStart w:id="31" w:name="_Toc30742"/>
      <w:r>
        <w:rPr>
          <w:rFonts w:hint="eastAsia" w:ascii="方正黑体_GBK" w:hAnsi="方正黑体_GBK" w:eastAsia="方正黑体_GBK" w:cs="方正黑体_GBK"/>
          <w:b w:val="0"/>
          <w:bCs/>
          <w:sz w:val="32"/>
          <w:szCs w:val="32"/>
          <w:lang w:val="en-US" w:eastAsia="zh-CN"/>
        </w:rPr>
        <w:t>三、</w:t>
      </w:r>
      <w:r>
        <w:rPr>
          <w:rFonts w:hint="eastAsia" w:ascii="方正黑体_GBK" w:hAnsi="方正黑体_GBK" w:eastAsia="方正黑体_GBK" w:cs="方正黑体_GBK"/>
          <w:b w:val="0"/>
          <w:bCs/>
          <w:sz w:val="32"/>
          <w:szCs w:val="32"/>
        </w:rPr>
        <w:t>加强蔬菜营销服务，做好产销衔接</w:t>
      </w:r>
      <w:bookmarkEnd w:id="31"/>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积极开展产销对接服务，鼓励蔬菜生产经营主体开展多种蔬菜营销方式；加强蔬菜冷链物流体系建设，缓解集中上市压力，增加蔬菜附加值；发展具有集中采购、跨区域配送能力的现代化蔬菜配送中心；培育具有一定规模的专业化蔬菜冷链物流服务企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hint="eastAsia" w:ascii="方正黑体_GBK" w:hAnsi="方正黑体_GBK" w:eastAsia="方正黑体_GBK" w:cs="方正黑体_GBK"/>
          <w:b w:val="0"/>
          <w:bCs/>
          <w:sz w:val="32"/>
          <w:szCs w:val="32"/>
          <w:lang w:eastAsia="zh-CN"/>
        </w:rPr>
      </w:pPr>
      <w:bookmarkStart w:id="32" w:name="_Toc3067"/>
      <w:r>
        <w:rPr>
          <w:rFonts w:hint="eastAsia" w:ascii="方正黑体_GBK" w:hAnsi="方正黑体_GBK" w:eastAsia="方正黑体_GBK" w:cs="方正黑体_GBK"/>
          <w:b w:val="0"/>
          <w:bCs/>
          <w:sz w:val="32"/>
          <w:szCs w:val="32"/>
          <w:lang w:val="en-US" w:eastAsia="zh-CN"/>
        </w:rPr>
        <w:t>四、</w:t>
      </w:r>
      <w:r>
        <w:rPr>
          <w:rFonts w:hint="eastAsia" w:ascii="方正黑体_GBK" w:hAnsi="方正黑体_GBK" w:eastAsia="方正黑体_GBK" w:cs="方正黑体_GBK"/>
          <w:b w:val="0"/>
          <w:bCs/>
          <w:sz w:val="32"/>
          <w:szCs w:val="32"/>
        </w:rPr>
        <w:t>加强质量安全监管，提高检测能力</w:t>
      </w:r>
      <w:bookmarkEnd w:id="32"/>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全面贯彻落实《食品安全法》和《农产品质量安全法》，完善</w:t>
      </w:r>
      <w:r>
        <w:rPr>
          <w:rFonts w:hint="eastAsia" w:ascii="方正仿宋_GBK" w:hAnsi="方正仿宋_GBK" w:eastAsia="方正仿宋_GBK" w:cs="方正仿宋_GBK"/>
          <w:sz w:val="32"/>
          <w:szCs w:val="32"/>
        </w:rPr>
        <w:t>“地方政府负总责，生产经营者负第一责任，相关部门各负其责”的</w:t>
      </w:r>
      <w:r>
        <w:rPr>
          <w:rFonts w:hint="default" w:ascii="Times New Roman" w:hAnsi="Times New Roman" w:eastAsia="方正仿宋_GBK" w:cs="Times New Roman"/>
          <w:sz w:val="32"/>
          <w:szCs w:val="32"/>
        </w:rPr>
        <w:t>责任机制；强化质量安全监管能力建设，特别是提高县（区）、乡镇基层蔬菜质量安全监管服务能力；设立蔬菜生产基地和批发市场的固定风险监测点，实现监测数据的及时采集、分类查询、信息共享，不断提高蔬菜质量安全风险防控和应急处置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hint="eastAsia" w:ascii="方正黑体_GBK" w:hAnsi="方正黑体_GBK" w:eastAsia="方正黑体_GBK" w:cs="方正黑体_GBK"/>
          <w:b w:val="0"/>
          <w:bCs/>
          <w:sz w:val="32"/>
          <w:szCs w:val="32"/>
          <w:lang w:eastAsia="zh-CN"/>
        </w:rPr>
      </w:pPr>
      <w:bookmarkStart w:id="33" w:name="_Toc27652"/>
      <w:r>
        <w:rPr>
          <w:rFonts w:hint="eastAsia" w:ascii="方正黑体_GBK" w:hAnsi="方正黑体_GBK" w:eastAsia="方正黑体_GBK" w:cs="方正黑体_GBK"/>
          <w:b w:val="0"/>
          <w:bCs/>
          <w:sz w:val="32"/>
          <w:szCs w:val="32"/>
          <w:lang w:val="en-US" w:eastAsia="zh-CN"/>
        </w:rPr>
        <w:t>五、</w:t>
      </w:r>
      <w:r>
        <w:rPr>
          <w:rFonts w:hint="eastAsia" w:ascii="方正黑体_GBK" w:hAnsi="方正黑体_GBK" w:eastAsia="方正黑体_GBK" w:cs="方正黑体_GBK"/>
          <w:b w:val="0"/>
          <w:bCs/>
          <w:sz w:val="32"/>
          <w:szCs w:val="32"/>
        </w:rPr>
        <w:t>建设蔬菜产业平台，提高服务能力</w:t>
      </w:r>
      <w:bookmarkEnd w:id="33"/>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加大新技术开发、引进力度，加强前瞻性、基础性试验研究。积极贮备更新换代品种和技术，充分发挥典型引路、示范引导、辐射带动作用。创新推广方式，鼓励技术人员包村蹲点，开展技术指导服务，努力实现新品种、新技术进村、入户、到田。建立健全以各级农技部门为主体，以乡镇技术干部、农业技术员为骨干，以农民技术员为成员，形成县、乡、村三级服务网络体系，扩大对外学习与交流，加强行业内沟通联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hint="eastAsia" w:ascii="方正黑体_GBK" w:hAnsi="方正黑体_GBK" w:eastAsia="方正黑体_GBK" w:cs="方正黑体_GBK"/>
          <w:b w:val="0"/>
          <w:bCs/>
          <w:sz w:val="32"/>
          <w:szCs w:val="32"/>
          <w:lang w:eastAsia="zh-CN"/>
        </w:rPr>
      </w:pPr>
      <w:bookmarkStart w:id="34" w:name="_Toc11373"/>
      <w:r>
        <w:rPr>
          <w:rFonts w:hint="eastAsia" w:ascii="方正黑体_GBK" w:hAnsi="方正黑体_GBK" w:eastAsia="方正黑体_GBK" w:cs="方正黑体_GBK"/>
          <w:b w:val="0"/>
          <w:bCs/>
          <w:sz w:val="32"/>
          <w:szCs w:val="32"/>
          <w:lang w:val="en-US" w:eastAsia="zh-CN"/>
        </w:rPr>
        <w:t>六、</w:t>
      </w:r>
      <w:r>
        <w:rPr>
          <w:rFonts w:hint="eastAsia" w:ascii="方正黑体_GBK" w:hAnsi="方正黑体_GBK" w:eastAsia="方正黑体_GBK" w:cs="方正黑体_GBK"/>
          <w:b w:val="0"/>
          <w:bCs/>
          <w:sz w:val="32"/>
          <w:szCs w:val="32"/>
        </w:rPr>
        <w:t>完善蔬菜信息网络，建立预警机制</w:t>
      </w:r>
      <w:bookmarkEnd w:id="34"/>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点建设蔬菜网络信息平台，配置网络服务器和终端设备，开发蔬菜产销信息监测软件，开展信息监测，进行信息采集、分析、预测和发布。在蔬菜重点产区，推广蔬菜政策性保险，将设施生产、集约化育苗和规模种植等纳入政策性保险范围，提高农民参加农业保险的意识和积极性，逐步全面实施商品蔬菜生产的政策性保险。建立蔬菜风险调节基金、最低保护价、灾害补偿制度，用于灾后恢复生产、蔬菜调运，以稳定市场、保护蔬菜产业持续稳定发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七、加大农药化肥减施增效措施推广，做好</w:t>
      </w:r>
      <w:r>
        <w:rPr>
          <w:rFonts w:hint="eastAsia" w:ascii="方正黑体_GBK" w:hAnsi="方正黑体_GBK" w:eastAsia="方正黑体_GBK" w:cs="方正黑体_GBK"/>
          <w:sz w:val="32"/>
          <w:szCs w:val="32"/>
          <w:lang w:val="en-US" w:eastAsia="zh-CN"/>
        </w:rPr>
        <w:t>农田污染监测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90" w:lineRule="exact"/>
        <w:ind w:firstLine="640" w:firstLineChars="200"/>
        <w:textAlignment w:val="auto"/>
        <w:rPr>
          <w:rFonts w:hint="default"/>
          <w:lang w:val="en-US" w:eastAsia="zh-CN"/>
        </w:rPr>
      </w:pPr>
      <w:r>
        <w:rPr>
          <w:rFonts w:hint="eastAsia" w:ascii="方正仿宋_GBK" w:hAnsi="方正仿宋_GBK" w:eastAsia="方正仿宋_GBK" w:cs="方正仿宋_GBK"/>
          <w:sz w:val="32"/>
          <w:szCs w:val="32"/>
          <w:lang w:val="en-US" w:eastAsia="zh-CN"/>
        </w:rPr>
        <w:t>结合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等面源污染治理、高效节水农业技术、高标准农田水利建设和耕地地力提升工程等项目，在线监测农田污染。加大水旱轮作、水肥一体化、土壤改良、有机肥替代化肥、病虫害绿色防控、降解地膜、秸秆综合利用、化肥农药包装废弃物回收等措施的推广力度。减小农业面源污染，逐步缓解土地盐渍化、虫害猖獗、土壤中微生物改变等造成的连作障碍，提高作物的产量，提升农产品品质，实现农业可持续发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90" w:lineRule="exact"/>
        <w:ind w:left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附表</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14:textFill>
            <w14:solidFill>
              <w14:schemeClr w14:val="tx1"/>
            </w14:solidFill>
          </w14:textFill>
        </w:rPr>
        <w:t>玉溪市</w:t>
      </w:r>
      <w:r>
        <w:rPr>
          <w:rFonts w:hint="eastAsia" w:ascii="方正仿宋_GBK" w:hAnsi="方正仿宋_GBK" w:eastAsia="方正仿宋_GBK" w:cs="方正仿宋_GBK"/>
          <w:color w:val="000000" w:themeColor="text1"/>
          <w:kern w:val="2"/>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十四五</w:t>
      </w:r>
      <w:r>
        <w:rPr>
          <w:rFonts w:hint="eastAsia" w:ascii="方正仿宋_GBK" w:hAnsi="方正仿宋_GBK" w:eastAsia="方正仿宋_GBK" w:cs="方正仿宋_GBK"/>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14:textFill>
            <w14:solidFill>
              <w14:schemeClr w14:val="tx1"/>
            </w14:solidFill>
          </w14:textFill>
        </w:rPr>
        <w:t>蔬菜产业</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发展规划重点建设</w:t>
      </w:r>
      <w:r>
        <w:rPr>
          <w:rFonts w:hint="default" w:ascii="Times New Roman" w:hAnsi="Times New Roman" w:eastAsia="方正仿宋_GBK" w:cs="Times New Roman"/>
          <w:color w:val="000000" w:themeColor="text1"/>
          <w:kern w:val="2"/>
          <w:sz w:val="32"/>
          <w:szCs w:val="32"/>
          <w14:textFill>
            <w14:solidFill>
              <w14:schemeClr w14:val="tx1"/>
            </w14:solidFill>
          </w14:textFill>
        </w:rPr>
        <w:t>项目表</w:t>
      </w:r>
    </w:p>
    <w:bookmarkEnd w:id="4"/>
    <w:bookmarkEnd w:id="5"/>
    <w:p>
      <w:pPr>
        <w:keepNext w:val="0"/>
        <w:keepLines w:val="0"/>
        <w:pageBreakBefore w:val="0"/>
        <w:widowControl w:val="0"/>
        <w:kinsoku/>
        <w:wordWrap/>
        <w:overflowPunct/>
        <w:topLinePunct w:val="0"/>
        <w:bidi w:val="0"/>
        <w:textAlignment w:val="auto"/>
        <w:rPr>
          <w:rFonts w:hint="default" w:ascii="Times New Roman" w:hAnsi="Times New Roman" w:eastAsia="方正仿宋_GBK" w:cs="Times New Roman"/>
          <w:sz w:val="32"/>
          <w:szCs w:val="32"/>
        </w:rPr>
      </w:pPr>
    </w:p>
    <w:sectPr>
      <w:footerReference r:id="rId7" w:type="default"/>
      <w:footerReference r:id="rId8" w:type="even"/>
      <w:pgSz w:w="11906" w:h="16838"/>
      <w:pgMar w:top="2041" w:right="1474" w:bottom="1304" w:left="1587" w:header="1361" w:footer="850"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pPr>
    <w:r>
      <w:rPr>
        <w:sz w:val="32"/>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3</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3</w:t>
                    </w:r>
                    <w:r>
                      <w:rPr>
                        <w:rFonts w:hint="default" w:ascii="Times New Roman" w:hAnsi="Times New Roman" w:cs="Times New Roman"/>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pPr>
    <w:r>
      <w:rPr>
        <w:sz w:val="18"/>
      </w:rPr>
      <mc:AlternateContent>
        <mc:Choice Requires="wps">
          <w:drawing>
            <wp:anchor distT="0" distB="0" distL="114300" distR="114300" simplePos="0" relativeHeight="251672576" behindDoc="0" locked="0" layoutInCell="1" allowOverlap="1">
              <wp:simplePos x="0" y="0"/>
              <wp:positionH relativeFrom="margin">
                <wp:posOffset>4946650</wp:posOffset>
              </wp:positionH>
              <wp:positionV relativeFrom="paragraph">
                <wp:posOffset>92075</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320" w:lineRule="exact"/>
                            <w:textAlignment w:val="auto"/>
                            <w:rPr>
                              <w:rFonts w:hint="eastAsia" w:eastAsiaTheme="minorEastAsia"/>
                              <w:sz w:val="24"/>
                              <w:szCs w:val="24"/>
                              <w:lang w:eastAsia="zh-CN"/>
                            </w:rPr>
                          </w:pPr>
                          <w:r>
                            <w:rPr>
                              <w:rFonts w:hint="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29</w:t>
                          </w:r>
                          <w:r>
                            <w:rPr>
                              <w:rFonts w:hint="eastAsia" w:asciiTheme="minorEastAsia" w:hAnsiTheme="minorEastAsia" w:eastAsiaTheme="minorEastAsia" w:cstheme="minorEastAsia"/>
                              <w:sz w:val="24"/>
                              <w:szCs w:val="24"/>
                              <w:lang w:eastAsia="zh-CN"/>
                            </w:rPr>
                            <w:fldChar w:fldCharType="end"/>
                          </w:r>
                          <w:r>
                            <w:rPr>
                              <w:rFonts w:hint="eastAsia"/>
                              <w:sz w:val="24"/>
                              <w:szCs w:val="24"/>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left:389.5pt;margin-top:7.25pt;height:144pt;width:144pt;mso-position-horizontal-relative:margin;mso-wrap-style:none;z-index:251672576;mso-width-relative:page;mso-height-relative:page;" filled="f" stroked="f" coordsize="21600,21600" o:gfxdata="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1YmQj1gAA&#10;AAsBAAAPAAAAAAAAAAEAIAAAACIAAABkcnMvZG93bnJldi54bWxQSwECFAAUAAAACACHTuJA16+8&#10;D64BAABLAwAADgAAAAAAAAABACAAAAAlAQAAZHJzL2Uyb0RvYy54bWxQSwUGAAAAAAYABgBZAQAA&#10;RQUAAAAA&#10;">
              <v:fill on="f" focussize="0,0"/>
              <v:stroke on="f"/>
              <v:imagedata o:title=""/>
              <o:lock v:ext="edit" aspectratio="f"/>
              <v:textbox inset="0mm,0mm,0mm,0mm" style="mso-fit-shape-to-text:t;">
                <w:txbxContent>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320" w:lineRule="exact"/>
                      <w:textAlignment w:val="auto"/>
                      <w:rPr>
                        <w:rFonts w:hint="eastAsia" w:eastAsiaTheme="minorEastAsia"/>
                        <w:sz w:val="24"/>
                        <w:szCs w:val="24"/>
                        <w:lang w:eastAsia="zh-CN"/>
                      </w:rPr>
                    </w:pPr>
                    <w:r>
                      <w:rPr>
                        <w:rFonts w:hint="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29</w:t>
                    </w:r>
                    <w:r>
                      <w:rPr>
                        <w:rFonts w:hint="eastAsia" w:asciiTheme="minorEastAsia" w:hAnsiTheme="minorEastAsia" w:eastAsiaTheme="minorEastAsia" w:cstheme="minor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82816" behindDoc="0" locked="0" layoutInCell="1" allowOverlap="1">
              <wp:simplePos x="0" y="0"/>
              <wp:positionH relativeFrom="margin">
                <wp:posOffset>184150</wp:posOffset>
              </wp:positionH>
              <wp:positionV relativeFrom="paragraph">
                <wp:posOffset>130810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320" w:lineRule="exact"/>
                            <w:textAlignment w:val="auto"/>
                            <w:rPr>
                              <w:rFonts w:hint="eastAsia" w:eastAsiaTheme="minorEastAsia"/>
                              <w:sz w:val="24"/>
                              <w:szCs w:val="24"/>
                              <w:lang w:eastAsia="zh-CN"/>
                            </w:rPr>
                          </w:pPr>
                          <w:r>
                            <w:rPr>
                              <w:rFonts w:hint="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29</w:t>
                          </w:r>
                          <w:r>
                            <w:rPr>
                              <w:rFonts w:hint="eastAsia" w:asciiTheme="minorEastAsia" w:hAnsiTheme="minorEastAsia" w:eastAsiaTheme="minorEastAsia" w:cstheme="minorEastAsia"/>
                              <w:sz w:val="24"/>
                              <w:szCs w:val="24"/>
                              <w:lang w:eastAsia="zh-CN"/>
                            </w:rPr>
                            <w:fldChar w:fldCharType="end"/>
                          </w:r>
                          <w:r>
                            <w:rPr>
                              <w:rFonts w:hint="eastAsia"/>
                              <w:sz w:val="24"/>
                              <w:szCs w:val="24"/>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left:14.5pt;margin-top:10.3pt;height:144pt;width:144pt;mso-position-horizontal-relative:margin;mso-wrap-style:none;z-index:251682816;mso-width-relative:page;mso-height-relative:page;" filled="f" stroked="f" coordsize="21600,21600" o:gfxdata="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iUP9dUAAAAJ&#10;AQAADwAAAAAAAAABACAAAAAiAAAAZHJzL2Rvd25yZXYueG1sUEsBAhQAFAAAAAgAh07iQMldUHWt&#10;AQAASwMAAA4AAAAAAAAAAQAgAAAAJAEAAGRycy9lMm9Eb2MueG1sUEsFBgAAAAAGAAYAWQEAAEMF&#10;AAAAAA==&#10;">
              <v:fill on="f" focussize="0,0"/>
              <v:stroke on="f"/>
              <v:imagedata o:title=""/>
              <o:lock v:ext="edit" aspectratio="f"/>
              <v:textbox inset="0mm,0mm,0mm,0mm" style="mso-fit-shape-to-text:t;">
                <w:txbxContent>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320" w:lineRule="exact"/>
                      <w:textAlignment w:val="auto"/>
                      <w:rPr>
                        <w:rFonts w:hint="eastAsia" w:eastAsiaTheme="minorEastAsia"/>
                        <w:sz w:val="24"/>
                        <w:szCs w:val="24"/>
                        <w:lang w:eastAsia="zh-CN"/>
                      </w:rPr>
                    </w:pPr>
                    <w:r>
                      <w:rPr>
                        <w:rFonts w:hint="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29</w:t>
                    </w:r>
                    <w:r>
                      <w:rPr>
                        <w:rFonts w:hint="eastAsia" w:asciiTheme="minorEastAsia" w:hAnsiTheme="minorEastAsia" w:eastAsiaTheme="minorEastAsia" w:cstheme="minor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F2B3B"/>
    <w:multiLevelType w:val="singleLevel"/>
    <w:tmpl w:val="77FF2B3B"/>
    <w:lvl w:ilvl="0" w:tentative="0">
      <w:start w:val="1"/>
      <w:numFmt w:val="chineseCounting"/>
      <w:suff w:val="nothing"/>
      <w:lvlText w:val="（%1）"/>
      <w:lvlJc w:val="left"/>
      <w:rPr>
        <w:rFonts w:hint="eastAsia" w:ascii="方正楷体_GBK" w:hAnsi="方正楷体_GBK" w:eastAsia="方正楷体_GBK" w:cs="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44F"/>
    <w:rsid w:val="00002028"/>
    <w:rsid w:val="00004D9E"/>
    <w:rsid w:val="00006976"/>
    <w:rsid w:val="000111A3"/>
    <w:rsid w:val="000125D2"/>
    <w:rsid w:val="00012A93"/>
    <w:rsid w:val="00015450"/>
    <w:rsid w:val="00015DBE"/>
    <w:rsid w:val="000200DB"/>
    <w:rsid w:val="00022884"/>
    <w:rsid w:val="00026060"/>
    <w:rsid w:val="00027164"/>
    <w:rsid w:val="00031C6D"/>
    <w:rsid w:val="000334C3"/>
    <w:rsid w:val="000346DC"/>
    <w:rsid w:val="00043762"/>
    <w:rsid w:val="00045418"/>
    <w:rsid w:val="00045EC2"/>
    <w:rsid w:val="000561B9"/>
    <w:rsid w:val="00060688"/>
    <w:rsid w:val="00070340"/>
    <w:rsid w:val="0007043F"/>
    <w:rsid w:val="00094A0B"/>
    <w:rsid w:val="000967B0"/>
    <w:rsid w:val="000A33E1"/>
    <w:rsid w:val="000A4DD1"/>
    <w:rsid w:val="000B0F8D"/>
    <w:rsid w:val="000B1952"/>
    <w:rsid w:val="000B36DD"/>
    <w:rsid w:val="000B3745"/>
    <w:rsid w:val="000C4CA8"/>
    <w:rsid w:val="000C5800"/>
    <w:rsid w:val="000C76F7"/>
    <w:rsid w:val="000D06E0"/>
    <w:rsid w:val="000D0C3A"/>
    <w:rsid w:val="000D4805"/>
    <w:rsid w:val="000E00D6"/>
    <w:rsid w:val="000E05C0"/>
    <w:rsid w:val="000E38DD"/>
    <w:rsid w:val="00100D4F"/>
    <w:rsid w:val="0010133F"/>
    <w:rsid w:val="001078B3"/>
    <w:rsid w:val="001101F0"/>
    <w:rsid w:val="001153E4"/>
    <w:rsid w:val="00122600"/>
    <w:rsid w:val="00123F76"/>
    <w:rsid w:val="001279F2"/>
    <w:rsid w:val="001326CA"/>
    <w:rsid w:val="0013280D"/>
    <w:rsid w:val="0013352A"/>
    <w:rsid w:val="00137889"/>
    <w:rsid w:val="00147351"/>
    <w:rsid w:val="001520F0"/>
    <w:rsid w:val="001551D8"/>
    <w:rsid w:val="001638FF"/>
    <w:rsid w:val="00174383"/>
    <w:rsid w:val="001827A8"/>
    <w:rsid w:val="00183C02"/>
    <w:rsid w:val="0018601F"/>
    <w:rsid w:val="001A1FF7"/>
    <w:rsid w:val="001A4D63"/>
    <w:rsid w:val="001B1B87"/>
    <w:rsid w:val="001B5DB2"/>
    <w:rsid w:val="001B6EF3"/>
    <w:rsid w:val="001C0B56"/>
    <w:rsid w:val="001C6301"/>
    <w:rsid w:val="001D2D68"/>
    <w:rsid w:val="001D33D6"/>
    <w:rsid w:val="001D5E14"/>
    <w:rsid w:val="001E1B30"/>
    <w:rsid w:val="001E7EA5"/>
    <w:rsid w:val="001F0C05"/>
    <w:rsid w:val="001F2288"/>
    <w:rsid w:val="001F3BF7"/>
    <w:rsid w:val="00205BC7"/>
    <w:rsid w:val="00214737"/>
    <w:rsid w:val="00220646"/>
    <w:rsid w:val="002210A5"/>
    <w:rsid w:val="0022180A"/>
    <w:rsid w:val="002237B0"/>
    <w:rsid w:val="00235336"/>
    <w:rsid w:val="00235D15"/>
    <w:rsid w:val="00237664"/>
    <w:rsid w:val="00246D1F"/>
    <w:rsid w:val="002650B8"/>
    <w:rsid w:val="00270479"/>
    <w:rsid w:val="002824EE"/>
    <w:rsid w:val="00290ED4"/>
    <w:rsid w:val="00291355"/>
    <w:rsid w:val="002926DD"/>
    <w:rsid w:val="00295EDE"/>
    <w:rsid w:val="00296D6E"/>
    <w:rsid w:val="002A2C22"/>
    <w:rsid w:val="002B040E"/>
    <w:rsid w:val="002B05C6"/>
    <w:rsid w:val="002B1B67"/>
    <w:rsid w:val="002B24DA"/>
    <w:rsid w:val="002B346B"/>
    <w:rsid w:val="002C65D8"/>
    <w:rsid w:val="002E22AD"/>
    <w:rsid w:val="002E285B"/>
    <w:rsid w:val="00307368"/>
    <w:rsid w:val="00312C0B"/>
    <w:rsid w:val="0031345F"/>
    <w:rsid w:val="003164DA"/>
    <w:rsid w:val="00317C92"/>
    <w:rsid w:val="00317FB6"/>
    <w:rsid w:val="00322CF1"/>
    <w:rsid w:val="0033040F"/>
    <w:rsid w:val="00335FEC"/>
    <w:rsid w:val="00337FCE"/>
    <w:rsid w:val="00340D48"/>
    <w:rsid w:val="00344387"/>
    <w:rsid w:val="0035128F"/>
    <w:rsid w:val="00353E5E"/>
    <w:rsid w:val="00354EC6"/>
    <w:rsid w:val="00360DD6"/>
    <w:rsid w:val="00361FE7"/>
    <w:rsid w:val="00376E95"/>
    <w:rsid w:val="003806BA"/>
    <w:rsid w:val="003863D3"/>
    <w:rsid w:val="003930D6"/>
    <w:rsid w:val="00397F64"/>
    <w:rsid w:val="003A5B74"/>
    <w:rsid w:val="003B291C"/>
    <w:rsid w:val="003B36A3"/>
    <w:rsid w:val="003B4F50"/>
    <w:rsid w:val="003C0439"/>
    <w:rsid w:val="003D00D0"/>
    <w:rsid w:val="003D2D2F"/>
    <w:rsid w:val="003E1B70"/>
    <w:rsid w:val="003E2B6F"/>
    <w:rsid w:val="003E7E68"/>
    <w:rsid w:val="003F1381"/>
    <w:rsid w:val="003F1ECC"/>
    <w:rsid w:val="003F375F"/>
    <w:rsid w:val="0041384B"/>
    <w:rsid w:val="00417DBB"/>
    <w:rsid w:val="00431B64"/>
    <w:rsid w:val="00436D90"/>
    <w:rsid w:val="004466A5"/>
    <w:rsid w:val="0044686C"/>
    <w:rsid w:val="00451E54"/>
    <w:rsid w:val="0045306C"/>
    <w:rsid w:val="004561C7"/>
    <w:rsid w:val="00467B67"/>
    <w:rsid w:val="004712A1"/>
    <w:rsid w:val="004718E7"/>
    <w:rsid w:val="00477BA4"/>
    <w:rsid w:val="0048774E"/>
    <w:rsid w:val="00490ADC"/>
    <w:rsid w:val="00491E5B"/>
    <w:rsid w:val="00494D2F"/>
    <w:rsid w:val="004A01A6"/>
    <w:rsid w:val="004B55A1"/>
    <w:rsid w:val="004B6769"/>
    <w:rsid w:val="004C1C09"/>
    <w:rsid w:val="004C779E"/>
    <w:rsid w:val="004C7F86"/>
    <w:rsid w:val="004D1D9B"/>
    <w:rsid w:val="004D3746"/>
    <w:rsid w:val="004D52A0"/>
    <w:rsid w:val="004E5567"/>
    <w:rsid w:val="004E69D0"/>
    <w:rsid w:val="004F0777"/>
    <w:rsid w:val="004F1439"/>
    <w:rsid w:val="004F2CB5"/>
    <w:rsid w:val="004F524C"/>
    <w:rsid w:val="004F75BF"/>
    <w:rsid w:val="004F7609"/>
    <w:rsid w:val="005022CF"/>
    <w:rsid w:val="00505E41"/>
    <w:rsid w:val="0050606E"/>
    <w:rsid w:val="00510A54"/>
    <w:rsid w:val="005351AB"/>
    <w:rsid w:val="005468A4"/>
    <w:rsid w:val="00547DBA"/>
    <w:rsid w:val="005558CD"/>
    <w:rsid w:val="00564124"/>
    <w:rsid w:val="00566FA1"/>
    <w:rsid w:val="00577979"/>
    <w:rsid w:val="0058210D"/>
    <w:rsid w:val="005975D2"/>
    <w:rsid w:val="005B45E7"/>
    <w:rsid w:val="005D7292"/>
    <w:rsid w:val="005E05DB"/>
    <w:rsid w:val="006129D0"/>
    <w:rsid w:val="00620A1F"/>
    <w:rsid w:val="006263B6"/>
    <w:rsid w:val="00632705"/>
    <w:rsid w:val="00633172"/>
    <w:rsid w:val="00633540"/>
    <w:rsid w:val="006352A1"/>
    <w:rsid w:val="00646DD2"/>
    <w:rsid w:val="00653F57"/>
    <w:rsid w:val="00654937"/>
    <w:rsid w:val="00662B28"/>
    <w:rsid w:val="00663640"/>
    <w:rsid w:val="006774DE"/>
    <w:rsid w:val="0068044F"/>
    <w:rsid w:val="00684DA5"/>
    <w:rsid w:val="00690F95"/>
    <w:rsid w:val="00694847"/>
    <w:rsid w:val="00695C75"/>
    <w:rsid w:val="006A6C96"/>
    <w:rsid w:val="006B520C"/>
    <w:rsid w:val="006B6B6F"/>
    <w:rsid w:val="006C20E1"/>
    <w:rsid w:val="006C226D"/>
    <w:rsid w:val="006D184F"/>
    <w:rsid w:val="006E2DA6"/>
    <w:rsid w:val="006E4095"/>
    <w:rsid w:val="006E6B6C"/>
    <w:rsid w:val="006F74F0"/>
    <w:rsid w:val="00703A42"/>
    <w:rsid w:val="00704449"/>
    <w:rsid w:val="00707BFA"/>
    <w:rsid w:val="00707CAA"/>
    <w:rsid w:val="00711F5D"/>
    <w:rsid w:val="00714457"/>
    <w:rsid w:val="00714F2F"/>
    <w:rsid w:val="00726D4C"/>
    <w:rsid w:val="0073478B"/>
    <w:rsid w:val="007364CB"/>
    <w:rsid w:val="007405F5"/>
    <w:rsid w:val="00742080"/>
    <w:rsid w:val="007420CA"/>
    <w:rsid w:val="00743E9D"/>
    <w:rsid w:val="00746951"/>
    <w:rsid w:val="007519FB"/>
    <w:rsid w:val="007547A9"/>
    <w:rsid w:val="00756DAB"/>
    <w:rsid w:val="007578B9"/>
    <w:rsid w:val="0076060C"/>
    <w:rsid w:val="0077043D"/>
    <w:rsid w:val="00772623"/>
    <w:rsid w:val="0078594A"/>
    <w:rsid w:val="00787FAA"/>
    <w:rsid w:val="007912DC"/>
    <w:rsid w:val="007925CB"/>
    <w:rsid w:val="007A148C"/>
    <w:rsid w:val="007A21CE"/>
    <w:rsid w:val="007A3019"/>
    <w:rsid w:val="007B6B05"/>
    <w:rsid w:val="007C30D4"/>
    <w:rsid w:val="007C42F5"/>
    <w:rsid w:val="007D2F61"/>
    <w:rsid w:val="007D5CC0"/>
    <w:rsid w:val="007D7587"/>
    <w:rsid w:val="007E2503"/>
    <w:rsid w:val="007E3BA2"/>
    <w:rsid w:val="007E4369"/>
    <w:rsid w:val="007E506B"/>
    <w:rsid w:val="007F3BA6"/>
    <w:rsid w:val="007F5136"/>
    <w:rsid w:val="00800601"/>
    <w:rsid w:val="00800C5E"/>
    <w:rsid w:val="00804B90"/>
    <w:rsid w:val="00805D1B"/>
    <w:rsid w:val="00810319"/>
    <w:rsid w:val="00817F7E"/>
    <w:rsid w:val="00822275"/>
    <w:rsid w:val="00823418"/>
    <w:rsid w:val="008258B2"/>
    <w:rsid w:val="00826753"/>
    <w:rsid w:val="0083102F"/>
    <w:rsid w:val="00835981"/>
    <w:rsid w:val="00835F1D"/>
    <w:rsid w:val="008364FA"/>
    <w:rsid w:val="0083777F"/>
    <w:rsid w:val="00840756"/>
    <w:rsid w:val="00846E51"/>
    <w:rsid w:val="00850F18"/>
    <w:rsid w:val="0085103D"/>
    <w:rsid w:val="00853855"/>
    <w:rsid w:val="0085447B"/>
    <w:rsid w:val="00860B7D"/>
    <w:rsid w:val="008618E4"/>
    <w:rsid w:val="00862E28"/>
    <w:rsid w:val="00867656"/>
    <w:rsid w:val="00871520"/>
    <w:rsid w:val="00871EA5"/>
    <w:rsid w:val="008806A6"/>
    <w:rsid w:val="00885A4F"/>
    <w:rsid w:val="008865CF"/>
    <w:rsid w:val="008917B1"/>
    <w:rsid w:val="008948ED"/>
    <w:rsid w:val="008971AA"/>
    <w:rsid w:val="008B2676"/>
    <w:rsid w:val="008B59E3"/>
    <w:rsid w:val="008B61DB"/>
    <w:rsid w:val="008C7075"/>
    <w:rsid w:val="008C75B8"/>
    <w:rsid w:val="008D15D7"/>
    <w:rsid w:val="008D5458"/>
    <w:rsid w:val="008E2A93"/>
    <w:rsid w:val="008E7008"/>
    <w:rsid w:val="008F3273"/>
    <w:rsid w:val="009040D5"/>
    <w:rsid w:val="00906158"/>
    <w:rsid w:val="00926BED"/>
    <w:rsid w:val="00930A7D"/>
    <w:rsid w:val="0093139C"/>
    <w:rsid w:val="00945099"/>
    <w:rsid w:val="00945B6F"/>
    <w:rsid w:val="0095057F"/>
    <w:rsid w:val="00962C73"/>
    <w:rsid w:val="009A1D78"/>
    <w:rsid w:val="009A2EA4"/>
    <w:rsid w:val="009A3885"/>
    <w:rsid w:val="009A3C3F"/>
    <w:rsid w:val="009A3E20"/>
    <w:rsid w:val="009A4F6C"/>
    <w:rsid w:val="009B03FE"/>
    <w:rsid w:val="009B229F"/>
    <w:rsid w:val="009B4C62"/>
    <w:rsid w:val="009B7785"/>
    <w:rsid w:val="009C6E80"/>
    <w:rsid w:val="009D079B"/>
    <w:rsid w:val="009D2092"/>
    <w:rsid w:val="009E2E9A"/>
    <w:rsid w:val="009F33B6"/>
    <w:rsid w:val="009F56FA"/>
    <w:rsid w:val="009F72E4"/>
    <w:rsid w:val="00A00CB5"/>
    <w:rsid w:val="00A01118"/>
    <w:rsid w:val="00A017FA"/>
    <w:rsid w:val="00A154F1"/>
    <w:rsid w:val="00A17C90"/>
    <w:rsid w:val="00A22743"/>
    <w:rsid w:val="00A22E28"/>
    <w:rsid w:val="00A234C6"/>
    <w:rsid w:val="00A31104"/>
    <w:rsid w:val="00A316A0"/>
    <w:rsid w:val="00A31F50"/>
    <w:rsid w:val="00A327E0"/>
    <w:rsid w:val="00A329A2"/>
    <w:rsid w:val="00A35961"/>
    <w:rsid w:val="00A4105F"/>
    <w:rsid w:val="00A44C73"/>
    <w:rsid w:val="00A45E00"/>
    <w:rsid w:val="00A46E20"/>
    <w:rsid w:val="00A61A73"/>
    <w:rsid w:val="00A67BFB"/>
    <w:rsid w:val="00A749BE"/>
    <w:rsid w:val="00A82D9F"/>
    <w:rsid w:val="00A87252"/>
    <w:rsid w:val="00A9152A"/>
    <w:rsid w:val="00A944A0"/>
    <w:rsid w:val="00A95F26"/>
    <w:rsid w:val="00AB10B3"/>
    <w:rsid w:val="00AB19A8"/>
    <w:rsid w:val="00AB69E8"/>
    <w:rsid w:val="00AB6CB8"/>
    <w:rsid w:val="00AB7C00"/>
    <w:rsid w:val="00AC2EB3"/>
    <w:rsid w:val="00AD35B5"/>
    <w:rsid w:val="00AD5810"/>
    <w:rsid w:val="00AE25C6"/>
    <w:rsid w:val="00AF034C"/>
    <w:rsid w:val="00AF49E3"/>
    <w:rsid w:val="00B04757"/>
    <w:rsid w:val="00B064DB"/>
    <w:rsid w:val="00B11985"/>
    <w:rsid w:val="00B11EBA"/>
    <w:rsid w:val="00B12168"/>
    <w:rsid w:val="00B140A8"/>
    <w:rsid w:val="00B144EA"/>
    <w:rsid w:val="00B26A26"/>
    <w:rsid w:val="00B359E9"/>
    <w:rsid w:val="00B35CC5"/>
    <w:rsid w:val="00B408F0"/>
    <w:rsid w:val="00B41545"/>
    <w:rsid w:val="00B42682"/>
    <w:rsid w:val="00B4474A"/>
    <w:rsid w:val="00B556FB"/>
    <w:rsid w:val="00B56213"/>
    <w:rsid w:val="00B7509E"/>
    <w:rsid w:val="00B764BB"/>
    <w:rsid w:val="00B77D0C"/>
    <w:rsid w:val="00B809BF"/>
    <w:rsid w:val="00B81FD9"/>
    <w:rsid w:val="00B82223"/>
    <w:rsid w:val="00B831F9"/>
    <w:rsid w:val="00B85294"/>
    <w:rsid w:val="00B875B1"/>
    <w:rsid w:val="00B90388"/>
    <w:rsid w:val="00B90422"/>
    <w:rsid w:val="00B92875"/>
    <w:rsid w:val="00B93B42"/>
    <w:rsid w:val="00B95115"/>
    <w:rsid w:val="00B96FFD"/>
    <w:rsid w:val="00BA03C3"/>
    <w:rsid w:val="00BA3F98"/>
    <w:rsid w:val="00BA6C6D"/>
    <w:rsid w:val="00BB7A39"/>
    <w:rsid w:val="00BC21D4"/>
    <w:rsid w:val="00BC7397"/>
    <w:rsid w:val="00BC7560"/>
    <w:rsid w:val="00BD7584"/>
    <w:rsid w:val="00BE1D2F"/>
    <w:rsid w:val="00BE1FAE"/>
    <w:rsid w:val="00BE51FE"/>
    <w:rsid w:val="00BF0628"/>
    <w:rsid w:val="00BF7217"/>
    <w:rsid w:val="00BF79BC"/>
    <w:rsid w:val="00C1524D"/>
    <w:rsid w:val="00C20252"/>
    <w:rsid w:val="00C26930"/>
    <w:rsid w:val="00C33323"/>
    <w:rsid w:val="00C3378C"/>
    <w:rsid w:val="00C33E36"/>
    <w:rsid w:val="00C465C6"/>
    <w:rsid w:val="00C702F8"/>
    <w:rsid w:val="00C73E16"/>
    <w:rsid w:val="00C73FD2"/>
    <w:rsid w:val="00C80C99"/>
    <w:rsid w:val="00C86194"/>
    <w:rsid w:val="00C92982"/>
    <w:rsid w:val="00CA1192"/>
    <w:rsid w:val="00CA4242"/>
    <w:rsid w:val="00CB26C8"/>
    <w:rsid w:val="00CB3CF9"/>
    <w:rsid w:val="00CC0AFB"/>
    <w:rsid w:val="00CD6198"/>
    <w:rsid w:val="00CD6F95"/>
    <w:rsid w:val="00CE04EA"/>
    <w:rsid w:val="00CE09D6"/>
    <w:rsid w:val="00CE5099"/>
    <w:rsid w:val="00CE77C5"/>
    <w:rsid w:val="00CE7B33"/>
    <w:rsid w:val="00D022A2"/>
    <w:rsid w:val="00D024A3"/>
    <w:rsid w:val="00D038C3"/>
    <w:rsid w:val="00D04091"/>
    <w:rsid w:val="00D04F34"/>
    <w:rsid w:val="00D11266"/>
    <w:rsid w:val="00D11C4B"/>
    <w:rsid w:val="00D14B45"/>
    <w:rsid w:val="00D16D90"/>
    <w:rsid w:val="00D278B3"/>
    <w:rsid w:val="00D318E5"/>
    <w:rsid w:val="00D3386B"/>
    <w:rsid w:val="00D36CC4"/>
    <w:rsid w:val="00D40BCE"/>
    <w:rsid w:val="00D4342F"/>
    <w:rsid w:val="00D505D8"/>
    <w:rsid w:val="00D552F2"/>
    <w:rsid w:val="00D611E0"/>
    <w:rsid w:val="00D64B77"/>
    <w:rsid w:val="00D6709E"/>
    <w:rsid w:val="00D74809"/>
    <w:rsid w:val="00D8001C"/>
    <w:rsid w:val="00D824E8"/>
    <w:rsid w:val="00D83F0B"/>
    <w:rsid w:val="00D84C49"/>
    <w:rsid w:val="00D86270"/>
    <w:rsid w:val="00D9200E"/>
    <w:rsid w:val="00D9210E"/>
    <w:rsid w:val="00D9779F"/>
    <w:rsid w:val="00DA3417"/>
    <w:rsid w:val="00DA3F9A"/>
    <w:rsid w:val="00DA419A"/>
    <w:rsid w:val="00DA56C1"/>
    <w:rsid w:val="00DC43F1"/>
    <w:rsid w:val="00DC7A3D"/>
    <w:rsid w:val="00DE357D"/>
    <w:rsid w:val="00DE6917"/>
    <w:rsid w:val="00DF158C"/>
    <w:rsid w:val="00DF502C"/>
    <w:rsid w:val="00E03202"/>
    <w:rsid w:val="00E11197"/>
    <w:rsid w:val="00E113CD"/>
    <w:rsid w:val="00E213ED"/>
    <w:rsid w:val="00E27D4D"/>
    <w:rsid w:val="00E3131E"/>
    <w:rsid w:val="00E3414D"/>
    <w:rsid w:val="00E34280"/>
    <w:rsid w:val="00E355E3"/>
    <w:rsid w:val="00E406C4"/>
    <w:rsid w:val="00E439F1"/>
    <w:rsid w:val="00E50965"/>
    <w:rsid w:val="00E51723"/>
    <w:rsid w:val="00E5287C"/>
    <w:rsid w:val="00E54D60"/>
    <w:rsid w:val="00E56159"/>
    <w:rsid w:val="00E56E5E"/>
    <w:rsid w:val="00E632B0"/>
    <w:rsid w:val="00E636D1"/>
    <w:rsid w:val="00E96636"/>
    <w:rsid w:val="00EA48D9"/>
    <w:rsid w:val="00EA79EE"/>
    <w:rsid w:val="00EB0FA7"/>
    <w:rsid w:val="00EB3A27"/>
    <w:rsid w:val="00EC23F5"/>
    <w:rsid w:val="00EC3BCB"/>
    <w:rsid w:val="00ED6B4D"/>
    <w:rsid w:val="00EE0340"/>
    <w:rsid w:val="00EE1019"/>
    <w:rsid w:val="00EE2100"/>
    <w:rsid w:val="00EE510A"/>
    <w:rsid w:val="00EE6250"/>
    <w:rsid w:val="00EF18C0"/>
    <w:rsid w:val="00EF2958"/>
    <w:rsid w:val="00EF78AB"/>
    <w:rsid w:val="00F02475"/>
    <w:rsid w:val="00F02946"/>
    <w:rsid w:val="00F05C5E"/>
    <w:rsid w:val="00F079FA"/>
    <w:rsid w:val="00F14A84"/>
    <w:rsid w:val="00F16A42"/>
    <w:rsid w:val="00F26EC2"/>
    <w:rsid w:val="00F33AC4"/>
    <w:rsid w:val="00F44E17"/>
    <w:rsid w:val="00F61E77"/>
    <w:rsid w:val="00F67459"/>
    <w:rsid w:val="00F71900"/>
    <w:rsid w:val="00F87263"/>
    <w:rsid w:val="00F954E7"/>
    <w:rsid w:val="00F970C7"/>
    <w:rsid w:val="00FA5A43"/>
    <w:rsid w:val="00FA71BF"/>
    <w:rsid w:val="00FC1F7A"/>
    <w:rsid w:val="00FC512E"/>
    <w:rsid w:val="00FC7BF9"/>
    <w:rsid w:val="00FD0290"/>
    <w:rsid w:val="00FD1D02"/>
    <w:rsid w:val="00FD22B5"/>
    <w:rsid w:val="00FD41D3"/>
    <w:rsid w:val="00FD46A2"/>
    <w:rsid w:val="00FD5407"/>
    <w:rsid w:val="00FE1457"/>
    <w:rsid w:val="00FE3EAC"/>
    <w:rsid w:val="00FE78ED"/>
    <w:rsid w:val="00FF4704"/>
    <w:rsid w:val="00FF7B30"/>
    <w:rsid w:val="01386A2C"/>
    <w:rsid w:val="01570B67"/>
    <w:rsid w:val="022C0844"/>
    <w:rsid w:val="02B9560C"/>
    <w:rsid w:val="030F3B6D"/>
    <w:rsid w:val="035E436F"/>
    <w:rsid w:val="037F5F85"/>
    <w:rsid w:val="03EF1A17"/>
    <w:rsid w:val="044B0411"/>
    <w:rsid w:val="045434A9"/>
    <w:rsid w:val="0457020B"/>
    <w:rsid w:val="04FA1D4E"/>
    <w:rsid w:val="058F41C3"/>
    <w:rsid w:val="07051152"/>
    <w:rsid w:val="07642598"/>
    <w:rsid w:val="0893502B"/>
    <w:rsid w:val="08C649D2"/>
    <w:rsid w:val="08C83EE5"/>
    <w:rsid w:val="099A43FA"/>
    <w:rsid w:val="09D632C5"/>
    <w:rsid w:val="09DC2BD4"/>
    <w:rsid w:val="0A924307"/>
    <w:rsid w:val="0B5C340D"/>
    <w:rsid w:val="0B77524E"/>
    <w:rsid w:val="0BBB576D"/>
    <w:rsid w:val="0C2B2773"/>
    <w:rsid w:val="0CFC2592"/>
    <w:rsid w:val="0DB07AF0"/>
    <w:rsid w:val="0DDB5F50"/>
    <w:rsid w:val="0DF708AA"/>
    <w:rsid w:val="0F486C53"/>
    <w:rsid w:val="0F49034C"/>
    <w:rsid w:val="0FA81802"/>
    <w:rsid w:val="10993708"/>
    <w:rsid w:val="10C746B0"/>
    <w:rsid w:val="11DF6DF8"/>
    <w:rsid w:val="120A0F88"/>
    <w:rsid w:val="120D6F94"/>
    <w:rsid w:val="12617412"/>
    <w:rsid w:val="128528BC"/>
    <w:rsid w:val="12B13D2A"/>
    <w:rsid w:val="135E43C1"/>
    <w:rsid w:val="13E319AB"/>
    <w:rsid w:val="1462733A"/>
    <w:rsid w:val="14861CA9"/>
    <w:rsid w:val="14930823"/>
    <w:rsid w:val="14FB3A79"/>
    <w:rsid w:val="156035B9"/>
    <w:rsid w:val="15CA10EB"/>
    <w:rsid w:val="170C040E"/>
    <w:rsid w:val="17842C3A"/>
    <w:rsid w:val="178643E9"/>
    <w:rsid w:val="17C44FA3"/>
    <w:rsid w:val="18056753"/>
    <w:rsid w:val="18457C19"/>
    <w:rsid w:val="18587B9C"/>
    <w:rsid w:val="18771897"/>
    <w:rsid w:val="18967301"/>
    <w:rsid w:val="189D32C6"/>
    <w:rsid w:val="19013197"/>
    <w:rsid w:val="19164605"/>
    <w:rsid w:val="19350D5E"/>
    <w:rsid w:val="19466264"/>
    <w:rsid w:val="196C4DCB"/>
    <w:rsid w:val="19EE54BA"/>
    <w:rsid w:val="1A642030"/>
    <w:rsid w:val="1ADD726E"/>
    <w:rsid w:val="1AE0642E"/>
    <w:rsid w:val="1B08408F"/>
    <w:rsid w:val="1B37668E"/>
    <w:rsid w:val="1BA64DBC"/>
    <w:rsid w:val="1BFC739E"/>
    <w:rsid w:val="1C872916"/>
    <w:rsid w:val="1CAA5BC5"/>
    <w:rsid w:val="1D7A52C2"/>
    <w:rsid w:val="1E750E0D"/>
    <w:rsid w:val="1F050C13"/>
    <w:rsid w:val="1FB27036"/>
    <w:rsid w:val="1FB5026E"/>
    <w:rsid w:val="1FD21790"/>
    <w:rsid w:val="1FDF12D4"/>
    <w:rsid w:val="20EB6B38"/>
    <w:rsid w:val="20F87BBA"/>
    <w:rsid w:val="212047C3"/>
    <w:rsid w:val="21410299"/>
    <w:rsid w:val="214E483B"/>
    <w:rsid w:val="21F45E0F"/>
    <w:rsid w:val="223E0960"/>
    <w:rsid w:val="225F1125"/>
    <w:rsid w:val="23043A66"/>
    <w:rsid w:val="2421039C"/>
    <w:rsid w:val="24B95C4A"/>
    <w:rsid w:val="24ED7330"/>
    <w:rsid w:val="257D1F2C"/>
    <w:rsid w:val="25955FD0"/>
    <w:rsid w:val="25A2684C"/>
    <w:rsid w:val="25A8180B"/>
    <w:rsid w:val="25F1159F"/>
    <w:rsid w:val="26676D80"/>
    <w:rsid w:val="26A84912"/>
    <w:rsid w:val="27853DA8"/>
    <w:rsid w:val="27CB3C1A"/>
    <w:rsid w:val="27E65EE2"/>
    <w:rsid w:val="281D3E42"/>
    <w:rsid w:val="28515288"/>
    <w:rsid w:val="286B77DA"/>
    <w:rsid w:val="295D2C21"/>
    <w:rsid w:val="29B76EF8"/>
    <w:rsid w:val="29FC6AB7"/>
    <w:rsid w:val="2A4F42E4"/>
    <w:rsid w:val="2A9E1C2A"/>
    <w:rsid w:val="2B0D2910"/>
    <w:rsid w:val="2BA74800"/>
    <w:rsid w:val="2BBDE8FA"/>
    <w:rsid w:val="2BF50730"/>
    <w:rsid w:val="2BF77FD9"/>
    <w:rsid w:val="2C9D76A8"/>
    <w:rsid w:val="2CCB3C0E"/>
    <w:rsid w:val="2D1D1DFC"/>
    <w:rsid w:val="2D6B1660"/>
    <w:rsid w:val="2E4C4DCD"/>
    <w:rsid w:val="2E627CEF"/>
    <w:rsid w:val="2E7474B2"/>
    <w:rsid w:val="2EC41ECF"/>
    <w:rsid w:val="2EEE01ED"/>
    <w:rsid w:val="2F1F6E53"/>
    <w:rsid w:val="2F6331E2"/>
    <w:rsid w:val="2FF843E6"/>
    <w:rsid w:val="30322B8C"/>
    <w:rsid w:val="307504EC"/>
    <w:rsid w:val="313E33C4"/>
    <w:rsid w:val="320472CA"/>
    <w:rsid w:val="321F5A25"/>
    <w:rsid w:val="3227669B"/>
    <w:rsid w:val="32BE3C61"/>
    <w:rsid w:val="33E764F4"/>
    <w:rsid w:val="346641E6"/>
    <w:rsid w:val="34E50E81"/>
    <w:rsid w:val="35665FE4"/>
    <w:rsid w:val="357E2A4A"/>
    <w:rsid w:val="35893B58"/>
    <w:rsid w:val="35B51B7F"/>
    <w:rsid w:val="363C0FF2"/>
    <w:rsid w:val="364024BC"/>
    <w:rsid w:val="36604A86"/>
    <w:rsid w:val="367B4DA5"/>
    <w:rsid w:val="369737A5"/>
    <w:rsid w:val="36A42423"/>
    <w:rsid w:val="371437A0"/>
    <w:rsid w:val="37311039"/>
    <w:rsid w:val="37A4681A"/>
    <w:rsid w:val="37DE6562"/>
    <w:rsid w:val="3831103D"/>
    <w:rsid w:val="385044AE"/>
    <w:rsid w:val="38EF360E"/>
    <w:rsid w:val="38F63571"/>
    <w:rsid w:val="39D90CA6"/>
    <w:rsid w:val="3A3C2E03"/>
    <w:rsid w:val="3AF63B3D"/>
    <w:rsid w:val="3B072825"/>
    <w:rsid w:val="3B615DAA"/>
    <w:rsid w:val="3C1B2531"/>
    <w:rsid w:val="3CC003C5"/>
    <w:rsid w:val="3DB368A0"/>
    <w:rsid w:val="3E17435A"/>
    <w:rsid w:val="3E3B7876"/>
    <w:rsid w:val="3EA9307D"/>
    <w:rsid w:val="3EAE5A66"/>
    <w:rsid w:val="3ED706A1"/>
    <w:rsid w:val="3F2D14DE"/>
    <w:rsid w:val="3F7A7082"/>
    <w:rsid w:val="3F815EDB"/>
    <w:rsid w:val="3FDE9FF2"/>
    <w:rsid w:val="4016692E"/>
    <w:rsid w:val="40504F64"/>
    <w:rsid w:val="40D44971"/>
    <w:rsid w:val="410407F1"/>
    <w:rsid w:val="41274D19"/>
    <w:rsid w:val="413D7E18"/>
    <w:rsid w:val="41DC288F"/>
    <w:rsid w:val="42477C86"/>
    <w:rsid w:val="4275132F"/>
    <w:rsid w:val="429B7EB5"/>
    <w:rsid w:val="42C61656"/>
    <w:rsid w:val="42D23BD1"/>
    <w:rsid w:val="42E128BF"/>
    <w:rsid w:val="42E36099"/>
    <w:rsid w:val="42E41862"/>
    <w:rsid w:val="42FD7B65"/>
    <w:rsid w:val="431A33FA"/>
    <w:rsid w:val="436C150A"/>
    <w:rsid w:val="43DC34BF"/>
    <w:rsid w:val="440C1F1E"/>
    <w:rsid w:val="44655AD0"/>
    <w:rsid w:val="44927766"/>
    <w:rsid w:val="44F16E01"/>
    <w:rsid w:val="45190BD5"/>
    <w:rsid w:val="45BF5C20"/>
    <w:rsid w:val="45C15F44"/>
    <w:rsid w:val="45CE75EB"/>
    <w:rsid w:val="45E6632A"/>
    <w:rsid w:val="45EA67E7"/>
    <w:rsid w:val="46657975"/>
    <w:rsid w:val="469242C3"/>
    <w:rsid w:val="47A3328A"/>
    <w:rsid w:val="47AA156F"/>
    <w:rsid w:val="47CB1038"/>
    <w:rsid w:val="47FC01CE"/>
    <w:rsid w:val="48944149"/>
    <w:rsid w:val="48E55F25"/>
    <w:rsid w:val="49B85234"/>
    <w:rsid w:val="49CD0730"/>
    <w:rsid w:val="4A280647"/>
    <w:rsid w:val="4A3D1076"/>
    <w:rsid w:val="4A5359A3"/>
    <w:rsid w:val="4A7F42EF"/>
    <w:rsid w:val="4AC71923"/>
    <w:rsid w:val="4B612061"/>
    <w:rsid w:val="4BA62ADD"/>
    <w:rsid w:val="4C8640BC"/>
    <w:rsid w:val="4C8A5D4C"/>
    <w:rsid w:val="4DA040C3"/>
    <w:rsid w:val="4DB455FE"/>
    <w:rsid w:val="4DB636D5"/>
    <w:rsid w:val="4E182F0F"/>
    <w:rsid w:val="4E790E1C"/>
    <w:rsid w:val="4E8237C4"/>
    <w:rsid w:val="4EB909E2"/>
    <w:rsid w:val="4EE9528B"/>
    <w:rsid w:val="4F771262"/>
    <w:rsid w:val="4F99276C"/>
    <w:rsid w:val="4FB43A01"/>
    <w:rsid w:val="502D1517"/>
    <w:rsid w:val="50606D00"/>
    <w:rsid w:val="506514BF"/>
    <w:rsid w:val="50A92A8E"/>
    <w:rsid w:val="512B2401"/>
    <w:rsid w:val="51874427"/>
    <w:rsid w:val="519A136F"/>
    <w:rsid w:val="5233211D"/>
    <w:rsid w:val="529010A5"/>
    <w:rsid w:val="53F172C7"/>
    <w:rsid w:val="54262A29"/>
    <w:rsid w:val="54AC17CD"/>
    <w:rsid w:val="555B02F3"/>
    <w:rsid w:val="556078D1"/>
    <w:rsid w:val="55A334F9"/>
    <w:rsid w:val="55CF3268"/>
    <w:rsid w:val="56416840"/>
    <w:rsid w:val="567B67FA"/>
    <w:rsid w:val="57414427"/>
    <w:rsid w:val="57B518DE"/>
    <w:rsid w:val="57F96447"/>
    <w:rsid w:val="588E52A9"/>
    <w:rsid w:val="58C27216"/>
    <w:rsid w:val="58D10A57"/>
    <w:rsid w:val="58D521F3"/>
    <w:rsid w:val="59504FE1"/>
    <w:rsid w:val="59EC6FF3"/>
    <w:rsid w:val="5A45514D"/>
    <w:rsid w:val="5A5009D9"/>
    <w:rsid w:val="5A9041D7"/>
    <w:rsid w:val="5ABF549C"/>
    <w:rsid w:val="5ADF5964"/>
    <w:rsid w:val="5B0A729A"/>
    <w:rsid w:val="5B631153"/>
    <w:rsid w:val="5B8C637A"/>
    <w:rsid w:val="5C29681F"/>
    <w:rsid w:val="5C4A6EBD"/>
    <w:rsid w:val="5CF84FD6"/>
    <w:rsid w:val="5D947788"/>
    <w:rsid w:val="5DA6176C"/>
    <w:rsid w:val="5DCB01BF"/>
    <w:rsid w:val="5DDF4E6A"/>
    <w:rsid w:val="5E057FFA"/>
    <w:rsid w:val="5E5023AA"/>
    <w:rsid w:val="5F112777"/>
    <w:rsid w:val="5F176E91"/>
    <w:rsid w:val="5FA75614"/>
    <w:rsid w:val="5FD212A9"/>
    <w:rsid w:val="60917A84"/>
    <w:rsid w:val="613626DF"/>
    <w:rsid w:val="617063E6"/>
    <w:rsid w:val="625A2F7D"/>
    <w:rsid w:val="62CB3036"/>
    <w:rsid w:val="632C0985"/>
    <w:rsid w:val="63F36893"/>
    <w:rsid w:val="64040CBA"/>
    <w:rsid w:val="64370A43"/>
    <w:rsid w:val="64407A16"/>
    <w:rsid w:val="64894D31"/>
    <w:rsid w:val="6490091C"/>
    <w:rsid w:val="64D82D2D"/>
    <w:rsid w:val="659B3679"/>
    <w:rsid w:val="65A7055F"/>
    <w:rsid w:val="660A5E56"/>
    <w:rsid w:val="66305CD8"/>
    <w:rsid w:val="66AD6241"/>
    <w:rsid w:val="676520A4"/>
    <w:rsid w:val="67C565F6"/>
    <w:rsid w:val="6842209F"/>
    <w:rsid w:val="68E96BA9"/>
    <w:rsid w:val="68F33918"/>
    <w:rsid w:val="68F457A4"/>
    <w:rsid w:val="6988298E"/>
    <w:rsid w:val="69D6175F"/>
    <w:rsid w:val="69E605A7"/>
    <w:rsid w:val="6A0D2CE2"/>
    <w:rsid w:val="6A47655B"/>
    <w:rsid w:val="6A493FCB"/>
    <w:rsid w:val="6A5562D6"/>
    <w:rsid w:val="6A9C1DBD"/>
    <w:rsid w:val="6AE009CC"/>
    <w:rsid w:val="6B1B1D02"/>
    <w:rsid w:val="6B466328"/>
    <w:rsid w:val="6BF747F2"/>
    <w:rsid w:val="6C25050B"/>
    <w:rsid w:val="6C5C6B72"/>
    <w:rsid w:val="6C8B09C4"/>
    <w:rsid w:val="6CFD69BA"/>
    <w:rsid w:val="6E357C01"/>
    <w:rsid w:val="6E387819"/>
    <w:rsid w:val="6EBF4B3A"/>
    <w:rsid w:val="6EC06391"/>
    <w:rsid w:val="6F432CCA"/>
    <w:rsid w:val="6F53271F"/>
    <w:rsid w:val="6F9330CB"/>
    <w:rsid w:val="6FA974DB"/>
    <w:rsid w:val="6FCC26D2"/>
    <w:rsid w:val="6FD93278"/>
    <w:rsid w:val="703F1549"/>
    <w:rsid w:val="70833A1C"/>
    <w:rsid w:val="70974653"/>
    <w:rsid w:val="71045E51"/>
    <w:rsid w:val="7106153B"/>
    <w:rsid w:val="71AB66C2"/>
    <w:rsid w:val="71DD18FC"/>
    <w:rsid w:val="72B22CB5"/>
    <w:rsid w:val="73107F71"/>
    <w:rsid w:val="736C4B91"/>
    <w:rsid w:val="73964704"/>
    <w:rsid w:val="7396727F"/>
    <w:rsid w:val="73C118CA"/>
    <w:rsid w:val="73D0467E"/>
    <w:rsid w:val="73D9457B"/>
    <w:rsid w:val="73E262B6"/>
    <w:rsid w:val="744A6ACB"/>
    <w:rsid w:val="74B97466"/>
    <w:rsid w:val="75154854"/>
    <w:rsid w:val="753052B2"/>
    <w:rsid w:val="755F561D"/>
    <w:rsid w:val="75844077"/>
    <w:rsid w:val="75BC2223"/>
    <w:rsid w:val="76FF5463"/>
    <w:rsid w:val="774677D5"/>
    <w:rsid w:val="776766EF"/>
    <w:rsid w:val="77EB3576"/>
    <w:rsid w:val="7802394F"/>
    <w:rsid w:val="782062F5"/>
    <w:rsid w:val="78726A3E"/>
    <w:rsid w:val="788A16F5"/>
    <w:rsid w:val="79F07445"/>
    <w:rsid w:val="7AFC2883"/>
    <w:rsid w:val="7B9D2D21"/>
    <w:rsid w:val="7B9F2966"/>
    <w:rsid w:val="7BEF3FA9"/>
    <w:rsid w:val="7C621A94"/>
    <w:rsid w:val="7CB23424"/>
    <w:rsid w:val="7CD63A24"/>
    <w:rsid w:val="7D0F04F1"/>
    <w:rsid w:val="7D1B4C74"/>
    <w:rsid w:val="7D4C7A68"/>
    <w:rsid w:val="7D5B4BC6"/>
    <w:rsid w:val="7D7A188A"/>
    <w:rsid w:val="7DE40EC4"/>
    <w:rsid w:val="7DF315A0"/>
    <w:rsid w:val="7F047B23"/>
    <w:rsid w:val="7F0F0C0F"/>
    <w:rsid w:val="7F4E4FDC"/>
    <w:rsid w:val="7F606718"/>
    <w:rsid w:val="7F896ABF"/>
    <w:rsid w:val="7F9B42CB"/>
    <w:rsid w:val="7FBF0B64"/>
    <w:rsid w:val="FEEDF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nhideWhenUsed="0" w:uiPriority="0" w:semiHidden="0"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eastAsia="方正仿宋_GBK" w:asciiTheme="minorAscii" w:hAnsiTheme="minorAscii" w:cstheme="minorBidi"/>
      <w:kern w:val="2"/>
      <w:sz w:val="32"/>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0"/>
    <w:pPr>
      <w:keepNext/>
      <w:keepLines/>
      <w:spacing w:before="260" w:after="260" w:line="410" w:lineRule="auto"/>
      <w:outlineLvl w:val="1"/>
    </w:pPr>
    <w:rPr>
      <w:rFonts w:ascii="Arial" w:hAnsi="Arial" w:eastAsia="黑体" w:cs="Times New Roman"/>
      <w:b/>
      <w:bCs/>
      <w:sz w:val="32"/>
      <w:szCs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next w:val="1"/>
    <w:qFormat/>
    <w:uiPriority w:val="0"/>
    <w:pPr>
      <w:spacing w:after="120" w:afterLines="0" w:afterAutospacing="0"/>
      <w:ind w:firstLine="0" w:firstLineChars="0"/>
    </w:pPr>
    <w:rPr>
      <w:rFonts w:ascii="Times New Roman" w:hAnsi="Times New Roman"/>
    </w:rPr>
  </w:style>
  <w:style w:type="paragraph" w:styleId="6">
    <w:name w:val="toc 3"/>
    <w:basedOn w:val="1"/>
    <w:next w:val="1"/>
    <w:unhideWhenUsed/>
    <w:qFormat/>
    <w:uiPriority w:val="39"/>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character" w:customStyle="1" w:styleId="13">
    <w:name w:val="标题 1 Char"/>
    <w:basedOn w:val="12"/>
    <w:link w:val="2"/>
    <w:qFormat/>
    <w:uiPriority w:val="9"/>
    <w:rPr>
      <w:b/>
      <w:bCs/>
      <w:kern w:val="44"/>
      <w:sz w:val="44"/>
      <w:szCs w:val="44"/>
    </w:rPr>
  </w:style>
  <w:style w:type="character" w:customStyle="1" w:styleId="14">
    <w:name w:val="标题 2 Char"/>
    <w:basedOn w:val="12"/>
    <w:link w:val="3"/>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7912</Words>
  <Characters>45102</Characters>
  <Lines>375</Lines>
  <Paragraphs>105</Paragraphs>
  <TotalTime>4</TotalTime>
  <ScaleCrop>false</ScaleCrop>
  <LinksUpToDate>false</LinksUpToDate>
  <CharactersWithSpaces>52909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2017-03-03T02:53:00Z</dcterms:created>
  <dc:creator>thinkpad</dc:creator>
  <cp:lastModifiedBy>lenovo</cp:lastModifiedBy>
  <cp:lastPrinted>2021-11-02T16:19:00Z</cp:lastPrinted>
  <dcterms:modified xsi:type="dcterms:W3CDTF">2021-12-22T02:43:48Z</dcterms:modified>
  <cp:revision>802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438201607_btnclosed</vt:lpwstr>
  </property>
  <property fmtid="{D5CDD505-2E9C-101B-9397-08002B2CF9AE}" pid="4" name="ICV">
    <vt:lpwstr>244436FB68614E40BA1780AA5B8F99CC</vt:lpwstr>
  </property>
</Properties>
</file>