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房地产开发企业二级资质核定（设区的市级权限）延续</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【00011711800302】</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房地产开发企业资质核定【00011711800Y】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房地产开发企业二级资质核定（设区的市级权限）【000117118003】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房地产开发企业二级资质核定（设区的市级权限）延续(00011711800302)</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（1）《城市房地产开发经营管理条例》第九条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（2）《房地产开发企业资质管理规定》（建设部令第77号，住房和城乡建设部令第24号、第45号、第54号修改）第三条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（1）《房地产开发企业资质管理规定》（建设部令第77号，住房和城乡建设部令第24号、第45号、第54号修改）。</w:t>
      </w:r>
    </w:p>
    <w:p>
      <w:pPr>
        <w:spacing w:line="600" w:lineRule="exact"/>
        <w:ind w:firstLine="562" w:firstLineChars="200"/>
        <w:rPr>
          <w:rFonts w:hint="eastAsia" w:ascii="Times New Roman" w:hAnsi="Times New Roman" w:eastAsia="仿宋GB2312"/>
          <w:b/>
          <w:bCs/>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Times New Roman" w:hAnsi="Times New Roman" w:eastAsia="仿宋GB2312"/>
          <w:b/>
          <w:bCs/>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房地产开发企业资质核定（二级）</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1.有职称的建筑、结构、财务、房地产及有关经济类的专业管理人员不少于5人，其中专职会计人员不少于2人；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2.工程技术负责人具有相应专业中级以上职称，财务负责人具有相应专业初级以上职称，配有统计人员；</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3.具有完善的质量保证体系。</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房地产开发企业资质管理规定》（建设部令第77号，住房和城乡建设部令第24号、第45号、第54号修改）。第五条1.有职称的建筑、结构、财务、房地产及有关经济类的专业管理人员不少于5人，其中专职会计人员不少于2人；2.工程技术负责人具有相应专业中级以上职称，财务负责人具有相应专业初级以上职称，配有统计人员；3.具有完善的质量保证体系。</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房地产开发企业资质核定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房地产开发企业资质证书（二级）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将房地产开发企业资质由四级调整为两级，取消三级、四级资质，相应调整二级资质的许可条件。将承诺审批时限由20个工作日压减至5个工作日。</w:t>
      </w:r>
    </w:p>
    <w:p>
      <w:pPr>
        <w:spacing w:line="600" w:lineRule="exact"/>
        <w:ind w:firstLine="560" w:firstLineChars="200"/>
        <w:rPr>
          <w:rFonts w:ascii="方正仿宋_GBK" w:hAnsi="方正仿宋_GBK" w:eastAsia="方正仿宋_GBK" w:cs="方正仿宋_GBK"/>
          <w:sz w:val="28"/>
          <w:szCs w:val="28"/>
        </w:rPr>
      </w:pP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县级以上人民政府房地产开发主管部门依法依规开展“双随机、一公开”监管，依法查处房地产开发企业的违法违规行为。</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县级以上人民政府房地产开发主管部门依法依规加强对房地产开发企业信用监管，不断提升信用监管水平。</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指导行业协会发挥自律作用，推进房地产开发企业的规范诚信运作，杜绝违法违规行为。</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（1）企业资质等级申报表；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（2）专业管理、技术人员的职称证件；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（3）建立质量管理制度、具有质量管理部门及相应质量管理人员等质量保证体系情况说明。</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地产开发企业资质管理规定》（建设部令第77号，住房和城乡建设部令第24号、第45号、第54号修改）。第七条1.企业资质等级申报表；2.专业管理、技术人员的职称证件；3.建立质量管理制度、具有质量管理部门及相应质量管理人员等质量保证体系情况说明。</w:t>
      </w:r>
    </w:p>
    <w:p>
      <w:pPr>
        <w:widowControl/>
        <w:spacing w:line="600" w:lineRule="exact"/>
        <w:ind w:firstLine="560" w:firstLineChars="200"/>
        <w:rPr>
          <w:rFonts w:hint="eastAsia" w:ascii="Times New Roman" w:hAnsi="Times New Roman" w:eastAsia="黑体"/>
          <w:sz w:val="28"/>
          <w:szCs w:val="28"/>
        </w:rPr>
      </w:pPr>
      <w:r>
        <w:rPr>
          <w:rFonts w:hint="eastAsia" w:ascii="方正仿宋_GBK" w:hAnsi="方正仿宋_GBK" w:eastAsia="方正仿宋_GBK" w:cs="方正仿宋_GBK"/>
          <w:sz w:val="28"/>
          <w:szCs w:val="28"/>
        </w:rPr>
        <w:t>六、</w:t>
      </w: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申请企业提交申请；</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核定发证机关受理/不予受理；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核定发证机关审查；</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作出行政许可决定，不予许可的，告知申请人不予许可原因；准予许可的，制作并发放证书。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《房地产开发企业资质管理规定》（建设部令第77号，住房和城乡建设部令第24号、第45号、第54号修改）。第八条房地产开发企业资质等级实行分级审批。  </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一级资质由省、自治区、直辖市人民政府住房和城乡建设主管部门初审，报国务院住房和城乡建设主管部门审批。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二级资质由省、自治区、直辖市人民政府住房和城乡建设主管部门或者其确定的设区的市级人民政府房地产开发主管部门审批。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经资质审查合格的企业，由资质审批部门发给相应等级的资质证书。资质证书有效期为3年。 申请核定资质的房地产开发企业，应当通过相应的政务服务平台提出申请。</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4.承诺审批时限：5</w:t>
      </w:r>
      <w:r>
        <w:rPr>
          <w:rFonts w:ascii="方正仿宋_GBK" w:hAnsi="方正仿宋_GBK" w:eastAsia="方正仿宋_GBK" w:cs="方正仿宋_GBK"/>
          <w:sz w:val="28"/>
          <w:szCs w:val="28"/>
        </w:rPr>
        <w:t>个工作日</w:t>
      </w:r>
    </w:p>
    <w:p>
      <w:pPr>
        <w:widowControl/>
        <w:spacing w:line="600" w:lineRule="exact"/>
        <w:ind w:firstLine="560" w:firstLineChars="200"/>
        <w:rPr>
          <w:rFonts w:hint="eastAsia" w:ascii="Times New Roman" w:hAnsi="Times New Roman" w:eastAsia="黑体"/>
          <w:sz w:val="28"/>
          <w:szCs w:val="28"/>
        </w:rPr>
      </w:pPr>
      <w:r>
        <w:rPr>
          <w:rFonts w:hint="eastAsia" w:ascii="方正仿宋_GBK" w:hAnsi="方正仿宋_GBK" w:eastAsia="方正仿宋_GBK" w:cs="方正仿宋_GBK"/>
          <w:sz w:val="28"/>
          <w:szCs w:val="28"/>
        </w:rPr>
        <w:t>九、</w:t>
      </w: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房地产开发企业资质证书（二级）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3年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《房地产开发企业资质管理规定》（建设部令第77号，住房和城乡建设部令第24号、第45号、第54号修改）。第八条资质证书有效期为3年。</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企业变更名称、法定代表人和主要管理、技术负责人，应当在变更30日内，向原资质审批部门办理变更手续。 </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（1）有职称的建筑、结构、财务、房地产及有关经济类的专业管理人员不少于5人，其中专职会计人员不少于2人；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（2）工程技术负责人具有相应专业中级以上职称，财务负责人具有相应专业初级以上职称，配有统计人员；</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（3）具有完善的质量保证体系。</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《中华人民共和国行政许可法》第四十一条法律、行政法规设定的行政许可，其适用范围没有地域限制的，申请人取得的行政许可在全国范围内有效。</w:t>
      </w:r>
    </w:p>
    <w:p>
      <w:pPr>
        <w:spacing w:line="600" w:lineRule="exact"/>
        <w:ind w:firstLine="560" w:firstLineChars="200"/>
        <w:rPr>
          <w:rFonts w:hint="eastAsia" w:ascii="Times New Roman" w:hAnsi="Times New Roman" w:eastAsia="黑体"/>
          <w:sz w:val="28"/>
          <w:szCs w:val="28"/>
        </w:rPr>
      </w:pPr>
      <w:r>
        <w:rPr>
          <w:rFonts w:hint="eastAsia" w:ascii="方正仿宋_GBK" w:hAnsi="方正仿宋_GBK" w:eastAsia="方正仿宋_GBK" w:cs="方正仿宋_GBK"/>
          <w:sz w:val="28"/>
          <w:szCs w:val="28"/>
        </w:rPr>
        <w:t>十一、</w:t>
      </w: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0" w:firstLineChars="200"/>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省、自治区、直辖市人民政府住房城乡建设主管部门确定的设区的市级人民政府住房城乡建设主管部门</w:t>
      </w:r>
    </w:p>
    <w:p>
      <w:pPr>
        <w:spacing w:line="540" w:lineRule="exact"/>
        <w:ind w:firstLine="560" w:firstLineChars="200"/>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根据《云南省住房和城乡建设厅关于明确房地产开发企业二级资质审批权限的通知》要求，二级资质审批由各州市住房城乡建设（房地产开发）主管部门审批。</w:t>
      </w: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151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2023-11-06T02:44:23Z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