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20"/>
          <w:kern w:val="0"/>
          <w:sz w:val="44"/>
          <w:szCs w:val="44"/>
          <w:lang w:eastAsia="zh-CN"/>
          <w14:textFill>
            <w14:solidFill>
              <w14:schemeClr w14:val="tx1"/>
            </w14:solidFill>
          </w14:textFill>
        </w:rPr>
        <w:t>玉溪市</w:t>
      </w:r>
      <w:r>
        <w:rPr>
          <w:rFonts w:hint="eastAsia" w:ascii="方正小标宋_GBK" w:hAnsi="方正小标宋_GBK" w:eastAsia="方正小标宋_GBK" w:cs="方正小标宋_GBK"/>
          <w:color w:val="000000" w:themeColor="text1"/>
          <w:spacing w:val="-20"/>
          <w:kern w:val="0"/>
          <w:sz w:val="44"/>
          <w:szCs w:val="44"/>
          <w14:textFill>
            <w14:solidFill>
              <w14:schemeClr w14:val="tx1"/>
            </w14:solidFill>
          </w14:textFill>
        </w:rPr>
        <w:t>管道燃气特许经营</w:t>
      </w:r>
      <w:r>
        <w:rPr>
          <w:rFonts w:hint="eastAsia" w:ascii="方正小标宋_GBK" w:hAnsi="方正小标宋_GBK" w:eastAsia="方正小标宋_GBK" w:cs="方正小标宋_GBK"/>
          <w:color w:val="000000" w:themeColor="text1"/>
          <w:spacing w:val="-20"/>
          <w:kern w:val="0"/>
          <w:sz w:val="44"/>
          <w:szCs w:val="44"/>
          <w:lang w:eastAsia="zh-CN"/>
          <w14:textFill>
            <w14:solidFill>
              <w14:schemeClr w14:val="tx1"/>
            </w14:solidFill>
          </w14:textFill>
        </w:rPr>
        <w:t>考核评估</w:t>
      </w:r>
      <w:r>
        <w:rPr>
          <w:rFonts w:hint="eastAsia" w:ascii="方正小标宋_GBK" w:hAnsi="方正小标宋_GBK" w:eastAsia="方正小标宋_GBK" w:cs="方正小标宋_GBK"/>
          <w:color w:val="000000" w:themeColor="text1"/>
          <w:spacing w:val="-20"/>
          <w:kern w:val="0"/>
          <w:sz w:val="44"/>
          <w:szCs w:val="44"/>
          <w14:textFill>
            <w14:solidFill>
              <w14:schemeClr w14:val="tx1"/>
            </w14:solidFill>
          </w14:textFill>
        </w:rPr>
        <w:t>管理办法</w:t>
      </w:r>
      <w:r>
        <w:rPr>
          <w:rFonts w:hint="eastAsia" w:ascii="方正小标宋_GBK" w:hAnsi="方正小标宋_GBK" w:eastAsia="方正小标宋_GBK" w:cs="方正小标宋_GBK"/>
          <w:color w:val="000000" w:themeColor="text1"/>
          <w:spacing w:val="-20"/>
          <w:kern w:val="0"/>
          <w:sz w:val="44"/>
          <w:szCs w:val="44"/>
          <w:lang w:eastAsia="zh-CN"/>
          <w14:textFill>
            <w14:solidFill>
              <w14:schemeClr w14:val="tx1"/>
            </w14:solidFill>
          </w14:textFill>
        </w:rPr>
        <w:t>（试行）</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（征求意见稿）</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lang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Style w:val="10"/>
          <w:rFonts w:hint="eastAsia" w:ascii="方正黑体_GBK" w:hAnsi="方正黑体_GBK" w:eastAsia="方正黑体_GBK" w:cs="方正黑体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为规范</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玉溪市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管道燃气特许经营运行，健全和完善管道燃气监管体系，根据《基础设施和公用事业特许经营管理办法》《市政公用事业特许经营管理办法》《</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云南省</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燃气管理条例》等</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法律法规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对本</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行政区域内管道燃气特许经营的</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管理，适用本办法。</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default" w:ascii="方正黑体_GBK" w:hAnsi="方正黑体_GBK" w:eastAsia="方正黑体_GBK" w:cs="方正黑体_GBK"/>
          <w:color w:val="000000" w:themeColor="text1"/>
          <w:kern w:val="0"/>
          <w:sz w:val="32"/>
          <w:szCs w:val="32"/>
          <w14:textFill>
            <w14:solidFill>
              <w14:schemeClr w14:val="tx1"/>
            </w14:solidFill>
          </w14:textFill>
        </w:rPr>
      </w:pPr>
      <w:r>
        <w:rPr>
          <w:rFonts w:hint="default" w:ascii="方正黑体_GBK" w:hAnsi="方正黑体_GBK" w:eastAsia="方正黑体_GBK" w:cs="方正黑体_GBK"/>
          <w:color w:val="000000" w:themeColor="text1"/>
          <w:kern w:val="0"/>
          <w:sz w:val="32"/>
          <w:szCs w:val="32"/>
          <w14:textFill>
            <w14:solidFill>
              <w14:schemeClr w14:val="tx1"/>
            </w14:solidFill>
          </w14:textFill>
        </w:rPr>
        <w:t>第二章 评估组织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第三条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玉溪市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住房和城乡建设</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负责全</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管道燃气特许经营</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的指导和监督工作，牵头建立全</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管道燃气特许经营</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专家库，明确专家入库的要求和程序。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市、</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县（市、区）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燃气主管部门依据本级人民政府的授权负责本行政区域内的管道燃气特许经营</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的具体工作。</w:t>
      </w:r>
    </w:p>
    <w:p>
      <w:pPr>
        <w:keepNext w:val="0"/>
        <w:keepLines w:val="0"/>
        <w:pageBreakBefore w:val="0"/>
        <w:kinsoku/>
        <w:wordWrap/>
        <w:overflowPunct/>
        <w:topLinePunct w:val="0"/>
        <w:autoSpaceDE w:val="0"/>
        <w:autoSpaceDN w:val="0"/>
        <w:bidi w:val="0"/>
        <w:adjustRightInd w:val="0"/>
        <w:snapToGrid/>
        <w:spacing w:line="590" w:lineRule="exact"/>
        <w:ind w:firstLine="624" w:firstLineChars="200"/>
        <w:jc w:val="center"/>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第四条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市、</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县（市、区）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人民政府建立由政府统筹，各部门协同合作的工作推进机制，成立由</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市住房城乡建设</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（燃气主管）、公安、发改、财政、市场监管、应急管理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、国资委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等部门组成的</w:t>
      </w:r>
    </w:p>
    <w:p>
      <w:pPr>
        <w:keepNext w:val="0"/>
        <w:keepLines w:val="0"/>
        <w:pageBreakBefore w:val="0"/>
        <w:kinsoku/>
        <w:wordWrap/>
        <w:overflowPunct/>
        <w:topLinePunct w:val="0"/>
        <w:autoSpaceDE w:val="0"/>
        <w:autoSpaceDN w:val="0"/>
        <w:bidi w:val="0"/>
        <w:adjustRightInd w:val="0"/>
        <w:snapToGrid/>
        <w:spacing w:line="59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工作领导小组，并制定具体</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工作实施方案。</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default"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第三章</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default" w:ascii="方正黑体_GBK" w:hAnsi="方正黑体_GBK" w:eastAsia="方正黑体_GBK" w:cs="方正黑体_GBK"/>
          <w:color w:val="000000" w:themeColor="text1"/>
          <w:kern w:val="0"/>
          <w:sz w:val="32"/>
          <w:szCs w:val="32"/>
          <w14:textFill>
            <w14:solidFill>
              <w14:schemeClr w14:val="tx1"/>
            </w14:solidFill>
          </w14:textFill>
        </w:rPr>
        <w:t>评估内容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第五条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对已取得管道燃气经营许可证，但未签署特许经营协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议的，</w:t>
      </w:r>
      <w:r>
        <w:rPr>
          <w:rFonts w:hint="default" w:ascii="Times New Roman" w:hAnsi="Times New Roman" w:eastAsia="方正仿宋_GBK" w:cs="Times New Roman"/>
          <w:color w:val="000000" w:themeColor="text1"/>
          <w:sz w:val="32"/>
          <w:szCs w:val="32"/>
          <w14:textFill>
            <w14:solidFill>
              <w14:schemeClr w14:val="tx1"/>
            </w14:solidFill>
          </w14:textFill>
        </w:rPr>
        <w:t>由市、县（市、区）人民政府或人民政府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授</w:t>
      </w:r>
      <w:r>
        <w:rPr>
          <w:rFonts w:hint="default" w:ascii="Times New Roman" w:hAnsi="Times New Roman" w:eastAsia="方正仿宋_GBK" w:cs="Times New Roman"/>
          <w:color w:val="000000" w:themeColor="text1"/>
          <w:sz w:val="32"/>
          <w:szCs w:val="32"/>
          <w14:textFill>
            <w14:solidFill>
              <w14:schemeClr w14:val="tx1"/>
            </w14:solidFill>
          </w14:textFill>
        </w:rPr>
        <w:t>权委托的主体单位与燃气经营企业补签特许经营协议，并按照本办法进行考核评估。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第六条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市、</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县（市、区）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燃气主管部门可以委托具有相应能力的第三方机构编制</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七</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管道燃气特许经营评估包括：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（一）特许经营协议合法性完整性评估；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（二）企业经营情况评估。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八</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特许经营协议合法性完整性评估内容：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（一）特许经营权授予的合法性；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（二）协议条款的合法性；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（三）协议条款的完整性；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（四）应急预案的完整性；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（五）临时接管条件的完整性；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（六）协议双方全过程履行协议情况；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（七）其他需要评估的相关内容。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九</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企业经营情况评估内容：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（一）协议履行能力及供应保障能力；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（二）规划符合性；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（三）安全投入、生产管理及应急能力；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（四）服务质量和用户投诉受理；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（五）其他需要评估的相关内容。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经营情况</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以百分制计分，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60</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分及以上为“合格”，</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60</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分以下为“不合格”，计分按照《玉溪市管道燃气特许经营考核指标及评分细则》（见附件）进行</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，发生重责任大安全事故一票否决为“不合格”</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default" w:ascii="方正黑体_GBK" w:hAnsi="方正黑体_GBK" w:eastAsia="方正黑体_GBK" w:cs="方正黑体_GBK"/>
          <w:color w:val="000000" w:themeColor="text1"/>
          <w:kern w:val="0"/>
          <w:sz w:val="32"/>
          <w:szCs w:val="32"/>
          <w14:textFill>
            <w14:solidFill>
              <w14:schemeClr w14:val="tx1"/>
            </w14:solidFill>
          </w14:textFill>
        </w:rPr>
      </w:pPr>
      <w:r>
        <w:rPr>
          <w:rFonts w:hint="default" w:ascii="方正黑体_GBK" w:hAnsi="方正黑体_GBK" w:eastAsia="方正黑体_GBK" w:cs="方正黑体_GBK"/>
          <w:color w:val="000000" w:themeColor="text1"/>
          <w:kern w:val="0"/>
          <w:sz w:val="32"/>
          <w:szCs w:val="32"/>
          <w14:textFill>
            <w14:solidFill>
              <w14:schemeClr w14:val="tx1"/>
            </w14:solidFill>
          </w14:textFill>
        </w:rPr>
        <w:t>第四章  评估方式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十</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报告编制完成后，</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工作领导小组从全</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管道燃气</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专家库中抽取</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5名</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专家组成专家组，对</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报告进行评审，</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领导小组结合专家意见作出“通过”或者“不通过”的复核意见。复核意见为“不通过”的，应当重新进行</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一</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通过复核的</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报告，应当在当地人民政府网站公示，公示时间不得少于7个工作日，对</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报告有异议的，可向</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工作领导小组反映，</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工作领导小组予以研究处理。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二</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公示结束后，</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报告报本级人民政府核准，经核准后书面告知燃气经营企业，并在核准后20日内报</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住房和城乡建设</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备案。</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default" w:ascii="方正黑体_GBK" w:hAnsi="方正黑体_GBK" w:eastAsia="方正黑体_GBK" w:cs="方正黑体_GBK"/>
          <w:color w:val="000000" w:themeColor="text1"/>
          <w:kern w:val="0"/>
          <w:sz w:val="32"/>
          <w:szCs w:val="32"/>
          <w14:textFill>
            <w14:solidFill>
              <w14:schemeClr w14:val="tx1"/>
            </w14:solidFill>
          </w14:textFill>
        </w:rPr>
      </w:pPr>
      <w:r>
        <w:rPr>
          <w:rFonts w:hint="default" w:ascii="方正黑体_GBK" w:hAnsi="方正黑体_GBK" w:eastAsia="方正黑体_GBK" w:cs="方正黑体_GBK"/>
          <w:color w:val="000000" w:themeColor="text1"/>
          <w:kern w:val="0"/>
          <w:sz w:val="32"/>
          <w:szCs w:val="32"/>
          <w14:textFill>
            <w14:solidFill>
              <w14:schemeClr w14:val="tx1"/>
            </w14:solidFill>
          </w14:textFill>
        </w:rPr>
        <w:t>第五章  评估管理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三</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对特许经营协议完整性</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不通过的，市、县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人民政府应当根据特许经营协议完整性</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意见，积极采取补救措施，可以协商重新签订特许经营协议或签订补充协议。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四</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经营情况</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意见为“不合格”的，应责令燃气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企业立即整改，并在3个月内将整改情况报当地燃气主管部门。若拒不整改或整改不到位的，应由各地人民政府根据特许经营协议拟终止协议并进行临时接管。确需进行临时接管的，应由</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工作领导小组在公示结束后组织召开听证会。听证会需提前7日对外发布公告，载明听证时间、地点、参加人员等内容。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听证会相关资料随</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报告一同报</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本级</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人民政府进行核准。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五</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确需进行临时接管的，应严格按照临时接管预案执行，合理选择临时接管单位，并签订临时接管协议。临时接管期限最长为6个月，特殊情况下可延长至1年。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六</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临时接管单位应当制定临时接管工作方案，保证管道燃气服务的连续性和稳定性，并经</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工作领导小组审查通过后实施。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七</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工作领导小组组织原经营企业和临时接管单位进行相关交接工作，必要时可邀请消费者代表或媒体进行监督。原经营企业拒不配合或者暴力阻扰的，可以直接接管。</w:t>
      </w:r>
    </w:p>
    <w:p>
      <w:pPr>
        <w:keepNext w:val="0"/>
        <w:keepLines w:val="0"/>
        <w:pageBreakBefore w:val="0"/>
        <w:kinsoku/>
        <w:wordWrap/>
        <w:overflowPunct/>
        <w:topLinePunct w:val="0"/>
        <w:bidi w:val="0"/>
        <w:snapToGrid/>
        <w:spacing w:line="590" w:lineRule="exact"/>
        <w:ind w:firstLine="624"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第十八条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对原经营企业实施临时接管的，市、县</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人民政府应当尽快完成管道燃气特许经营的重新招标工作，组织好资产清算和资产交割，并向社会进行公告。</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default" w:ascii="方正黑体_GBK" w:hAnsi="方正黑体_GBK" w:eastAsia="方正黑体_GBK" w:cs="方正黑体_GBK"/>
          <w:color w:val="000000" w:themeColor="text1"/>
          <w:kern w:val="0"/>
          <w:sz w:val="32"/>
          <w:szCs w:val="32"/>
          <w14:textFill>
            <w14:solidFill>
              <w14:schemeClr w14:val="tx1"/>
            </w14:solidFill>
          </w14:textFill>
        </w:rPr>
      </w:pPr>
      <w:r>
        <w:rPr>
          <w:rFonts w:hint="default" w:ascii="方正黑体_GBK" w:hAnsi="方正黑体_GBK" w:eastAsia="方正黑体_GBK" w:cs="方正黑体_GBK"/>
          <w:color w:val="000000" w:themeColor="text1"/>
          <w:kern w:val="0"/>
          <w:sz w:val="32"/>
          <w:szCs w:val="32"/>
          <w14:textFill>
            <w14:solidFill>
              <w14:schemeClr w14:val="tx1"/>
            </w14:solidFill>
          </w14:textFill>
        </w:rPr>
        <w:t>第六章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九</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对不按照要求实施</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或临时接管工作，造成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质量安全事故或者群体性事件的，依法追究相关部门及其负责人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二十</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对阻碍</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工作或临时接管工作的单位和个人，构成违反治安管理行为的，由公安机关依法予以处罚。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一</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市、县</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燃气主管部门应当建立举报受理制度，公开举报电话、信箱或者电子邮件地址，受理有关举报；受理的举报事项经调查核实后，应当形成书面材料，督促管道燃气特许经营企业落实整改措施。</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过程中，发现存在违法违规行为的，移交相关部门调查处理。</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default" w:ascii="方正黑体_GBK" w:hAnsi="方正黑体_GBK" w:eastAsia="方正黑体_GBK" w:cs="方正黑体_GBK"/>
          <w:color w:val="000000" w:themeColor="text1"/>
          <w:kern w:val="0"/>
          <w:sz w:val="32"/>
          <w:szCs w:val="32"/>
          <w14:textFill>
            <w14:solidFill>
              <w14:schemeClr w14:val="tx1"/>
            </w14:solidFill>
          </w14:textFill>
        </w:rPr>
      </w:pPr>
      <w:r>
        <w:rPr>
          <w:rFonts w:hint="default" w:ascii="方正黑体_GBK" w:hAnsi="方正黑体_GBK" w:eastAsia="方正黑体_GBK" w:cs="方正黑体_GBK"/>
          <w:color w:val="000000" w:themeColor="text1"/>
          <w:kern w:val="0"/>
          <w:sz w:val="32"/>
          <w:szCs w:val="32"/>
          <w14:textFill>
            <w14:solidFill>
              <w14:schemeClr w14:val="tx1"/>
            </w14:solidFill>
          </w14:textFill>
        </w:rPr>
        <w:t>第七章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二</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市、县</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（市、区）</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燃气主管部门应当建立管道燃气企业特许经营</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考核评估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三</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城镇燃气基础设施和管道燃气特许经营涉及国家安全审查的，按照国家有关规定执行。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四</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特许经营评估管理考评工作周期为</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五</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本办法由</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玉溪市住房和城乡建设局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90" w:lineRule="exact"/>
        <w:ind w:left="0" w:right="0" w:firstLine="624"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第二十</w:t>
      </w:r>
      <w:r>
        <w:rPr>
          <w:rFonts w:hint="default" w:ascii="Times New Roman" w:hAnsi="Times New Roman" w:eastAsia="方正仿宋_GBK" w:cs="Times New Roman"/>
          <w:b/>
          <w:bCs/>
          <w:i w:val="0"/>
          <w:iCs w:val="0"/>
          <w:caps w:val="0"/>
          <w:color w:val="000000" w:themeColor="text1"/>
          <w:spacing w:val="0"/>
          <w:sz w:val="32"/>
          <w:szCs w:val="32"/>
          <w:shd w:val="clear" w:fill="FFFFFF"/>
          <w:lang w:eastAsia="zh-CN"/>
          <w14:textFill>
            <w14:solidFill>
              <w14:schemeClr w14:val="tx1"/>
            </w14:solidFill>
          </w14:textFill>
        </w:rPr>
        <w:t>六</w:t>
      </w:r>
      <w:r>
        <w:rPr>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本办法自印发之日起施行。</w:t>
      </w:r>
    </w:p>
    <w:p>
      <w:pPr>
        <w:pStyle w:val="2"/>
        <w:keepNext w:val="0"/>
        <w:keepLines w:val="0"/>
        <w:pageBreakBefore w:val="0"/>
        <w:kinsoku/>
        <w:wordWrap/>
        <w:overflowPunct/>
        <w:topLinePunct w:val="0"/>
        <w:bidi w:val="0"/>
        <w:snapToGrid/>
        <w:spacing w:line="590" w:lineRule="exact"/>
        <w:textAlignment w:val="auto"/>
        <w:rPr>
          <w:rFonts w:hint="default" w:ascii="Times New Roman" w:hAnsi="Times New Roman" w:eastAsia="方正仿宋_GBK"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4"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附件：</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玉溪市</w:t>
      </w:r>
      <w:r>
        <w:rPr>
          <w:rFonts w:hint="default" w:ascii="Times New Roman" w:hAnsi="Times New Roman" w:eastAsia="方正仿宋_GBK" w:cs="Times New Roman"/>
          <w:color w:val="000000" w:themeColor="text1"/>
          <w:kern w:val="0"/>
          <w:sz w:val="32"/>
          <w:szCs w:val="32"/>
          <w14:textFill>
            <w14:solidFill>
              <w14:schemeClr w14:val="tx1"/>
            </w14:solidFill>
          </w14:textFill>
        </w:rPr>
        <w:t>管道燃气特许经营</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考核</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指标及评分细则</w:t>
      </w:r>
    </w:p>
    <w:p>
      <w:pPr>
        <w:keepNext w:val="0"/>
        <w:keepLines w:val="0"/>
        <w:pageBreakBefore w:val="0"/>
        <w:kinsoku/>
        <w:wordWrap/>
        <w:overflowPunct/>
        <w:topLinePunct w:val="0"/>
        <w:bidi w:val="0"/>
        <w:snapToGrid/>
        <w:spacing w:line="590" w:lineRule="exact"/>
        <w:textAlignment w:val="auto"/>
        <w:rPr>
          <w:rFonts w:ascii="Times New Roman" w:hAnsi="Times New Roman" w:eastAsia="仿宋_GB2312" w:cs="Times New Roman"/>
          <w:color w:val="000000" w:themeColor="text1"/>
          <w:kern w:val="0"/>
          <w:sz w:val="32"/>
          <w:szCs w:val="32"/>
          <w14:textFill>
            <w14:solidFill>
              <w14:schemeClr w14:val="tx1"/>
            </w14:solidFill>
          </w14:textFill>
        </w:rPr>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7" w:charSpace="-1843"/>
        </w:sectPr>
      </w:pPr>
    </w:p>
    <w:p>
      <w:pP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30" w:leftChars="0"/>
        <w:jc w:val="center"/>
        <w:textAlignment w:val="auto"/>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kern w:val="0"/>
          <w:sz w:val="36"/>
          <w:szCs w:val="36"/>
          <w:lang w:eastAsia="zh-CN"/>
          <w14:textFill>
            <w14:solidFill>
              <w14:schemeClr w14:val="tx1"/>
            </w14:solidFill>
          </w14:textFill>
        </w:rPr>
        <w:t>玉溪市</w:t>
      </w:r>
      <w:r>
        <w:rPr>
          <w:rFonts w:hint="eastAsia" w:ascii="方正小标宋_GBK" w:hAnsi="方正小标宋_GBK" w:eastAsia="方正小标宋_GBK" w:cs="方正小标宋_GBK"/>
          <w:color w:val="000000" w:themeColor="text1"/>
          <w:kern w:val="0"/>
          <w:sz w:val="36"/>
          <w:szCs w:val="36"/>
          <w14:textFill>
            <w14:solidFill>
              <w14:schemeClr w14:val="tx1"/>
            </w14:solidFill>
          </w14:textFill>
        </w:rPr>
        <w:t>管道燃气特许经营</w:t>
      </w:r>
      <w:r>
        <w:rPr>
          <w:rFonts w:hint="eastAsia" w:ascii="方正小标宋_GBK" w:hAnsi="方正小标宋_GBK" w:eastAsia="方正小标宋_GBK" w:cs="方正小标宋_GBK"/>
          <w:color w:val="000000" w:themeColor="text1"/>
          <w:kern w:val="0"/>
          <w:sz w:val="36"/>
          <w:szCs w:val="36"/>
          <w:lang w:eastAsia="zh-CN"/>
          <w14:textFill>
            <w14:solidFill>
              <w14:schemeClr w14:val="tx1"/>
            </w14:solidFill>
          </w14:textFill>
        </w:rPr>
        <w:t>考核</w:t>
      </w:r>
      <w:r>
        <w:rPr>
          <w:rFonts w:hint="eastAsia" w:ascii="方正小标宋_GBK" w:hAnsi="方正小标宋_GBK" w:eastAsia="方正小标宋_GBK" w:cs="方正小标宋_GBK"/>
          <w:color w:val="000000" w:themeColor="text1"/>
          <w:kern w:val="0"/>
          <w:sz w:val="36"/>
          <w:szCs w:val="36"/>
          <w:lang w:val="en-US" w:eastAsia="zh-CN"/>
          <w14:textFill>
            <w14:solidFill>
              <w14:schemeClr w14:val="tx1"/>
            </w14:solidFill>
          </w14:textFill>
        </w:rPr>
        <w:t>指标及评分细则</w:t>
      </w:r>
    </w:p>
    <w:tbl>
      <w:tblPr>
        <w:tblStyle w:val="8"/>
        <w:tblW w:w="15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50"/>
        <w:gridCol w:w="1184"/>
        <w:gridCol w:w="911"/>
        <w:gridCol w:w="9836"/>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53"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序号</w:t>
            </w:r>
          </w:p>
        </w:tc>
        <w:tc>
          <w:tcPr>
            <w:tcW w:w="1750"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评估</w:t>
            </w:r>
          </w:p>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项目</w:t>
            </w:r>
          </w:p>
        </w:tc>
        <w:tc>
          <w:tcPr>
            <w:tcW w:w="1184"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考评内容</w:t>
            </w:r>
          </w:p>
        </w:tc>
        <w:tc>
          <w:tcPr>
            <w:tcW w:w="911"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标准</w:t>
            </w:r>
          </w:p>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分值</w:t>
            </w:r>
          </w:p>
        </w:tc>
        <w:tc>
          <w:tcPr>
            <w:tcW w:w="9836"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考评办法</w:t>
            </w:r>
          </w:p>
        </w:tc>
        <w:tc>
          <w:tcPr>
            <w:tcW w:w="797" w:type="dxa"/>
            <w:noWrap w:val="0"/>
            <w:vAlign w:val="center"/>
          </w:tcPr>
          <w:p>
            <w:pPr>
              <w:widowControl/>
              <w:spacing w:line="280" w:lineRule="exact"/>
              <w:jc w:val="center"/>
              <w:textAlignment w:val="center"/>
              <w:rPr>
                <w:rFonts w:hint="eastAsia" w:ascii="方正黑体_GBK" w:hAnsi="方正黑体_GBK" w:eastAsia="方正黑体_GBK" w:cs="方正黑体_GBK"/>
                <w:color w:val="000000" w:themeColor="text1"/>
                <w:kern w:val="0"/>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w:t>
            </w:r>
          </w:p>
        </w:tc>
        <w:tc>
          <w:tcPr>
            <w:tcW w:w="1750" w:type="dxa"/>
            <w:vMerge w:val="restart"/>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一、协议履行及供应保障能力（17分）</w:t>
            </w: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气源站</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具有城镇燃气门站或储配站的，得1分。每增加1座得0.5分，最高得2分。城市周边仅有单气源的，具有1座城镇燃气门站或储配站可得2分。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注：门站或储配站之后的调压站、计量站等不计入该项考评内容；未按基本建设程序办理有关审批、验收手续的场站不计分；1个场站同时具备管输和非管输气源，按2座气源站计分；瓶组供应站不计分。</w:t>
            </w:r>
          </w:p>
        </w:tc>
        <w:tc>
          <w:tcPr>
            <w:tcW w:w="797" w:type="dxa"/>
            <w:noWrap w:val="0"/>
            <w:vAlign w:val="center"/>
          </w:tcPr>
          <w:p>
            <w:pPr>
              <w:widowControl/>
              <w:spacing w:line="280" w:lineRule="exact"/>
              <w:jc w:val="center"/>
              <w:textAlignment w:val="center"/>
              <w:rPr>
                <w:rFonts w:hint="default" w:ascii="Times New Roman" w:hAnsi="Times New Roman" w:eastAsia="方正仿宋_GBK" w:cs="Times New Roman"/>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5"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1750" w:type="dxa"/>
            <w:vMerge w:val="continue"/>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气源供应</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与上游供气企业签订长期气源采购合同：</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（1）合同气量占年度用气量90%（含）以上的，得2分；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（2）合同气量占年度用气量60%（含）-90%的，得1分；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（3）合同气量占年度用气量60%以下的，不得分；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（4）未与上游供气企业签订长期且稳定气源合同的，不得参加特许经营评估。整改合格后，方可重新参加特许经营评估。</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a.长期气源采购合同指购气合同年限为一年及以上的合同（一年内分采暖季和非采暖季的购气也可计算在内），不包括零星采购的现货合同或短期合同。b.上游供气企业指具有相关资质且拥有稳定可靠的国产或进口气源的企业。包括天然气生产企业、天然气进口企业、液化天然气接收站企业、天然气储气企业、天然气批发零售企业等。</w:t>
            </w:r>
          </w:p>
        </w:tc>
        <w:tc>
          <w:tcPr>
            <w:tcW w:w="797" w:type="dxa"/>
            <w:noWrap w:val="0"/>
            <w:vAlign w:val="center"/>
          </w:tcPr>
          <w:p>
            <w:pPr>
              <w:widowControl/>
              <w:spacing w:line="280" w:lineRule="exact"/>
              <w:jc w:val="center"/>
              <w:textAlignment w:val="center"/>
              <w:rPr>
                <w:rFonts w:hint="default" w:ascii="Times New Roman" w:hAnsi="Times New Roman" w:eastAsia="方正仿宋_GBK" w:cs="Times New Roman"/>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1750" w:type="dxa"/>
            <w:vMerge w:val="continue"/>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应急储气</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储气能力不低于其上一年供气量5%，得4分；否则不得分；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注：储气能力的计算要求根据“发改能源规〔2018〕637号”文件。包含以租赁库容及签订气源认购协议等方式获得储气能力的情况。</w:t>
            </w:r>
          </w:p>
        </w:tc>
        <w:tc>
          <w:tcPr>
            <w:tcW w:w="797" w:type="dxa"/>
            <w:noWrap w:val="0"/>
            <w:vAlign w:val="center"/>
          </w:tcPr>
          <w:p>
            <w:pPr>
              <w:widowControl/>
              <w:spacing w:line="280" w:lineRule="exact"/>
              <w:jc w:val="center"/>
              <w:textAlignment w:val="center"/>
              <w:rPr>
                <w:rFonts w:hint="default" w:ascii="Times New Roman" w:hAnsi="Times New Roman" w:eastAsia="方正仿宋_GBK" w:cs="Times New Roman"/>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0"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p>
        </w:tc>
        <w:tc>
          <w:tcPr>
            <w:tcW w:w="1750" w:type="dxa"/>
            <w:vMerge w:val="restart"/>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一、协议履行及供应保障能力（17分）</w:t>
            </w: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调峰能力</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（1）承担所供市场全部小时调峰责任，得2分；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（2）承担所供市场50%（含）以上小时调峰责任，得1分；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（3）承担所供市场50%以下小时调峰责任，不得分。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注：与供气企业签订协议购买小时调峰服务的，可计入管道燃气特许经营企业小时调峰能力。</w:t>
            </w:r>
          </w:p>
        </w:tc>
        <w:tc>
          <w:tcPr>
            <w:tcW w:w="797" w:type="dxa"/>
            <w:noWrap w:val="0"/>
            <w:vAlign w:val="center"/>
          </w:tcPr>
          <w:p>
            <w:pPr>
              <w:widowControl/>
              <w:spacing w:line="280" w:lineRule="exact"/>
              <w:jc w:val="center"/>
              <w:textAlignment w:val="center"/>
              <w:rPr>
                <w:rFonts w:hint="default" w:ascii="Times New Roman" w:hAnsi="Times New Roman" w:eastAsia="方正仿宋_GBK" w:cs="Times New Roman"/>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5</w:t>
            </w:r>
          </w:p>
        </w:tc>
        <w:tc>
          <w:tcPr>
            <w:tcW w:w="1750" w:type="dxa"/>
            <w:vMerge w:val="continue"/>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互联互通</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（1）与经营区域范围外的其他燃气管网实现互联互通，得1分；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（2）燃气主管网通达经营区域范围内50%（含）以上乡镇的，得1分；通达经营区域范围内80%（含）以上乡镇的，得2分。经营区域不含乡镇的，此条视为满分。</w:t>
            </w:r>
          </w:p>
        </w:tc>
        <w:tc>
          <w:tcPr>
            <w:tcW w:w="797" w:type="dxa"/>
            <w:noWrap w:val="0"/>
            <w:vAlign w:val="center"/>
          </w:tcPr>
          <w:p>
            <w:pPr>
              <w:widowControl/>
              <w:spacing w:line="280" w:lineRule="exact"/>
              <w:jc w:val="center"/>
              <w:textAlignment w:val="center"/>
              <w:rPr>
                <w:rFonts w:hint="default" w:ascii="Times New Roman" w:hAnsi="Times New Roman" w:eastAsia="方正仿宋_GBK" w:cs="Times New Roman"/>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3"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6</w:t>
            </w:r>
          </w:p>
        </w:tc>
        <w:tc>
          <w:tcPr>
            <w:tcW w:w="1750" w:type="dxa"/>
            <w:vMerge w:val="continue"/>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市场份额</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（1）年供气量（2分）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1)企业年供气量占当地全部管道气年用气量80%（含）以上的，得2分；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2)企业年供气量占当地全部管道气年用气量50%（含）-80%的，得1分；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3)企业年供气量占当地全部管道气年用气量20%（含）-50%的，得0.5分；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4)企业年供气量占当地全部管道气年用气量20%以下的，不得分。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（2）居民通气户数（2分）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1）占当地全部通气户数80%（含）以上的，得2分；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2）占当地全部通气户数50%（含）-80%的，得1分；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3）占当地全部通气户数20%（含）-50%的，得0.5分；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4）占当地全部通气户数20%以下的，不得分。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a.“当地”的区域范围为市县所辖行政区域。b.当地全部管道气年用气量，不含用户自建气源站的用气量，不含天然气电厂、热电厂等上游直供用户的用气量。c.企业年供气量，不含向其他城燃企业转输的气量。</w:t>
            </w:r>
          </w:p>
        </w:tc>
        <w:tc>
          <w:tcPr>
            <w:tcW w:w="797" w:type="dxa"/>
            <w:noWrap w:val="0"/>
            <w:vAlign w:val="center"/>
          </w:tcPr>
          <w:p>
            <w:pPr>
              <w:widowControl/>
              <w:spacing w:line="280" w:lineRule="exact"/>
              <w:jc w:val="center"/>
              <w:textAlignment w:val="center"/>
              <w:rPr>
                <w:rFonts w:hint="default" w:ascii="Times New Roman" w:hAnsi="Times New Roman" w:eastAsia="方正仿宋_GBK" w:cs="Times New Roman"/>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3"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7</w:t>
            </w:r>
          </w:p>
        </w:tc>
        <w:tc>
          <w:tcPr>
            <w:tcW w:w="1750"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二、规划符合性</w:t>
            </w:r>
          </w:p>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（12分）</w:t>
            </w:r>
          </w:p>
        </w:tc>
        <w:tc>
          <w:tcPr>
            <w:tcW w:w="1184"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规划符合性</w:t>
            </w:r>
          </w:p>
        </w:tc>
        <w:tc>
          <w:tcPr>
            <w:tcW w:w="911"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12</w:t>
            </w:r>
          </w:p>
        </w:tc>
        <w:tc>
          <w:tcPr>
            <w:tcW w:w="9836" w:type="dxa"/>
            <w:noWrap w:val="0"/>
            <w:vAlign w:val="center"/>
          </w:tcPr>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（1）管道燃气企业发展规划和年度计划符合地方燃气专项规划和其它相关要求，得2分；否则不得分。</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（2）燃气场站（不含汽车加气站及偏远地区微管网独立气源站）按规划进度建设的，得2分；每存在1座燃气场站未按规划建设的扣1分，扣完为止。</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（3）高压管道、次高压管道等按规划进度建设的，得2分；建设进度低于规划指标10%以下的，不扣分；建设进度低于规划指标10%（含）-20%的，扣0.5分；建设进度低于规划指标20%（含）以上的，不得分。</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（4）中压管道等按规划进度建设的，得2分；建设进度低于规划指标10%以下的，不扣分；建设进度低于规划指标10%（含）-20%的，扣1分；建设进度低于规划指标20%（含）以上的，不得分。</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（5）居民管道燃气气化率达到规划指标的，得3分；低于规划指标10%以下的，不扣分；低于规划指标10%（含）-20%的，扣1分；低于规划指标20%（含）以上的，不得分。</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（6）偏远地区微管网独立气源站（含气化站和瓶组站）按规划进度建设的，得1分；每存在1座气源站未按规划建设的扣0.5分，扣完为止。</w:t>
            </w:r>
          </w:p>
          <w:p>
            <w:pPr>
              <w:widowControl/>
              <w:spacing w:line="26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本项所有指标范围均指燃气企业特许经营区域内；若当地燃气专项规划在评估期内无相关考核指标的，该小项得满分；评估期内当地燃气规划尚未发布的，以上一轮规划期末指标为基数，结合省规划“十四五”末考核指标计算当期目标。</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8</w:t>
            </w:r>
          </w:p>
        </w:tc>
        <w:tc>
          <w:tcPr>
            <w:tcW w:w="1750" w:type="dxa"/>
            <w:vMerge w:val="restart"/>
            <w:noWrap w:val="0"/>
            <w:vAlign w:val="center"/>
          </w:tcPr>
          <w:p>
            <w:pPr>
              <w:widowControl/>
              <w:spacing w:line="2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三、安全投入、生产管理及应急能力</w:t>
            </w:r>
          </w:p>
          <w:p>
            <w:pPr>
              <w:widowControl/>
              <w:spacing w:line="2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（49分）</w:t>
            </w:r>
          </w:p>
        </w:tc>
        <w:tc>
          <w:tcPr>
            <w:tcW w:w="1184"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双重预防</w:t>
            </w:r>
          </w:p>
        </w:tc>
        <w:tc>
          <w:tcPr>
            <w:tcW w:w="911"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5</w:t>
            </w:r>
          </w:p>
        </w:tc>
        <w:tc>
          <w:tcPr>
            <w:tcW w:w="9836" w:type="dxa"/>
            <w:noWrap w:val="0"/>
            <w:vAlign w:val="center"/>
          </w:tcPr>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（1）按规定建立风险分级管控和隐患排查治理双重预防机制的，得1分；</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（2）按要求定期开展风险识别和隐患排查治理，建立隐患台账，并形成治理闭环的，得3分；有一项隐患未整改完成扣0.5分，扣完为止；</w:t>
            </w:r>
          </w:p>
          <w:p>
            <w:pPr>
              <w:widowControl/>
              <w:spacing w:line="26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（3）将隐患排查情况定期上报管理部门的，得1分。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9</w:t>
            </w:r>
          </w:p>
        </w:tc>
        <w:tc>
          <w:tcPr>
            <w:tcW w:w="1750" w:type="dxa"/>
            <w:vMerge w:val="continue"/>
            <w:noWrap w:val="0"/>
            <w:vAlign w:val="center"/>
          </w:tcPr>
          <w:p>
            <w:pPr>
              <w:widowControl/>
              <w:spacing w:line="26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应急能力</w:t>
            </w:r>
          </w:p>
        </w:tc>
        <w:tc>
          <w:tcPr>
            <w:tcW w:w="911"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6</w:t>
            </w:r>
          </w:p>
        </w:tc>
        <w:tc>
          <w:tcPr>
            <w:tcW w:w="9836" w:type="dxa"/>
            <w:noWrap w:val="0"/>
            <w:vAlign w:val="center"/>
          </w:tcPr>
          <w:p>
            <w:pPr>
              <w:widowControl/>
              <w:tabs>
                <w:tab w:val="left" w:pos="9367"/>
              </w:tabs>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（1）应急预案</w:t>
            </w:r>
          </w:p>
          <w:p>
            <w:pPr>
              <w:widowControl/>
              <w:tabs>
                <w:tab w:val="left" w:pos="9367"/>
              </w:tabs>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1）按国家和地方相关要求，建立完整的企业应急预案体系，得1分，有一项不合格扣0.5分，扣完为止；</w:t>
            </w:r>
          </w:p>
          <w:p>
            <w:pPr>
              <w:widowControl/>
              <w:tabs>
                <w:tab w:val="left" w:pos="9367"/>
              </w:tabs>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2）应急预案进行评审后，经单位主要负责人签署实施，报燃气主管部门或应急管理部门备案，并按要求持续修订完善的，得1分；有一项不合格扣0.5分，扣完为止；</w:t>
            </w:r>
          </w:p>
          <w:p>
            <w:pPr>
              <w:widowControl/>
              <w:tabs>
                <w:tab w:val="left" w:pos="9367"/>
              </w:tabs>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（2）按要求制定应急预案演练计划(0.5分)；依据应急预案开展应急演练，按要求编制演练相关文件（0.5分），有详尽的演练记录（0.5分）和完整的评估总结（0.5分），共2分；</w:t>
            </w:r>
          </w:p>
          <w:p>
            <w:pPr>
              <w:widowControl/>
              <w:tabs>
                <w:tab w:val="left" w:pos="9367"/>
              </w:tabs>
              <w:spacing w:line="26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（3）按相关要求成立应急救援队伍、配备应急救援装备、器材，并定期检查，保证完好可用的，得2分，缺一项扣0.5分，扣完为止。</w:t>
            </w:r>
            <w:r>
              <w:rPr>
                <w:rFonts w:hint="default" w:ascii="Times New Roman" w:hAnsi="Times New Roman" w:eastAsia="方正仿宋_GBK" w:cs="Times New Roman"/>
                <w:color w:val="000000" w:themeColor="text1"/>
                <w:szCs w:val="21"/>
                <w14:textFill>
                  <w14:solidFill>
                    <w14:schemeClr w14:val="tx1"/>
                  </w14:solidFill>
                </w14:textFill>
              </w:rPr>
              <w:t>采取外包的，此条不得分。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10</w:t>
            </w:r>
          </w:p>
        </w:tc>
        <w:tc>
          <w:tcPr>
            <w:tcW w:w="1750" w:type="dxa"/>
            <w:vMerge w:val="continue"/>
            <w:noWrap w:val="0"/>
            <w:vAlign w:val="center"/>
          </w:tcPr>
          <w:p>
            <w:pPr>
              <w:widowControl/>
              <w:spacing w:line="26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事故事件</w:t>
            </w:r>
          </w:p>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管理</w:t>
            </w:r>
          </w:p>
        </w:tc>
        <w:tc>
          <w:tcPr>
            <w:tcW w:w="911" w:type="dxa"/>
            <w:noWrap w:val="0"/>
            <w:vAlign w:val="center"/>
          </w:tcPr>
          <w:p>
            <w:pPr>
              <w:widowControl/>
              <w:spacing w:line="2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p>
        </w:tc>
        <w:tc>
          <w:tcPr>
            <w:tcW w:w="9836" w:type="dxa"/>
            <w:noWrap w:val="0"/>
            <w:vAlign w:val="center"/>
          </w:tcPr>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（1）制定完善的事故事件管理制度的，得1分；</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（2）建立完整的事故和事件台账的，得1分；</w:t>
            </w:r>
          </w:p>
          <w:p>
            <w:pPr>
              <w:widowControl/>
              <w:spacing w:line="2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（3）定期对事件情况进行统计分析，并提出应对或改进措施的，得1分；</w:t>
            </w:r>
          </w:p>
          <w:p>
            <w:pPr>
              <w:widowControl/>
              <w:spacing w:line="26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r>
              <w:rPr>
                <w:rFonts w:hint="default" w:ascii="Times New Roman" w:hAnsi="Times New Roman" w:eastAsia="方正仿宋_GBK" w:cs="Times New Roman"/>
                <w:color w:val="000000" w:themeColor="text1"/>
                <w:spacing w:val="-16"/>
                <w:kern w:val="0"/>
                <w:szCs w:val="21"/>
                <w14:textFill>
                  <w14:solidFill>
                    <w14:schemeClr w14:val="tx1"/>
                  </w14:solidFill>
                </w14:textFill>
              </w:rPr>
              <w:t>按要求对事故进行处置和上报，并在事后及时进行分析，举一反三，开展隐患排查的，得1分。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8"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11</w:t>
            </w:r>
          </w:p>
        </w:tc>
        <w:tc>
          <w:tcPr>
            <w:tcW w:w="1750" w:type="dxa"/>
            <w:vMerge w:val="restart"/>
            <w:noWrap w:val="0"/>
            <w:vAlign w:val="center"/>
          </w:tcPr>
          <w:p>
            <w:pPr>
              <w:widowControl/>
              <w:spacing w:line="28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三、安全投入、生产管理及应急能力</w:t>
            </w:r>
          </w:p>
          <w:p>
            <w:pPr>
              <w:widowControl/>
              <w:spacing w:line="28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（49分）</w:t>
            </w: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安全管理</w:t>
            </w:r>
          </w:p>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制度</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7</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spacing w:val="-4"/>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4"/>
                <w:kern w:val="0"/>
                <w:szCs w:val="21"/>
                <w14:textFill>
                  <w14:solidFill>
                    <w14:schemeClr w14:val="tx1"/>
                  </w14:solidFill>
                </w14:textFill>
              </w:rPr>
              <w:t>（1）按照相关要求，具有健全的安全生产管理制度，包括但不限于：安全生产责任制、安全生产费用管理、安全教育培训管理、安全风险管理、隐患排查治理、事故管理、特种设备安全管理、燃气场站运行管理、燃气管网运行管理、岗位操作规程、用户燃气安全检查、相关方安全管理等制度，得2分；缺一项扣1分，存在一项制度不完善的扣0.5分，存在一项制度未及时评估的扣0.5分，扣完为止；</w:t>
            </w:r>
          </w:p>
          <w:p>
            <w:pPr>
              <w:widowControl/>
              <w:spacing w:line="280" w:lineRule="exact"/>
              <w:jc w:val="left"/>
              <w:textAlignment w:val="center"/>
              <w:rPr>
                <w:rFonts w:hint="default" w:ascii="Times New Roman" w:hAnsi="Times New Roman" w:eastAsia="方正仿宋_GBK" w:cs="Times New Roman"/>
                <w:color w:val="000000" w:themeColor="text1"/>
                <w:spacing w:val="-4"/>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4"/>
                <w:kern w:val="0"/>
                <w:szCs w:val="21"/>
                <w14:textFill>
                  <w14:solidFill>
                    <w14:schemeClr w14:val="tx1"/>
                  </w14:solidFill>
                </w14:textFill>
              </w:rPr>
              <w:t>（2）与各部门或相关人员签订安全生产责任书，并定期对安全生产责任制落实情况进行考核的，得2分；存在一项不满足要求的，扣0.5分，扣完为止；</w:t>
            </w:r>
          </w:p>
          <w:p>
            <w:pPr>
              <w:widowControl/>
              <w:spacing w:line="280" w:lineRule="exact"/>
              <w:jc w:val="left"/>
              <w:textAlignment w:val="center"/>
              <w:rPr>
                <w:rFonts w:hint="default" w:ascii="Times New Roman" w:hAnsi="Times New Roman" w:eastAsia="方正仿宋_GBK" w:cs="Times New Roman"/>
                <w:color w:val="000000" w:themeColor="text1"/>
                <w:spacing w:val="-4"/>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4"/>
                <w:kern w:val="0"/>
                <w:szCs w:val="21"/>
                <w14:textFill>
                  <w14:solidFill>
                    <w14:schemeClr w14:val="tx1"/>
                  </w14:solidFill>
                </w14:textFill>
              </w:rPr>
              <w:t>（3）安全生产费用</w:t>
            </w:r>
          </w:p>
          <w:p>
            <w:pPr>
              <w:widowControl/>
              <w:spacing w:line="280" w:lineRule="exact"/>
              <w:jc w:val="left"/>
              <w:textAlignment w:val="center"/>
              <w:rPr>
                <w:rFonts w:hint="default" w:ascii="Times New Roman" w:hAnsi="Times New Roman" w:eastAsia="方正仿宋_GBK" w:cs="Times New Roman"/>
                <w:color w:val="000000" w:themeColor="text1"/>
                <w:spacing w:val="-4"/>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4"/>
                <w:kern w:val="0"/>
                <w:szCs w:val="21"/>
                <w14:textFill>
                  <w14:solidFill>
                    <w14:schemeClr w14:val="tx1"/>
                  </w14:solidFill>
                </w14:textFill>
              </w:rPr>
              <w:t>1）按要求制定安全生产费用管理制度，制定安全生产费用年度计划，并严格执行的，得1分；有一项不满足要求的，不得分；</w:t>
            </w:r>
          </w:p>
          <w:p>
            <w:pPr>
              <w:widowControl/>
              <w:spacing w:line="280" w:lineRule="exact"/>
              <w:jc w:val="left"/>
              <w:textAlignment w:val="center"/>
              <w:rPr>
                <w:rFonts w:hint="default" w:ascii="Times New Roman" w:hAnsi="Times New Roman" w:eastAsia="方正仿宋_GBK" w:cs="Times New Roman"/>
                <w:color w:val="000000" w:themeColor="text1"/>
                <w:spacing w:val="-4"/>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4"/>
                <w:kern w:val="0"/>
                <w:szCs w:val="21"/>
                <w14:textFill>
                  <w14:solidFill>
                    <w14:schemeClr w14:val="tx1"/>
                  </w14:solidFill>
                </w14:textFill>
              </w:rPr>
              <w:t>2）企业安全费用专项核算的，得1分；</w:t>
            </w:r>
          </w:p>
          <w:p>
            <w:pPr>
              <w:widowControl/>
              <w:spacing w:line="280" w:lineRule="exact"/>
              <w:jc w:val="left"/>
              <w:textAlignment w:val="center"/>
              <w:rPr>
                <w:rFonts w:hint="default" w:ascii="Times New Roman" w:hAnsi="Times New Roman" w:eastAsia="方正仿宋_GBK" w:cs="Times New Roman"/>
                <w:color w:val="000000" w:themeColor="text1"/>
                <w:spacing w:val="-4"/>
                <w:szCs w:val="21"/>
                <w14:textFill>
                  <w14:solidFill>
                    <w14:schemeClr w14:val="tx1"/>
                  </w14:solidFill>
                </w14:textFill>
              </w:rPr>
            </w:pPr>
            <w:r>
              <w:rPr>
                <w:rFonts w:hint="default" w:ascii="Times New Roman" w:hAnsi="Times New Roman" w:eastAsia="方正仿宋_GBK" w:cs="Times New Roman"/>
                <w:color w:val="000000" w:themeColor="text1"/>
                <w:spacing w:val="-4"/>
                <w:kern w:val="0"/>
                <w:szCs w:val="21"/>
                <w14:textFill>
                  <w14:solidFill>
                    <w14:schemeClr w14:val="tx1"/>
                  </w14:solidFill>
                </w14:textFill>
              </w:rPr>
              <w:t>3）安全生产费用按规定比例足额提取的，得1分。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12</w:t>
            </w:r>
          </w:p>
        </w:tc>
        <w:tc>
          <w:tcPr>
            <w:tcW w:w="1750" w:type="dxa"/>
            <w:vMerge w:val="continue"/>
            <w:noWrap w:val="0"/>
            <w:vAlign w:val="center"/>
          </w:tcPr>
          <w:p>
            <w:pPr>
              <w:widowControl/>
              <w:spacing w:line="28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安全管理机构及人员持证</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6</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spacing w:val="-6"/>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（1）设立安全生产委员会或安全生产领导机构，并按规定定期召开安全专题会，得0.5分；</w:t>
            </w:r>
          </w:p>
          <w:p>
            <w:pPr>
              <w:widowControl/>
              <w:spacing w:line="280" w:lineRule="exact"/>
              <w:jc w:val="left"/>
              <w:textAlignment w:val="center"/>
              <w:rPr>
                <w:rFonts w:hint="default" w:ascii="Times New Roman" w:hAnsi="Times New Roman" w:eastAsia="方正仿宋_GBK" w:cs="Times New Roman"/>
                <w:color w:val="000000" w:themeColor="text1"/>
                <w:spacing w:val="-6"/>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（2）配备不低于从业人员2%且不少于1名专职安全生产管理人员的，得0.5分；</w:t>
            </w:r>
          </w:p>
          <w:p>
            <w:pPr>
              <w:widowControl/>
              <w:spacing w:line="280" w:lineRule="exact"/>
              <w:jc w:val="left"/>
              <w:textAlignment w:val="center"/>
              <w:rPr>
                <w:rFonts w:hint="default" w:ascii="Times New Roman" w:hAnsi="Times New Roman" w:eastAsia="方正仿宋_GBK" w:cs="Times New Roman"/>
                <w:color w:val="000000" w:themeColor="text1"/>
                <w:spacing w:val="-6"/>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（3）配备注册安全工程师，得1分；</w:t>
            </w:r>
          </w:p>
          <w:p>
            <w:pPr>
              <w:widowControl/>
              <w:spacing w:line="280" w:lineRule="exact"/>
              <w:jc w:val="left"/>
              <w:textAlignment w:val="center"/>
              <w:rPr>
                <w:rFonts w:hint="default" w:ascii="Times New Roman" w:hAnsi="Times New Roman" w:eastAsia="方正仿宋_GBK" w:cs="Times New Roman"/>
                <w:color w:val="000000" w:themeColor="text1"/>
                <w:spacing w:val="-6"/>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（4）主要负责人持有安全生产知识和管理能力考核合格证（主要负责人）和燃气经营企业从业人员合格证（主要负责人），得1分；</w:t>
            </w:r>
          </w:p>
          <w:p>
            <w:pPr>
              <w:widowControl/>
              <w:spacing w:line="280" w:lineRule="exact"/>
              <w:jc w:val="left"/>
              <w:textAlignment w:val="center"/>
              <w:rPr>
                <w:rFonts w:hint="default" w:ascii="Times New Roman" w:hAnsi="Times New Roman" w:eastAsia="方正仿宋_GBK" w:cs="Times New Roman"/>
                <w:color w:val="000000" w:themeColor="text1"/>
                <w:spacing w:val="-6"/>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（5）安全生产管理人员持有安全生产知识和管理能力考核合格证（安全管理人员）、燃气经营企业从业人员合格证（安全管理人员）和特种设备安全管理人员证，得1分；</w:t>
            </w:r>
          </w:p>
          <w:p>
            <w:pPr>
              <w:widowControl/>
              <w:spacing w:line="280" w:lineRule="exact"/>
              <w:jc w:val="left"/>
              <w:textAlignment w:val="center"/>
              <w:rPr>
                <w:rFonts w:hint="default" w:ascii="Times New Roman" w:hAnsi="Times New Roman" w:eastAsia="方正仿宋_GBK" w:cs="Times New Roman"/>
                <w:color w:val="000000" w:themeColor="text1"/>
                <w:spacing w:val="-6"/>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 xml:space="preserve">（6）运行、维护和抢修人员按照要求（燃气用户10万户以下，每2500户不少于1人；10万户以上，每增加2500户增加1人）配备，且持有燃气经营企业从业人员合格证的，得1分； </w:t>
            </w:r>
          </w:p>
          <w:p>
            <w:pPr>
              <w:widowControl/>
              <w:spacing w:line="280" w:lineRule="exact"/>
              <w:jc w:val="left"/>
              <w:textAlignment w:val="center"/>
              <w:rPr>
                <w:rFonts w:hint="default" w:ascii="Times New Roman" w:hAnsi="Times New Roman" w:eastAsia="方正仿宋_GBK" w:cs="Times New Roman"/>
                <w:color w:val="000000" w:themeColor="text1"/>
                <w:spacing w:val="-6"/>
                <w:kern w:val="0"/>
                <w:szCs w:val="21"/>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（7）特种作业人员、特种设备作业人员由具有资质的培训机构进行专门的安全技术和操作技能的培训和考核，取得相应资格证书，并按相关要求复审的，得1分。</w:t>
            </w:r>
          </w:p>
          <w:p>
            <w:pPr>
              <w:widowControl/>
              <w:spacing w:line="280" w:lineRule="exact"/>
              <w:ind w:firstLine="190" w:firstLineChars="100"/>
              <w:jc w:val="left"/>
              <w:textAlignment w:val="center"/>
              <w:rPr>
                <w:rFonts w:hint="default" w:ascii="Times New Roman" w:hAnsi="Times New Roman" w:eastAsia="方正仿宋_GBK" w:cs="Times New Roman"/>
                <w:color w:val="000000" w:themeColor="text1"/>
                <w:spacing w:val="-6"/>
                <w:szCs w:val="21"/>
                <w14:textFill>
                  <w14:solidFill>
                    <w14:schemeClr w14:val="tx1"/>
                  </w14:solidFill>
                </w14:textFill>
              </w:rPr>
            </w:pPr>
            <w:r>
              <w:rPr>
                <w:rFonts w:hint="default" w:ascii="Times New Roman" w:hAnsi="Times New Roman" w:eastAsia="方正仿宋_GBK" w:cs="Times New Roman"/>
                <w:color w:val="000000" w:themeColor="text1"/>
                <w:spacing w:val="-6"/>
                <w:kern w:val="0"/>
                <w:szCs w:val="21"/>
                <w14:textFill>
                  <w14:solidFill>
                    <w14:schemeClr w14:val="tx1"/>
                  </w14:solidFill>
                </w14:textFill>
              </w:rPr>
              <w:t>注：（4）（5）（6）（7）小项存在1人未按要求取证的，该小项不得分。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8"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13</w:t>
            </w:r>
          </w:p>
        </w:tc>
        <w:tc>
          <w:tcPr>
            <w:tcW w:w="1750" w:type="dxa"/>
            <w:vMerge w:val="restart"/>
            <w:noWrap w:val="0"/>
            <w:vAlign w:val="center"/>
          </w:tcPr>
          <w:p>
            <w:pPr>
              <w:widowControl/>
              <w:spacing w:line="28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三、安全投入、生产管理及应急能力</w:t>
            </w:r>
          </w:p>
          <w:p>
            <w:pPr>
              <w:widowControl/>
              <w:spacing w:line="28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（49分）</w:t>
            </w: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安全教育</w:t>
            </w:r>
          </w:p>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培训</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（1）对从业人员定期进行安全生产、职业卫生和应急救援教育和培训，得1分；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（2）对新员工进行三级安全教育，安全教育培训内容和时间符合《生产经营单位安全培训规定》，得0.5分；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（3）从业人员在本单位内调整工作岗位或离岗一年以上重新上岗时，重新接受部门和班组级的安全教育培训的，得0.5分。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14</w:t>
            </w:r>
          </w:p>
        </w:tc>
        <w:tc>
          <w:tcPr>
            <w:tcW w:w="1750" w:type="dxa"/>
            <w:vMerge w:val="continue"/>
            <w:noWrap w:val="0"/>
            <w:vAlign w:val="center"/>
          </w:tcPr>
          <w:p>
            <w:pPr>
              <w:widowControl/>
              <w:spacing w:line="28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保险</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企业投保安全生产责任保险的，得1分。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8"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15</w:t>
            </w:r>
          </w:p>
        </w:tc>
        <w:tc>
          <w:tcPr>
            <w:tcW w:w="1750" w:type="dxa"/>
            <w:vMerge w:val="continue"/>
            <w:noWrap w:val="0"/>
            <w:vAlign w:val="center"/>
          </w:tcPr>
          <w:p>
            <w:pPr>
              <w:widowControl/>
              <w:spacing w:line="28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设备设施安全管理</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（1）具有完善的安全技术档案及设备台账，有完善的设备维护保养制度和操作规程，并切实落实，有完整记录，得1分；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压力容器、燃气压力管道等特种设备，以及相关安全附件仪器仪表（如安全阀、压力表等）等按规定建立了设备台账，具有完善的安全技术档案，特种设备落实了法定两检（安装监检和定期检验）并检验合格，安全附件仪器仪表定期校验并合格；按照相关安全技术规范要求落实了特种设备年度检查和日常隐患排查治理，得1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16</w:t>
            </w:r>
          </w:p>
        </w:tc>
        <w:tc>
          <w:tcPr>
            <w:tcW w:w="1750" w:type="dxa"/>
            <w:vMerge w:val="continue"/>
            <w:noWrap w:val="0"/>
            <w:vAlign w:val="center"/>
          </w:tcPr>
          <w:p>
            <w:pPr>
              <w:widowControl/>
              <w:spacing w:line="28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燃气设施</w:t>
            </w:r>
          </w:p>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保护</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（1）制定第三方施工管控措施并按制度执行的，得1分；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（2）按规范要求在燃气设施周边设置安全警示标志，在安全保护范围周边设置安全保护标志，得1分；缺一项扣0.5分，扣完为止；</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（3）按相关要求对燃气设施进行巡查，并建立巡检台账的，得1分。定期对燃气设施进行检测、维修和维护，确保燃气设施的安全运行的，得1分。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17</w:t>
            </w:r>
          </w:p>
        </w:tc>
        <w:tc>
          <w:tcPr>
            <w:tcW w:w="1750" w:type="dxa"/>
            <w:vMerge w:val="continue"/>
            <w:noWrap w:val="0"/>
            <w:vAlign w:val="center"/>
          </w:tcPr>
          <w:p>
            <w:pPr>
              <w:widowControl/>
              <w:spacing w:line="28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网络信息安全保护</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按照《信息系统安全等级保护实施指南》和《信息安全等级保护管理办法》等有关要求，开展信息系统安全保护等级测评和备案的，得2分。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8"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18</w:t>
            </w:r>
          </w:p>
        </w:tc>
        <w:tc>
          <w:tcPr>
            <w:tcW w:w="1750" w:type="dxa"/>
            <w:noWrap w:val="0"/>
            <w:vAlign w:val="center"/>
          </w:tcPr>
          <w:p>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三、安全投入、生产管理及应急能力</w:t>
            </w:r>
          </w:p>
          <w:p>
            <w:pPr>
              <w:widowControl/>
              <w:spacing w:line="360" w:lineRule="exact"/>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（49分）</w:t>
            </w:r>
          </w:p>
        </w:tc>
        <w:tc>
          <w:tcPr>
            <w:tcW w:w="1184" w:type="dxa"/>
            <w:noWrap w:val="0"/>
            <w:vAlign w:val="center"/>
          </w:tcPr>
          <w:p>
            <w:pPr>
              <w:widowControl/>
              <w:spacing w:line="360" w:lineRule="exact"/>
              <w:jc w:val="center"/>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智慧燃气</w:t>
            </w:r>
          </w:p>
        </w:tc>
        <w:tc>
          <w:tcPr>
            <w:tcW w:w="911" w:type="dxa"/>
            <w:noWrap w:val="0"/>
            <w:vAlign w:val="center"/>
          </w:tcPr>
          <w:p>
            <w:pPr>
              <w:widowControl/>
              <w:spacing w:line="36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10</w:t>
            </w:r>
          </w:p>
        </w:tc>
        <w:tc>
          <w:tcPr>
            <w:tcW w:w="9836" w:type="dxa"/>
            <w:noWrap w:val="0"/>
            <w:vAlign w:val="center"/>
          </w:tcPr>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（1）企业级SCADA系统（3分）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1）建立企业级SCADA系统并正常使用的，得1分；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2）所有场站均接入SCADA系统的，得1分；否则不得分；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80%（含）以上用户端信息（流量表数据、报警器和自动切断阀信号等）接入SCADA系统的，得1分；50%（含）-80%以上用户端信息接入SCADA系统的，得0.5分；20%（含）-50%以上用户端信息接入SCADA系统的，得0.2分；20%以下用户端信息接入SCADA系统的，不得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注：只有监视没有控制功能的，扣1分。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（2）GIS系统（3分）</w:t>
            </w:r>
            <w:r>
              <w:rPr>
                <w:rFonts w:hint="default" w:ascii="Times New Roman" w:hAnsi="Times New Roman" w:eastAsia="方正仿宋_GBK" w:cs="Times New Roman"/>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14:textFill>
                  <w14:solidFill>
                    <w14:schemeClr w14:val="tx1"/>
                  </w14:solidFill>
                </w14:textFill>
              </w:rPr>
              <w:t>GIS系统</w:t>
            </w:r>
            <w:r>
              <w:rPr>
                <w:rFonts w:hint="default" w:ascii="Times New Roman" w:hAnsi="Times New Roman" w:eastAsia="方正仿宋_GBK" w:cs="Times New Roman"/>
                <w:color w:val="000000" w:themeColor="text1"/>
                <w:kern w:val="0"/>
                <w:szCs w:val="21"/>
                <w:lang w:eastAsia="zh-CN"/>
                <w14:textFill>
                  <w14:solidFill>
                    <w14:schemeClr w14:val="tx1"/>
                  </w14:solidFill>
                </w14:textFill>
              </w:rPr>
              <w:t>建议不作为考评内容）</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1）具有GIS系统，得1分；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2）80%（含）以上燃气管道接入GIS系统的，得2分；50%（含）-80%以上燃气管道接入GIS系统的，得1分；20%（含）-50%燃气管道接入GIS系统，得0.5分；20%以下燃气管道接入GIS系统的，不得分。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（3）自动化程度符合《城镇燃气自动化系统技术规范（CJJT 259-2016）》的，得1分，不符合1项扣0.5分，扣完为止。</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（4）具有客户管理系统的，得1分；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（5）2020年以后新装用户智能化表具安装率（1分）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1）智能化表具占所有表具比例20%以下，不得分；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2）智能化表具占所有表具比例20%（含）-60%，得0.5分；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 xml:space="preserve">3）智能化表具占所有表具比例60%（含）以上，得1分。 </w:t>
            </w:r>
          </w:p>
          <w:p>
            <w:pPr>
              <w:widowControl/>
              <w:spacing w:line="36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（6）特种设备检验信息数据库（1分）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1）建立了燃气压力管道等特种设备检验信息数据库，对特种设备检验信息实施信息化管理的，得0.5分；</w:t>
            </w:r>
          </w:p>
          <w:p>
            <w:pPr>
              <w:widowControl/>
              <w:spacing w:line="36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2）燃气压力管道检验信息能够自动上传至全国压力管道检验信息系统的，得0.5分。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19</w:t>
            </w:r>
          </w:p>
        </w:tc>
        <w:tc>
          <w:tcPr>
            <w:tcW w:w="1750" w:type="dxa"/>
            <w:vMerge w:val="restart"/>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四、服务质量及用户投诉受理（22分）</w:t>
            </w:r>
          </w:p>
        </w:tc>
        <w:tc>
          <w:tcPr>
            <w:tcW w:w="1184"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信息公开</w:t>
            </w:r>
          </w:p>
        </w:tc>
        <w:tc>
          <w:tcPr>
            <w:tcW w:w="911"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w:t>
            </w:r>
          </w:p>
        </w:tc>
        <w:tc>
          <w:tcPr>
            <w:tcW w:w="9836"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（1）建立企业网站或微信公众号的，得0.5分；</w:t>
            </w:r>
          </w:p>
          <w:p>
            <w:pPr>
              <w:widowControl/>
              <w:spacing w:line="40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（2）向社会公开业务办理流程、服务标准、资费标准、气质等信息，得0.5分。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20</w:t>
            </w:r>
          </w:p>
        </w:tc>
        <w:tc>
          <w:tcPr>
            <w:tcW w:w="1750" w:type="dxa"/>
            <w:vMerge w:val="continue"/>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服务质量</w:t>
            </w:r>
          </w:p>
        </w:tc>
        <w:tc>
          <w:tcPr>
            <w:tcW w:w="911"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9836"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在政务服务网、企业APP、微信公众号开设供气服务模块，模块至少包含开户、报装预约、“好差评”、点火预约、改造预约、故障报修、服务网点信息、服务热线、抢修热线、开具发票等功能或信息，且能够正常运行，得2分，每少实现一项功能扣0.2分，扣完为止；</w:t>
            </w:r>
          </w:p>
          <w:p>
            <w:pPr>
              <w:widowControl/>
              <w:spacing w:line="40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（2）报装环节、报装材料和报装时间均符合《云南省关于做好建设项目水电气网联合报装“一件事一次</w:t>
            </w:r>
            <w:bookmarkStart w:id="0" w:name="_GoBack"/>
            <w:bookmarkEnd w:id="0"/>
            <w:r>
              <w:rPr>
                <w:rFonts w:hint="default" w:ascii="Times New Roman" w:hAnsi="Times New Roman" w:eastAsia="方正仿宋_GBK" w:cs="Times New Roman"/>
                <w:color w:val="000000" w:themeColor="text1"/>
                <w:kern w:val="0"/>
                <w:szCs w:val="21"/>
                <w14:textFill>
                  <w14:solidFill>
                    <w14:schemeClr w14:val="tx1"/>
                  </w14:solidFill>
                </w14:textFill>
              </w:rPr>
              <w:t>办”审批服务工作的通知》</w:t>
            </w:r>
            <w:r>
              <w:rPr>
                <w:rFonts w:hint="eastAsia" w:eastAsia="方正仿宋_GBK" w:cs="Times New Roman"/>
                <w:color w:val="000000" w:themeColor="text1"/>
                <w:kern w:val="0"/>
                <w:szCs w:val="21"/>
                <w:lang w:eastAsia="zh-CN"/>
                <w14:textFill>
                  <w14:solidFill>
                    <w14:schemeClr w14:val="tx1"/>
                  </w14:solidFill>
                </w14:textFill>
              </w:rPr>
              <w:t>和《玉溪市关于进一步加大优化营商环境工作力度的若干意见》</w:t>
            </w:r>
            <w:r>
              <w:rPr>
                <w:rFonts w:hint="default" w:ascii="Times New Roman" w:hAnsi="Times New Roman" w:eastAsia="方正仿宋_GBK" w:cs="Times New Roman"/>
                <w:color w:val="000000" w:themeColor="text1"/>
                <w:kern w:val="0"/>
                <w:szCs w:val="21"/>
                <w14:textFill>
                  <w14:solidFill>
                    <w14:schemeClr w14:val="tx1"/>
                  </w14:solidFill>
                </w14:textFill>
              </w:rPr>
              <w:t>要求的，得1分；每存在一项不符合要求的，扣0.5分，扣完为止。</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21</w:t>
            </w:r>
          </w:p>
        </w:tc>
        <w:tc>
          <w:tcPr>
            <w:tcW w:w="1750" w:type="dxa"/>
            <w:vMerge w:val="continue"/>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用户投诉</w:t>
            </w:r>
          </w:p>
        </w:tc>
        <w:tc>
          <w:tcPr>
            <w:tcW w:w="911"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9836"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（1）具有网上或电话投诉渠道，且5个工作日内反馈投诉处理结果的，得1分；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（2）投诉处理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1）有效投诉处理结果满意度为95%（含）以上的，得2分；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2）有效投诉处理结果满意度为60%（含）</w:t>
            </w:r>
            <w:r>
              <w:rPr>
                <w:rFonts w:hint="default" w:ascii="Times New Roman" w:hAnsi="Times New Roman" w:eastAsia="方正仿宋_GBK" w:cs="Times New Roman"/>
                <w:color w:val="000000" w:themeColor="text1"/>
                <w:spacing w:val="-6"/>
                <w:szCs w:val="21"/>
                <w14:textFill>
                  <w14:solidFill>
                    <w14:schemeClr w14:val="tx1"/>
                  </w14:solidFill>
                </w14:textFill>
              </w:rPr>
              <w:t>-</w:t>
            </w:r>
            <w:r>
              <w:rPr>
                <w:rFonts w:hint="default" w:ascii="Times New Roman" w:hAnsi="Times New Roman" w:eastAsia="方正仿宋_GBK" w:cs="Times New Roman"/>
                <w:color w:val="000000" w:themeColor="text1"/>
                <w:kern w:val="0"/>
                <w:szCs w:val="21"/>
                <w14:textFill>
                  <w14:solidFill>
                    <w14:schemeClr w14:val="tx1"/>
                  </w14:solidFill>
                </w14:textFill>
              </w:rPr>
              <w:t>95%的，得1分；</w:t>
            </w:r>
          </w:p>
          <w:p>
            <w:pPr>
              <w:widowControl/>
              <w:spacing w:line="40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3）有效投诉处理结果满意度为60%以下的，不得分。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22</w:t>
            </w:r>
          </w:p>
        </w:tc>
        <w:tc>
          <w:tcPr>
            <w:tcW w:w="1750" w:type="dxa"/>
            <w:vMerge w:val="continue"/>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财务状况</w:t>
            </w:r>
          </w:p>
        </w:tc>
        <w:tc>
          <w:tcPr>
            <w:tcW w:w="911" w:type="dxa"/>
            <w:noWrap w:val="0"/>
            <w:vAlign w:val="center"/>
          </w:tcPr>
          <w:p>
            <w:pPr>
              <w:widowControl/>
              <w:spacing w:line="40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9836" w:type="dxa"/>
            <w:noWrap w:val="0"/>
            <w:vAlign w:val="center"/>
          </w:tcPr>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（1）总资产收益率超过银行长期贷款利率，得1分；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（2）经营现金流量大于0，得1分；</w:t>
            </w:r>
          </w:p>
          <w:p>
            <w:pPr>
              <w:widowControl/>
              <w:spacing w:line="40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（3）资产负债率小于70%（含），得1分。</w:t>
            </w:r>
          </w:p>
          <w:p>
            <w:pPr>
              <w:widowControl/>
              <w:spacing w:line="40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注：评估期内每个单项每有1年未达到要求的，扣0.5分。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23</w:t>
            </w:r>
          </w:p>
        </w:tc>
        <w:tc>
          <w:tcPr>
            <w:tcW w:w="1750" w:type="dxa"/>
            <w:vMerge w:val="restart"/>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四、服务质量及用户投诉受理情况（22分）</w:t>
            </w: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入户安检</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5</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（1）有健全的入户安检制度，安检频次、安全检查内容等符合相关要求的，得1分；每存在一项不符合要求的，扣0.5分，扣完为止；</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（2）对安全检查发现的隐患及时制定整改措施，落实整改责任人和整改期限，整改完成后进行复查，得2分；每存在一项不符合要求的，扣0.5分，扣完为止；</w:t>
            </w:r>
          </w:p>
          <w:p>
            <w:pPr>
              <w:widowControl/>
              <w:spacing w:line="280" w:lineRule="exact"/>
              <w:jc w:val="left"/>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（3）制定入户安检年度计划，并将计划和实际执行结果</w:t>
            </w:r>
            <w:r>
              <w:rPr>
                <w:rFonts w:hint="default" w:ascii="Times New Roman" w:hAnsi="Times New Roman" w:eastAsia="方正仿宋_GBK" w:cs="Times New Roman"/>
                <w:color w:val="000000" w:themeColor="text1"/>
                <w:kern w:val="0"/>
                <w:szCs w:val="21"/>
                <w:lang w:eastAsia="zh-CN"/>
                <w14:textFill>
                  <w14:solidFill>
                    <w14:schemeClr w14:val="tx1"/>
                  </w14:solidFill>
                </w14:textFill>
              </w:rPr>
              <w:t>（含</w:t>
            </w:r>
            <w:r>
              <w:rPr>
                <w:rFonts w:hint="default" w:ascii="Times New Roman" w:hAnsi="Times New Roman" w:eastAsia="方正仿宋_GBK" w:cs="Times New Roman"/>
                <w:color w:val="000000" w:themeColor="text1"/>
                <w:kern w:val="0"/>
                <w:szCs w:val="21"/>
                <w14:textFill>
                  <w14:solidFill>
                    <w14:schemeClr w14:val="tx1"/>
                  </w14:solidFill>
                </w14:textFill>
              </w:rPr>
              <w:t>安检异常用户上报主管部门</w:t>
            </w:r>
            <w:r>
              <w:rPr>
                <w:rFonts w:hint="default" w:ascii="Times New Roman" w:hAnsi="Times New Roman" w:eastAsia="方正仿宋_GBK" w:cs="Times New Roman"/>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21"/>
                <w14:textFill>
                  <w14:solidFill>
                    <w14:schemeClr w14:val="tx1"/>
                  </w14:solidFill>
                </w14:textFill>
              </w:rPr>
              <w:t>报送行业主管部门的，得1分；否则不得分；</w:t>
            </w:r>
          </w:p>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（4）实际入户率达到80%及以上，得0.5分；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（5）有完善的到访不遇制度和处置措施，且执行情况良好，得0.5分。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24</w:t>
            </w:r>
          </w:p>
        </w:tc>
        <w:tc>
          <w:tcPr>
            <w:tcW w:w="1750" w:type="dxa"/>
            <w:vMerge w:val="continue"/>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用户回访</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pStyle w:val="12"/>
              <w:spacing w:line="280" w:lineRule="exact"/>
              <w:rPr>
                <w:rFonts w:hint="default" w:ascii="Times New Roman" w:hAnsi="Times New Roman" w:eastAsia="方正仿宋_GBK" w:cs="Times New Roman"/>
                <w:color w:val="000000" w:themeColor="text1"/>
                <w:spacing w:val="-6"/>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（1）提供上门服务或有投诉的用户进行回访且建立完善的回访记录档案的，得1分；</w:t>
            </w:r>
          </w:p>
          <w:p>
            <w:pPr>
              <w:pStyle w:val="12"/>
              <w:spacing w:line="280" w:lineRule="exact"/>
              <w:rPr>
                <w:rFonts w:hint="default" w:ascii="Times New Roman" w:hAnsi="Times New Roman" w:eastAsia="方正仿宋_GBK" w:cs="Times New Roman"/>
                <w:color w:val="000000" w:themeColor="text1"/>
                <w:spacing w:val="-6"/>
                <w:sz w:val="21"/>
                <w:szCs w:val="21"/>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（2）用户回访率达到10%（含）以上的，得1分。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8" w:hRule="atLeas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25</w:t>
            </w:r>
          </w:p>
        </w:tc>
        <w:tc>
          <w:tcPr>
            <w:tcW w:w="1750" w:type="dxa"/>
            <w:vMerge w:val="continue"/>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用户满意度</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9836" w:type="dxa"/>
            <w:noWrap w:val="0"/>
            <w:vAlign w:val="center"/>
          </w:tcPr>
          <w:p>
            <w:pPr>
              <w:pStyle w:val="12"/>
              <w:spacing w:line="280" w:lineRule="exact"/>
              <w:rPr>
                <w:rFonts w:hint="default" w:ascii="Times New Roman" w:hAnsi="Times New Roman" w:eastAsia="方正仿宋_GBK" w:cs="Times New Roman"/>
                <w:color w:val="000000" w:themeColor="text1"/>
                <w:spacing w:val="-6"/>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分别采取电话调查及上门调查两种形式：</w:t>
            </w:r>
          </w:p>
          <w:p>
            <w:pPr>
              <w:pStyle w:val="12"/>
              <w:spacing w:line="280" w:lineRule="exact"/>
              <w:rPr>
                <w:rFonts w:hint="default" w:ascii="Times New Roman" w:hAnsi="Times New Roman" w:eastAsia="方正仿宋_GBK" w:cs="Times New Roman"/>
                <w:color w:val="000000" w:themeColor="text1"/>
                <w:spacing w:val="-6"/>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（1）电话调查满意度为95%（含）以上的，得1.5分，90%（含）-95%的，得1分，80%（含）-90%的，得0.5分；其余不得分；</w:t>
            </w:r>
          </w:p>
          <w:p>
            <w:pPr>
              <w:pStyle w:val="12"/>
              <w:spacing w:line="280" w:lineRule="exact"/>
              <w:rPr>
                <w:rFonts w:hint="default" w:ascii="Times New Roman" w:hAnsi="Times New Roman" w:eastAsia="方正仿宋_GBK" w:cs="Times New Roman"/>
                <w:color w:val="000000" w:themeColor="text1"/>
                <w:spacing w:val="-6"/>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（2）上门调查满意度为95%（含）以上的，得1.5分，90%（含）-95%的，得1分，80%（含）-90%的，得0.5分；其余不得分。</w:t>
            </w:r>
          </w:p>
          <w:p>
            <w:pPr>
              <w:pStyle w:val="12"/>
              <w:spacing w:line="280" w:lineRule="exact"/>
              <w:rPr>
                <w:rFonts w:hint="default" w:ascii="Times New Roman" w:hAnsi="Times New Roman" w:eastAsia="方正仿宋_GBK" w:cs="Times New Roman"/>
                <w:color w:val="000000" w:themeColor="text1"/>
                <w:spacing w:val="-6"/>
                <w:sz w:val="21"/>
                <w:szCs w:val="21"/>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注：各类用户样本数量原则上为该类用户总数的1%，各类用户总量可不超过100户。</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26</w:t>
            </w:r>
          </w:p>
        </w:tc>
        <w:tc>
          <w:tcPr>
            <w:tcW w:w="1750" w:type="dxa"/>
            <w:vMerge w:val="continue"/>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安全宣传</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9836" w:type="dxa"/>
            <w:noWrap w:val="0"/>
            <w:vAlign w:val="center"/>
          </w:tcPr>
          <w:p>
            <w:pPr>
              <w:pStyle w:val="12"/>
              <w:spacing w:line="280" w:lineRule="exact"/>
              <w:rPr>
                <w:rFonts w:hint="default" w:ascii="Times New Roman" w:hAnsi="Times New Roman" w:eastAsia="方正仿宋_GBK" w:cs="Times New Roman"/>
                <w:color w:val="000000" w:themeColor="text1"/>
                <w:spacing w:val="-6"/>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（1）按要求制定安全宣传制度和宣传计划，并执行良好的，得1分；有不合格的每项扣0.5分，扣完为止；</w:t>
            </w:r>
          </w:p>
          <w:p>
            <w:pPr>
              <w:pStyle w:val="12"/>
              <w:spacing w:line="280" w:lineRule="exact"/>
              <w:rPr>
                <w:rFonts w:hint="default" w:ascii="Times New Roman" w:hAnsi="Times New Roman" w:eastAsia="方正仿宋_GBK" w:cs="Times New Roman"/>
                <w:color w:val="000000" w:themeColor="text1"/>
                <w:spacing w:val="-6"/>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（2）每年开展4次及以上安全宣传教育活动，得1分；每少1次扣0.5分，扣完为止。</w:t>
            </w:r>
          </w:p>
          <w:p>
            <w:pPr>
              <w:pStyle w:val="12"/>
              <w:spacing w:line="280" w:lineRule="exact"/>
              <w:rPr>
                <w:rFonts w:hint="default" w:ascii="Times New Roman" w:hAnsi="Times New Roman" w:eastAsia="方正仿宋_GBK" w:cs="Times New Roman"/>
                <w:color w:val="000000" w:themeColor="text1"/>
                <w:spacing w:val="-6"/>
                <w:sz w:val="21"/>
                <w:szCs w:val="21"/>
                <w14:textFill>
                  <w14:solidFill>
                    <w14:schemeClr w14:val="tx1"/>
                  </w14:solidFill>
                </w14:textFill>
              </w:rPr>
            </w:pPr>
            <w:r>
              <w:rPr>
                <w:rFonts w:hint="default" w:ascii="Times New Roman" w:hAnsi="Times New Roman" w:eastAsia="方正仿宋_GBK" w:cs="Times New Roman"/>
                <w:color w:val="000000" w:themeColor="text1"/>
                <w:spacing w:val="-6"/>
                <w:sz w:val="21"/>
                <w:szCs w:val="21"/>
                <w14:textFill>
                  <w14:solidFill>
                    <w14:schemeClr w14:val="tx1"/>
                  </w14:solidFill>
                </w14:textFill>
              </w:rPr>
              <w:t>注：安全宣传教育活动（包括安全用气注意事项、正确选择燃气用具的方法、出现异常情况和意外事故时采取的紧急处理措施、户内燃气设施保护措施以及报修报警电话等）。</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5231" w:type="dxa"/>
            <w:gridSpan w:val="6"/>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w:t>
            </w:r>
          </w:p>
        </w:tc>
        <w:tc>
          <w:tcPr>
            <w:tcW w:w="1750" w:type="dxa"/>
            <w:vMerge w:val="restart"/>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扣分项</w:t>
            </w: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监管部门提出整改意见</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kern w:val="0"/>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（1）有1至3项（处）未按时、按要求完成整改，扣2分；</w:t>
            </w:r>
          </w:p>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（2）有3项（处）以上未按时、按要求完成整改，扣4分。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1750" w:type="dxa"/>
            <w:vMerge w:val="continue"/>
            <w:noWrap w:val="0"/>
            <w:vAlign w:val="center"/>
          </w:tcPr>
          <w:p>
            <w:pPr>
              <w:widowControl/>
              <w:spacing w:line="28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供气合同履行情况</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每存在一起供气合同违约行为，扣0.5分，最多扣3分。</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3"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1750" w:type="dxa"/>
            <w:vMerge w:val="continue"/>
            <w:noWrap w:val="0"/>
            <w:vAlign w:val="center"/>
          </w:tcPr>
          <w:p>
            <w:pPr>
              <w:widowControl/>
              <w:spacing w:line="280" w:lineRule="exact"/>
              <w:jc w:val="left"/>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184"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安全事故</w:t>
            </w:r>
          </w:p>
        </w:tc>
        <w:tc>
          <w:tcPr>
            <w:tcW w:w="911" w:type="dxa"/>
            <w:noWrap w:val="0"/>
            <w:vAlign w:val="center"/>
          </w:tcPr>
          <w:p>
            <w:pPr>
              <w:widowControl/>
              <w:spacing w:line="280" w:lineRule="exact"/>
              <w:jc w:val="center"/>
              <w:textAlignment w:val="center"/>
              <w:rPr>
                <w:rFonts w:hint="default" w:ascii="Times New Roman" w:hAnsi="Times New Roman" w:eastAsia="方正仿宋_GBK" w:cs="Times New Roman"/>
                <w:color w:val="000000" w:themeColor="text1"/>
                <w:szCs w:val="21"/>
                <w14:textFill>
                  <w14:solidFill>
                    <w14:schemeClr w14:val="tx1"/>
                  </w14:solidFill>
                </w14:textFill>
              </w:rPr>
            </w:pPr>
          </w:p>
        </w:tc>
        <w:tc>
          <w:tcPr>
            <w:tcW w:w="9836" w:type="dxa"/>
            <w:noWrap w:val="0"/>
            <w:vAlign w:val="center"/>
          </w:tcPr>
          <w:p>
            <w:pPr>
              <w:widowControl/>
              <w:spacing w:line="280" w:lineRule="exact"/>
              <w:jc w:val="left"/>
              <w:textAlignment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每发生1起一般责任安全事故的，扣3分；每发生1起较大责任安全事故的，扣10分。因管理不善，发生重大质量、安全事故的，市、县（市、区）人民政府或人民政府授权委托的主体单位应当依法终止特许经营协议，取消其特许经营权，并可以实施临时接管。</w:t>
            </w:r>
          </w:p>
        </w:tc>
        <w:tc>
          <w:tcPr>
            <w:tcW w:w="797" w:type="dxa"/>
            <w:noWrap w:val="0"/>
            <w:vAlign w:val="center"/>
          </w:tcPr>
          <w:p>
            <w:pPr>
              <w:spacing w:line="280" w:lineRule="exact"/>
              <w:jc w:val="left"/>
              <w:rPr>
                <w:rFonts w:hint="default" w:ascii="Times New Roman" w:hAnsi="Times New Roman" w:eastAsia="方正仿宋_GBK" w:cs="Times New Roman"/>
                <w:color w:val="000000" w:themeColor="text1"/>
                <w:szCs w:val="21"/>
                <w14:textFill>
                  <w14:solidFill>
                    <w14:schemeClr w14:val="tx1"/>
                  </w14:solidFill>
                </w14:textFill>
              </w:rPr>
            </w:pPr>
          </w:p>
        </w:tc>
      </w:tr>
    </w:tbl>
    <w:p>
      <w:pPr>
        <w:tabs>
          <w:tab w:val="left" w:pos="792"/>
        </w:tabs>
        <w:rPr>
          <w:color w:val="000000" w:themeColor="text1"/>
          <w14:textFill>
            <w14:solidFill>
              <w14:schemeClr w14:val="tx1"/>
            </w14:solidFill>
          </w14:textFill>
        </w:rPr>
      </w:pPr>
    </w:p>
    <w:sectPr>
      <w:footerReference r:id="rId5" w:type="default"/>
      <w:pgSz w:w="16838" w:h="11906" w:orient="landscape"/>
      <w:pgMar w:top="1587" w:right="2041" w:bottom="1474" w:left="1304" w:header="1361" w:footer="1191" w:gutter="0"/>
      <w:pgNumType w:fmt="decimal"/>
      <w:cols w:space="0" w:num="1"/>
      <w:rtlGutter w:val="0"/>
      <w:docGrid w:type="linesAndChars" w:linePitch="287"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80" w:lineRule="exact"/>
      <w:jc w:val="center"/>
      <w:textAlignment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11</w: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80" w:lineRule="exact"/>
      <w:jc w:val="center"/>
      <w:textAlignment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FlNzY5MDEyNWVkZTNiMGMxM2M4ZWNjNDc5ZTkifQ=="/>
  </w:docVars>
  <w:rsids>
    <w:rsidRoot w:val="491A3BBA"/>
    <w:rsid w:val="05A14A3E"/>
    <w:rsid w:val="06A649CA"/>
    <w:rsid w:val="0739555C"/>
    <w:rsid w:val="0C2B27B4"/>
    <w:rsid w:val="16F715BC"/>
    <w:rsid w:val="236B70D8"/>
    <w:rsid w:val="303A6BA9"/>
    <w:rsid w:val="30EC16EA"/>
    <w:rsid w:val="3C1557B6"/>
    <w:rsid w:val="435C77D4"/>
    <w:rsid w:val="44FD2E87"/>
    <w:rsid w:val="491A3BBA"/>
    <w:rsid w:val="4B07637C"/>
    <w:rsid w:val="4BF2341E"/>
    <w:rsid w:val="4E573133"/>
    <w:rsid w:val="62EE2229"/>
    <w:rsid w:val="65EB2F60"/>
    <w:rsid w:val="67703F82"/>
    <w:rsid w:val="67C776FD"/>
    <w:rsid w:val="75D9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spacing w:line="240" w:lineRule="auto"/>
      <w:ind w:firstLine="420" w:firstLineChars="200"/>
    </w:pPr>
    <w:rPr>
      <w:rFonts w:ascii="Times New Roman" w:hAnsi="Times New Roman" w:eastAsia="仿宋_GB2312"/>
      <w:sz w:val="32"/>
      <w:szCs w:val="24"/>
    </w:rPr>
  </w:style>
  <w:style w:type="paragraph" w:styleId="3">
    <w:name w:val="Body Text"/>
    <w:basedOn w:val="1"/>
    <w:next w:val="4"/>
    <w:qFormat/>
    <w:uiPriority w:val="99"/>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680"/>
        <w:tab w:val="right" w:pos="9360"/>
      </w:tabs>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Default"/>
    <w:basedOn w:val="1"/>
    <w:qFormat/>
    <w:uiPriority w:val="0"/>
    <w:pPr>
      <w:autoSpaceDE w:val="0"/>
      <w:autoSpaceDN w:val="0"/>
      <w:adjustRightInd w:val="0"/>
      <w:jc w:val="left"/>
    </w:pPr>
    <w:rPr>
      <w:rFonts w:eastAsia="仿宋_GB2312"/>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7834</Words>
  <Characters>8191</Characters>
  <Lines>0</Lines>
  <Paragraphs>0</Paragraphs>
  <TotalTime>8</TotalTime>
  <ScaleCrop>false</ScaleCrop>
  <LinksUpToDate>false</LinksUpToDate>
  <CharactersWithSpaces>8237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2023-04-19T10:07:00Z</dcterms:created>
  <dc:creator>Cathy</dc:creator>
  <cp:lastModifiedBy>rk</cp:lastModifiedBy>
  <dcterms:modified xsi:type="dcterms:W3CDTF">2023-11-24T03:00:16Z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3143E33175D14798AAAF6A78B99C7B40</vt:lpwstr>
  </property>
</Properties>
</file>