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eastAsia="zh-CN"/>
        </w:rPr>
        <w:t>玉溪市限价商品住房管理规定</w:t>
      </w:r>
      <w:r>
        <w:rPr>
          <w:rFonts w:hint="eastAsia" w:cs="Times New Roman"/>
          <w:lang w:eastAsia="zh-CN"/>
        </w:rPr>
        <w:t>编制说明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eastAsia="方正仿宋_GBK" w:cs="Times New Roman"/>
          <w:lang w:eastAsia="zh-CN"/>
        </w:rPr>
        <w:t>现</w:t>
      </w:r>
      <w:r>
        <w:rPr>
          <w:rFonts w:hint="default" w:ascii="Times New Roman" w:hAnsi="Times New Roman" w:eastAsia="方正仿宋_GBK" w:cs="Times New Roman"/>
        </w:rPr>
        <w:t>就《</w:t>
      </w:r>
      <w:r>
        <w:rPr>
          <w:rFonts w:hint="default" w:ascii="Times New Roman" w:hAnsi="Times New Roman" w:eastAsia="方正仿宋_GBK" w:cs="Times New Roman"/>
          <w:lang w:eastAsia="zh-CN"/>
        </w:rPr>
        <w:t>玉溪市限价商品房住房管理规定</w:t>
      </w:r>
      <w:r>
        <w:rPr>
          <w:rFonts w:hint="default" w:ascii="Times New Roman" w:hAnsi="Times New Roman" w:eastAsia="方正仿宋_GBK" w:cs="Times New Roman"/>
        </w:rPr>
        <w:t>（送审稿）》（以下简称《</w:t>
      </w:r>
      <w:r>
        <w:rPr>
          <w:rFonts w:hint="default" w:ascii="Times New Roman" w:hAnsi="Times New Roman" w:eastAsia="方正仿宋_GBK" w:cs="Times New Roman"/>
          <w:lang w:eastAsia="zh-CN"/>
        </w:rPr>
        <w:t>规定</w:t>
      </w:r>
      <w:r>
        <w:rPr>
          <w:rFonts w:hint="default" w:ascii="Times New Roman" w:hAnsi="Times New Roman" w:eastAsia="方正仿宋_GBK" w:cs="Times New Roman"/>
        </w:rPr>
        <w:t>》）有关</w:t>
      </w:r>
      <w:r>
        <w:rPr>
          <w:rFonts w:hint="eastAsia" w:eastAsia="方正仿宋_GBK" w:cs="Times New Roman"/>
          <w:lang w:eastAsia="zh-CN"/>
        </w:rPr>
        <w:t>编制</w:t>
      </w:r>
      <w:r>
        <w:rPr>
          <w:rFonts w:hint="default" w:ascii="Times New Roman" w:hAnsi="Times New Roman" w:eastAsia="方正仿宋_GBK" w:cs="Times New Roman"/>
        </w:rPr>
        <w:t>情况作如下</w:t>
      </w:r>
      <w:r>
        <w:rPr>
          <w:rFonts w:hint="eastAsia" w:eastAsia="方正仿宋_GBK" w:cs="Times New Roman"/>
          <w:lang w:eastAsia="zh-CN"/>
        </w:rPr>
        <w:t>说明：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一、</w:t>
      </w:r>
      <w:r>
        <w:rPr>
          <w:rFonts w:hint="eastAsia" w:eastAsia="方正黑体_GBK" w:cs="Times New Roman"/>
          <w:lang w:eastAsia="zh-CN"/>
        </w:rPr>
        <w:t>编制</w:t>
      </w:r>
      <w:r>
        <w:rPr>
          <w:rFonts w:hint="default" w:ascii="Times New Roman" w:hAnsi="Times New Roman" w:eastAsia="方正黑体_GBK" w:cs="Times New Roman"/>
          <w:lang w:eastAsia="zh-CN"/>
        </w:rPr>
        <w:t>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新宋体" w:eastAsia="方正仿宋_GBK" w:cs="宋体"/>
          <w:color w:val="000000"/>
          <w:kern w:val="0"/>
          <w:szCs w:val="32"/>
        </w:rPr>
        <w:t>为解决我市城镇住房困难家庭的住房问题，完善住房保障体系，规范限价商品住房建设、销售和管理工作</w:t>
      </w:r>
      <w:r>
        <w:rPr>
          <w:rFonts w:hint="eastAsia" w:ascii="方正仿宋_GBK" w:hAnsi="新宋体" w:cs="宋体"/>
          <w:color w:val="000000"/>
          <w:kern w:val="0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lang w:eastAsia="zh-CN"/>
        </w:rPr>
        <w:t>按照《国务院办公厅关于保障性安居工程建设和管理的指导意见》（国办发</w:t>
      </w:r>
      <w:r>
        <w:rPr>
          <w:rFonts w:hint="default" w:ascii="Times New Roman" w:hAnsi="Times New Roman" w:cs="Times New Roman"/>
          <w:lang w:val="en-US" w:eastAsia="zh-CN"/>
        </w:rPr>
        <w:t>〔2011〕45号</w:t>
      </w:r>
      <w:r>
        <w:rPr>
          <w:rFonts w:hint="default" w:ascii="Times New Roman" w:hAnsi="Times New Roman" w:cs="Times New Roman"/>
          <w:lang w:eastAsia="zh-CN"/>
        </w:rPr>
        <w:t>）相关规定，玉溪市自</w:t>
      </w:r>
      <w:r>
        <w:rPr>
          <w:rFonts w:hint="default" w:ascii="Times New Roman" w:hAnsi="Times New Roman" w:cs="Times New Roman"/>
          <w:lang w:val="en-US" w:eastAsia="zh-CN"/>
        </w:rPr>
        <w:t>2013年开始建设发展</w:t>
      </w:r>
      <w:r>
        <w:rPr>
          <w:rFonts w:hint="default" w:ascii="Times New Roman" w:hAnsi="Times New Roman" w:cs="Times New Roman"/>
          <w:lang w:eastAsia="zh-CN"/>
        </w:rPr>
        <w:t>限价商品住房，于</w:t>
      </w:r>
      <w:r>
        <w:rPr>
          <w:rFonts w:hint="default" w:ascii="Times New Roman" w:hAnsi="Times New Roman" w:cs="Times New Roman"/>
          <w:lang w:val="en-US" w:eastAsia="zh-CN"/>
        </w:rPr>
        <w:t>2014年10月出台了</w:t>
      </w:r>
      <w:r>
        <w:rPr>
          <w:rFonts w:hint="default" w:ascii="Times New Roman" w:hAnsi="Times New Roman" w:cs="Times New Roman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lang w:eastAsia="zh-CN"/>
        </w:rPr>
        <w:t>玉溪市限价商品房住房管理规定</w:t>
      </w:r>
      <w:r>
        <w:rPr>
          <w:rFonts w:hint="default" w:ascii="Times New Roman" w:hAnsi="Times New Roman" w:cs="Times New Roman"/>
          <w:lang w:eastAsia="zh-CN"/>
        </w:rPr>
        <w:t>》（玉溪市人民政府</w:t>
      </w:r>
      <w:r>
        <w:rPr>
          <w:rFonts w:hint="default" w:ascii="Times New Roman" w:hAnsi="Times New Roman" w:cs="Times New Roman"/>
          <w:lang w:val="en-US" w:eastAsia="zh-CN"/>
        </w:rPr>
        <w:t>公告38号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eastAsia" w:cs="Times New Roman"/>
          <w:lang w:eastAsia="zh-CN"/>
        </w:rPr>
        <w:t>。目前玉溪市</w:t>
      </w:r>
      <w:r>
        <w:rPr>
          <w:rFonts w:hint="default" w:ascii="Times New Roman" w:hAnsi="Times New Roman" w:cs="Times New Roman"/>
          <w:lang w:eastAsia="zh-CN"/>
        </w:rPr>
        <w:t>已建设销售限价商品住房</w:t>
      </w:r>
      <w:r>
        <w:rPr>
          <w:rFonts w:hint="eastAsia" w:cs="Times New Roman"/>
          <w:lang w:val="en-US" w:eastAsia="zh-CN"/>
        </w:rPr>
        <w:t>4325</w:t>
      </w:r>
      <w:r>
        <w:rPr>
          <w:rFonts w:hint="default" w:ascii="Times New Roman" w:hAnsi="Times New Roman" w:cs="Times New Roman"/>
          <w:lang w:val="en-US" w:eastAsia="zh-CN"/>
        </w:rPr>
        <w:t>套，解决了部分中低收入和外来稳定就业人群的住房问题，为玉溪市房地产市场平稳发展起到了积极的作用。目前因</w:t>
      </w:r>
      <w:r>
        <w:rPr>
          <w:rFonts w:hint="default" w:ascii="Times New Roman" w:hAnsi="Times New Roman" w:cs="Times New Roman"/>
        </w:rPr>
        <w:t>机构改革、职能调整</w:t>
      </w:r>
      <w:r>
        <w:rPr>
          <w:rFonts w:hint="default" w:ascii="Times New Roman" w:hAnsi="Times New Roman" w:cs="Times New Roman"/>
          <w:lang w:eastAsia="zh-CN"/>
        </w:rPr>
        <w:t>变动和推进放管服政策的实施，原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部分条款与现在的管理工作已不相适应，</w:t>
      </w:r>
      <w:r>
        <w:rPr>
          <w:rFonts w:hint="default" w:ascii="Times New Roman" w:hAnsi="Times New Roman" w:cs="Times New Roman"/>
          <w:lang w:eastAsia="zh-CN"/>
        </w:rPr>
        <w:t>按照《</w:t>
      </w:r>
      <w:r>
        <w:rPr>
          <w:rFonts w:hint="default" w:ascii="Times New Roman" w:hAnsi="Times New Roman" w:cs="Times New Roman"/>
        </w:rPr>
        <w:t>玉溪市人民政府关于公布保留的市人民政府行政规范性文件的决定</w:t>
      </w:r>
      <w:r>
        <w:rPr>
          <w:rFonts w:hint="default" w:ascii="Times New Roman" w:hAnsi="Times New Roman" w:cs="Times New Roman"/>
          <w:lang w:eastAsia="zh-CN"/>
        </w:rPr>
        <w:t>》（玉政发</w:t>
      </w:r>
      <w:r>
        <w:rPr>
          <w:rFonts w:hint="default" w:ascii="Times New Roman" w:hAnsi="Times New Roman" w:cs="Times New Roman"/>
          <w:lang w:val="en-US" w:eastAsia="zh-CN"/>
        </w:rPr>
        <w:t>〔2023〕10号</w:t>
      </w:r>
      <w:r>
        <w:rPr>
          <w:rFonts w:hint="default" w:ascii="Times New Roman" w:hAnsi="Times New Roman" w:cs="Times New Roman"/>
          <w:lang w:eastAsia="zh-CN"/>
        </w:rPr>
        <w:t>），市住房城乡建设局</w:t>
      </w:r>
      <w:r>
        <w:rPr>
          <w:rFonts w:hint="default" w:ascii="Times New Roman" w:hAnsi="Times New Roman" w:cs="Times New Roman"/>
        </w:rPr>
        <w:t>对</w:t>
      </w:r>
      <w:r>
        <w:rPr>
          <w:rFonts w:hint="default" w:ascii="Times New Roman" w:hAnsi="Times New Roman" w:cs="Times New Roman"/>
          <w:lang w:eastAsia="zh-CN"/>
        </w:rPr>
        <w:t>原《</w:t>
      </w:r>
      <w:r>
        <w:rPr>
          <w:rFonts w:hint="default" w:ascii="Times New Roman" w:hAnsi="Times New Roman" w:eastAsia="方正仿宋_GBK" w:cs="Times New Roman"/>
          <w:lang w:eastAsia="zh-CN"/>
        </w:rPr>
        <w:t>规定</w:t>
      </w:r>
      <w:r>
        <w:rPr>
          <w:rFonts w:hint="default" w:ascii="Times New Roman" w:hAnsi="Times New Roman" w:cs="Times New Roman"/>
          <w:lang w:eastAsia="zh-CN"/>
        </w:rPr>
        <w:t>》进行了</w:t>
      </w:r>
      <w:r>
        <w:rPr>
          <w:rFonts w:hint="eastAsia" w:cs="Times New Roman"/>
          <w:lang w:eastAsia="zh-CN"/>
        </w:rPr>
        <w:t>编制。</w:t>
      </w:r>
      <w:r>
        <w:rPr>
          <w:rFonts w:hint="default" w:ascii="Times New Roman" w:hAnsi="Times New Roman" w:cs="Times New Roman"/>
          <w:szCs w:val="32"/>
        </w:rPr>
        <w:t>经过征求意见、</w:t>
      </w:r>
      <w:r>
        <w:rPr>
          <w:rFonts w:hint="default" w:ascii="Times New Roman" w:hAnsi="Times New Roman" w:cs="Times New Roman"/>
          <w:szCs w:val="32"/>
          <w:lang w:eastAsia="zh-CN"/>
        </w:rPr>
        <w:t>专家论证、</w:t>
      </w:r>
      <w:r>
        <w:rPr>
          <w:rFonts w:hint="default" w:ascii="Times New Roman" w:hAnsi="Times New Roman" w:cs="Times New Roman"/>
          <w:szCs w:val="32"/>
        </w:rPr>
        <w:t>市政府专题会议研究、合法性审核，进一步修改完善后形成提请会议研究的《</w:t>
      </w:r>
      <w:r>
        <w:rPr>
          <w:rFonts w:hint="default" w:ascii="Times New Roman" w:hAnsi="Times New Roman" w:cs="Times New Roman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（送审稿）》。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主要内容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原《规定》共22条，编制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后的《规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定》共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19条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此次修改删除</w:t>
      </w:r>
      <w:r>
        <w:rPr>
          <w:rFonts w:hint="eastAsia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3条，修改15条，保留4条。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重点</w:t>
      </w:r>
      <w:r>
        <w:rPr>
          <w:rFonts w:hint="eastAsia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right="0" w:firstLine="64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规定中违反公平竞争原则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的条款进行了编制。删除原第二条中“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国有企业开发的限价商品住房可以通过协议方式出让建设用地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”的规定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修改为“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限价商品住房建设项目应当采取限房价、竞地价方式，通过招拍挂方式出让建设用地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条规定】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70" w:lineRule="atLeast"/>
        <w:ind w:right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各级政府、职能部门在限价商品住房建设、管理过程中的工作职责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进行了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条规定】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按照国家、省解决新市民、新青年住房相关要求，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限价商品住房购买对象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增加了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新就业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无房职工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条规定】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cs="Times New Roman"/>
          <w:color w:val="00000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购买条件</w:t>
      </w:r>
      <w:r>
        <w:rPr>
          <w:rFonts w:hint="eastAsia" w:cs="Times New Roman"/>
          <w:color w:val="000000"/>
          <w:sz w:val="32"/>
          <w:szCs w:val="32"/>
          <w:lang w:eastAsia="zh-CN"/>
        </w:rPr>
        <w:t>进行了编制，收入条件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为人均收入</w:t>
      </w:r>
      <w:r>
        <w:rPr>
          <w:rFonts w:hint="eastAsia" w:cs="Times New Roman"/>
          <w:color w:val="000000"/>
          <w:sz w:val="32"/>
          <w:szCs w:val="32"/>
          <w:lang w:eastAsia="zh-CN"/>
        </w:rPr>
        <w:t>低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上一年度城镇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在岗职工平均工资，</w:t>
      </w:r>
      <w:r>
        <w:rPr>
          <w:rFonts w:hint="eastAsia" w:cs="Times New Roman"/>
          <w:color w:val="auto"/>
          <w:sz w:val="32"/>
          <w:szCs w:val="32"/>
          <w:lang w:eastAsia="zh-CN"/>
        </w:rPr>
        <w:t>住房条件为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在本地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房或人均住房建筑面积低于40平方米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条规定】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落实放管服等措施，对原两审两公示的申请审核程序，根据实际情况优化为一审一公示。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购买人向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县（市、区）住房城乡建设行政主管部门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指定的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交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购买资料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十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条规定】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，住房城乡建设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行政主管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部门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审核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公示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审核不符合的书面告知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十三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条规定】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。项目开发建设单位对审核通过人员公开组织选房，依规办理购买手续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十</w:t>
      </w:r>
      <w:r>
        <w:rPr>
          <w:rFonts w:hint="eastAsia" w:cs="Times New Roman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条规定】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参照《经济适用住房管理办法》（建住房〔2007〕258号）、《住房城乡建设部关于加强经济使用住房管理有关问题的通知》（建保〔2010〕59号）相关规定对违规行为的处理进行了修定。对骗购、出具虚假证明的收回所购住房，依法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依规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追究相关责任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十七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条规定】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；对国家机关、开发建设单位、中介机构等人员有违法违规行为的，依法依规予以处理；涉嫌犯罪的，移送司法机关处理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十八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条规定】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对《规定》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部分条文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表述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规范。</w:t>
      </w:r>
    </w:p>
    <w:p>
      <w:pPr>
        <w:pStyle w:val="2"/>
        <w:ind w:left="0" w:leftChars="0" w:firstLine="0" w:firstLineChars="0"/>
        <w:rPr>
          <w:rFonts w:hint="default" w:eastAsia="方正黑体_GBK" w:cs="Times New Roman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4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ILQwI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55714"/>
    <w:rsid w:val="1F3EA6E2"/>
    <w:rsid w:val="2E4D490D"/>
    <w:rsid w:val="35ABBB73"/>
    <w:rsid w:val="5F6F24AD"/>
    <w:rsid w:val="67BC1867"/>
    <w:rsid w:val="6BED7CA4"/>
    <w:rsid w:val="6FF55714"/>
    <w:rsid w:val="77FB7EF4"/>
    <w:rsid w:val="7EBE8163"/>
    <w:rsid w:val="B69D370B"/>
    <w:rsid w:val="BC7BB7A1"/>
    <w:rsid w:val="EFCF435A"/>
    <w:rsid w:val="F3DF0D1B"/>
    <w:rsid w:val="F3E8CF59"/>
    <w:rsid w:val="FBF60247"/>
    <w:rsid w:val="FFDC7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line="579" w:lineRule="exact"/>
      <w:ind w:firstLine="632"/>
      <w:jc w:val="left"/>
      <w:outlineLvl w:val="0"/>
    </w:pPr>
    <w:rPr>
      <w:rFonts w:eastAsia="方正黑体_GBK"/>
      <w:kern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Cs w:val="32"/>
    </w:rPr>
  </w:style>
  <w:style w:type="paragraph" w:customStyle="1" w:styleId="11">
    <w:name w:val="主标题"/>
    <w:basedOn w:val="1"/>
    <w:qFormat/>
    <w:uiPriority w:val="0"/>
    <w:pPr>
      <w:widowControl w:val="0"/>
      <w:spacing w:line="579" w:lineRule="exact"/>
      <w:ind w:firstLine="0" w:firstLineChars="0"/>
      <w:jc w:val="center"/>
    </w:pPr>
    <w:rPr>
      <w:rFonts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2023-07-23T02:43:00Z</dcterms:created>
  <dc:creator>user</dc:creator>
  <cp:lastModifiedBy>user</cp:lastModifiedBy>
  <cp:lastPrinted>2023-09-20T06:03:37Z</cp:lastPrinted>
  <dcterms:modified xsi:type="dcterms:W3CDTF">2023-11-21T14:07:12Z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94A5EA12DBA149DDAAFBB16F94FE269E_13</vt:lpwstr>
  </property>
</Properties>
</file>