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lang w:val="en-US" w:eastAsia="zh-CN"/>
        </w:rPr>
        <w:t>玉溪</w:t>
      </w:r>
      <w:r>
        <w:rPr>
          <w:rFonts w:hint="eastAsia" w:ascii="方正小标宋_GBK" w:hAnsi="方正小标宋_GBK" w:eastAsia="方正小标宋_GBK" w:cs="方正小标宋_GBK"/>
          <w:color w:val="auto"/>
          <w:sz w:val="44"/>
          <w:szCs w:val="44"/>
        </w:rPr>
        <w:t>市投资促进局政府信息公开基本目录（202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val="en-US" w:eastAsia="zh-CN"/>
        </w:rPr>
        <w:t>10</w:t>
      </w:r>
      <w:r>
        <w:rPr>
          <w:rFonts w:hint="eastAsia" w:ascii="方正小标宋_GBK" w:hAnsi="方正小标宋_GBK" w:eastAsia="方正小标宋_GBK" w:cs="方正小标宋_GBK"/>
          <w:color w:val="auto"/>
          <w:sz w:val="44"/>
          <w:szCs w:val="44"/>
        </w:rPr>
        <w:t>月修订）</w:t>
      </w:r>
    </w:p>
    <w:tbl>
      <w:tblPr>
        <w:tblStyle w:val="4"/>
        <w:tblW w:w="4422" w:type="pct"/>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00"/>
        <w:gridCol w:w="663"/>
        <w:gridCol w:w="721"/>
        <w:gridCol w:w="1454"/>
        <w:gridCol w:w="1517"/>
        <w:gridCol w:w="719"/>
        <w:gridCol w:w="1254"/>
        <w:gridCol w:w="2384"/>
        <w:gridCol w:w="751"/>
        <w:gridCol w:w="675"/>
        <w:gridCol w:w="68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2" w:hRule="atLeast"/>
        </w:trPr>
        <w:tc>
          <w:tcPr>
            <w:tcW w:w="247" w:type="pct"/>
            <w:vMerge w:val="restart"/>
            <w:noWrap w:val="0"/>
            <w:vAlign w:val="center"/>
          </w:tcPr>
          <w:p>
            <w:pPr>
              <w:jc w:val="center"/>
              <w:rPr>
                <w:color w:val="auto"/>
                <w:vertAlign w:val="baseline"/>
              </w:rPr>
            </w:pPr>
            <w:r>
              <w:rPr>
                <w:rFonts w:ascii="黑体" w:hAnsi="宋体" w:eastAsia="黑体" w:cs="黑体"/>
                <w:color w:val="auto"/>
                <w:kern w:val="0"/>
                <w:sz w:val="20"/>
                <w:szCs w:val="20"/>
                <w:lang w:val="en-US" w:eastAsia="zh-CN" w:bidi="ar"/>
              </w:rPr>
              <w:t>序号</w:t>
            </w:r>
          </w:p>
        </w:tc>
        <w:tc>
          <w:tcPr>
            <w:tcW w:w="570" w:type="pct"/>
            <w:gridSpan w:val="2"/>
            <w:noWrap w:val="0"/>
            <w:vAlign w:val="center"/>
          </w:tcPr>
          <w:p>
            <w:pPr>
              <w:jc w:val="center"/>
              <w:rPr>
                <w:color w:val="auto"/>
                <w:vertAlign w:val="baseline"/>
              </w:rPr>
            </w:pPr>
            <w:r>
              <w:rPr>
                <w:rFonts w:hint="eastAsia" w:ascii="黑体" w:hAnsi="宋体" w:eastAsia="黑体" w:cs="黑体"/>
                <w:color w:val="auto"/>
                <w:kern w:val="0"/>
                <w:sz w:val="20"/>
                <w:szCs w:val="20"/>
                <w:lang w:val="en-US" w:eastAsia="zh-CN" w:bidi="ar"/>
              </w:rPr>
              <w:t>公开事项</w:t>
            </w:r>
          </w:p>
        </w:tc>
        <w:tc>
          <w:tcPr>
            <w:tcW w:w="599" w:type="pct"/>
            <w:vMerge w:val="restart"/>
            <w:noWrap w:val="0"/>
            <w:vAlign w:val="center"/>
          </w:tcPr>
          <w:p>
            <w:pPr>
              <w:jc w:val="center"/>
              <w:rPr>
                <w:color w:val="auto"/>
                <w:vertAlign w:val="baseline"/>
              </w:rPr>
            </w:pPr>
            <w:r>
              <w:rPr>
                <w:rFonts w:hint="eastAsia" w:ascii="黑体" w:hAnsi="宋体" w:eastAsia="黑体" w:cs="黑体"/>
                <w:color w:val="auto"/>
                <w:kern w:val="0"/>
                <w:sz w:val="20"/>
                <w:szCs w:val="20"/>
                <w:lang w:val="en-US" w:eastAsia="zh-CN" w:bidi="ar"/>
              </w:rPr>
              <w:t>公开内容</w:t>
            </w:r>
            <w:r>
              <w:rPr>
                <w:rFonts w:hint="eastAsia" w:ascii="黑体" w:hAnsi="宋体" w:eastAsia="黑体" w:cs="黑体"/>
                <w:color w:val="auto"/>
                <w:kern w:val="0"/>
                <w:sz w:val="20"/>
                <w:szCs w:val="20"/>
                <w:lang w:val="en-US" w:eastAsia="zh-CN" w:bidi="ar"/>
              </w:rPr>
              <w:br w:type="textWrapping"/>
            </w:r>
            <w:r>
              <w:rPr>
                <w:rFonts w:hint="eastAsia" w:ascii="黑体" w:hAnsi="宋体" w:eastAsia="黑体" w:cs="黑体"/>
                <w:color w:val="auto"/>
                <w:kern w:val="0"/>
                <w:sz w:val="20"/>
                <w:szCs w:val="20"/>
                <w:lang w:val="en-US" w:eastAsia="zh-CN" w:bidi="ar"/>
              </w:rPr>
              <w:t>（要素）</w:t>
            </w:r>
          </w:p>
        </w:tc>
        <w:tc>
          <w:tcPr>
            <w:tcW w:w="625" w:type="pct"/>
            <w:vMerge w:val="restart"/>
            <w:noWrap w:val="0"/>
            <w:vAlign w:val="center"/>
          </w:tcPr>
          <w:p>
            <w:pPr>
              <w:jc w:val="center"/>
              <w:rPr>
                <w:color w:val="auto"/>
                <w:vertAlign w:val="baseline"/>
              </w:rPr>
            </w:pPr>
            <w:r>
              <w:rPr>
                <w:rFonts w:hint="eastAsia" w:ascii="黑体" w:hAnsi="宋体" w:eastAsia="黑体" w:cs="黑体"/>
                <w:color w:val="auto"/>
                <w:kern w:val="0"/>
                <w:sz w:val="20"/>
                <w:szCs w:val="20"/>
                <w:lang w:val="en-US" w:eastAsia="zh-CN" w:bidi="ar"/>
              </w:rPr>
              <w:t>公开依据</w:t>
            </w:r>
          </w:p>
        </w:tc>
        <w:tc>
          <w:tcPr>
            <w:tcW w:w="296" w:type="pct"/>
            <w:vMerge w:val="restart"/>
            <w:noWrap w:val="0"/>
            <w:vAlign w:val="center"/>
          </w:tcPr>
          <w:p>
            <w:pPr>
              <w:jc w:val="center"/>
              <w:rPr>
                <w:color w:val="auto"/>
                <w:vertAlign w:val="baseline"/>
              </w:rPr>
            </w:pPr>
            <w:r>
              <w:rPr>
                <w:rFonts w:hint="eastAsia" w:ascii="黑体" w:hAnsi="宋体" w:eastAsia="黑体" w:cs="黑体"/>
                <w:color w:val="auto"/>
                <w:kern w:val="0"/>
                <w:sz w:val="20"/>
                <w:szCs w:val="20"/>
                <w:lang w:val="en-US" w:eastAsia="zh-CN" w:bidi="ar"/>
              </w:rPr>
              <w:t>公开时限</w:t>
            </w:r>
          </w:p>
        </w:tc>
        <w:tc>
          <w:tcPr>
            <w:tcW w:w="517" w:type="pct"/>
            <w:vMerge w:val="restart"/>
            <w:noWrap w:val="0"/>
            <w:vAlign w:val="center"/>
          </w:tcPr>
          <w:p>
            <w:pPr>
              <w:jc w:val="center"/>
              <w:rPr>
                <w:rFonts w:hint="default"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公开主体</w:t>
            </w:r>
          </w:p>
        </w:tc>
        <w:tc>
          <w:tcPr>
            <w:tcW w:w="983" w:type="pct"/>
            <w:vMerge w:val="restart"/>
            <w:noWrap w:val="0"/>
            <w:vAlign w:val="center"/>
          </w:tcPr>
          <w:p>
            <w:pPr>
              <w:jc w:val="center"/>
              <w:rPr>
                <w:color w:val="auto"/>
                <w:vertAlign w:val="baseline"/>
              </w:rPr>
            </w:pPr>
            <w:r>
              <w:rPr>
                <w:rFonts w:hint="eastAsia" w:ascii="黑体" w:hAnsi="宋体" w:eastAsia="黑体" w:cs="黑体"/>
                <w:color w:val="auto"/>
                <w:kern w:val="0"/>
                <w:sz w:val="20"/>
                <w:szCs w:val="20"/>
                <w:lang w:val="en-US" w:eastAsia="zh-CN" w:bidi="ar"/>
              </w:rPr>
              <w:t>公开渠道和载体</w:t>
            </w:r>
          </w:p>
        </w:tc>
        <w:tc>
          <w:tcPr>
            <w:tcW w:w="588" w:type="pct"/>
            <w:gridSpan w:val="2"/>
            <w:noWrap w:val="0"/>
            <w:vAlign w:val="center"/>
          </w:tcPr>
          <w:p>
            <w:pPr>
              <w:jc w:val="center"/>
              <w:rPr>
                <w:rFonts w:hint="default"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公开对象</w:t>
            </w:r>
          </w:p>
        </w:tc>
        <w:tc>
          <w:tcPr>
            <w:tcW w:w="571" w:type="pct"/>
            <w:gridSpan w:val="2"/>
            <w:noWrap w:val="0"/>
            <w:vAlign w:val="center"/>
          </w:tcPr>
          <w:p>
            <w:pPr>
              <w:jc w:val="center"/>
              <w:rPr>
                <w:rFonts w:hint="default"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44" w:hRule="atLeast"/>
        </w:trPr>
        <w:tc>
          <w:tcPr>
            <w:tcW w:w="247" w:type="pct"/>
            <w:vMerge w:val="continue"/>
            <w:noWrap w:val="0"/>
            <w:vAlign w:val="center"/>
          </w:tcPr>
          <w:p>
            <w:pPr>
              <w:jc w:val="center"/>
              <w:rPr>
                <w:color w:val="auto"/>
                <w:vertAlign w:val="baseline"/>
              </w:rPr>
            </w:pPr>
          </w:p>
        </w:tc>
        <w:tc>
          <w:tcPr>
            <w:tcW w:w="273" w:type="pct"/>
            <w:noWrap w:val="0"/>
            <w:vAlign w:val="center"/>
          </w:tcPr>
          <w:p>
            <w:pPr>
              <w:jc w:val="center"/>
              <w:rPr>
                <w:color w:val="auto"/>
                <w:vertAlign w:val="baseline"/>
              </w:rPr>
            </w:pPr>
            <w:r>
              <w:rPr>
                <w:rFonts w:hint="eastAsia" w:ascii="黑体" w:hAnsi="宋体" w:eastAsia="黑体" w:cs="黑体"/>
                <w:color w:val="auto"/>
                <w:kern w:val="0"/>
                <w:sz w:val="20"/>
                <w:szCs w:val="20"/>
                <w:lang w:val="en-US" w:eastAsia="zh-CN" w:bidi="ar"/>
              </w:rPr>
              <w:t>一级事项</w:t>
            </w:r>
          </w:p>
        </w:tc>
        <w:tc>
          <w:tcPr>
            <w:tcW w:w="297" w:type="pct"/>
            <w:noWrap w:val="0"/>
            <w:vAlign w:val="center"/>
          </w:tcPr>
          <w:p>
            <w:pPr>
              <w:jc w:val="center"/>
              <w:rPr>
                <w:color w:val="auto"/>
                <w:vertAlign w:val="baseline"/>
              </w:rPr>
            </w:pPr>
            <w:r>
              <w:rPr>
                <w:rFonts w:hint="eastAsia" w:ascii="黑体" w:hAnsi="宋体" w:eastAsia="黑体" w:cs="黑体"/>
                <w:color w:val="auto"/>
                <w:kern w:val="0"/>
                <w:sz w:val="20"/>
                <w:szCs w:val="20"/>
                <w:lang w:val="en-US" w:eastAsia="zh-CN" w:bidi="ar"/>
              </w:rPr>
              <w:t>二级事项</w:t>
            </w:r>
          </w:p>
        </w:tc>
        <w:tc>
          <w:tcPr>
            <w:tcW w:w="599" w:type="pct"/>
            <w:vMerge w:val="continue"/>
            <w:noWrap w:val="0"/>
            <w:vAlign w:val="center"/>
          </w:tcPr>
          <w:p>
            <w:pPr>
              <w:jc w:val="center"/>
              <w:rPr>
                <w:color w:val="auto"/>
                <w:vertAlign w:val="baseline"/>
              </w:rPr>
            </w:pPr>
          </w:p>
        </w:tc>
        <w:tc>
          <w:tcPr>
            <w:tcW w:w="625" w:type="pct"/>
            <w:vMerge w:val="continue"/>
            <w:noWrap w:val="0"/>
            <w:vAlign w:val="center"/>
          </w:tcPr>
          <w:p>
            <w:pPr>
              <w:jc w:val="center"/>
              <w:rPr>
                <w:color w:val="auto"/>
                <w:vertAlign w:val="baseline"/>
              </w:rPr>
            </w:pPr>
          </w:p>
        </w:tc>
        <w:tc>
          <w:tcPr>
            <w:tcW w:w="296" w:type="pct"/>
            <w:vMerge w:val="continue"/>
            <w:noWrap w:val="0"/>
            <w:vAlign w:val="center"/>
          </w:tcPr>
          <w:p>
            <w:pPr>
              <w:jc w:val="center"/>
              <w:rPr>
                <w:color w:val="auto"/>
                <w:vertAlign w:val="baseline"/>
              </w:rPr>
            </w:pPr>
          </w:p>
        </w:tc>
        <w:tc>
          <w:tcPr>
            <w:tcW w:w="517" w:type="pct"/>
            <w:vMerge w:val="continue"/>
            <w:tcBorders/>
            <w:noWrap w:val="0"/>
            <w:vAlign w:val="center"/>
          </w:tcPr>
          <w:p>
            <w:pPr>
              <w:jc w:val="center"/>
              <w:rPr>
                <w:color w:val="auto"/>
                <w:vertAlign w:val="baseline"/>
              </w:rPr>
            </w:pPr>
          </w:p>
        </w:tc>
        <w:tc>
          <w:tcPr>
            <w:tcW w:w="983" w:type="pct"/>
            <w:vMerge w:val="continue"/>
            <w:noWrap w:val="0"/>
            <w:vAlign w:val="center"/>
          </w:tcPr>
          <w:p>
            <w:pPr>
              <w:jc w:val="center"/>
              <w:rPr>
                <w:color w:val="auto"/>
                <w:vertAlign w:val="baseline"/>
              </w:rPr>
            </w:pPr>
          </w:p>
        </w:tc>
        <w:tc>
          <w:tcPr>
            <w:tcW w:w="309" w:type="pct"/>
            <w:noWrap w:val="0"/>
            <w:vAlign w:val="center"/>
          </w:tcPr>
          <w:p>
            <w:pPr>
              <w:jc w:val="center"/>
              <w:rPr>
                <w:rFonts w:hint="eastAsia"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全社会</w:t>
            </w:r>
          </w:p>
        </w:tc>
        <w:tc>
          <w:tcPr>
            <w:tcW w:w="278" w:type="pct"/>
            <w:noWrap w:val="0"/>
            <w:vAlign w:val="center"/>
          </w:tcPr>
          <w:p>
            <w:pPr>
              <w:jc w:val="center"/>
              <w:rPr>
                <w:rFonts w:hint="eastAsia"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特定群体</w:t>
            </w:r>
          </w:p>
        </w:tc>
        <w:tc>
          <w:tcPr>
            <w:tcW w:w="283" w:type="pct"/>
            <w:noWrap w:val="0"/>
            <w:vAlign w:val="center"/>
          </w:tcPr>
          <w:p>
            <w:pPr>
              <w:jc w:val="center"/>
              <w:rPr>
                <w:rFonts w:hint="eastAsia"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主动公开</w:t>
            </w:r>
          </w:p>
        </w:tc>
        <w:tc>
          <w:tcPr>
            <w:tcW w:w="288" w:type="pct"/>
            <w:noWrap w:val="0"/>
            <w:vAlign w:val="center"/>
          </w:tcPr>
          <w:p>
            <w:pPr>
              <w:jc w:val="center"/>
              <w:rPr>
                <w:rFonts w:hint="eastAsia" w:ascii="黑体" w:hAnsi="宋体" w:eastAsia="黑体" w:cs="黑体"/>
                <w:color w:val="auto"/>
                <w:kern w:val="0"/>
                <w:sz w:val="20"/>
                <w:szCs w:val="20"/>
                <w:lang w:val="en-US" w:eastAsia="zh-CN" w:bidi="ar"/>
              </w:rPr>
            </w:pPr>
            <w:r>
              <w:rPr>
                <w:rFonts w:hint="eastAsia" w:ascii="黑体" w:hAnsi="宋体" w:eastAsia="黑体" w:cs="黑体"/>
                <w:color w:val="auto"/>
                <w:kern w:val="0"/>
                <w:sz w:val="20"/>
                <w:szCs w:val="20"/>
                <w:lang w:val="en-US" w:eastAsia="zh-CN"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eastAsia" w:eastAsia="宋体"/>
                <w:color w:val="auto"/>
                <w:vertAlign w:val="baseline"/>
                <w:lang w:val="en-US" w:eastAsia="zh-CN"/>
              </w:rPr>
            </w:pPr>
            <w:r>
              <w:rPr>
                <w:rFonts w:hint="eastAsia"/>
                <w:color w:val="auto"/>
                <w:vertAlign w:val="baseline"/>
                <w:lang w:val="en-US" w:eastAsia="zh-CN"/>
              </w:rPr>
              <w:t>1</w:t>
            </w:r>
          </w:p>
        </w:tc>
        <w:tc>
          <w:tcPr>
            <w:tcW w:w="273" w:type="pct"/>
            <w:vMerge w:val="restart"/>
            <w:noWrap w:val="0"/>
            <w:vAlign w:val="center"/>
          </w:tcPr>
          <w:p>
            <w:pPr>
              <w:jc w:val="center"/>
              <w:rPr>
                <w:color w:val="auto"/>
                <w:vertAlign w:val="baseline"/>
              </w:rPr>
            </w:pPr>
            <w:r>
              <w:rPr>
                <w:rFonts w:hint="eastAsia" w:ascii="宋体" w:hAnsi="宋体" w:eastAsia="宋体" w:cs="宋体"/>
                <w:color w:val="auto"/>
                <w:kern w:val="0"/>
                <w:sz w:val="20"/>
                <w:szCs w:val="20"/>
                <w:lang w:val="en-US" w:eastAsia="zh-CN" w:bidi="ar"/>
              </w:rPr>
              <w:t>机构信息</w:t>
            </w: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基本信息</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1.机构名称</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2.联系方式（地址、网站、新媒体、办公电话、传真号码、电子邮箱、通信地址、邮政编码等）</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eastAsia" w:eastAsia="宋体"/>
                <w:color w:val="auto"/>
                <w:vertAlign w:val="baseline"/>
                <w:lang w:val="en-US" w:eastAsia="zh-CN"/>
              </w:rPr>
            </w:pPr>
            <w:r>
              <w:rPr>
                <w:rFonts w:hint="eastAsia"/>
                <w:color w:val="auto"/>
                <w:vertAlign w:val="baseline"/>
                <w:lang w:val="en-US" w:eastAsia="zh-CN"/>
              </w:rPr>
              <w:t>2</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法定职责</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依据“三定”规定确定的法定职责</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eastAsia" w:eastAsia="宋体"/>
                <w:color w:val="auto"/>
                <w:vertAlign w:val="baseline"/>
                <w:lang w:val="en-US" w:eastAsia="zh-CN"/>
              </w:rPr>
            </w:pPr>
            <w:r>
              <w:rPr>
                <w:rFonts w:hint="eastAsia"/>
                <w:color w:val="auto"/>
                <w:vertAlign w:val="baseline"/>
                <w:lang w:val="en-US" w:eastAsia="zh-CN"/>
              </w:rPr>
              <w:t>3</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领导信息</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1.领导班子成员基本信息</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2.可公开的重要讲话</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3.可公开的重要活动等</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eastAsia" w:eastAsia="宋体"/>
                <w:color w:val="auto"/>
                <w:vertAlign w:val="baseline"/>
                <w:lang w:val="en-US" w:eastAsia="zh-CN"/>
              </w:rPr>
            </w:pPr>
            <w:r>
              <w:rPr>
                <w:rFonts w:hint="eastAsia"/>
                <w:color w:val="auto"/>
                <w:vertAlign w:val="baseline"/>
                <w:lang w:val="en-US" w:eastAsia="zh-CN"/>
              </w:rPr>
              <w:t>4</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内设机构</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1.内设科室名称</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2.内设科室职责</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3.内设科室负责人基本信息</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eastAsia" w:eastAsia="宋体"/>
                <w:color w:val="auto"/>
                <w:vertAlign w:val="baseline"/>
                <w:lang w:val="en-US" w:eastAsia="zh-CN"/>
              </w:rPr>
            </w:pPr>
            <w:r>
              <w:rPr>
                <w:rFonts w:hint="eastAsia"/>
                <w:color w:val="auto"/>
                <w:vertAlign w:val="baseline"/>
                <w:lang w:val="en-US" w:eastAsia="zh-CN"/>
              </w:rPr>
              <w:t>5</w:t>
            </w:r>
          </w:p>
        </w:tc>
        <w:tc>
          <w:tcPr>
            <w:tcW w:w="273" w:type="pct"/>
            <w:vMerge w:val="restart"/>
            <w:noWrap w:val="0"/>
            <w:vAlign w:val="center"/>
          </w:tcPr>
          <w:p>
            <w:pPr>
              <w:jc w:val="center"/>
              <w:rPr>
                <w:color w:val="auto"/>
                <w:vertAlign w:val="baseline"/>
              </w:rPr>
            </w:pPr>
            <w:r>
              <w:rPr>
                <w:rFonts w:hint="eastAsia" w:ascii="宋体" w:hAnsi="宋体" w:eastAsia="宋体" w:cs="宋体"/>
                <w:color w:val="auto"/>
                <w:kern w:val="0"/>
                <w:sz w:val="20"/>
                <w:szCs w:val="20"/>
                <w:lang w:val="en-US" w:eastAsia="zh-CN" w:bidi="ar"/>
              </w:rPr>
              <w:t>特定事项</w:t>
            </w: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政府信息</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公开目录</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1.政务公开事项的索引</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2.政务公开事项的名称</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3.政务公开事项的内容概述</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4.政务公开事项的生成日期等</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eastAsia" w:eastAsia="宋体"/>
                <w:color w:val="auto"/>
                <w:vertAlign w:val="baseline"/>
                <w:lang w:val="en-US" w:eastAsia="zh-CN"/>
              </w:rPr>
            </w:pPr>
            <w:r>
              <w:rPr>
                <w:rFonts w:hint="eastAsia"/>
                <w:color w:val="auto"/>
                <w:vertAlign w:val="baseline"/>
                <w:lang w:val="en-US" w:eastAsia="zh-CN"/>
              </w:rPr>
              <w:t>6</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办事指南</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说明我局主动公开和依申请公开的类别、内容、程序、形式、监督等相关内容</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eastAsia" w:eastAsia="宋体"/>
                <w:color w:val="auto"/>
                <w:vertAlign w:val="baseline"/>
                <w:lang w:val="en-US" w:eastAsia="zh-CN"/>
              </w:rPr>
            </w:pPr>
            <w:r>
              <w:rPr>
                <w:rFonts w:hint="eastAsia"/>
                <w:color w:val="auto"/>
                <w:vertAlign w:val="baseline"/>
                <w:lang w:val="en-US" w:eastAsia="zh-CN"/>
              </w:rPr>
              <w:t>7</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政府信息</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公开年报</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1.政府信息公开年度报告</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2.政务信息公开相关统计报表</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印发之日起20个工作日内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eastAsia" w:eastAsia="宋体"/>
                <w:color w:val="auto"/>
                <w:vertAlign w:val="baseline"/>
                <w:lang w:val="en-US" w:eastAsia="zh-CN"/>
              </w:rPr>
            </w:pPr>
            <w:r>
              <w:rPr>
                <w:rFonts w:hint="eastAsia"/>
                <w:color w:val="auto"/>
                <w:vertAlign w:val="baseline"/>
                <w:lang w:val="en-US" w:eastAsia="zh-CN"/>
              </w:rPr>
              <w:t>8</w:t>
            </w:r>
          </w:p>
        </w:tc>
        <w:tc>
          <w:tcPr>
            <w:tcW w:w="273" w:type="pct"/>
            <w:vMerge w:val="restart"/>
            <w:noWrap w:val="0"/>
            <w:vAlign w:val="center"/>
          </w:tcPr>
          <w:p>
            <w:pPr>
              <w:jc w:val="center"/>
              <w:rPr>
                <w:color w:val="auto"/>
                <w:vertAlign w:val="baseline"/>
              </w:rPr>
            </w:pPr>
            <w:r>
              <w:rPr>
                <w:rFonts w:hint="eastAsia" w:ascii="宋体" w:hAnsi="宋体" w:eastAsia="宋体" w:cs="宋体"/>
                <w:color w:val="auto"/>
                <w:kern w:val="0"/>
                <w:sz w:val="20"/>
                <w:szCs w:val="20"/>
                <w:lang w:val="en-US" w:eastAsia="zh-CN" w:bidi="ar"/>
              </w:rPr>
              <w:t>人事管理</w:t>
            </w: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干部任免</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重要人事任免信息</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任免之日起20个工作日内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eastAsia" w:eastAsia="宋体"/>
                <w:color w:val="auto"/>
                <w:vertAlign w:val="baseline"/>
                <w:lang w:val="en-US" w:eastAsia="zh-CN"/>
              </w:rPr>
            </w:pPr>
            <w:r>
              <w:rPr>
                <w:rFonts w:hint="eastAsia"/>
                <w:color w:val="auto"/>
                <w:vertAlign w:val="baseline"/>
                <w:lang w:val="en-US" w:eastAsia="zh-CN"/>
              </w:rPr>
              <w:t>9</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招考遴选</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选调公务员招考的职位、名额、报考条件等事项以及录用结果</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招考遴选之日起及录用结果确定20个工作日内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10</w:t>
            </w:r>
          </w:p>
        </w:tc>
        <w:tc>
          <w:tcPr>
            <w:tcW w:w="273" w:type="pct"/>
            <w:vMerge w:val="restart"/>
            <w:noWrap w:val="0"/>
            <w:vAlign w:val="center"/>
          </w:tcPr>
          <w:p>
            <w:pPr>
              <w:jc w:val="center"/>
              <w:rPr>
                <w:color w:val="auto"/>
                <w:vertAlign w:val="baseline"/>
              </w:rPr>
            </w:pPr>
            <w:r>
              <w:rPr>
                <w:rFonts w:hint="eastAsia" w:ascii="宋体" w:hAnsi="宋体" w:eastAsia="宋体" w:cs="宋体"/>
                <w:color w:val="auto"/>
                <w:kern w:val="0"/>
                <w:sz w:val="20"/>
                <w:szCs w:val="20"/>
                <w:lang w:val="en-US" w:eastAsia="zh-CN" w:bidi="ar"/>
              </w:rPr>
              <w:t>政策法规</w:t>
            </w: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由投资促进局起草的地方性法规和地方政府规章</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1.代市政府起草的规范性文件</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2.以市招商委名义印发的规范性文件</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印发之日起20个工作日内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11</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本部门政策文件</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以市投资促进局名义印发的政策文件</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印发之日起20个工作日内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12</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重大政策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文件解读</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1.有关重大政策等的发布及其解读</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2.相关热点问题的解读与回应</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重大政策文件印发3个工作日内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13</w:t>
            </w:r>
          </w:p>
        </w:tc>
        <w:tc>
          <w:tcPr>
            <w:tcW w:w="273" w:type="pct"/>
            <w:vMerge w:val="restart"/>
            <w:noWrap w:val="0"/>
            <w:vAlign w:val="center"/>
          </w:tcPr>
          <w:p>
            <w:pPr>
              <w:jc w:val="center"/>
              <w:rPr>
                <w:color w:val="auto"/>
                <w:vertAlign w:val="baseline"/>
              </w:rPr>
            </w:pPr>
            <w:r>
              <w:rPr>
                <w:rFonts w:hint="eastAsia" w:ascii="宋体" w:hAnsi="宋体" w:eastAsia="宋体" w:cs="宋体"/>
                <w:color w:val="auto"/>
                <w:kern w:val="0"/>
                <w:sz w:val="20"/>
                <w:szCs w:val="20"/>
                <w:lang w:val="en-US" w:eastAsia="zh-CN" w:bidi="ar"/>
              </w:rPr>
              <w:t>重点领域</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及职责业务信息</w:t>
            </w: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决策公开</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1.涉及需社会广泛知晓的重要改革方案等重大决策，决策前向社会公开公布决策草案、决策依据等。</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2.以会议讨论作出重要改革方案等重大决策时，经党组研究认为有必要公开讨论决策过程的会议。</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3.涉及需社会广泛知晓的重要改革方案等重大决策，决策议定后向社会公开公布决策议定事项。</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重大决策决策前、中、后</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14</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重大决策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实施情况</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在重大行政决策执行过程中，跟踪决策的实施情况，了解公众对决策实施的意见和建议，及时调整完善，并将相关情况向社会公开</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重点改革任务执行过程中</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15</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督查和审</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计发现问题及整改落实情况</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督查和审计发现的问题及整改落实情况</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整改落实后20个工作日内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16</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落实上级决策部署情况</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贯彻落实上级决策部署的实施方案、措施、工作成效等</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贯彻落实前、中、后</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17</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人大代表</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建议、政协提案办理情况</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办理的总体情况，我局主办的人大建议复函、政协提案复函</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办理结束之日起20个工作日内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18</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规划计划</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投资促进规划、年度工作计划</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印发之日起20个工作日内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19</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color w:val="auto"/>
                <w:vertAlign w:val="baseline"/>
              </w:rPr>
            </w:pPr>
            <w:r>
              <w:rPr>
                <w:rFonts w:hint="eastAsia" w:ascii="宋体" w:hAnsi="宋体" w:eastAsia="宋体" w:cs="宋体"/>
                <w:color w:val="auto"/>
                <w:kern w:val="0"/>
                <w:sz w:val="20"/>
                <w:szCs w:val="20"/>
                <w:lang w:val="en-US" w:eastAsia="zh-CN" w:bidi="ar"/>
              </w:rPr>
              <w:t>财政资金</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要求公开的预算、决算、“三公”经费等情况；其他需要主动公开的财政信息</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形成或变更之日起20个工作日内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color w:val="auto"/>
                <w:vertAlign w:val="baseline"/>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20</w:t>
            </w:r>
          </w:p>
        </w:tc>
        <w:tc>
          <w:tcPr>
            <w:tcW w:w="273" w:type="pct"/>
            <w:vMerge w:val="restart"/>
            <w:noWrap w:val="0"/>
            <w:vAlign w:val="center"/>
          </w:tcPr>
          <w:p>
            <w:pPr>
              <w:jc w:val="center"/>
              <w:rPr>
                <w:color w:val="auto"/>
                <w:vertAlign w:val="baseline"/>
              </w:rPr>
            </w:pPr>
            <w:r>
              <w:rPr>
                <w:rFonts w:hint="eastAsia" w:ascii="宋体" w:hAnsi="宋体" w:eastAsia="宋体" w:cs="宋体"/>
                <w:color w:val="auto"/>
                <w:kern w:val="0"/>
                <w:sz w:val="20"/>
                <w:szCs w:val="20"/>
                <w:lang w:val="en-US" w:eastAsia="zh-CN" w:bidi="ar"/>
              </w:rPr>
              <w:t>政民互动</w:t>
            </w: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回应关切</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回应社会公众对全市投资促进工作的关注</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《云南省人民政府办公厅关于加强政府信息公开回应社会关切提升政府公信力的实施意见》（云政办发 [2013]136号）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收到意见建议20个工作日内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21</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咨询、投诉、举报、建议</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对我局业务和服务进行咨询、投诉的方法和途径等。对发现影响或者可能影响社会稳定、扰乱社会管理秩序的虚假或者不完整信息的，在职责范围内予以澄清</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收到咨询投诉20个工作日内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政府网站</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政府公报</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政务新媒体</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发布会／听证会</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广播电视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纸质媒体</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公开查阅点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政务服务中心</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便民服务站点</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入户／现场宣传</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图书馆</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精准推送</w:t>
            </w:r>
            <w:r>
              <w:rPr>
                <w:rFonts w:hint="default" w:ascii="Wingdings" w:hAnsi="Wingdings" w:eastAsia="宋体" w:cs="Wingdings"/>
                <w:color w:val="auto"/>
                <w:kern w:val="0"/>
                <w:sz w:val="20"/>
                <w:szCs w:val="20"/>
                <w:lang w:val="en-US" w:eastAsia="zh-CN" w:bidi="ar"/>
              </w:rPr>
              <w:t>   </w:t>
            </w:r>
            <w:r>
              <w:rPr>
                <w:rFonts w:hint="default" w:ascii="Wingdings" w:hAnsi="Wingdings" w:eastAsia="宋体" w:cs="Wingdings"/>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w:t>
            </w:r>
            <w:r>
              <w:rPr>
                <w:rFonts w:hint="default" w:ascii="Wingdings" w:hAnsi="Wingdings" w:eastAsia="宋体" w:cs="Wingdings"/>
                <w:color w:val="auto"/>
                <w:kern w:val="0"/>
                <w:sz w:val="20"/>
                <w:szCs w:val="20"/>
                <w:lang w:val="en-US" w:eastAsia="zh-CN" w:bidi="ar"/>
              </w:rPr>
              <w:t> </w:t>
            </w:r>
            <w:r>
              <w:rPr>
                <w:rFonts w:hint="eastAsia" w:ascii="宋体" w:hAnsi="宋体" w:eastAsia="宋体" w:cs="宋体"/>
                <w:color w:val="auto"/>
                <w:kern w:val="0"/>
                <w:sz w:val="20"/>
                <w:szCs w:val="20"/>
                <w:lang w:val="en-US" w:eastAsia="zh-CN" w:bidi="ar"/>
              </w:rPr>
              <w:t>其他</w:t>
            </w:r>
            <w:r>
              <w:rPr>
                <w:rFonts w:hint="default" w:ascii="Wingdings" w:hAnsi="Wingdings" w:eastAsia="宋体" w:cs="Wingdings"/>
                <w:color w:val="auto"/>
                <w:kern w:val="0"/>
                <w:sz w:val="20"/>
                <w:szCs w:val="20"/>
                <w:u w:val="single"/>
                <w:lang w:val="en-US" w:eastAsia="zh-CN" w:bidi="ar"/>
              </w:rPr>
              <w:t> </w:t>
            </w:r>
            <w:r>
              <w:rPr>
                <w:rFonts w:hint="eastAsia" w:ascii="宋体" w:hAnsi="宋体" w:eastAsia="宋体" w:cs="宋体"/>
                <w:color w:val="auto"/>
                <w:kern w:val="0"/>
                <w:sz w:val="20"/>
                <w:szCs w:val="20"/>
                <w:u w:val="single"/>
                <w:lang w:val="en-US" w:eastAsia="zh-CN" w:bidi="ar"/>
              </w:rPr>
              <w:t>       </w:t>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7" w:type="pct"/>
            <w:noWrap w:val="0"/>
            <w:vAlign w:val="center"/>
          </w:tcPr>
          <w:p>
            <w:pPr>
              <w:jc w:val="center"/>
              <w:rPr>
                <w:rFonts w:hint="default" w:eastAsia="宋体"/>
                <w:color w:val="auto"/>
                <w:vertAlign w:val="baseline"/>
                <w:lang w:val="en-US" w:eastAsia="zh-CN"/>
              </w:rPr>
            </w:pPr>
            <w:r>
              <w:rPr>
                <w:rFonts w:hint="eastAsia"/>
                <w:color w:val="auto"/>
                <w:vertAlign w:val="baseline"/>
                <w:lang w:val="en-US" w:eastAsia="zh-CN"/>
              </w:rPr>
              <w:t>22</w:t>
            </w:r>
          </w:p>
        </w:tc>
        <w:tc>
          <w:tcPr>
            <w:tcW w:w="273" w:type="pct"/>
            <w:vMerge w:val="continue"/>
            <w:noWrap w:val="0"/>
            <w:vAlign w:val="center"/>
          </w:tcPr>
          <w:p>
            <w:pPr>
              <w:jc w:val="center"/>
              <w:rPr>
                <w:color w:val="auto"/>
                <w:vertAlign w:val="baseline"/>
              </w:rPr>
            </w:pPr>
          </w:p>
        </w:tc>
        <w:tc>
          <w:tcPr>
            <w:tcW w:w="29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i w:val="0"/>
                <w:caps w:val="0"/>
                <w:color w:val="auto"/>
                <w:spacing w:val="0"/>
                <w:kern w:val="0"/>
                <w:sz w:val="20"/>
                <w:szCs w:val="20"/>
                <w:lang w:val="en-US" w:eastAsia="zh-CN" w:bidi="ar"/>
              </w:rPr>
              <w:t>新闻发布</w:t>
            </w:r>
            <w:r>
              <w:rPr>
                <w:rFonts w:hint="eastAsia" w:ascii="宋体" w:hAnsi="宋体" w:eastAsia="宋体" w:cs="宋体"/>
                <w:i w:val="0"/>
                <w:caps w:val="0"/>
                <w:color w:val="auto"/>
                <w:spacing w:val="0"/>
                <w:kern w:val="0"/>
                <w:sz w:val="20"/>
                <w:szCs w:val="20"/>
                <w:lang w:val="en-US" w:eastAsia="zh-CN" w:bidi="ar"/>
              </w:rPr>
              <w:br w:type="textWrapping"/>
            </w:r>
            <w:r>
              <w:rPr>
                <w:rFonts w:hint="eastAsia" w:ascii="宋体" w:hAnsi="宋体" w:eastAsia="宋体" w:cs="宋体"/>
                <w:i w:val="0"/>
                <w:caps w:val="0"/>
                <w:color w:val="auto"/>
                <w:spacing w:val="0"/>
                <w:kern w:val="0"/>
                <w:sz w:val="20"/>
                <w:szCs w:val="20"/>
                <w:lang w:val="en-US" w:eastAsia="zh-CN" w:bidi="ar"/>
              </w:rPr>
              <w:t>会</w:t>
            </w:r>
          </w:p>
        </w:tc>
        <w:tc>
          <w:tcPr>
            <w:tcW w:w="59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i w:val="0"/>
                <w:caps w:val="0"/>
                <w:color w:val="auto"/>
                <w:spacing w:val="0"/>
                <w:kern w:val="0"/>
                <w:sz w:val="20"/>
                <w:szCs w:val="20"/>
                <w:lang w:val="en-US" w:eastAsia="zh-CN" w:bidi="ar"/>
              </w:rPr>
              <w:t>以新闻发布会形式及时、准确、系统地发布全局重大新闻信息</w:t>
            </w:r>
          </w:p>
        </w:tc>
        <w:tc>
          <w:tcPr>
            <w:tcW w:w="625"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i w:val="0"/>
                <w:caps w:val="0"/>
                <w:color w:val="auto"/>
                <w:spacing w:val="0"/>
                <w:kern w:val="0"/>
                <w:sz w:val="20"/>
                <w:szCs w:val="20"/>
                <w:lang w:val="en-US" w:eastAsia="zh-CN" w:bidi="ar"/>
              </w:rPr>
              <w:t>《中华人民共和国政府信息公开条例》（国务院令第711号）</w:t>
            </w:r>
          </w:p>
        </w:tc>
        <w:tc>
          <w:tcPr>
            <w:tcW w:w="296"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i w:val="0"/>
                <w:caps w:val="0"/>
                <w:color w:val="auto"/>
                <w:spacing w:val="0"/>
                <w:kern w:val="0"/>
                <w:sz w:val="20"/>
                <w:szCs w:val="20"/>
                <w:lang w:val="en-US" w:eastAsia="zh-CN" w:bidi="ar"/>
              </w:rPr>
              <w:t>重大新闻发生后7个工作日内</w:t>
            </w:r>
          </w:p>
        </w:tc>
        <w:tc>
          <w:tcPr>
            <w:tcW w:w="517" w:type="pct"/>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caps w:val="0"/>
                <w:color w:val="auto"/>
                <w:spacing w:val="0"/>
                <w:sz w:val="20"/>
                <w:szCs w:val="20"/>
              </w:rPr>
            </w:pPr>
            <w:r>
              <w:rPr>
                <w:rFonts w:hint="eastAsia"/>
              </w:rPr>
              <w:t>玉溪市投资促进局</w:t>
            </w:r>
          </w:p>
        </w:tc>
        <w:tc>
          <w:tcPr>
            <w:tcW w:w="9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20"/>
                <w:szCs w:val="20"/>
                <w:lang w:val="en-US" w:eastAsia="zh-CN" w:bidi="ar"/>
              </w:rPr>
            </w:pPr>
            <w:r>
              <w:rPr>
                <w:rFonts w:hint="eastAsia" w:ascii="宋体" w:hAnsi="宋体" w:eastAsia="宋体" w:cs="宋体"/>
                <w:i w:val="0"/>
                <w:caps w:val="0"/>
                <w:color w:val="auto"/>
                <w:spacing w:val="0"/>
                <w:sz w:val="20"/>
                <w:szCs w:val="20"/>
              </w:rPr>
              <w:t>□</w:t>
            </w:r>
            <w:r>
              <w:rPr>
                <w:rFonts w:hint="eastAsia" w:ascii="宋体" w:hAnsi="宋体" w:cs="宋体"/>
                <w:i w:val="0"/>
                <w:caps w:val="0"/>
                <w:color w:val="auto"/>
                <w:spacing w:val="0"/>
                <w:sz w:val="20"/>
                <w:szCs w:val="20"/>
                <w:lang w:val="en-US" w:eastAsia="zh-CN"/>
              </w:rPr>
              <w:t xml:space="preserve"> </w:t>
            </w:r>
            <w:r>
              <w:rPr>
                <w:rFonts w:hint="eastAsia" w:ascii="宋体" w:hAnsi="宋体" w:eastAsia="宋体" w:cs="宋体"/>
                <w:i w:val="0"/>
                <w:caps w:val="0"/>
                <w:color w:val="auto"/>
                <w:spacing w:val="0"/>
                <w:sz w:val="20"/>
                <w:szCs w:val="20"/>
              </w:rPr>
              <w:t>政府网站</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政府公报</w:t>
            </w:r>
            <w:r>
              <w:rPr>
                <w:rFonts w:hint="eastAsia" w:ascii="宋体" w:hAnsi="宋体" w:eastAsia="宋体" w:cs="宋体"/>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政务新媒体</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发布会／听证会</w:t>
            </w:r>
            <w:r>
              <w:rPr>
                <w:rFonts w:hint="default" w:ascii="Wingdings" w:hAnsi="Wingdings" w:eastAsia="Segoe UI" w:cs="Wingdings"/>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广播电视</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纸质媒体</w:t>
            </w:r>
            <w:r>
              <w:rPr>
                <w:rFonts w:hint="default" w:ascii="Wingdings" w:hAnsi="Wingdings" w:eastAsia="Segoe UI" w:cs="Wingdings"/>
                <w:i w:val="0"/>
                <w:caps w:val="0"/>
                <w:color w:val="auto"/>
                <w:spacing w:val="0"/>
                <w:sz w:val="20"/>
                <w:szCs w:val="20"/>
              </w:rPr>
              <w:t>   </w:t>
            </w:r>
            <w:r>
              <w:rPr>
                <w:rFonts w:hint="default" w:ascii="Wingdings" w:hAnsi="Wingdings" w:eastAsia="Segoe UI" w:cs="Wingdings"/>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公开查阅点</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政务服务中心</w:t>
            </w:r>
            <w:r>
              <w:rPr>
                <w:rFonts w:hint="eastAsia" w:ascii="宋体" w:hAnsi="宋体" w:eastAsia="宋体" w:cs="宋体"/>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便民服务站点</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入户／现场宣传</w:t>
            </w:r>
            <w:r>
              <w:rPr>
                <w:rFonts w:hint="eastAsia" w:ascii="宋体" w:hAnsi="宋体" w:eastAsia="宋体" w:cs="宋体"/>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图书馆</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精准推送</w:t>
            </w:r>
            <w:r>
              <w:rPr>
                <w:rFonts w:hint="default" w:ascii="Wingdings" w:hAnsi="Wingdings" w:eastAsia="Segoe UI" w:cs="Wingdings"/>
                <w:i w:val="0"/>
                <w:caps w:val="0"/>
                <w:color w:val="auto"/>
                <w:spacing w:val="0"/>
                <w:sz w:val="20"/>
                <w:szCs w:val="20"/>
              </w:rPr>
              <w:t>   </w:t>
            </w:r>
            <w:r>
              <w:rPr>
                <w:rFonts w:hint="default" w:ascii="Wingdings" w:hAnsi="Wingdings" w:eastAsia="Segoe UI" w:cs="Wingdings"/>
                <w:i w:val="0"/>
                <w:caps w:val="0"/>
                <w:color w:val="auto"/>
                <w:spacing w:val="0"/>
                <w:sz w:val="20"/>
                <w:szCs w:val="20"/>
              </w:rPr>
              <w:br w:type="textWrapping"/>
            </w:r>
            <w:r>
              <w:rPr>
                <w:rFonts w:hint="eastAsia" w:ascii="宋体" w:hAnsi="宋体" w:eastAsia="宋体" w:cs="宋体"/>
                <w:i w:val="0"/>
                <w:caps w:val="0"/>
                <w:color w:val="auto"/>
                <w:spacing w:val="0"/>
                <w:sz w:val="20"/>
                <w:szCs w:val="20"/>
              </w:rPr>
              <w:t>□</w:t>
            </w:r>
            <w:r>
              <w:rPr>
                <w:rFonts w:hint="default" w:ascii="Wingdings" w:hAnsi="Wingdings" w:eastAsia="Segoe UI" w:cs="Wingdings"/>
                <w:i w:val="0"/>
                <w:caps w:val="0"/>
                <w:color w:val="auto"/>
                <w:spacing w:val="0"/>
                <w:sz w:val="20"/>
                <w:szCs w:val="20"/>
              </w:rPr>
              <w:t> </w:t>
            </w:r>
            <w:r>
              <w:rPr>
                <w:rFonts w:hint="eastAsia" w:ascii="宋体" w:hAnsi="宋体" w:eastAsia="宋体" w:cs="宋体"/>
                <w:i w:val="0"/>
                <w:caps w:val="0"/>
                <w:color w:val="auto"/>
                <w:spacing w:val="0"/>
                <w:sz w:val="20"/>
                <w:szCs w:val="20"/>
              </w:rPr>
              <w:t>其他</w:t>
            </w:r>
            <w:r>
              <w:rPr>
                <w:rFonts w:hint="default" w:ascii="Wingdings" w:hAnsi="Wingdings" w:eastAsia="Segoe UI" w:cs="Wingdings"/>
                <w:i w:val="0"/>
                <w:caps w:val="0"/>
                <w:color w:val="auto"/>
                <w:spacing w:val="0"/>
                <w:sz w:val="20"/>
                <w:szCs w:val="20"/>
                <w:u w:val="single"/>
              </w:rPr>
              <w:t> </w:t>
            </w:r>
            <w:r>
              <w:rPr>
                <w:rFonts w:hint="eastAsia" w:ascii="宋体" w:hAnsi="宋体" w:eastAsia="宋体" w:cs="宋体"/>
                <w:i w:val="0"/>
                <w:caps w:val="0"/>
                <w:color w:val="auto"/>
                <w:spacing w:val="0"/>
                <w:sz w:val="20"/>
                <w:szCs w:val="20"/>
                <w:u w:val="single"/>
              </w:rPr>
              <w:t>       </w:t>
            </w:r>
            <w:r>
              <w:rPr>
                <w:rFonts w:ascii="宋体" w:hAnsi="宋体" w:eastAsia="宋体" w:cs="宋体"/>
                <w:color w:val="auto"/>
                <w:kern w:val="0"/>
                <w:sz w:val="24"/>
                <w:szCs w:val="24"/>
                <w:lang w:val="en-US" w:eastAsia="zh-CN" w:bidi="ar"/>
              </w:rPr>
              <w:br w:type="textWrapping"/>
            </w:r>
          </w:p>
        </w:tc>
        <w:tc>
          <w:tcPr>
            <w:tcW w:w="309"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caps w:val="0"/>
                <w:color w:val="auto"/>
                <w:spacing w:val="0"/>
                <w:sz w:val="20"/>
                <w:szCs w:val="20"/>
              </w:rPr>
            </w:pPr>
            <w:r>
              <w:rPr>
                <w:rFonts w:hint="eastAsia" w:ascii="宋体" w:hAnsi="宋体" w:eastAsia="宋体" w:cs="宋体"/>
                <w:i w:val="0"/>
                <w:caps w:val="0"/>
                <w:color w:val="auto"/>
                <w:spacing w:val="0"/>
                <w:sz w:val="20"/>
                <w:szCs w:val="20"/>
              </w:rPr>
              <w:t>√</w:t>
            </w:r>
          </w:p>
        </w:tc>
        <w:tc>
          <w:tcPr>
            <w:tcW w:w="27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caps w:val="0"/>
                <w:color w:val="auto"/>
                <w:spacing w:val="0"/>
                <w:sz w:val="20"/>
                <w:szCs w:val="20"/>
              </w:rPr>
            </w:pPr>
          </w:p>
        </w:tc>
        <w:tc>
          <w:tcPr>
            <w:tcW w:w="283"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caps w:val="0"/>
                <w:color w:val="auto"/>
                <w:spacing w:val="0"/>
                <w:sz w:val="20"/>
                <w:szCs w:val="20"/>
              </w:rPr>
            </w:pPr>
            <w:r>
              <w:rPr>
                <w:rFonts w:hint="eastAsia" w:ascii="宋体" w:hAnsi="宋体" w:eastAsia="宋体" w:cs="宋体"/>
                <w:i w:val="0"/>
                <w:caps w:val="0"/>
                <w:color w:val="auto"/>
                <w:spacing w:val="0"/>
                <w:sz w:val="20"/>
                <w:szCs w:val="20"/>
              </w:rPr>
              <w:t>√</w:t>
            </w:r>
          </w:p>
        </w:tc>
        <w:tc>
          <w:tcPr>
            <w:tcW w:w="288" w:type="pct"/>
            <w:noWrap w:val="0"/>
            <w:vAlign w:val="center"/>
          </w:tcPr>
          <w:p>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caps w:val="0"/>
                <w:color w:val="auto"/>
                <w:spacing w:val="0"/>
                <w:sz w:val="20"/>
                <w:szCs w:val="20"/>
              </w:rPr>
            </w:pPr>
          </w:p>
        </w:tc>
      </w:tr>
    </w:tbl>
    <w:p>
      <w:pPr>
        <w:rPr>
          <w:color w:val="auto"/>
        </w:rPr>
      </w:pPr>
    </w:p>
    <w:bookmarkEnd w:id="0"/>
    <w:sectPr>
      <w:pgSz w:w="16838" w:h="11906" w:orient="landscape"/>
      <w:pgMar w:top="1587" w:right="2041" w:bottom="1474" w:left="1304" w:header="851" w:footer="992" w:gutter="0"/>
      <w:pgNumType w:fmt="numberInDash"/>
      <w:cols w:space="72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N2FjMjY0ZDE5ZDI5N2U2MTc5MTE0MWQ0NTg3MWQifQ=="/>
  </w:docVars>
  <w:rsids>
    <w:rsidRoot w:val="FE7F7D88"/>
    <w:rsid w:val="11745059"/>
    <w:rsid w:val="1F7D4A85"/>
    <w:rsid w:val="389C6EEF"/>
    <w:rsid w:val="4AFE1CD7"/>
    <w:rsid w:val="73DFD699"/>
    <w:rsid w:val="97FB87CB"/>
    <w:rsid w:val="FE7F7D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21.3333333333333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2022-07-20T08:51:00Z</dcterms:created>
  <dc:creator>user</dc:creator>
  <cp:lastModifiedBy>饭特稀熬熬</cp:lastModifiedBy>
  <dcterms:modified xsi:type="dcterms:W3CDTF">2023-10-30T08:40:58Z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455877B9EECB4C239C8A074D159C9550_13</vt:lpwstr>
  </property>
</Properties>
</file>