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法律效力位阶：地方性法规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制定机关：玉溪市人民代表大会常务委员会</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时效性：有效</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施行日期：2018-06-01</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公布日期：2018-04-11</w:t>
      </w:r>
    </w:p>
    <w:p>
      <w:pPr>
        <w:topLinePunct/>
        <w:adjustRightInd w:val="0"/>
        <w:snapToGrid w:val="0"/>
        <w:spacing w:line="566" w:lineRule="exact"/>
        <w:ind w:firstLine="640" w:firstLineChars="200"/>
        <w:rPr>
          <w:rFonts w:eastAsia="仿宋_GB2312"/>
          <w:snapToGrid w:val="0"/>
          <w:color w:val="000000"/>
          <w:sz w:val="32"/>
          <w:szCs w:val="32"/>
        </w:rPr>
      </w:pPr>
      <w:bookmarkStart w:id="0" w:name="_GoBack"/>
      <w:bookmarkEnd w:id="0"/>
    </w:p>
    <w:p>
      <w:pPr>
        <w:topLinePunct/>
        <w:adjustRightInd w:val="0"/>
        <w:snapToGrid w:val="0"/>
        <w:spacing w:line="566" w:lineRule="exact"/>
        <w:jc w:val="center"/>
        <w:rPr>
          <w:rFonts w:ascii="宋体"/>
          <w:snapToGrid w:val="0"/>
          <w:color w:val="000000"/>
          <w:sz w:val="44"/>
          <w:szCs w:val="44"/>
        </w:rPr>
      </w:pPr>
      <w:r>
        <w:rPr>
          <w:rFonts w:hint="eastAsia" w:ascii="宋体" w:hAnsi="宋体"/>
          <w:snapToGrid w:val="0"/>
          <w:color w:val="000000"/>
          <w:sz w:val="44"/>
          <w:szCs w:val="44"/>
        </w:rPr>
        <w:t>玉溪市森林防火条例</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left="420" w:leftChars="200" w:right="420" w:rightChars="200"/>
        <w:jc w:val="center"/>
        <w:rPr>
          <w:rFonts w:eastAsia="楷体_GB2312"/>
          <w:snapToGrid w:val="0"/>
          <w:color w:val="000000"/>
          <w:sz w:val="32"/>
          <w:szCs w:val="32"/>
        </w:rPr>
      </w:pPr>
      <w:r>
        <w:rPr>
          <w:rFonts w:hint="eastAsia" w:eastAsia="楷体_GB2312"/>
          <w:snapToGrid w:val="0"/>
          <w:color w:val="000000"/>
          <w:spacing w:val="-4"/>
          <w:sz w:val="32"/>
          <w:szCs w:val="32"/>
        </w:rPr>
        <w:t>（</w:t>
      </w:r>
      <w:r>
        <w:rPr>
          <w:rFonts w:eastAsia="楷体_GB2312"/>
          <w:snapToGrid w:val="0"/>
          <w:color w:val="000000"/>
          <w:spacing w:val="-4"/>
          <w:sz w:val="32"/>
          <w:szCs w:val="32"/>
        </w:rPr>
        <w:t>2017</w:t>
      </w:r>
      <w:r>
        <w:rPr>
          <w:rFonts w:hint="eastAsia" w:eastAsia="楷体_GB2312"/>
          <w:snapToGrid w:val="0"/>
          <w:color w:val="000000"/>
          <w:spacing w:val="-4"/>
          <w:sz w:val="32"/>
          <w:szCs w:val="32"/>
        </w:rPr>
        <w:t>年</w:t>
      </w:r>
      <w:r>
        <w:rPr>
          <w:rFonts w:eastAsia="楷体_GB2312"/>
          <w:snapToGrid w:val="0"/>
          <w:color w:val="000000"/>
          <w:spacing w:val="-4"/>
          <w:sz w:val="32"/>
          <w:szCs w:val="32"/>
        </w:rPr>
        <w:t>12</w:t>
      </w:r>
      <w:r>
        <w:rPr>
          <w:rFonts w:hint="eastAsia" w:eastAsia="楷体_GB2312"/>
          <w:snapToGrid w:val="0"/>
          <w:color w:val="000000"/>
          <w:spacing w:val="-4"/>
          <w:sz w:val="32"/>
          <w:szCs w:val="32"/>
        </w:rPr>
        <w:t>月</w:t>
      </w:r>
      <w:r>
        <w:rPr>
          <w:rFonts w:eastAsia="楷体_GB2312"/>
          <w:snapToGrid w:val="0"/>
          <w:color w:val="000000"/>
          <w:spacing w:val="-4"/>
          <w:sz w:val="32"/>
          <w:szCs w:val="32"/>
        </w:rPr>
        <w:t>27</w:t>
      </w:r>
      <w:r>
        <w:rPr>
          <w:rFonts w:hint="eastAsia" w:eastAsia="楷体_GB2312"/>
          <w:snapToGrid w:val="0"/>
          <w:color w:val="000000"/>
          <w:spacing w:val="-4"/>
          <w:sz w:val="32"/>
          <w:szCs w:val="32"/>
        </w:rPr>
        <w:t>日玉溪市第四届人民代表大会常务委员会</w:t>
      </w:r>
      <w:r>
        <w:rPr>
          <w:rFonts w:hint="eastAsia" w:eastAsia="楷体_GB2312"/>
          <w:snapToGrid w:val="0"/>
          <w:color w:val="000000"/>
          <w:sz w:val="32"/>
          <w:szCs w:val="32"/>
        </w:rPr>
        <w:t>第三十四次会议通过</w:t>
      </w:r>
      <w:r>
        <w:rPr>
          <w:rFonts w:eastAsia="楷体_GB2312"/>
          <w:snapToGrid w:val="0"/>
          <w:color w:val="000000"/>
          <w:sz w:val="32"/>
          <w:szCs w:val="32"/>
        </w:rPr>
        <w:t xml:space="preserve">  2018</w:t>
      </w:r>
      <w:r>
        <w:rPr>
          <w:rFonts w:hint="eastAsia" w:eastAsia="楷体_GB2312"/>
          <w:snapToGrid w:val="0"/>
          <w:color w:val="000000"/>
          <w:sz w:val="32"/>
          <w:szCs w:val="32"/>
        </w:rPr>
        <w:t>年</w:t>
      </w:r>
      <w:r>
        <w:rPr>
          <w:rFonts w:eastAsia="楷体_GB2312"/>
          <w:snapToGrid w:val="0"/>
          <w:color w:val="000000"/>
          <w:sz w:val="32"/>
          <w:szCs w:val="32"/>
        </w:rPr>
        <w:t>3</w:t>
      </w:r>
      <w:r>
        <w:rPr>
          <w:rFonts w:hint="eastAsia" w:eastAsia="楷体_GB2312"/>
          <w:snapToGrid w:val="0"/>
          <w:color w:val="000000"/>
          <w:sz w:val="32"/>
          <w:szCs w:val="32"/>
        </w:rPr>
        <w:t>月</w:t>
      </w:r>
      <w:r>
        <w:rPr>
          <w:rFonts w:eastAsia="楷体_GB2312"/>
          <w:snapToGrid w:val="0"/>
          <w:color w:val="000000"/>
          <w:sz w:val="32"/>
          <w:szCs w:val="32"/>
        </w:rPr>
        <w:t>31</w:t>
      </w:r>
      <w:r>
        <w:rPr>
          <w:rFonts w:hint="eastAsia" w:eastAsia="楷体_GB2312"/>
          <w:snapToGrid w:val="0"/>
          <w:color w:val="000000"/>
          <w:sz w:val="32"/>
          <w:szCs w:val="32"/>
        </w:rPr>
        <w:t>日云南省第十三届人民代表大会常务委员会第二次会议批准）</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楷体_GB2312" w:eastAsia="楷体_GB2312"/>
          <w:snapToGrid w:val="0"/>
          <w:color w:val="000000"/>
          <w:sz w:val="32"/>
          <w:szCs w:val="32"/>
        </w:rPr>
      </w:pPr>
      <w:r>
        <w:rPr>
          <w:rFonts w:hint="eastAsia" w:ascii="楷体_GB2312" w:eastAsia="楷体_GB2312"/>
          <w:snapToGrid w:val="0"/>
          <w:color w:val="000000"/>
          <w:sz w:val="32"/>
          <w:szCs w:val="32"/>
        </w:rPr>
        <w:t>目</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录</w:t>
      </w:r>
    </w:p>
    <w:p>
      <w:pPr>
        <w:topLinePunct/>
        <w:adjustRightInd w:val="0"/>
        <w:snapToGrid w:val="0"/>
        <w:spacing w:line="566" w:lineRule="exact"/>
        <w:ind w:firstLine="640" w:firstLineChars="200"/>
        <w:rPr>
          <w:rFonts w:ascii="楷体_GB2312" w:eastAsia="楷体_GB2312"/>
          <w:snapToGrid w:val="0"/>
          <w:color w:val="000000"/>
          <w:sz w:val="32"/>
          <w:szCs w:val="32"/>
        </w:rPr>
      </w:pP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第一章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总</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则</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第二章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机构与职责</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第三章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森林火灾的预防</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第四章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森林火灾的扑救</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第五章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灾后处置</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第六章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法律责任</w:t>
      </w:r>
    </w:p>
    <w:p>
      <w:pPr>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第七章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附</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则</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第一章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总</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则</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第一条</w:t>
      </w:r>
      <w:r>
        <w:rPr>
          <w:rFonts w:eastAsia="仿宋_GB2312"/>
          <w:snapToGrid w:val="0"/>
          <w:color w:val="000000"/>
          <w:sz w:val="32"/>
          <w:szCs w:val="32"/>
        </w:rPr>
        <w:t xml:space="preserve">  </w:t>
      </w:r>
      <w:r>
        <w:rPr>
          <w:rFonts w:hint="eastAsia" w:eastAsia="仿宋_GB2312"/>
          <w:snapToGrid w:val="0"/>
          <w:color w:val="000000"/>
          <w:sz w:val="32"/>
          <w:szCs w:val="32"/>
        </w:rPr>
        <w:t>为了有效预防和扑救森林火灾，保障人民生命财产安全，保护森林资源和生物多样性，维护生态安全，根据《中华人民共和国森林法》、国务院《森林防火条例》和《云南省森林防火条例》等有关法律、法规，结合本市实际，制定本条例。</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第二条</w:t>
      </w:r>
      <w:r>
        <w:rPr>
          <w:rFonts w:eastAsia="仿宋_GB2312"/>
          <w:snapToGrid w:val="0"/>
          <w:color w:val="000000"/>
          <w:sz w:val="32"/>
          <w:szCs w:val="32"/>
        </w:rPr>
        <w:t xml:space="preserve">  </w:t>
      </w:r>
      <w:r>
        <w:rPr>
          <w:rFonts w:hint="eastAsia" w:eastAsia="仿宋_GB2312"/>
          <w:snapToGrid w:val="0"/>
          <w:color w:val="000000"/>
          <w:sz w:val="32"/>
          <w:szCs w:val="32"/>
        </w:rPr>
        <w:t>本市行政区域内森林火灾的预防、扑救和灾后处置适用本条例。</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第三条</w:t>
      </w:r>
      <w:r>
        <w:rPr>
          <w:rFonts w:eastAsia="仿宋_GB2312"/>
          <w:snapToGrid w:val="0"/>
          <w:color w:val="000000"/>
          <w:sz w:val="32"/>
          <w:szCs w:val="32"/>
        </w:rPr>
        <w:t xml:space="preserve">  </w:t>
      </w:r>
      <w:r>
        <w:rPr>
          <w:rFonts w:hint="eastAsia" w:eastAsia="仿宋_GB2312"/>
          <w:snapToGrid w:val="0"/>
          <w:color w:val="000000"/>
          <w:sz w:val="32"/>
          <w:szCs w:val="32"/>
        </w:rPr>
        <w:t>森林防火工作遵循预防为主、积极消灭的方针，坚持以人为本、科学扑救、专群结合、以专为主、属地管理、分级负责的原则。</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市、县（区）人民政府应当将森林防火工作纳入国民经济和社会发展规划，将森林防火经费纳入本级财政预算。</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自然保护区、风景名胜区、森林公园、林场等管理机构应当安排专项经费用于森林防火工作，加强森林火灾的预防、扑救和保障等工作。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第五条</w:t>
      </w:r>
      <w:r>
        <w:rPr>
          <w:rFonts w:eastAsia="仿宋_GB2312"/>
          <w:snapToGrid w:val="0"/>
          <w:color w:val="000000"/>
          <w:sz w:val="32"/>
          <w:szCs w:val="32"/>
        </w:rPr>
        <w:t xml:space="preserve">  </w:t>
      </w:r>
      <w:r>
        <w:rPr>
          <w:rFonts w:hint="eastAsia" w:eastAsia="仿宋_GB2312"/>
          <w:snapToGrid w:val="0"/>
          <w:color w:val="000000"/>
          <w:sz w:val="32"/>
          <w:szCs w:val="32"/>
        </w:rPr>
        <w:t>森林防火工作涉及两个以上行政区域的，有关人民政府应当确定森林防火联防区域，建立联防机制，制定联防制度和措施，共同做好森林防火工作。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第六条</w:t>
      </w:r>
      <w:r>
        <w:rPr>
          <w:rFonts w:eastAsia="仿宋_GB2312"/>
          <w:snapToGrid w:val="0"/>
          <w:color w:val="000000"/>
          <w:sz w:val="32"/>
          <w:szCs w:val="32"/>
        </w:rPr>
        <w:t xml:space="preserve">  </w:t>
      </w:r>
      <w:r>
        <w:rPr>
          <w:rFonts w:hint="eastAsia" w:eastAsia="仿宋_GB2312"/>
          <w:snapToGrid w:val="0"/>
          <w:color w:val="000000"/>
          <w:sz w:val="32"/>
          <w:szCs w:val="32"/>
        </w:rPr>
        <w:t>任何单位和个人有预防森林火灾、报告森林火情的义务。</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eastAsia="仿宋_GB2312"/>
          <w:snapToGrid w:val="0"/>
          <w:color w:val="000000"/>
          <w:sz w:val="32"/>
          <w:szCs w:val="32"/>
        </w:rPr>
      </w:pPr>
      <w:r>
        <w:rPr>
          <w:rFonts w:hint="eastAsia" w:ascii="黑体" w:hAnsi="黑体" w:eastAsia="黑体"/>
          <w:snapToGrid w:val="0"/>
          <w:color w:val="000000"/>
          <w:sz w:val="32"/>
          <w:szCs w:val="32"/>
        </w:rPr>
        <w:t>第二章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机构与职责</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第七条</w:t>
      </w:r>
      <w:r>
        <w:rPr>
          <w:rFonts w:eastAsia="仿宋_GB2312"/>
          <w:snapToGrid w:val="0"/>
          <w:color w:val="000000"/>
          <w:sz w:val="32"/>
          <w:szCs w:val="32"/>
        </w:rPr>
        <w:t xml:space="preserve">  </w:t>
      </w:r>
      <w:r>
        <w:rPr>
          <w:rFonts w:hint="eastAsia" w:eastAsia="仿宋_GB2312"/>
          <w:snapToGrid w:val="0"/>
          <w:color w:val="000000"/>
          <w:sz w:val="32"/>
          <w:szCs w:val="32"/>
        </w:rPr>
        <w:t>森林防火工作实行各级人民政府行政首长负责制。各级人民政府主要负责人是森林防火工作第一责任人，承担主要领导责任；分管负责人是主要责任人，承担直接领导责任。</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市、县（区）人民政府森林防火主管部门负责本行政区域内森林防火的监督和管理工作。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市、县（区）人民政府其他有关部门按照职能职责，负责有关的森林防火工作。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乡（镇）人民政府、街道办事处应当落实森林防火责任，组织人员巡山护林，开展森林火灾隐患排查等森林防火工作。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有森林防火任务的村（居）民委员会应当将森林防火纳入村规民约、居民公约，明确相关人员，协助做好森林防火工作。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自然保护区、风景名胜区、森林公园、林场等管理机构应当落实森林防火责任，配备专职人员，做好管理范围内的森林防火工作。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森林、林木、林地经营单位和个人在其经营范围内承担森林防火责任，落实森林防火管护人员和防火措施。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第八条</w:t>
      </w:r>
      <w:r>
        <w:rPr>
          <w:rFonts w:eastAsia="仿宋_GB2312"/>
          <w:snapToGrid w:val="0"/>
          <w:color w:val="000000"/>
          <w:sz w:val="32"/>
          <w:szCs w:val="32"/>
        </w:rPr>
        <w:t xml:space="preserve">  </w:t>
      </w:r>
      <w:r>
        <w:rPr>
          <w:rFonts w:hint="eastAsia" w:eastAsia="仿宋_GB2312"/>
          <w:snapToGrid w:val="0"/>
          <w:color w:val="000000"/>
          <w:sz w:val="32"/>
          <w:szCs w:val="32"/>
        </w:rPr>
        <w:t>各级人民政府应当建立森林防火责任制度，签订森林防火责任书，将森林防火工作纳入考核管理。</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第九条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设立森林防火指挥机构，负责组织、协调和指导本行政区域的森林防火工作，建立专职指挥制度。森林防火指挥机构办公室负责日常工作，其编制核定和人员配备按照国家有关规定执行。</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乡（镇）人民政府、街道办事处应当设立森林防火指挥机构，负责本行政区域的森林防火工作。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市、县（区）人民政府森林防火指挥机构应当履行下列职责：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（一）宣传贯彻落实有关森林防火的法律、法规和政策；</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（二）检查和督促本行政区域内的森林防火工作；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（三）制定森林防火工作计划和措施，健全完善森林火灾预防、扑救以及保障制度；</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（四）指导森林消防队伍建设，组织森林防火专业人员技能培训和应急演练，推广使用森林火灾预防、扑救的先进技术和设备；</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（五）及时启动本级处置森林火灾应急预案，制定扑火方案，统一组织和指挥扑救森林火灾；</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（六）火情监测、火险预测预报，协调解决森林防火工作中的有关问题；</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（七）其他应当由森林防火指挥机构履行的职责。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乡（镇）人民政府、街道办事处森林防火指挥机构参照前款规定履行相关职责。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第十一条</w:t>
      </w:r>
      <w:r>
        <w:rPr>
          <w:rFonts w:eastAsia="仿宋_GB2312"/>
          <w:snapToGrid w:val="0"/>
          <w:color w:val="000000"/>
          <w:sz w:val="32"/>
          <w:szCs w:val="32"/>
        </w:rPr>
        <w:t xml:space="preserve">  </w:t>
      </w:r>
      <w:r>
        <w:rPr>
          <w:rFonts w:hint="eastAsia" w:eastAsia="仿宋_GB2312"/>
          <w:snapToGrid w:val="0"/>
          <w:color w:val="000000"/>
          <w:sz w:val="32"/>
          <w:szCs w:val="32"/>
        </w:rPr>
        <w:t>有森林防火任务的单位，应当履行下列职责：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（一）开展森林防火安全知识宣传教育活动；</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（二）确定森林防火责任区和责任人；</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（三）制定野外火源管控措施；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（四）定期检查维护森林防火基础设施、设备和宣传标志；</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（五）定期进行森林防火安全检查，及时消除火灾隐患。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第十二条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市、县（区）人民政府应当建立专业森林消防队伍。</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乡（镇）人民政府、街道办事处和自然保护区、风景名胜区、森林公园、林场等管理机构应当根据实际需要，建立专业或者半专业森林消防队伍。</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有森林防火任务的村（居）民委员会可以组建应急森林消防队伍。</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第三章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森林火灾的预防</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第十三条</w:t>
      </w:r>
      <w:r>
        <w:rPr>
          <w:rFonts w:eastAsia="仿宋_GB2312"/>
          <w:snapToGrid w:val="0"/>
          <w:color w:val="000000"/>
          <w:sz w:val="32"/>
          <w:szCs w:val="32"/>
        </w:rPr>
        <w:t xml:space="preserve">  </w:t>
      </w:r>
      <w:r>
        <w:rPr>
          <w:rFonts w:hint="eastAsia" w:eastAsia="仿宋_GB2312"/>
          <w:snapToGrid w:val="0"/>
          <w:color w:val="000000"/>
          <w:sz w:val="32"/>
          <w:szCs w:val="32"/>
        </w:rPr>
        <w:t>每年</w:t>
      </w:r>
      <w:r>
        <w:rPr>
          <w:rFonts w:eastAsia="仿宋_GB2312"/>
          <w:snapToGrid w:val="0"/>
          <w:color w:val="000000"/>
          <w:sz w:val="32"/>
          <w:szCs w:val="32"/>
        </w:rPr>
        <w:t>12</w:t>
      </w:r>
      <w:r>
        <w:rPr>
          <w:rFonts w:hint="eastAsia" w:eastAsia="仿宋_GB2312"/>
          <w:snapToGrid w:val="0"/>
          <w:color w:val="000000"/>
          <w:sz w:val="32"/>
          <w:szCs w:val="32"/>
        </w:rPr>
        <w:t>月</w:t>
      </w:r>
      <w:r>
        <w:rPr>
          <w:rFonts w:eastAsia="仿宋_GB2312"/>
          <w:snapToGrid w:val="0"/>
          <w:color w:val="000000"/>
          <w:sz w:val="32"/>
          <w:szCs w:val="32"/>
        </w:rPr>
        <w:t>1</w:t>
      </w:r>
      <w:r>
        <w:rPr>
          <w:rFonts w:hint="eastAsia" w:eastAsia="仿宋_GB2312"/>
          <w:snapToGrid w:val="0"/>
          <w:color w:val="000000"/>
          <w:sz w:val="32"/>
          <w:szCs w:val="32"/>
        </w:rPr>
        <w:t>日至次年</w:t>
      </w:r>
      <w:r>
        <w:rPr>
          <w:rFonts w:eastAsia="仿宋_GB2312"/>
          <w:snapToGrid w:val="0"/>
          <w:color w:val="000000"/>
          <w:sz w:val="32"/>
          <w:szCs w:val="32"/>
        </w:rPr>
        <w:t>6</w:t>
      </w:r>
      <w:r>
        <w:rPr>
          <w:rFonts w:hint="eastAsia" w:eastAsia="仿宋_GB2312"/>
          <w:snapToGrid w:val="0"/>
          <w:color w:val="000000"/>
          <w:sz w:val="32"/>
          <w:szCs w:val="32"/>
        </w:rPr>
        <w:t>月</w:t>
      </w:r>
      <w:r>
        <w:rPr>
          <w:rFonts w:eastAsia="仿宋_GB2312"/>
          <w:snapToGrid w:val="0"/>
          <w:color w:val="000000"/>
          <w:sz w:val="32"/>
          <w:szCs w:val="32"/>
        </w:rPr>
        <w:t>15</w:t>
      </w:r>
      <w:r>
        <w:rPr>
          <w:rFonts w:hint="eastAsia" w:eastAsia="仿宋_GB2312"/>
          <w:snapToGrid w:val="0"/>
          <w:color w:val="000000"/>
          <w:sz w:val="32"/>
          <w:szCs w:val="32"/>
        </w:rPr>
        <w:t>日为全市森林防火期，</w:t>
      </w:r>
      <w:r>
        <w:rPr>
          <w:rFonts w:eastAsia="仿宋_GB2312"/>
          <w:snapToGrid w:val="0"/>
          <w:color w:val="000000"/>
          <w:sz w:val="32"/>
          <w:szCs w:val="32"/>
        </w:rPr>
        <w:t>3</w:t>
      </w:r>
      <w:r>
        <w:rPr>
          <w:rFonts w:hint="eastAsia" w:eastAsia="仿宋_GB2312"/>
          <w:snapToGrid w:val="0"/>
          <w:color w:val="000000"/>
          <w:sz w:val="32"/>
          <w:szCs w:val="32"/>
        </w:rPr>
        <w:t>月</w:t>
      </w:r>
      <w:r>
        <w:rPr>
          <w:rFonts w:eastAsia="仿宋_GB2312"/>
          <w:snapToGrid w:val="0"/>
          <w:color w:val="000000"/>
          <w:sz w:val="32"/>
          <w:szCs w:val="32"/>
        </w:rPr>
        <w:t>1</w:t>
      </w:r>
      <w:r>
        <w:rPr>
          <w:rFonts w:hint="eastAsia" w:eastAsia="仿宋_GB2312"/>
          <w:snapToGrid w:val="0"/>
          <w:color w:val="000000"/>
          <w:sz w:val="32"/>
          <w:szCs w:val="32"/>
        </w:rPr>
        <w:t>日至</w:t>
      </w:r>
      <w:r>
        <w:rPr>
          <w:rFonts w:eastAsia="仿宋_GB2312"/>
          <w:snapToGrid w:val="0"/>
          <w:color w:val="000000"/>
          <w:sz w:val="32"/>
          <w:szCs w:val="32"/>
        </w:rPr>
        <w:t>5</w:t>
      </w:r>
      <w:r>
        <w:rPr>
          <w:rFonts w:hint="eastAsia" w:eastAsia="仿宋_GB2312"/>
          <w:snapToGrid w:val="0"/>
          <w:color w:val="000000"/>
          <w:sz w:val="32"/>
          <w:szCs w:val="32"/>
        </w:rPr>
        <w:t>月</w:t>
      </w:r>
      <w:r>
        <w:rPr>
          <w:rFonts w:eastAsia="仿宋_GB2312"/>
          <w:snapToGrid w:val="0"/>
          <w:color w:val="000000"/>
          <w:sz w:val="32"/>
          <w:szCs w:val="32"/>
        </w:rPr>
        <w:t>31</w:t>
      </w:r>
      <w:r>
        <w:rPr>
          <w:rFonts w:hint="eastAsia" w:eastAsia="仿宋_GB2312"/>
          <w:snapToGrid w:val="0"/>
          <w:color w:val="000000"/>
          <w:sz w:val="32"/>
          <w:szCs w:val="32"/>
        </w:rPr>
        <w:t>日为全市森林高火险期。</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市、县（区）人民政府可以根据本行政区域内自然气候条件和火灾发生规律，决定调整森林防火期和森林高火险期，报上一级人民政府森林防火指挥机构备案，并向社会公布。</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第十四条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市、县（区）人民政府森林防火主管部门应当会同有关部门编制本行政区域森林防火中期、长期规划，报本级人民政府批准后组织实施。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第十五条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根据本行政区域内森林资源分布状况和森林火灾发生规律，将林地边缘一定范围划定为森林防火区，并根据森林火灾发生的特点及危险程度划定森林防火高火险区。划定的森林防火区和森林防火高火险区应当向社会公布。</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森林防火高火险期内，遇有高温、干旱、大风等高火险天气的，市、县（区）人民政府应当发布政府决定、命令，采取封山管理措施，禁止擅自进入森林防火高火险区，严禁一切野外用火。</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第十六条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市、县（区）人民政府森林防火主管部门应当编制处置森林火灾应急预案，经本级人民政府批准，报上一级人民政府森林防火主管部门备案。</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乡（镇）人民政府、街道办事处应当制定森林火灾应急处置办法，报县（区）人民政府森林防火主管部门备案。</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村（居）民委员会以及森林、林木、林地经营单位和个人，按照处置森林火灾应急预案和森林火灾应急处置办法的规定，协助做好森林火灾预防和应急处置工作。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自然保护区、风景名胜区、森林公园、林场等管理机构和森林防火重点单位应当编制森林火灾应急方案，报当地人民政府森林防火主管部门备案。</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市、县（区）人民政府及其森林防火部门应当每年组织森林火灾应急预案演练。</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第十七条</w:t>
      </w:r>
      <w:r>
        <w:rPr>
          <w:rFonts w:eastAsia="仿宋_GB2312"/>
          <w:snapToGrid w:val="0"/>
          <w:color w:val="000000"/>
          <w:sz w:val="32"/>
          <w:szCs w:val="32"/>
        </w:rPr>
        <w:t xml:space="preserve">  </w:t>
      </w:r>
      <w:r>
        <w:rPr>
          <w:rFonts w:hint="eastAsia" w:eastAsia="仿宋_GB2312"/>
          <w:snapToGrid w:val="0"/>
          <w:color w:val="000000"/>
          <w:sz w:val="32"/>
          <w:szCs w:val="32"/>
        </w:rPr>
        <w:t>各级人民政府和森林防火指挥机构以及森林防火主管部门应当组织开展森林防火宣传教育，普及森林防火安全知识，提高公民的森林防火意识和自我保护能力。</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广播、电视、报刊、互联网等公共媒体应当开展森林防火公益宣传，森林防火期内向社会发布森林防火的公益宣传信息。</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学校应当对在校师生开展森林防火安全宣传教育。</w:t>
      </w:r>
    </w:p>
    <w:p>
      <w:pPr>
        <w:topLinePunct/>
        <w:adjustRightInd w:val="0"/>
        <w:snapToGrid w:val="0"/>
        <w:spacing w:line="566" w:lineRule="exact"/>
        <w:ind w:firstLine="624" w:firstLineChars="200"/>
        <w:rPr>
          <w:rFonts w:eastAsia="仿宋_GB2312"/>
          <w:snapToGrid w:val="0"/>
          <w:color w:val="000000"/>
          <w:spacing w:val="-4"/>
          <w:sz w:val="32"/>
          <w:szCs w:val="32"/>
        </w:rPr>
      </w:pPr>
      <w:r>
        <w:rPr>
          <w:rFonts w:hint="eastAsia" w:eastAsia="仿宋_GB2312"/>
          <w:snapToGrid w:val="0"/>
          <w:color w:val="000000"/>
          <w:spacing w:val="-4"/>
          <w:sz w:val="32"/>
          <w:szCs w:val="32"/>
        </w:rPr>
        <w:t>森林、林木、林地经营管理单位和个人应当在其经营区域内进行森林防火安全宣传教育，设置森林防火警示宣传标语标牌。</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交通运输经营者应当对进入森林防火区的驾驶人、乘车人进行森林防火安全宣传教育。</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铁路、公路、电力、通信、水利、矿业、石油天然气等森林防火责任单位应当结合工作实际，开展森林防火安全宣传教育。</w:t>
      </w:r>
    </w:p>
    <w:p>
      <w:pPr>
        <w:topLinePunct/>
        <w:adjustRightInd w:val="0"/>
        <w:snapToGrid w:val="0"/>
        <w:spacing w:line="566" w:lineRule="exact"/>
        <w:ind w:firstLine="624" w:firstLineChars="200"/>
        <w:rPr>
          <w:rFonts w:eastAsia="仿宋_GB2312"/>
          <w:snapToGrid w:val="0"/>
          <w:color w:val="000000"/>
          <w:spacing w:val="-4"/>
          <w:sz w:val="32"/>
          <w:szCs w:val="32"/>
        </w:rPr>
      </w:pPr>
      <w:r>
        <w:rPr>
          <w:rFonts w:hint="eastAsia" w:eastAsia="仿宋_GB2312"/>
          <w:snapToGrid w:val="0"/>
          <w:color w:val="000000"/>
          <w:spacing w:val="-4"/>
          <w:sz w:val="32"/>
          <w:szCs w:val="32"/>
        </w:rPr>
        <w:t>每年</w:t>
      </w:r>
      <w:r>
        <w:rPr>
          <w:rFonts w:eastAsia="仿宋_GB2312"/>
          <w:snapToGrid w:val="0"/>
          <w:color w:val="000000"/>
          <w:spacing w:val="-4"/>
          <w:sz w:val="32"/>
          <w:szCs w:val="32"/>
        </w:rPr>
        <w:t>12</w:t>
      </w:r>
      <w:r>
        <w:rPr>
          <w:rFonts w:hint="eastAsia" w:eastAsia="仿宋_GB2312"/>
          <w:snapToGrid w:val="0"/>
          <w:color w:val="000000"/>
          <w:spacing w:val="-4"/>
          <w:sz w:val="32"/>
          <w:szCs w:val="32"/>
        </w:rPr>
        <w:t>月为森林防火宣传月，</w:t>
      </w:r>
      <w:r>
        <w:rPr>
          <w:rFonts w:eastAsia="仿宋_GB2312"/>
          <w:snapToGrid w:val="0"/>
          <w:color w:val="000000"/>
          <w:spacing w:val="-4"/>
          <w:sz w:val="32"/>
          <w:szCs w:val="32"/>
        </w:rPr>
        <w:t>12</w:t>
      </w:r>
      <w:r>
        <w:rPr>
          <w:rFonts w:hint="eastAsia" w:eastAsia="仿宋_GB2312"/>
          <w:snapToGrid w:val="0"/>
          <w:color w:val="000000"/>
          <w:spacing w:val="-4"/>
          <w:sz w:val="32"/>
          <w:szCs w:val="32"/>
        </w:rPr>
        <w:t>月</w:t>
      </w:r>
      <w:r>
        <w:rPr>
          <w:rFonts w:eastAsia="仿宋_GB2312"/>
          <w:snapToGrid w:val="0"/>
          <w:color w:val="000000"/>
          <w:spacing w:val="-4"/>
          <w:sz w:val="32"/>
          <w:szCs w:val="32"/>
        </w:rPr>
        <w:t>12</w:t>
      </w:r>
      <w:r>
        <w:rPr>
          <w:rFonts w:hint="eastAsia" w:eastAsia="仿宋_GB2312"/>
          <w:snapToGrid w:val="0"/>
          <w:color w:val="000000"/>
          <w:spacing w:val="-4"/>
          <w:sz w:val="32"/>
          <w:szCs w:val="32"/>
        </w:rPr>
        <w:t>日为森林防火宣传日。</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第十八条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市、县（区）人民政府应当建设、配备下列森林防火设施、设备：</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（一）警示宣传标志；</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（二）森林防火通道、生物阻隔网络；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（三）森林防火</w:t>
      </w:r>
      <w:r>
        <w:rPr>
          <w:rFonts w:hint="eastAsia"/>
          <w:snapToGrid w:val="0"/>
          <w:color w:val="000000"/>
          <w:sz w:val="32"/>
          <w:szCs w:val="32"/>
        </w:rPr>
        <w:t>瞭</w:t>
      </w:r>
      <w:r>
        <w:rPr>
          <w:rFonts w:hint="eastAsia" w:eastAsia="仿宋_GB2312"/>
          <w:snapToGrid w:val="0"/>
          <w:color w:val="000000"/>
          <w:sz w:val="32"/>
          <w:szCs w:val="32"/>
        </w:rPr>
        <w:t>望台、检查站、物资储备库、森林消防队伍营房等；</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（四）森林防火信息指挥、通讯网络、远程视频监控、护林员定位管理等系统；</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（五）森林防火水池、水窖、储水罐等蓄水输水设施；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（六）交通运输工具、灭火机具；</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（七）航空灭火水源地、飞机临时停机坪等；</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（八）其他应当建设、配备的森林防火设施、设备。</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第十九条</w:t>
      </w:r>
      <w:r>
        <w:rPr>
          <w:rFonts w:eastAsia="仿宋_GB2312"/>
          <w:snapToGrid w:val="0"/>
          <w:color w:val="000000"/>
          <w:sz w:val="32"/>
          <w:szCs w:val="32"/>
        </w:rPr>
        <w:t xml:space="preserve">  </w:t>
      </w:r>
      <w:r>
        <w:rPr>
          <w:rFonts w:hint="eastAsia" w:eastAsia="仿宋_GB2312"/>
          <w:snapToGrid w:val="0"/>
          <w:color w:val="000000"/>
          <w:sz w:val="32"/>
          <w:szCs w:val="32"/>
        </w:rPr>
        <w:t>在森林防火区内依法开办工矿企业、设立旅游区、新建开发区、</w:t>
      </w:r>
      <w:r>
        <w:rPr>
          <w:rFonts w:eastAsia="仿宋_GB2312"/>
          <w:snapToGrid w:val="0"/>
          <w:color w:val="000000"/>
          <w:sz w:val="32"/>
          <w:szCs w:val="32"/>
        </w:rPr>
        <w:t>50</w:t>
      </w:r>
      <w:r>
        <w:rPr>
          <w:rFonts w:hint="eastAsia" w:eastAsia="仿宋_GB2312"/>
          <w:snapToGrid w:val="0"/>
          <w:color w:val="000000"/>
          <w:sz w:val="32"/>
          <w:szCs w:val="32"/>
        </w:rPr>
        <w:t>公顷以上成片造林或者建设其他可能影响森林防火安全的项目，应当开设防火隔离带或者营造生物防火林带，建设森林消防水池。森林防火设施应当与项目同步规划、同步设计、同步施工、同步验收。</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在森林防火区内架设电力、通讯设施和铺设石油、天然气管道以及生产、存储、装卸易燃易爆危险物品等单位应当采取防火措施，消除火灾隐患。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第二十条</w:t>
      </w:r>
      <w:r>
        <w:rPr>
          <w:rFonts w:eastAsia="仿宋_GB2312"/>
          <w:snapToGrid w:val="0"/>
          <w:color w:val="000000"/>
          <w:sz w:val="32"/>
          <w:szCs w:val="32"/>
        </w:rPr>
        <w:t xml:space="preserve">  </w:t>
      </w:r>
      <w:r>
        <w:rPr>
          <w:rFonts w:hint="eastAsia" w:eastAsia="仿宋_GB2312"/>
          <w:snapToGrid w:val="0"/>
          <w:color w:val="000000"/>
          <w:sz w:val="32"/>
          <w:szCs w:val="32"/>
        </w:rPr>
        <w:t>任何单位和个人不得破坏和侵占森林防火通道、防火隔离带、宣传标志、</w:t>
      </w:r>
      <w:r>
        <w:rPr>
          <w:rFonts w:hint="eastAsia"/>
          <w:snapToGrid w:val="0"/>
          <w:color w:val="000000"/>
          <w:sz w:val="32"/>
          <w:szCs w:val="32"/>
        </w:rPr>
        <w:t>瞭</w:t>
      </w:r>
      <w:r>
        <w:rPr>
          <w:rFonts w:hint="eastAsia" w:eastAsia="仿宋_GB2312"/>
          <w:snapToGrid w:val="0"/>
          <w:color w:val="000000"/>
          <w:sz w:val="32"/>
          <w:szCs w:val="32"/>
        </w:rPr>
        <w:t>望台、检查站、蓄水输水、视频监控、通讯等设施设备，不得干扰森林防火专用电台频率的正常使用。</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第二十一条</w:t>
      </w:r>
      <w:r>
        <w:rPr>
          <w:rFonts w:eastAsia="仿宋_GB2312"/>
          <w:snapToGrid w:val="0"/>
          <w:color w:val="000000"/>
          <w:sz w:val="32"/>
          <w:szCs w:val="32"/>
        </w:rPr>
        <w:t xml:space="preserve">  </w:t>
      </w:r>
      <w:r>
        <w:rPr>
          <w:rFonts w:hint="eastAsia" w:eastAsia="仿宋_GB2312"/>
          <w:snapToGrid w:val="0"/>
          <w:color w:val="000000"/>
          <w:sz w:val="32"/>
          <w:szCs w:val="32"/>
        </w:rPr>
        <w:t>森林防火指挥机构和自然保护区、森林公园、国有林场等管理机构，应当配备森林防火专用车辆和专用应急通讯设备。</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防火专用车辆按照规定喷涂标识，安装警报器和标志灯具。森林防火专用车辆执行森林火灾扑救任务时，可以使用警报器、标志灯具，在确保安全的前提下不受行驶路线、行驶方向、行驶速度和信号灯的限制，其他车辆以及行人应当让行。</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在森林防火期，执行预防和扑救森林火灾任务的森林防火专用车辆通过收费公路、桥梁、隧道等时，免收车辆通行费。</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第二十二条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市、县（区）人民政府按照属地原则划定森林防火责任区，确定责任单位和责任人，实行森林防火网格化管理。</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第二十三条</w:t>
      </w:r>
      <w:r>
        <w:rPr>
          <w:rFonts w:eastAsia="仿宋_GB2312"/>
          <w:snapToGrid w:val="0"/>
          <w:color w:val="000000"/>
          <w:sz w:val="32"/>
          <w:szCs w:val="32"/>
        </w:rPr>
        <w:t xml:space="preserve">  </w:t>
      </w:r>
      <w:r>
        <w:rPr>
          <w:rFonts w:hint="eastAsia" w:eastAsia="仿宋_GB2312"/>
          <w:snapToGrid w:val="0"/>
          <w:color w:val="000000"/>
          <w:sz w:val="32"/>
          <w:szCs w:val="32"/>
        </w:rPr>
        <w:t>森林防火期内，县（区）人民政府可以设置临时性入山森林防火检查站（点）。执行森林防火检查任务的人员应当佩戴专用标志，对进入森林防火区的车辆和人员进行实名登记、安全检查，对携带的火种、易燃易爆物品以及其他可能引起森林火灾的物品，实行集中保管，任何单位和个人不得拒绝、阻碍。</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第二十四条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森林防火指挥机构应当定期组织开展森林防火安全检查，被检查的单位和个人应当积极配合，不得阻挠、妨碍森林防火安全检查；对检查中发现的火灾隐患应当下达火灾隐患整改通知书，责令限期整改，消除隐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第二十五条</w:t>
      </w:r>
      <w:r>
        <w:rPr>
          <w:rFonts w:eastAsia="仿宋_GB2312"/>
          <w:snapToGrid w:val="0"/>
          <w:color w:val="000000"/>
          <w:sz w:val="32"/>
          <w:szCs w:val="32"/>
        </w:rPr>
        <w:t xml:space="preserve">  </w:t>
      </w:r>
      <w:r>
        <w:rPr>
          <w:rFonts w:hint="eastAsia" w:eastAsia="仿宋_GB2312"/>
          <w:snapToGrid w:val="0"/>
          <w:color w:val="000000"/>
          <w:sz w:val="32"/>
          <w:szCs w:val="32"/>
        </w:rPr>
        <w:t>县（区）人民政府应当根据实际制定烧除计划，有效预防森林火灾的发生。</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森林、林木、林地经营单位或者林权所有者对具备实施计划烧除条件的林地，应当在当地森林防火指挥机构的指导下实施林内可燃物烧除。对不具备计划烧除条件的林地，应当开辟</w:t>
      </w:r>
      <w:r>
        <w:rPr>
          <w:rFonts w:hint="eastAsia" w:eastAsia="仿宋_GB2312"/>
          <w:snapToGrid w:val="0"/>
          <w:color w:val="000000"/>
          <w:spacing w:val="-6"/>
          <w:sz w:val="32"/>
          <w:szCs w:val="32"/>
        </w:rPr>
        <w:t>防火隔离带或者采取人工割除等方法清除可燃物，消除火灾隐患。</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第二十六条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市、县（区）人民政府应当购买公益林森林火灾保险，鼓励和支持商品林林权所有者参加森林火灾保险，提高林业防灾减灾能力。</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市、县（区）、乡（镇）人民政府和街道办事处应当为森林消防队员购买人身意外伤害保险。</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第二十七条</w:t>
      </w:r>
      <w:r>
        <w:rPr>
          <w:rFonts w:eastAsia="仿宋_GB2312"/>
          <w:snapToGrid w:val="0"/>
          <w:color w:val="000000"/>
          <w:sz w:val="32"/>
          <w:szCs w:val="32"/>
        </w:rPr>
        <w:t xml:space="preserve">  </w:t>
      </w:r>
      <w:r>
        <w:rPr>
          <w:rFonts w:hint="eastAsia" w:eastAsia="仿宋_GB2312"/>
          <w:snapToGrid w:val="0"/>
          <w:color w:val="000000"/>
          <w:sz w:val="32"/>
          <w:szCs w:val="32"/>
        </w:rPr>
        <w:t>森林防火期内，县（区）人民政府应当按照山区县每</w:t>
      </w:r>
      <w:r>
        <w:rPr>
          <w:rFonts w:eastAsia="仿宋_GB2312"/>
          <w:snapToGrid w:val="0"/>
          <w:color w:val="000000"/>
          <w:sz w:val="32"/>
          <w:szCs w:val="32"/>
        </w:rPr>
        <w:t>150</w:t>
      </w:r>
      <w:r>
        <w:rPr>
          <w:rFonts w:hint="eastAsia" w:eastAsia="仿宋_GB2312"/>
          <w:snapToGrid w:val="0"/>
          <w:color w:val="000000"/>
          <w:sz w:val="32"/>
          <w:szCs w:val="32"/>
        </w:rPr>
        <w:t>公顷林地面积配备不少于</w:t>
      </w:r>
      <w:r>
        <w:rPr>
          <w:rFonts w:eastAsia="仿宋_GB2312"/>
          <w:snapToGrid w:val="0"/>
          <w:color w:val="000000"/>
          <w:sz w:val="32"/>
          <w:szCs w:val="32"/>
        </w:rPr>
        <w:t>1</w:t>
      </w:r>
      <w:r>
        <w:rPr>
          <w:rFonts w:hint="eastAsia" w:eastAsia="仿宋_GB2312"/>
          <w:snapToGrid w:val="0"/>
          <w:color w:val="000000"/>
          <w:sz w:val="32"/>
          <w:szCs w:val="32"/>
        </w:rPr>
        <w:t>名护林员，坝区县（区）每</w:t>
      </w:r>
      <w:r>
        <w:rPr>
          <w:rFonts w:eastAsia="仿宋_GB2312"/>
          <w:snapToGrid w:val="0"/>
          <w:color w:val="000000"/>
          <w:sz w:val="32"/>
          <w:szCs w:val="32"/>
        </w:rPr>
        <w:t>100</w:t>
      </w:r>
      <w:r>
        <w:rPr>
          <w:rFonts w:hint="eastAsia" w:eastAsia="仿宋_GB2312"/>
          <w:snapToGrid w:val="0"/>
          <w:color w:val="000000"/>
          <w:sz w:val="32"/>
          <w:szCs w:val="32"/>
        </w:rPr>
        <w:t>公顷林地面积配备不少于</w:t>
      </w:r>
      <w:r>
        <w:rPr>
          <w:rFonts w:eastAsia="仿宋_GB2312"/>
          <w:snapToGrid w:val="0"/>
          <w:color w:val="000000"/>
          <w:sz w:val="32"/>
          <w:szCs w:val="32"/>
        </w:rPr>
        <w:t>1</w:t>
      </w:r>
      <w:r>
        <w:rPr>
          <w:rFonts w:hint="eastAsia" w:eastAsia="仿宋_GB2312"/>
          <w:snapToGrid w:val="0"/>
          <w:color w:val="000000"/>
          <w:sz w:val="32"/>
          <w:szCs w:val="32"/>
        </w:rPr>
        <w:t>名护林员，落实护林员工资待遇。森林高火险期，根据火险等级增加护林员，明确森林防火责任区。</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第二十八条</w:t>
      </w:r>
      <w:r>
        <w:rPr>
          <w:rFonts w:eastAsia="仿宋_GB2312"/>
          <w:snapToGrid w:val="0"/>
          <w:color w:val="000000"/>
          <w:sz w:val="32"/>
          <w:szCs w:val="32"/>
        </w:rPr>
        <w:t xml:space="preserve">  </w:t>
      </w:r>
      <w:r>
        <w:rPr>
          <w:rFonts w:hint="eastAsia" w:eastAsia="仿宋_GB2312"/>
          <w:snapToGrid w:val="0"/>
          <w:color w:val="000000"/>
          <w:sz w:val="32"/>
          <w:szCs w:val="32"/>
        </w:rPr>
        <w:t>森林防火期内，在森林防火区禁止下列行为：</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（一）吸烟、烧纸、烧香、烧蜂、烧荒、烤火、野炊、使用火把照明、焚烧垃圾、燃放烟花爆竹和孔明灯；</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（二）使用烟熏、火攻、电击等方式狩猎；</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（三）携带火种、易燃易爆物品以及其他可能引起森林火灾的物品进入森林防火区；</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（四）擅自实施烧除、炼山造林、勘察、开采矿藏和建设工程的野外用火；</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（五）擅自进行烧灰积肥、烧秸秆、烧炭等野外农事用火；</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（六）其他易引发森林火灾的行为。</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第二十九条</w:t>
      </w:r>
      <w:r>
        <w:rPr>
          <w:rFonts w:eastAsia="仿宋_GB2312"/>
          <w:snapToGrid w:val="0"/>
          <w:color w:val="000000"/>
          <w:sz w:val="32"/>
          <w:szCs w:val="32"/>
        </w:rPr>
        <w:t xml:space="preserve">  </w:t>
      </w:r>
      <w:r>
        <w:rPr>
          <w:rFonts w:hint="eastAsia" w:eastAsia="仿宋_GB2312"/>
          <w:snapToGrid w:val="0"/>
          <w:color w:val="000000"/>
          <w:sz w:val="32"/>
          <w:szCs w:val="32"/>
        </w:rPr>
        <w:t>森林防火期内，在森林防火区因农事生产等特殊情况确需野外用火的，应当向所在地村（居）民委员会提出申请，报乡（镇）人民政府、街道办事处批准，并报县（区）人民政府森林防火指挥机构备案。</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经批准野外用火的单位和个人，应当符合下列要求：</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（一）森林火险等级在三级以下；</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（二）有专人负责和必要的防火措施；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（三）组织扑火人员，配备灭火工具；</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（四）用火时专人看守，用火后彻底熄灭；</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（五）在规定的时间、地点、范围内进行。</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第四章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森林火灾的扑救</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第三十条</w:t>
      </w:r>
      <w:r>
        <w:rPr>
          <w:rFonts w:eastAsia="仿宋_GB2312"/>
          <w:snapToGrid w:val="0"/>
          <w:color w:val="000000"/>
          <w:sz w:val="32"/>
          <w:szCs w:val="32"/>
        </w:rPr>
        <w:t xml:space="preserve">  </w:t>
      </w:r>
      <w:r>
        <w:rPr>
          <w:rFonts w:hint="eastAsia" w:eastAsia="仿宋_GB2312"/>
          <w:snapToGrid w:val="0"/>
          <w:color w:val="000000"/>
          <w:sz w:val="32"/>
          <w:szCs w:val="32"/>
        </w:rPr>
        <w:t>森林火警电话为“</w:t>
      </w:r>
      <w:r>
        <w:rPr>
          <w:rFonts w:eastAsia="仿宋_GB2312"/>
          <w:snapToGrid w:val="0"/>
          <w:color w:val="000000"/>
          <w:sz w:val="32"/>
          <w:szCs w:val="32"/>
        </w:rPr>
        <w:t>12119</w:t>
      </w:r>
      <w:r>
        <w:rPr>
          <w:rFonts w:hint="eastAsia" w:eastAsia="仿宋_GB2312"/>
          <w:snapToGrid w:val="0"/>
          <w:color w:val="000000"/>
          <w:sz w:val="32"/>
          <w:szCs w:val="32"/>
        </w:rPr>
        <w:t>”，与“</w:t>
      </w:r>
      <w:r>
        <w:rPr>
          <w:rFonts w:eastAsia="仿宋_GB2312"/>
          <w:snapToGrid w:val="0"/>
          <w:color w:val="000000"/>
          <w:sz w:val="32"/>
          <w:szCs w:val="32"/>
        </w:rPr>
        <w:t>110</w:t>
      </w:r>
      <w:r>
        <w:rPr>
          <w:rFonts w:hint="eastAsia" w:eastAsia="仿宋_GB2312"/>
          <w:snapToGrid w:val="0"/>
          <w:color w:val="000000"/>
          <w:sz w:val="32"/>
          <w:szCs w:val="32"/>
        </w:rPr>
        <w:t>”“</w:t>
      </w:r>
      <w:r>
        <w:rPr>
          <w:rFonts w:eastAsia="仿宋_GB2312"/>
          <w:snapToGrid w:val="0"/>
          <w:color w:val="000000"/>
          <w:sz w:val="32"/>
          <w:szCs w:val="32"/>
        </w:rPr>
        <w:t>119</w:t>
      </w:r>
      <w:r>
        <w:rPr>
          <w:rFonts w:hint="eastAsia" w:eastAsia="仿宋_GB2312"/>
          <w:snapToGrid w:val="0"/>
          <w:color w:val="000000"/>
          <w:sz w:val="32"/>
          <w:szCs w:val="32"/>
        </w:rPr>
        <w:t>”报警电话实行联动。</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任何单位和个人发现森林火灾隐患或者森林火灾，应当立即拨打森林火警电话。森林防火指挥机构接到报告后应当立即派人赶赴现场调查核实，采取相应措施。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森林防火期内，各级人民政府森林防火指挥机构应当实行</w:t>
      </w:r>
      <w:r>
        <w:rPr>
          <w:rFonts w:eastAsia="仿宋_GB2312"/>
          <w:snapToGrid w:val="0"/>
          <w:color w:val="000000"/>
          <w:sz w:val="32"/>
          <w:szCs w:val="32"/>
        </w:rPr>
        <w:t>24</w:t>
      </w:r>
      <w:r>
        <w:rPr>
          <w:rFonts w:hint="eastAsia" w:eastAsia="仿宋_GB2312"/>
          <w:snapToGrid w:val="0"/>
          <w:color w:val="000000"/>
          <w:sz w:val="32"/>
          <w:szCs w:val="32"/>
        </w:rPr>
        <w:t>小时值班和领导带班制度，保证信息畅通和预防扑救工作正常开展。非法定工作时间参加森林防火值班、带班的人员，应当安排补休。</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第三十一条</w:t>
      </w:r>
      <w:r>
        <w:rPr>
          <w:rFonts w:eastAsia="仿宋_GB2312"/>
          <w:snapToGrid w:val="0"/>
          <w:color w:val="000000"/>
          <w:sz w:val="32"/>
          <w:szCs w:val="32"/>
        </w:rPr>
        <w:t xml:space="preserve">  </w:t>
      </w:r>
      <w:r>
        <w:rPr>
          <w:rFonts w:hint="eastAsia" w:eastAsia="仿宋_GB2312"/>
          <w:snapToGrid w:val="0"/>
          <w:color w:val="000000"/>
          <w:sz w:val="32"/>
          <w:szCs w:val="32"/>
        </w:rPr>
        <w:t>发生下列森林火灾，县（区）人民政府森林防火指挥机构应当立即报告市人民政府森林防火指挥机构：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（一）发生在州（市）、县（区）交界地区的；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（二）发生在自然保护区、风景名胜区、森林公园、城市面山的；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（三）威胁居民区或者重要设施的；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w:t>
      </w:r>
      <w:r>
        <w:rPr>
          <w:rFonts w:eastAsia="仿宋_GB2312"/>
          <w:snapToGrid w:val="0"/>
          <w:color w:val="000000"/>
          <w:sz w:val="32"/>
          <w:szCs w:val="32"/>
        </w:rPr>
        <w:t>6</w:t>
      </w:r>
      <w:r>
        <w:rPr>
          <w:rFonts w:hint="eastAsia" w:eastAsia="仿宋_GB2312"/>
          <w:snapToGrid w:val="0"/>
          <w:color w:val="000000"/>
          <w:sz w:val="32"/>
          <w:szCs w:val="32"/>
        </w:rPr>
        <w:t>小时尚未得到有效控制的；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（五）预计受害森林面积达到</w:t>
      </w:r>
      <w:r>
        <w:rPr>
          <w:rFonts w:eastAsia="仿宋_GB2312"/>
          <w:snapToGrid w:val="0"/>
          <w:color w:val="000000"/>
          <w:sz w:val="32"/>
          <w:szCs w:val="32"/>
        </w:rPr>
        <w:t>10</w:t>
      </w:r>
      <w:r>
        <w:rPr>
          <w:rFonts w:hint="eastAsia" w:eastAsia="仿宋_GB2312"/>
          <w:snapToGrid w:val="0"/>
          <w:color w:val="000000"/>
          <w:sz w:val="32"/>
          <w:szCs w:val="32"/>
        </w:rPr>
        <w:t>公顷以上的；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（六）出现人员伤亡的；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（七）需要上级或者辖区外支援扑救的；</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（八）其他需要报告的情形。</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第三十二条</w:t>
      </w:r>
      <w:r>
        <w:rPr>
          <w:rFonts w:eastAsia="仿宋_GB2312"/>
          <w:snapToGrid w:val="0"/>
          <w:color w:val="000000"/>
          <w:sz w:val="32"/>
          <w:szCs w:val="32"/>
        </w:rPr>
        <w:t xml:space="preserve">  </w:t>
      </w:r>
      <w:r>
        <w:rPr>
          <w:rFonts w:hint="eastAsia" w:eastAsia="仿宋_GB2312"/>
          <w:snapToGrid w:val="0"/>
          <w:color w:val="000000"/>
          <w:sz w:val="32"/>
          <w:szCs w:val="32"/>
        </w:rPr>
        <w:t>发生森林火灾，市、县（区）人民政府森林防火指挥机构应当按照规定立即启动处置森林火灾应急预案，成立火灾现场指挥部，根据森林火灾现场情况，科学确定扑救方案，快速有效组织人员、调集所需物资，及时扑救。</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参加森林火灾扑救的单位和个人，应当服从森林防火指挥机构的统一指挥，做好森林火灾扑救的有关工作。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第三十三条</w:t>
      </w:r>
      <w:r>
        <w:rPr>
          <w:rFonts w:eastAsia="仿宋_GB2312"/>
          <w:snapToGrid w:val="0"/>
          <w:color w:val="000000"/>
          <w:sz w:val="32"/>
          <w:szCs w:val="32"/>
        </w:rPr>
        <w:t xml:space="preserve">  </w:t>
      </w:r>
      <w:r>
        <w:rPr>
          <w:rFonts w:hint="eastAsia" w:eastAsia="仿宋_GB2312"/>
          <w:snapToGrid w:val="0"/>
          <w:color w:val="000000"/>
          <w:sz w:val="32"/>
          <w:szCs w:val="32"/>
        </w:rPr>
        <w:t>因扑救森林火灾应急需要，市、县（区）人民政府森林防火指挥机构可以决定采取开设隔离带、清除障碍物、应急取水、局部交通管制等应急措施。</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因扑救森林火灾应急需要征用物资、设备、交通运输工具的，由市、县（区）人民政府决定。森林火灾扑灭后，应当及时返还被征用的物资、设备和交通运输工具，依照有关规定给予补偿。</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第三十四条</w:t>
      </w:r>
      <w:r>
        <w:rPr>
          <w:rFonts w:eastAsia="仿宋_GB2312"/>
          <w:snapToGrid w:val="0"/>
          <w:color w:val="000000"/>
          <w:sz w:val="32"/>
          <w:szCs w:val="32"/>
        </w:rPr>
        <w:t xml:space="preserve">  </w:t>
      </w:r>
      <w:r>
        <w:rPr>
          <w:rFonts w:hint="eastAsia" w:eastAsia="仿宋_GB2312"/>
          <w:snapToGrid w:val="0"/>
          <w:color w:val="000000"/>
          <w:sz w:val="32"/>
          <w:szCs w:val="32"/>
        </w:rPr>
        <w:t>发生森林火灾时，有关部门应当协同配合，认真履职。</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财政部门负责筹措扑救森林火灾所需资金。</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公安机关负责维护火灾现场及周边秩序。</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森林公安负责查处森林火灾案件。</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交通运输部门负责人员、物资的运输。</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卫生部门负责医疗救护和卫生防疫。</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气象部门负责气象情况分析，设置火场移动气象台，及时提供火场气象数据，适时组织人工增雨。</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通信部门负责保证现场通信畅通。</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电力部门负责电力保障和线路运行安全。</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民政部门负责受灾群众生活的保障。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第三十五条</w:t>
      </w:r>
      <w:r>
        <w:rPr>
          <w:rFonts w:eastAsia="仿宋_GB2312"/>
          <w:snapToGrid w:val="0"/>
          <w:color w:val="000000"/>
          <w:sz w:val="32"/>
          <w:szCs w:val="32"/>
        </w:rPr>
        <w:t xml:space="preserve">  </w:t>
      </w:r>
      <w:r>
        <w:rPr>
          <w:rFonts w:hint="eastAsia" w:eastAsia="仿宋_GB2312"/>
          <w:snapToGrid w:val="0"/>
          <w:color w:val="000000"/>
          <w:sz w:val="32"/>
          <w:szCs w:val="32"/>
        </w:rPr>
        <w:t>森林火灾扑灭后，火灾扑救队伍应当对火灾现场进行全面检查、清除余火，交由当地人民政府组织人员负责看守火灾现场，火场看守时间不少于</w:t>
      </w:r>
      <w:r>
        <w:rPr>
          <w:rFonts w:eastAsia="仿宋_GB2312"/>
          <w:snapToGrid w:val="0"/>
          <w:color w:val="000000"/>
          <w:sz w:val="32"/>
          <w:szCs w:val="32"/>
        </w:rPr>
        <w:t>48</w:t>
      </w:r>
      <w:r>
        <w:rPr>
          <w:rFonts w:hint="eastAsia" w:eastAsia="仿宋_GB2312"/>
          <w:snapToGrid w:val="0"/>
          <w:color w:val="000000"/>
          <w:sz w:val="32"/>
          <w:szCs w:val="32"/>
        </w:rPr>
        <w:t>小时。经检查确认无火灾隐患后，方可撤出看守人员。</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第三十六条</w:t>
      </w:r>
      <w:r>
        <w:rPr>
          <w:rFonts w:eastAsia="仿宋_GB2312"/>
          <w:snapToGrid w:val="0"/>
          <w:color w:val="000000"/>
          <w:sz w:val="32"/>
          <w:szCs w:val="32"/>
        </w:rPr>
        <w:t xml:space="preserve">  </w:t>
      </w:r>
      <w:r>
        <w:rPr>
          <w:rFonts w:hint="eastAsia" w:eastAsia="仿宋_GB2312"/>
          <w:snapToGrid w:val="0"/>
          <w:color w:val="000000"/>
          <w:sz w:val="32"/>
          <w:szCs w:val="32"/>
        </w:rPr>
        <w:t>森林火灾信息由市、县（区）人民政府森林防火指挥机构或者森林防火主管部门按照规定权限统一向社会发布，任何单位和个人不得自行发布。</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第五章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灾后处置</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第三十七条</w:t>
      </w:r>
      <w:r>
        <w:rPr>
          <w:rFonts w:eastAsia="仿宋_GB2312"/>
          <w:snapToGrid w:val="0"/>
          <w:color w:val="000000"/>
          <w:sz w:val="32"/>
          <w:szCs w:val="32"/>
        </w:rPr>
        <w:t xml:space="preserve">  </w:t>
      </w:r>
      <w:r>
        <w:rPr>
          <w:rFonts w:hint="eastAsia" w:eastAsia="仿宋_GB2312"/>
          <w:snapToGrid w:val="0"/>
          <w:color w:val="000000"/>
          <w:sz w:val="32"/>
          <w:szCs w:val="32"/>
        </w:rPr>
        <w:t>森林火灾扑灭后，市、县（区）人民政府森</w:t>
      </w:r>
    </w:p>
    <w:p>
      <w:pPr>
        <w:topLinePunct/>
        <w:adjustRightInd w:val="0"/>
        <w:snapToGrid w:val="0"/>
        <w:spacing w:line="566" w:lineRule="exact"/>
        <w:rPr>
          <w:rFonts w:eastAsia="仿宋_GB2312"/>
          <w:snapToGrid w:val="0"/>
          <w:color w:val="000000"/>
          <w:sz w:val="32"/>
          <w:szCs w:val="32"/>
        </w:rPr>
      </w:pPr>
      <w:r>
        <w:rPr>
          <w:rFonts w:hint="eastAsia" w:eastAsia="仿宋_GB2312"/>
          <w:snapToGrid w:val="0"/>
          <w:color w:val="000000"/>
          <w:sz w:val="32"/>
          <w:szCs w:val="32"/>
        </w:rPr>
        <w:t>林防火主管部门应当进行调查，并向本级人民政府和上一级森林防火主管部门提交调查报告，同时可以委托有资质的机构对受灾情况进行评估。本级人民政府应当根据调查报告，确定森林火灾责任单位和责任人，并依法处理。</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发生在行政区域交界地，着火点位置不清的森林火灾，由共同的上一级森林防火主管部门组织进行调查和评估。</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第三十八条</w:t>
      </w:r>
      <w:r>
        <w:rPr>
          <w:rFonts w:eastAsia="仿宋_GB2312"/>
          <w:snapToGrid w:val="0"/>
          <w:color w:val="000000"/>
          <w:sz w:val="32"/>
          <w:szCs w:val="32"/>
        </w:rPr>
        <w:t xml:space="preserve">  </w:t>
      </w:r>
      <w:r>
        <w:rPr>
          <w:rFonts w:hint="eastAsia" w:eastAsia="仿宋_GB2312"/>
          <w:snapToGrid w:val="0"/>
          <w:color w:val="000000"/>
          <w:sz w:val="32"/>
          <w:szCs w:val="32"/>
        </w:rPr>
        <w:t>农村居民、无固定收入的城镇居民参加扑火的误工补贴、生活补助费以及组织扑救森林火灾所产生的费用，由肇事单位或者肇事者支付。起火原因不清的，由森林防火责任单位支付；肇事单位、肇事者或者森林防火责任单位无力支付的部分，由当地人民政府支付。</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第三十九条</w:t>
      </w:r>
      <w:r>
        <w:rPr>
          <w:rFonts w:eastAsia="仿宋_GB2312"/>
          <w:snapToGrid w:val="0"/>
          <w:color w:val="000000"/>
          <w:sz w:val="32"/>
          <w:szCs w:val="32"/>
        </w:rPr>
        <w:t xml:space="preserve">  </w:t>
      </w:r>
      <w:r>
        <w:rPr>
          <w:rFonts w:hint="eastAsia" w:eastAsia="仿宋_GB2312"/>
          <w:snapToGrid w:val="0"/>
          <w:color w:val="000000"/>
          <w:sz w:val="32"/>
          <w:szCs w:val="32"/>
        </w:rPr>
        <w:t>在扑救森林火灾中受伤、致残或者死亡的人员，由市、县（区）人民政府按照有关规定给予医疗保障、评残和抚恤；符合烈士评定条件的，由有关部门按照规定办理。因森林火灾造成生活困难的群众，当地政府和相关部门应当给予基本生活救济。</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第四十条</w:t>
      </w:r>
      <w:r>
        <w:rPr>
          <w:rFonts w:eastAsia="仿宋_GB2312"/>
          <w:snapToGrid w:val="0"/>
          <w:color w:val="000000"/>
          <w:sz w:val="32"/>
          <w:szCs w:val="32"/>
        </w:rPr>
        <w:t xml:space="preserve">  </w:t>
      </w:r>
      <w:r>
        <w:rPr>
          <w:rFonts w:hint="eastAsia" w:eastAsia="仿宋_GB2312"/>
          <w:snapToGrid w:val="0"/>
          <w:color w:val="000000"/>
          <w:sz w:val="32"/>
          <w:szCs w:val="32"/>
        </w:rPr>
        <w:t>森林火灾扑灭后，承担森林火灾保险的保险机构应当按照有关规定，及时查勘定损，按照理赔标准进行赔付。</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第四十一条</w:t>
      </w:r>
      <w:r>
        <w:rPr>
          <w:rFonts w:eastAsia="仿宋_GB2312"/>
          <w:snapToGrid w:val="0"/>
          <w:color w:val="000000"/>
          <w:sz w:val="32"/>
          <w:szCs w:val="32"/>
        </w:rPr>
        <w:t xml:space="preserve">  </w:t>
      </w:r>
      <w:r>
        <w:rPr>
          <w:rFonts w:hint="eastAsia" w:eastAsia="仿宋_GB2312"/>
          <w:snapToGrid w:val="0"/>
          <w:color w:val="000000"/>
          <w:sz w:val="32"/>
          <w:szCs w:val="32"/>
        </w:rPr>
        <w:t>森林火灾扑灭后，森林、林木、林地经营单位和个人应当按照森林防火主管部门的要求及时恢复火烧迹地的森林植被。</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第六章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法律责任</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第四十二条</w:t>
      </w:r>
      <w:r>
        <w:rPr>
          <w:rFonts w:eastAsia="仿宋_GB2312"/>
          <w:snapToGrid w:val="0"/>
          <w:color w:val="000000"/>
          <w:sz w:val="32"/>
          <w:szCs w:val="32"/>
        </w:rPr>
        <w:t xml:space="preserve">  </w:t>
      </w:r>
      <w:r>
        <w:rPr>
          <w:rFonts w:hint="eastAsia" w:eastAsia="仿宋_GB2312"/>
          <w:snapToGrid w:val="0"/>
          <w:color w:val="000000"/>
          <w:sz w:val="32"/>
          <w:szCs w:val="32"/>
        </w:rPr>
        <w:t>各级人民政府及其森林防火指挥机构、森林防火主管部门或者其他有关部门及其工作人员滥用职权、玩忽职守、徇私舞弊的，由其上级行政机关或者监察机关责令改正，对相关责任人依法给予处分；构成犯罪的，依法追究刑事责任。</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第四十三条</w:t>
      </w:r>
      <w:r>
        <w:rPr>
          <w:rFonts w:eastAsia="仿宋_GB2312"/>
          <w:snapToGrid w:val="0"/>
          <w:color w:val="000000"/>
          <w:sz w:val="32"/>
          <w:szCs w:val="32"/>
        </w:rPr>
        <w:t xml:space="preserve">  </w:t>
      </w:r>
      <w:r>
        <w:rPr>
          <w:rFonts w:hint="eastAsia" w:eastAsia="仿宋_GB2312"/>
          <w:snapToGrid w:val="0"/>
          <w:color w:val="000000"/>
          <w:sz w:val="32"/>
          <w:szCs w:val="32"/>
        </w:rPr>
        <w:t>违反本条例第十五条第二款规定，拒不执行政府发布的决定、命令，擅自进入森林高火险区活动的，由县级以上人民政府森林防火主管部门责令改正，给予警告，对个人并处</w:t>
      </w:r>
      <w:r>
        <w:rPr>
          <w:rFonts w:eastAsia="仿宋_GB2312"/>
          <w:snapToGrid w:val="0"/>
          <w:color w:val="000000"/>
          <w:sz w:val="32"/>
          <w:szCs w:val="32"/>
        </w:rPr>
        <w:t>500</w:t>
      </w:r>
      <w:r>
        <w:rPr>
          <w:rFonts w:hint="eastAsia" w:eastAsia="仿宋_GB2312"/>
          <w:snapToGrid w:val="0"/>
          <w:color w:val="000000"/>
          <w:sz w:val="32"/>
          <w:szCs w:val="32"/>
        </w:rPr>
        <w:t>元以上</w:t>
      </w:r>
      <w:r>
        <w:rPr>
          <w:rFonts w:eastAsia="仿宋_GB2312"/>
          <w:snapToGrid w:val="0"/>
          <w:color w:val="000000"/>
          <w:sz w:val="32"/>
          <w:szCs w:val="32"/>
        </w:rPr>
        <w:t>2000</w:t>
      </w:r>
      <w:r>
        <w:rPr>
          <w:rFonts w:hint="eastAsia" w:eastAsia="仿宋_GB2312"/>
          <w:snapToGrid w:val="0"/>
          <w:color w:val="000000"/>
          <w:sz w:val="32"/>
          <w:szCs w:val="32"/>
        </w:rPr>
        <w:t>元以下罚款，对单位并处</w:t>
      </w:r>
      <w:r>
        <w:rPr>
          <w:rFonts w:eastAsia="仿宋_GB2312"/>
          <w:snapToGrid w:val="0"/>
          <w:color w:val="000000"/>
          <w:sz w:val="32"/>
          <w:szCs w:val="32"/>
        </w:rPr>
        <w:t>2000</w:t>
      </w:r>
      <w:r>
        <w:rPr>
          <w:rFonts w:hint="eastAsia" w:eastAsia="仿宋_GB2312"/>
          <w:snapToGrid w:val="0"/>
          <w:color w:val="000000"/>
          <w:sz w:val="32"/>
          <w:szCs w:val="32"/>
        </w:rPr>
        <w:t>元以上</w:t>
      </w:r>
      <w:r>
        <w:rPr>
          <w:rFonts w:eastAsia="仿宋_GB2312"/>
          <w:snapToGrid w:val="0"/>
          <w:color w:val="000000"/>
          <w:sz w:val="32"/>
          <w:szCs w:val="32"/>
        </w:rPr>
        <w:t>5000</w:t>
      </w:r>
      <w:r>
        <w:rPr>
          <w:rFonts w:hint="eastAsia" w:eastAsia="仿宋_GB2312"/>
          <w:snapToGrid w:val="0"/>
          <w:color w:val="000000"/>
          <w:sz w:val="32"/>
          <w:szCs w:val="32"/>
        </w:rPr>
        <w:t>元以下罚款；阻碍国家机关工作人员依法执行职务的，依照《中华人民共和国治安管理处罚法》有关规定处理。</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第四十四条</w:t>
      </w:r>
      <w:r>
        <w:rPr>
          <w:rFonts w:eastAsia="仿宋_GB2312"/>
          <w:snapToGrid w:val="0"/>
          <w:color w:val="000000"/>
          <w:sz w:val="32"/>
          <w:szCs w:val="32"/>
        </w:rPr>
        <w:t xml:space="preserve">  </w:t>
      </w:r>
      <w:r>
        <w:rPr>
          <w:rFonts w:hint="eastAsia" w:eastAsia="仿宋_GB2312"/>
          <w:snapToGrid w:val="0"/>
          <w:color w:val="000000"/>
          <w:sz w:val="32"/>
          <w:szCs w:val="32"/>
        </w:rPr>
        <w:t>违反本条例第二十条规定的，由县级以上人民政府森林防火主管部门责令停止违法行为，赔偿损失，对个人可以处</w:t>
      </w:r>
      <w:r>
        <w:rPr>
          <w:rFonts w:eastAsia="仿宋_GB2312"/>
          <w:snapToGrid w:val="0"/>
          <w:color w:val="000000"/>
          <w:sz w:val="32"/>
          <w:szCs w:val="32"/>
        </w:rPr>
        <w:t>500</w:t>
      </w:r>
      <w:r>
        <w:rPr>
          <w:rFonts w:hint="eastAsia" w:eastAsia="仿宋_GB2312"/>
          <w:snapToGrid w:val="0"/>
          <w:color w:val="000000"/>
          <w:sz w:val="32"/>
          <w:szCs w:val="32"/>
        </w:rPr>
        <w:t>元以上</w:t>
      </w:r>
      <w:r>
        <w:rPr>
          <w:rFonts w:eastAsia="仿宋_GB2312"/>
          <w:snapToGrid w:val="0"/>
          <w:color w:val="000000"/>
          <w:sz w:val="32"/>
          <w:szCs w:val="32"/>
        </w:rPr>
        <w:t>2000</w:t>
      </w:r>
      <w:r>
        <w:rPr>
          <w:rFonts w:hint="eastAsia" w:eastAsia="仿宋_GB2312"/>
          <w:snapToGrid w:val="0"/>
          <w:color w:val="000000"/>
          <w:sz w:val="32"/>
          <w:szCs w:val="32"/>
        </w:rPr>
        <w:t>元以下罚款，对单位并处</w:t>
      </w:r>
      <w:r>
        <w:rPr>
          <w:rFonts w:eastAsia="仿宋_GB2312"/>
          <w:snapToGrid w:val="0"/>
          <w:color w:val="000000"/>
          <w:sz w:val="32"/>
          <w:szCs w:val="32"/>
        </w:rPr>
        <w:t>1</w:t>
      </w:r>
      <w:r>
        <w:rPr>
          <w:rFonts w:hint="eastAsia" w:eastAsia="仿宋_GB2312"/>
          <w:snapToGrid w:val="0"/>
          <w:color w:val="000000"/>
          <w:sz w:val="32"/>
          <w:szCs w:val="32"/>
        </w:rPr>
        <w:t>万元以上</w:t>
      </w:r>
      <w:r>
        <w:rPr>
          <w:rFonts w:eastAsia="仿宋_GB2312"/>
          <w:snapToGrid w:val="0"/>
          <w:color w:val="000000"/>
          <w:sz w:val="32"/>
          <w:szCs w:val="32"/>
        </w:rPr>
        <w:t>2</w:t>
      </w:r>
      <w:r>
        <w:rPr>
          <w:rFonts w:hint="eastAsia" w:eastAsia="仿宋_GB2312"/>
          <w:snapToGrid w:val="0"/>
          <w:color w:val="000000"/>
          <w:sz w:val="32"/>
          <w:szCs w:val="32"/>
        </w:rPr>
        <w:t>万元以下罚款；构成犯罪的，依法追究刑事责任。</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第四十五条</w:t>
      </w:r>
      <w:r>
        <w:rPr>
          <w:rFonts w:eastAsia="仿宋_GB2312"/>
          <w:snapToGrid w:val="0"/>
          <w:color w:val="000000"/>
          <w:sz w:val="32"/>
          <w:szCs w:val="32"/>
        </w:rPr>
        <w:t xml:space="preserve">  </w:t>
      </w:r>
      <w:r>
        <w:rPr>
          <w:rFonts w:hint="eastAsia" w:eastAsia="仿宋_GB2312"/>
          <w:snapToGrid w:val="0"/>
          <w:color w:val="000000"/>
          <w:sz w:val="32"/>
          <w:szCs w:val="32"/>
        </w:rPr>
        <w:t>对违反本条例第二十三条规定，拒绝实名登记、接受检查的单位和个人，由县级以上人民政府森林防火主管部门责令改正，给予警告，对个人并处</w:t>
      </w:r>
      <w:r>
        <w:rPr>
          <w:rFonts w:eastAsia="仿宋_GB2312"/>
          <w:snapToGrid w:val="0"/>
          <w:color w:val="000000"/>
          <w:sz w:val="32"/>
          <w:szCs w:val="32"/>
        </w:rPr>
        <w:t>200</w:t>
      </w:r>
      <w:r>
        <w:rPr>
          <w:rFonts w:hint="eastAsia" w:eastAsia="仿宋_GB2312"/>
          <w:snapToGrid w:val="0"/>
          <w:color w:val="000000"/>
          <w:sz w:val="32"/>
          <w:szCs w:val="32"/>
        </w:rPr>
        <w:t>元以上</w:t>
      </w:r>
      <w:r>
        <w:rPr>
          <w:rFonts w:eastAsia="仿宋_GB2312"/>
          <w:snapToGrid w:val="0"/>
          <w:color w:val="000000"/>
          <w:sz w:val="32"/>
          <w:szCs w:val="32"/>
        </w:rPr>
        <w:t>1000</w:t>
      </w:r>
      <w:r>
        <w:rPr>
          <w:rFonts w:hint="eastAsia" w:eastAsia="仿宋_GB2312"/>
          <w:snapToGrid w:val="0"/>
          <w:color w:val="000000"/>
          <w:sz w:val="32"/>
          <w:szCs w:val="32"/>
        </w:rPr>
        <w:t>元以下罚款，对单位并处</w:t>
      </w:r>
      <w:r>
        <w:rPr>
          <w:rFonts w:eastAsia="仿宋_GB2312"/>
          <w:snapToGrid w:val="0"/>
          <w:color w:val="000000"/>
          <w:sz w:val="32"/>
          <w:szCs w:val="32"/>
        </w:rPr>
        <w:t>5000</w:t>
      </w:r>
      <w:r>
        <w:rPr>
          <w:rFonts w:hint="eastAsia" w:eastAsia="仿宋_GB2312"/>
          <w:snapToGrid w:val="0"/>
          <w:color w:val="000000"/>
          <w:sz w:val="32"/>
          <w:szCs w:val="32"/>
        </w:rPr>
        <w:t>元以上</w:t>
      </w:r>
      <w:r>
        <w:rPr>
          <w:rFonts w:eastAsia="仿宋_GB2312"/>
          <w:snapToGrid w:val="0"/>
          <w:color w:val="000000"/>
          <w:sz w:val="32"/>
          <w:szCs w:val="32"/>
        </w:rPr>
        <w:t>1</w:t>
      </w:r>
      <w:r>
        <w:rPr>
          <w:rFonts w:hint="eastAsia" w:eastAsia="仿宋_GB2312"/>
          <w:snapToGrid w:val="0"/>
          <w:color w:val="000000"/>
          <w:sz w:val="32"/>
          <w:szCs w:val="32"/>
        </w:rPr>
        <w:t>万元以下罚款。</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第四十六条</w:t>
      </w:r>
      <w:r>
        <w:rPr>
          <w:rFonts w:eastAsia="仿宋_GB2312"/>
          <w:snapToGrid w:val="0"/>
          <w:color w:val="000000"/>
          <w:sz w:val="32"/>
          <w:szCs w:val="32"/>
        </w:rPr>
        <w:t xml:space="preserve">  </w:t>
      </w:r>
      <w:r>
        <w:rPr>
          <w:rFonts w:hint="eastAsia" w:eastAsia="仿宋_GB2312"/>
          <w:snapToGrid w:val="0"/>
          <w:color w:val="000000"/>
          <w:sz w:val="32"/>
          <w:szCs w:val="32"/>
        </w:rPr>
        <w:t>违反本条例第二十四条规定，森林防火区内的有关单位或者个人接到森林火灾隐患整改通知书后逾期不消除火灾隐患的，由县级以上人民政府森林防火主管部门责令改正，给予警告，对个人并处</w:t>
      </w:r>
      <w:r>
        <w:rPr>
          <w:rFonts w:eastAsia="仿宋_GB2312"/>
          <w:snapToGrid w:val="0"/>
          <w:color w:val="000000"/>
          <w:sz w:val="32"/>
          <w:szCs w:val="32"/>
        </w:rPr>
        <w:t>500</w:t>
      </w:r>
      <w:r>
        <w:rPr>
          <w:rFonts w:hint="eastAsia" w:eastAsia="仿宋_GB2312"/>
          <w:snapToGrid w:val="0"/>
          <w:color w:val="000000"/>
          <w:sz w:val="32"/>
          <w:szCs w:val="32"/>
        </w:rPr>
        <w:t>元以上</w:t>
      </w:r>
      <w:r>
        <w:rPr>
          <w:rFonts w:eastAsia="仿宋_GB2312"/>
          <w:snapToGrid w:val="0"/>
          <w:color w:val="000000"/>
          <w:sz w:val="32"/>
          <w:szCs w:val="32"/>
        </w:rPr>
        <w:t>2000</w:t>
      </w:r>
      <w:r>
        <w:rPr>
          <w:rFonts w:hint="eastAsia" w:eastAsia="仿宋_GB2312"/>
          <w:snapToGrid w:val="0"/>
          <w:color w:val="000000"/>
          <w:sz w:val="32"/>
          <w:szCs w:val="32"/>
        </w:rPr>
        <w:t>元以下罚款，对单位并处</w:t>
      </w:r>
      <w:r>
        <w:rPr>
          <w:rFonts w:eastAsia="仿宋_GB2312"/>
          <w:snapToGrid w:val="0"/>
          <w:color w:val="000000"/>
          <w:sz w:val="32"/>
          <w:szCs w:val="32"/>
        </w:rPr>
        <w:t>5000</w:t>
      </w:r>
      <w:r>
        <w:rPr>
          <w:rFonts w:hint="eastAsia" w:eastAsia="仿宋_GB2312"/>
          <w:snapToGrid w:val="0"/>
          <w:color w:val="000000"/>
          <w:sz w:val="32"/>
          <w:szCs w:val="32"/>
        </w:rPr>
        <w:t>元以上</w:t>
      </w:r>
      <w:r>
        <w:rPr>
          <w:rFonts w:eastAsia="仿宋_GB2312"/>
          <w:snapToGrid w:val="0"/>
          <w:color w:val="000000"/>
          <w:sz w:val="32"/>
          <w:szCs w:val="32"/>
        </w:rPr>
        <w:t>1</w:t>
      </w:r>
      <w:r>
        <w:rPr>
          <w:rFonts w:hint="eastAsia" w:eastAsia="仿宋_GB2312"/>
          <w:snapToGrid w:val="0"/>
          <w:color w:val="000000"/>
          <w:sz w:val="32"/>
          <w:szCs w:val="32"/>
        </w:rPr>
        <w:t>万元以下罚款。</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第四十七条</w:t>
      </w:r>
      <w:r>
        <w:rPr>
          <w:rFonts w:eastAsia="仿宋_GB2312"/>
          <w:snapToGrid w:val="0"/>
          <w:color w:val="000000"/>
          <w:sz w:val="32"/>
          <w:szCs w:val="32"/>
        </w:rPr>
        <w:t xml:space="preserve">  </w:t>
      </w:r>
      <w:r>
        <w:rPr>
          <w:rFonts w:hint="eastAsia" w:eastAsia="仿宋_GB2312"/>
          <w:snapToGrid w:val="0"/>
          <w:color w:val="000000"/>
          <w:sz w:val="32"/>
          <w:szCs w:val="32"/>
        </w:rPr>
        <w:t>违反本条例第十九条第二款、第二十八条、</w:t>
      </w:r>
      <w:r>
        <w:rPr>
          <w:rFonts w:hint="eastAsia" w:eastAsia="仿宋_GB2312"/>
          <w:snapToGrid w:val="0"/>
          <w:color w:val="000000"/>
          <w:spacing w:val="-4"/>
          <w:sz w:val="32"/>
          <w:szCs w:val="32"/>
        </w:rPr>
        <w:t>第二十九条规定，未引起森林火灾的，由县级以上人民政府森林防火主管部门责令停止违法行为，给予警告，对个人并处</w:t>
      </w:r>
      <w:r>
        <w:rPr>
          <w:rFonts w:eastAsia="仿宋_GB2312"/>
          <w:snapToGrid w:val="0"/>
          <w:color w:val="000000"/>
          <w:spacing w:val="-4"/>
          <w:sz w:val="32"/>
          <w:szCs w:val="32"/>
        </w:rPr>
        <w:t>200</w:t>
      </w:r>
      <w:r>
        <w:rPr>
          <w:rFonts w:hint="eastAsia" w:eastAsia="仿宋_GB2312"/>
          <w:snapToGrid w:val="0"/>
          <w:color w:val="000000"/>
          <w:spacing w:val="-4"/>
          <w:sz w:val="32"/>
          <w:szCs w:val="32"/>
        </w:rPr>
        <w:t>元以上</w:t>
      </w:r>
      <w:r>
        <w:rPr>
          <w:rFonts w:eastAsia="仿宋_GB2312"/>
          <w:snapToGrid w:val="0"/>
          <w:color w:val="000000"/>
          <w:spacing w:val="-4"/>
          <w:sz w:val="32"/>
          <w:szCs w:val="32"/>
        </w:rPr>
        <w:t>1000</w:t>
      </w:r>
      <w:r>
        <w:rPr>
          <w:rFonts w:hint="eastAsia" w:eastAsia="仿宋_GB2312"/>
          <w:snapToGrid w:val="0"/>
          <w:color w:val="000000"/>
          <w:spacing w:val="-4"/>
          <w:sz w:val="32"/>
          <w:szCs w:val="32"/>
        </w:rPr>
        <w:t>元以下罚款，对单位并处</w:t>
      </w:r>
      <w:r>
        <w:rPr>
          <w:rFonts w:eastAsia="仿宋_GB2312"/>
          <w:snapToGrid w:val="0"/>
          <w:color w:val="000000"/>
          <w:spacing w:val="-4"/>
          <w:sz w:val="32"/>
          <w:szCs w:val="32"/>
        </w:rPr>
        <w:t>1</w:t>
      </w:r>
      <w:r>
        <w:rPr>
          <w:rFonts w:hint="eastAsia" w:eastAsia="仿宋_GB2312"/>
          <w:snapToGrid w:val="0"/>
          <w:color w:val="000000"/>
          <w:spacing w:val="-4"/>
          <w:sz w:val="32"/>
          <w:szCs w:val="32"/>
        </w:rPr>
        <w:t>万元以上</w:t>
      </w:r>
      <w:r>
        <w:rPr>
          <w:rFonts w:eastAsia="仿宋_GB2312"/>
          <w:snapToGrid w:val="0"/>
          <w:color w:val="000000"/>
          <w:spacing w:val="-4"/>
          <w:sz w:val="32"/>
          <w:szCs w:val="32"/>
        </w:rPr>
        <w:t>2</w:t>
      </w:r>
      <w:r>
        <w:rPr>
          <w:rFonts w:hint="eastAsia" w:eastAsia="仿宋_GB2312"/>
          <w:snapToGrid w:val="0"/>
          <w:color w:val="000000"/>
          <w:spacing w:val="-4"/>
          <w:sz w:val="32"/>
          <w:szCs w:val="32"/>
        </w:rPr>
        <w:t>万元以下罚款；引起森林火灾的，责令限期更新造林，对个人并处</w:t>
      </w:r>
      <w:r>
        <w:rPr>
          <w:rFonts w:eastAsia="仿宋_GB2312"/>
          <w:snapToGrid w:val="0"/>
          <w:color w:val="000000"/>
          <w:spacing w:val="-4"/>
          <w:sz w:val="32"/>
          <w:szCs w:val="32"/>
        </w:rPr>
        <w:t>1000</w:t>
      </w:r>
      <w:r>
        <w:rPr>
          <w:rFonts w:hint="eastAsia" w:eastAsia="仿宋_GB2312"/>
          <w:snapToGrid w:val="0"/>
          <w:color w:val="000000"/>
          <w:spacing w:val="-4"/>
          <w:sz w:val="32"/>
          <w:szCs w:val="32"/>
        </w:rPr>
        <w:t>元以上</w:t>
      </w:r>
      <w:r>
        <w:rPr>
          <w:rFonts w:eastAsia="仿宋_GB2312"/>
          <w:snapToGrid w:val="0"/>
          <w:color w:val="000000"/>
          <w:spacing w:val="-4"/>
          <w:sz w:val="32"/>
          <w:szCs w:val="32"/>
        </w:rPr>
        <w:t>3000</w:t>
      </w:r>
      <w:r>
        <w:rPr>
          <w:rFonts w:hint="eastAsia" w:eastAsia="仿宋_GB2312"/>
          <w:snapToGrid w:val="0"/>
          <w:color w:val="000000"/>
          <w:spacing w:val="-4"/>
          <w:sz w:val="32"/>
          <w:szCs w:val="32"/>
        </w:rPr>
        <w:t>元以下罚款，对单位并处</w:t>
      </w:r>
      <w:r>
        <w:rPr>
          <w:rFonts w:eastAsia="仿宋_GB2312"/>
          <w:snapToGrid w:val="0"/>
          <w:color w:val="000000"/>
          <w:spacing w:val="-4"/>
          <w:sz w:val="32"/>
          <w:szCs w:val="32"/>
        </w:rPr>
        <w:t>2</w:t>
      </w:r>
      <w:r>
        <w:rPr>
          <w:rFonts w:hint="eastAsia" w:eastAsia="仿宋_GB2312"/>
          <w:snapToGrid w:val="0"/>
          <w:color w:val="000000"/>
          <w:spacing w:val="-4"/>
          <w:sz w:val="32"/>
          <w:szCs w:val="32"/>
        </w:rPr>
        <w:t>万元以上</w:t>
      </w:r>
      <w:r>
        <w:rPr>
          <w:rFonts w:eastAsia="仿宋_GB2312"/>
          <w:snapToGrid w:val="0"/>
          <w:color w:val="000000"/>
          <w:spacing w:val="-4"/>
          <w:sz w:val="32"/>
          <w:szCs w:val="32"/>
        </w:rPr>
        <w:t>5</w:t>
      </w:r>
      <w:r>
        <w:rPr>
          <w:rFonts w:hint="eastAsia" w:eastAsia="仿宋_GB2312"/>
          <w:snapToGrid w:val="0"/>
          <w:color w:val="000000"/>
          <w:spacing w:val="-4"/>
          <w:sz w:val="32"/>
          <w:szCs w:val="32"/>
        </w:rPr>
        <w:t>万元以下罚款，并应当依法承担民事赔偿责任；构成犯罪的，依法追究刑事责任</w:t>
      </w:r>
      <w:r>
        <w:rPr>
          <w:rFonts w:hint="eastAsia" w:eastAsia="仿宋_GB2312"/>
          <w:snapToGrid w:val="0"/>
          <w:color w:val="000000"/>
          <w:sz w:val="32"/>
          <w:szCs w:val="32"/>
        </w:rPr>
        <w:t>。</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第七章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附</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则</w:t>
      </w:r>
    </w:p>
    <w:p>
      <w:pPr>
        <w:topLinePunct/>
        <w:adjustRightInd w:val="0"/>
        <w:snapToGrid w:val="0"/>
        <w:spacing w:line="566" w:lineRule="exact"/>
        <w:ind w:firstLine="640" w:firstLineChars="200"/>
        <w:rPr>
          <w:rFonts w:eastAsia="仿宋_GB2312"/>
          <w:snapToGrid w:val="0"/>
          <w:color w:val="000000"/>
          <w:sz w:val="32"/>
          <w:szCs w:val="32"/>
        </w:rPr>
      </w:pPr>
    </w:p>
    <w:p>
      <w:pPr>
        <w:topLinePunct/>
        <w:adjustRightInd w:val="0"/>
        <w:snapToGrid w:val="0"/>
        <w:spacing w:line="592" w:lineRule="exact"/>
        <w:ind w:firstLine="640" w:firstLineChars="200"/>
        <w:rPr>
          <w:rFonts w:eastAsia="仿宋_GB2312"/>
          <w:snapToGrid w:val="0"/>
          <w:sz w:val="32"/>
          <w:szCs w:val="32"/>
        </w:rPr>
      </w:pPr>
      <w:r>
        <w:rPr>
          <w:rFonts w:hint="eastAsia" w:ascii="黑体" w:hAnsi="黑体" w:eastAsia="黑体"/>
          <w:snapToGrid w:val="0"/>
          <w:sz w:val="32"/>
          <w:szCs w:val="32"/>
        </w:rPr>
        <w:t>第四十八条</w:t>
      </w:r>
      <w:r>
        <w:rPr>
          <w:rFonts w:eastAsia="仿宋_GB2312"/>
          <w:snapToGrid w:val="0"/>
          <w:sz w:val="32"/>
          <w:szCs w:val="32"/>
        </w:rPr>
        <w:t xml:space="preserve">  </w:t>
      </w:r>
      <w:r>
        <w:rPr>
          <w:rFonts w:hint="eastAsia" w:eastAsia="仿宋_GB2312"/>
          <w:snapToGrid w:val="0"/>
          <w:sz w:val="32"/>
          <w:szCs w:val="32"/>
        </w:rPr>
        <w:t>本条例自</w:t>
      </w:r>
      <w:r>
        <w:rPr>
          <w:rFonts w:eastAsia="仿宋_GB2312"/>
          <w:snapToGrid w:val="0"/>
          <w:sz w:val="32"/>
          <w:szCs w:val="32"/>
        </w:rPr>
        <w:t>2018</w:t>
      </w:r>
      <w:r>
        <w:rPr>
          <w:rFonts w:hint="eastAsia" w:eastAsia="仿宋_GB2312"/>
          <w:snapToGrid w:val="0"/>
          <w:sz w:val="32"/>
          <w:szCs w:val="32"/>
        </w:rPr>
        <w:t>年</w:t>
      </w:r>
      <w:r>
        <w:rPr>
          <w:rFonts w:eastAsia="仿宋_GB2312"/>
          <w:snapToGrid w:val="0"/>
          <w:sz w:val="32"/>
          <w:szCs w:val="32"/>
        </w:rPr>
        <w:t>6</w:t>
      </w:r>
      <w:r>
        <w:rPr>
          <w:rFonts w:hint="eastAsia" w:eastAsia="仿宋_GB2312"/>
          <w:snapToGrid w:val="0"/>
          <w:sz w:val="32"/>
          <w:szCs w:val="32"/>
        </w:rPr>
        <w:t>月</w:t>
      </w:r>
      <w:r>
        <w:rPr>
          <w:rFonts w:eastAsia="仿宋_GB2312"/>
          <w:snapToGrid w:val="0"/>
          <w:sz w:val="32"/>
          <w:szCs w:val="32"/>
        </w:rPr>
        <w:t>1</w:t>
      </w:r>
      <w:r>
        <w:rPr>
          <w:rFonts w:hint="eastAsia" w:eastAsia="仿宋_GB2312"/>
          <w:snapToGrid w:val="0"/>
          <w:sz w:val="32"/>
          <w:szCs w:val="32"/>
        </w:rPr>
        <w:t>日起施行。</w:t>
      </w:r>
      <w:r>
        <w:rPr>
          <w:rFonts w:eastAsia="仿宋_GB2312"/>
          <w:snapToGrid w:val="0"/>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sz w:val="28"/>
        <w:szCs w:val="28"/>
      </w:rPr>
    </w:pPr>
    <w:r>
      <w:rPr>
        <w:rStyle w:val="16"/>
        <w:color w:val="FFFFFF"/>
        <w:sz w:val="28"/>
        <w:szCs w:val="28"/>
      </w:rPr>
      <w:t>—</w:t>
    </w:r>
    <w:r>
      <w:rPr>
        <w:rStyle w:val="16"/>
        <w:sz w:val="28"/>
        <w:szCs w:val="28"/>
      </w:rPr>
      <w:t>—</w:t>
    </w:r>
    <w:r>
      <w:rPr>
        <w:rStyle w:val="16"/>
        <w:rFonts w:ascii="宋体" w:hAnsi="宋体"/>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15</w:t>
    </w:r>
    <w:r>
      <w:rPr>
        <w:rStyle w:val="16"/>
        <w:sz w:val="28"/>
        <w:szCs w:val="28"/>
      </w:rPr>
      <w:fldChar w:fldCharType="end"/>
    </w:r>
    <w:r>
      <w:rPr>
        <w:rStyle w:val="16"/>
        <w:rFonts w:ascii="宋体" w:hAnsi="宋体"/>
        <w:sz w:val="28"/>
        <w:szCs w:val="28"/>
      </w:rPr>
      <w:t xml:space="preserve"> </w:t>
    </w:r>
    <w:r>
      <w:rPr>
        <w:rStyle w:val="16"/>
        <w:sz w:val="28"/>
        <w:szCs w:val="28"/>
      </w:rPr>
      <w:t>—</w:t>
    </w:r>
    <w:r>
      <w:rPr>
        <w:rStyle w:val="16"/>
        <w:color w:val="FFFFFF"/>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22</w:t>
    </w:r>
    <w:r>
      <w:rPr>
        <w:rStyle w:val="16"/>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3OGVkZTA1M2Q5ZmNmMGJkYTc5MzhiYzdiMDc2MWQifQ=="/>
  </w:docVars>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300"/>
    <w:rsid w:val="00075AE7"/>
    <w:rsid w:val="00076AF9"/>
    <w:rsid w:val="000802A1"/>
    <w:rsid w:val="00083AA5"/>
    <w:rsid w:val="00084B3D"/>
    <w:rsid w:val="00084CDC"/>
    <w:rsid w:val="00085800"/>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48F8"/>
    <w:rsid w:val="001050BA"/>
    <w:rsid w:val="00107DF9"/>
    <w:rsid w:val="00110D74"/>
    <w:rsid w:val="001116E3"/>
    <w:rsid w:val="00112D79"/>
    <w:rsid w:val="001142BD"/>
    <w:rsid w:val="00114D63"/>
    <w:rsid w:val="00114E8C"/>
    <w:rsid w:val="0011549A"/>
    <w:rsid w:val="0011572E"/>
    <w:rsid w:val="001172D3"/>
    <w:rsid w:val="00117312"/>
    <w:rsid w:val="00117B70"/>
    <w:rsid w:val="001228FB"/>
    <w:rsid w:val="001248F9"/>
    <w:rsid w:val="00125195"/>
    <w:rsid w:val="001277C3"/>
    <w:rsid w:val="00130788"/>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6A58"/>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B9F"/>
    <w:rsid w:val="001E4CD5"/>
    <w:rsid w:val="001E56B4"/>
    <w:rsid w:val="001E5969"/>
    <w:rsid w:val="001E5F34"/>
    <w:rsid w:val="001E6B87"/>
    <w:rsid w:val="001E7E8D"/>
    <w:rsid w:val="001F22FE"/>
    <w:rsid w:val="001F2357"/>
    <w:rsid w:val="001F2CC6"/>
    <w:rsid w:val="001F4279"/>
    <w:rsid w:val="001F4F19"/>
    <w:rsid w:val="001F562C"/>
    <w:rsid w:val="001F5AD4"/>
    <w:rsid w:val="001F6A87"/>
    <w:rsid w:val="001F6EDB"/>
    <w:rsid w:val="001F71E9"/>
    <w:rsid w:val="0020021D"/>
    <w:rsid w:val="00200CC3"/>
    <w:rsid w:val="00200D76"/>
    <w:rsid w:val="00201264"/>
    <w:rsid w:val="0020245F"/>
    <w:rsid w:val="00202F11"/>
    <w:rsid w:val="002038CF"/>
    <w:rsid w:val="00203CC5"/>
    <w:rsid w:val="00204A1A"/>
    <w:rsid w:val="00206C9F"/>
    <w:rsid w:val="002079B4"/>
    <w:rsid w:val="0021017B"/>
    <w:rsid w:val="002111D7"/>
    <w:rsid w:val="00212954"/>
    <w:rsid w:val="00213AA5"/>
    <w:rsid w:val="00214006"/>
    <w:rsid w:val="002142D3"/>
    <w:rsid w:val="002144DA"/>
    <w:rsid w:val="0021481F"/>
    <w:rsid w:val="00214CB5"/>
    <w:rsid w:val="0021552A"/>
    <w:rsid w:val="00217411"/>
    <w:rsid w:val="002176B5"/>
    <w:rsid w:val="00217824"/>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5758"/>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B00EF"/>
    <w:rsid w:val="002B0C07"/>
    <w:rsid w:val="002B1B41"/>
    <w:rsid w:val="002B2A66"/>
    <w:rsid w:val="002B53D1"/>
    <w:rsid w:val="002B6C77"/>
    <w:rsid w:val="002C0B09"/>
    <w:rsid w:val="002C2ACB"/>
    <w:rsid w:val="002C2C70"/>
    <w:rsid w:val="002C3247"/>
    <w:rsid w:val="002C71C4"/>
    <w:rsid w:val="002C7F6E"/>
    <w:rsid w:val="002D051D"/>
    <w:rsid w:val="002D0A7C"/>
    <w:rsid w:val="002D1FA4"/>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585"/>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0FD"/>
    <w:rsid w:val="003956FF"/>
    <w:rsid w:val="0039570A"/>
    <w:rsid w:val="003961EB"/>
    <w:rsid w:val="00396840"/>
    <w:rsid w:val="0039746E"/>
    <w:rsid w:val="0039754D"/>
    <w:rsid w:val="003A0C15"/>
    <w:rsid w:val="003A4CDA"/>
    <w:rsid w:val="003A6D0F"/>
    <w:rsid w:val="003A76D9"/>
    <w:rsid w:val="003A7B9B"/>
    <w:rsid w:val="003B0CDE"/>
    <w:rsid w:val="003B1C04"/>
    <w:rsid w:val="003B2169"/>
    <w:rsid w:val="003B2F47"/>
    <w:rsid w:val="003B5124"/>
    <w:rsid w:val="003B526B"/>
    <w:rsid w:val="003B6997"/>
    <w:rsid w:val="003B6EAB"/>
    <w:rsid w:val="003C006A"/>
    <w:rsid w:val="003C030E"/>
    <w:rsid w:val="003C0A07"/>
    <w:rsid w:val="003C0CDA"/>
    <w:rsid w:val="003C0D7B"/>
    <w:rsid w:val="003C0E48"/>
    <w:rsid w:val="003C2014"/>
    <w:rsid w:val="003C206E"/>
    <w:rsid w:val="003C3C7A"/>
    <w:rsid w:val="003C5258"/>
    <w:rsid w:val="003C5EA8"/>
    <w:rsid w:val="003C6A08"/>
    <w:rsid w:val="003C6EA0"/>
    <w:rsid w:val="003C736D"/>
    <w:rsid w:val="003C7429"/>
    <w:rsid w:val="003C745D"/>
    <w:rsid w:val="003C7DAD"/>
    <w:rsid w:val="003C7DE7"/>
    <w:rsid w:val="003D06C3"/>
    <w:rsid w:val="003D06C5"/>
    <w:rsid w:val="003D2AA6"/>
    <w:rsid w:val="003D32FD"/>
    <w:rsid w:val="003D4AB8"/>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B71"/>
    <w:rsid w:val="00414C72"/>
    <w:rsid w:val="004150E6"/>
    <w:rsid w:val="00415463"/>
    <w:rsid w:val="00416CAF"/>
    <w:rsid w:val="00420384"/>
    <w:rsid w:val="00420759"/>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F82"/>
    <w:rsid w:val="00545FD3"/>
    <w:rsid w:val="005462F5"/>
    <w:rsid w:val="00546537"/>
    <w:rsid w:val="005477A1"/>
    <w:rsid w:val="00547903"/>
    <w:rsid w:val="00552413"/>
    <w:rsid w:val="005539C4"/>
    <w:rsid w:val="005542BD"/>
    <w:rsid w:val="005542CA"/>
    <w:rsid w:val="00555398"/>
    <w:rsid w:val="005553F7"/>
    <w:rsid w:val="0055690A"/>
    <w:rsid w:val="00556C09"/>
    <w:rsid w:val="005574CF"/>
    <w:rsid w:val="00560465"/>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6A4E"/>
    <w:rsid w:val="00576C43"/>
    <w:rsid w:val="00577524"/>
    <w:rsid w:val="00577762"/>
    <w:rsid w:val="005806A1"/>
    <w:rsid w:val="005812C9"/>
    <w:rsid w:val="00581B52"/>
    <w:rsid w:val="00582B64"/>
    <w:rsid w:val="00582EC3"/>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585B"/>
    <w:rsid w:val="00595A63"/>
    <w:rsid w:val="00596033"/>
    <w:rsid w:val="005966E7"/>
    <w:rsid w:val="00596816"/>
    <w:rsid w:val="0059799A"/>
    <w:rsid w:val="00597C3A"/>
    <w:rsid w:val="005A000E"/>
    <w:rsid w:val="005A015B"/>
    <w:rsid w:val="005A104E"/>
    <w:rsid w:val="005A230D"/>
    <w:rsid w:val="005A3C22"/>
    <w:rsid w:val="005A3F86"/>
    <w:rsid w:val="005A5CAD"/>
    <w:rsid w:val="005A69FC"/>
    <w:rsid w:val="005A6A5A"/>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30264"/>
    <w:rsid w:val="006303EA"/>
    <w:rsid w:val="0063280F"/>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6BC6"/>
    <w:rsid w:val="006503EB"/>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9B"/>
    <w:rsid w:val="006A424B"/>
    <w:rsid w:val="006A492F"/>
    <w:rsid w:val="006A5FA9"/>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149A"/>
    <w:rsid w:val="00701632"/>
    <w:rsid w:val="007023A6"/>
    <w:rsid w:val="00702D0B"/>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4BC"/>
    <w:rsid w:val="00783B99"/>
    <w:rsid w:val="00784643"/>
    <w:rsid w:val="00785A9A"/>
    <w:rsid w:val="00785AAD"/>
    <w:rsid w:val="00785BD4"/>
    <w:rsid w:val="00786681"/>
    <w:rsid w:val="00787C8B"/>
    <w:rsid w:val="00790F21"/>
    <w:rsid w:val="007932A8"/>
    <w:rsid w:val="00793D4D"/>
    <w:rsid w:val="00793FA9"/>
    <w:rsid w:val="007A0391"/>
    <w:rsid w:val="007A03B2"/>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32D"/>
    <w:rsid w:val="007B538C"/>
    <w:rsid w:val="007B5670"/>
    <w:rsid w:val="007B7C57"/>
    <w:rsid w:val="007C1B78"/>
    <w:rsid w:val="007C5398"/>
    <w:rsid w:val="007C62D5"/>
    <w:rsid w:val="007C6E95"/>
    <w:rsid w:val="007D0AA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836"/>
    <w:rsid w:val="007F25A9"/>
    <w:rsid w:val="007F3043"/>
    <w:rsid w:val="007F3171"/>
    <w:rsid w:val="007F3175"/>
    <w:rsid w:val="007F4335"/>
    <w:rsid w:val="007F51F6"/>
    <w:rsid w:val="007F591E"/>
    <w:rsid w:val="007F5A47"/>
    <w:rsid w:val="007F6644"/>
    <w:rsid w:val="007F6D62"/>
    <w:rsid w:val="008004B0"/>
    <w:rsid w:val="00802824"/>
    <w:rsid w:val="00802867"/>
    <w:rsid w:val="00802C02"/>
    <w:rsid w:val="00802C03"/>
    <w:rsid w:val="0080554E"/>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CD4"/>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72DB"/>
    <w:rsid w:val="0087793E"/>
    <w:rsid w:val="00877E16"/>
    <w:rsid w:val="0088113B"/>
    <w:rsid w:val="00881B13"/>
    <w:rsid w:val="00882601"/>
    <w:rsid w:val="008829A1"/>
    <w:rsid w:val="00882E1E"/>
    <w:rsid w:val="00882EFB"/>
    <w:rsid w:val="00884248"/>
    <w:rsid w:val="008854E5"/>
    <w:rsid w:val="00885E2B"/>
    <w:rsid w:val="0088642B"/>
    <w:rsid w:val="00890112"/>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28F"/>
    <w:rsid w:val="008C1364"/>
    <w:rsid w:val="008C1F9D"/>
    <w:rsid w:val="008C2355"/>
    <w:rsid w:val="008C31DA"/>
    <w:rsid w:val="008C4688"/>
    <w:rsid w:val="008C54C8"/>
    <w:rsid w:val="008C5ED2"/>
    <w:rsid w:val="008C712E"/>
    <w:rsid w:val="008C786C"/>
    <w:rsid w:val="008D01E5"/>
    <w:rsid w:val="008D02D4"/>
    <w:rsid w:val="008D0A12"/>
    <w:rsid w:val="008D16F7"/>
    <w:rsid w:val="008D1FA7"/>
    <w:rsid w:val="008D245A"/>
    <w:rsid w:val="008D2DBA"/>
    <w:rsid w:val="008D43BD"/>
    <w:rsid w:val="008D4A09"/>
    <w:rsid w:val="008D4AAD"/>
    <w:rsid w:val="008D786C"/>
    <w:rsid w:val="008E0651"/>
    <w:rsid w:val="008E2164"/>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221A"/>
    <w:rsid w:val="009154D2"/>
    <w:rsid w:val="00915570"/>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518F"/>
    <w:rsid w:val="00935247"/>
    <w:rsid w:val="009352D3"/>
    <w:rsid w:val="009359DB"/>
    <w:rsid w:val="00936124"/>
    <w:rsid w:val="009361E0"/>
    <w:rsid w:val="009367A2"/>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1397"/>
    <w:rsid w:val="00964290"/>
    <w:rsid w:val="009647C2"/>
    <w:rsid w:val="009654ED"/>
    <w:rsid w:val="00965B9A"/>
    <w:rsid w:val="00965E00"/>
    <w:rsid w:val="0096724C"/>
    <w:rsid w:val="009674BB"/>
    <w:rsid w:val="009717BE"/>
    <w:rsid w:val="00971D03"/>
    <w:rsid w:val="00971DC8"/>
    <w:rsid w:val="009723E4"/>
    <w:rsid w:val="00972F62"/>
    <w:rsid w:val="00974B48"/>
    <w:rsid w:val="00974FFC"/>
    <w:rsid w:val="009751F1"/>
    <w:rsid w:val="00975DA0"/>
    <w:rsid w:val="00976AF4"/>
    <w:rsid w:val="00977172"/>
    <w:rsid w:val="00977CF2"/>
    <w:rsid w:val="0098109A"/>
    <w:rsid w:val="009810A1"/>
    <w:rsid w:val="009836AD"/>
    <w:rsid w:val="00984256"/>
    <w:rsid w:val="00984C79"/>
    <w:rsid w:val="009860DD"/>
    <w:rsid w:val="00986A6F"/>
    <w:rsid w:val="00987F6A"/>
    <w:rsid w:val="00990018"/>
    <w:rsid w:val="00990266"/>
    <w:rsid w:val="00990D5B"/>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34E6"/>
    <w:rsid w:val="00A3380A"/>
    <w:rsid w:val="00A33E84"/>
    <w:rsid w:val="00A36B8E"/>
    <w:rsid w:val="00A379B9"/>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70DB"/>
    <w:rsid w:val="00A874F7"/>
    <w:rsid w:val="00A87CD9"/>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4FC4"/>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7DA"/>
    <w:rsid w:val="00AD4C32"/>
    <w:rsid w:val="00AD53F2"/>
    <w:rsid w:val="00AE0A31"/>
    <w:rsid w:val="00AE0AB0"/>
    <w:rsid w:val="00AE0BDC"/>
    <w:rsid w:val="00AE2199"/>
    <w:rsid w:val="00AE23DC"/>
    <w:rsid w:val="00AE3F44"/>
    <w:rsid w:val="00AE48FD"/>
    <w:rsid w:val="00AE4ACD"/>
    <w:rsid w:val="00AE517C"/>
    <w:rsid w:val="00AE582A"/>
    <w:rsid w:val="00AE60CE"/>
    <w:rsid w:val="00AE6504"/>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4812"/>
    <w:rsid w:val="00B05312"/>
    <w:rsid w:val="00B058B9"/>
    <w:rsid w:val="00B05E91"/>
    <w:rsid w:val="00B0622A"/>
    <w:rsid w:val="00B06645"/>
    <w:rsid w:val="00B06FEA"/>
    <w:rsid w:val="00B07F82"/>
    <w:rsid w:val="00B10EAD"/>
    <w:rsid w:val="00B1101D"/>
    <w:rsid w:val="00B114DF"/>
    <w:rsid w:val="00B115C6"/>
    <w:rsid w:val="00B13772"/>
    <w:rsid w:val="00B13C05"/>
    <w:rsid w:val="00B1425A"/>
    <w:rsid w:val="00B14344"/>
    <w:rsid w:val="00B145C4"/>
    <w:rsid w:val="00B15BEF"/>
    <w:rsid w:val="00B15FDB"/>
    <w:rsid w:val="00B160A6"/>
    <w:rsid w:val="00B1650A"/>
    <w:rsid w:val="00B22196"/>
    <w:rsid w:val="00B2225B"/>
    <w:rsid w:val="00B232E8"/>
    <w:rsid w:val="00B23B1D"/>
    <w:rsid w:val="00B24A82"/>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435"/>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244"/>
    <w:rsid w:val="00B805FF"/>
    <w:rsid w:val="00B81380"/>
    <w:rsid w:val="00B8240B"/>
    <w:rsid w:val="00B82A98"/>
    <w:rsid w:val="00B84463"/>
    <w:rsid w:val="00B85505"/>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B38"/>
    <w:rsid w:val="00BC50FA"/>
    <w:rsid w:val="00BC60DA"/>
    <w:rsid w:val="00BC617E"/>
    <w:rsid w:val="00BC6849"/>
    <w:rsid w:val="00BC7EC8"/>
    <w:rsid w:val="00BD0382"/>
    <w:rsid w:val="00BD124D"/>
    <w:rsid w:val="00BD1E3D"/>
    <w:rsid w:val="00BD23EE"/>
    <w:rsid w:val="00BD2CA4"/>
    <w:rsid w:val="00BD3726"/>
    <w:rsid w:val="00BD372F"/>
    <w:rsid w:val="00BD3D65"/>
    <w:rsid w:val="00BD3DAA"/>
    <w:rsid w:val="00BD63B9"/>
    <w:rsid w:val="00BD6BA1"/>
    <w:rsid w:val="00BE06D0"/>
    <w:rsid w:val="00BE0AE7"/>
    <w:rsid w:val="00BE112B"/>
    <w:rsid w:val="00BE16BE"/>
    <w:rsid w:val="00BE4251"/>
    <w:rsid w:val="00BE45AE"/>
    <w:rsid w:val="00BE45B3"/>
    <w:rsid w:val="00BE469A"/>
    <w:rsid w:val="00BE5AF1"/>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918B7"/>
    <w:rsid w:val="00C91EC3"/>
    <w:rsid w:val="00C9285D"/>
    <w:rsid w:val="00C934B7"/>
    <w:rsid w:val="00C9403F"/>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2376"/>
    <w:rsid w:val="00D62AD6"/>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D0F"/>
    <w:rsid w:val="00DB3105"/>
    <w:rsid w:val="00DB3113"/>
    <w:rsid w:val="00DB58F0"/>
    <w:rsid w:val="00DB783E"/>
    <w:rsid w:val="00DC243B"/>
    <w:rsid w:val="00DC5334"/>
    <w:rsid w:val="00DC6A90"/>
    <w:rsid w:val="00DC7BF1"/>
    <w:rsid w:val="00DD3A61"/>
    <w:rsid w:val="00DD3BA6"/>
    <w:rsid w:val="00DD4163"/>
    <w:rsid w:val="00DD4C69"/>
    <w:rsid w:val="00DD4D98"/>
    <w:rsid w:val="00DD6911"/>
    <w:rsid w:val="00DD6989"/>
    <w:rsid w:val="00DD6B3A"/>
    <w:rsid w:val="00DD6EBD"/>
    <w:rsid w:val="00DD6F95"/>
    <w:rsid w:val="00DE004E"/>
    <w:rsid w:val="00DE0718"/>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2B9"/>
    <w:rsid w:val="00DF634E"/>
    <w:rsid w:val="00DF694D"/>
    <w:rsid w:val="00E001DF"/>
    <w:rsid w:val="00E012EB"/>
    <w:rsid w:val="00E0186E"/>
    <w:rsid w:val="00E02292"/>
    <w:rsid w:val="00E03C5F"/>
    <w:rsid w:val="00E03DAE"/>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CDA"/>
    <w:rsid w:val="00EF1057"/>
    <w:rsid w:val="00EF1879"/>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21ED1"/>
    <w:rsid w:val="00F226A3"/>
    <w:rsid w:val="00F233BF"/>
    <w:rsid w:val="00F235D7"/>
    <w:rsid w:val="00F236D0"/>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13E2"/>
    <w:rsid w:val="00F424BB"/>
    <w:rsid w:val="00F4299A"/>
    <w:rsid w:val="00F42CDF"/>
    <w:rsid w:val="00F4343F"/>
    <w:rsid w:val="00F4551F"/>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12A"/>
    <w:rsid w:val="00F5613B"/>
    <w:rsid w:val="00F56DC4"/>
    <w:rsid w:val="00F575EC"/>
    <w:rsid w:val="00F57BEC"/>
    <w:rsid w:val="00F60BAE"/>
    <w:rsid w:val="00F61E35"/>
    <w:rsid w:val="00F62569"/>
    <w:rsid w:val="00F62E1C"/>
    <w:rsid w:val="00F62F8E"/>
    <w:rsid w:val="00F63EA5"/>
    <w:rsid w:val="00F64423"/>
    <w:rsid w:val="00F645E7"/>
    <w:rsid w:val="00F65DFB"/>
    <w:rsid w:val="00F65E02"/>
    <w:rsid w:val="00F65EF2"/>
    <w:rsid w:val="00F70037"/>
    <w:rsid w:val="00F71324"/>
    <w:rsid w:val="00F7160E"/>
    <w:rsid w:val="00F7166C"/>
    <w:rsid w:val="00F74F05"/>
    <w:rsid w:val="00F76343"/>
    <w:rsid w:val="00F76447"/>
    <w:rsid w:val="00F807A0"/>
    <w:rsid w:val="00F819A5"/>
    <w:rsid w:val="00F81F2A"/>
    <w:rsid w:val="00F833F5"/>
    <w:rsid w:val="00F83DA5"/>
    <w:rsid w:val="00F8497D"/>
    <w:rsid w:val="00F86A2B"/>
    <w:rsid w:val="00F86E5A"/>
    <w:rsid w:val="00F90D2D"/>
    <w:rsid w:val="00F90F62"/>
    <w:rsid w:val="00F916F5"/>
    <w:rsid w:val="00F91C85"/>
    <w:rsid w:val="00F91EC8"/>
    <w:rsid w:val="00F9273A"/>
    <w:rsid w:val="00F92EDF"/>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1BB5"/>
    <w:rsid w:val="00FC20D7"/>
    <w:rsid w:val="00FC27EE"/>
    <w:rsid w:val="00FC34E2"/>
    <w:rsid w:val="00FC39E7"/>
    <w:rsid w:val="00FC4A72"/>
    <w:rsid w:val="00FC4D30"/>
    <w:rsid w:val="00FC5EB8"/>
    <w:rsid w:val="00FC629B"/>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05613"/>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uiPriority w:val="99"/>
    <w:pPr>
      <w:spacing w:line="100" w:lineRule="atLeast"/>
      <w:jc w:val="center"/>
    </w:pPr>
    <w:rPr>
      <w:rFonts w:eastAsia="华文中宋"/>
      <w:sz w:val="24"/>
      <w:szCs w:val="20"/>
    </w:rPr>
  </w:style>
  <w:style w:type="paragraph" w:styleId="3">
    <w:name w:val="Body Text Indent"/>
    <w:basedOn w:val="1"/>
    <w:link w:val="39"/>
    <w:uiPriority w:val="99"/>
    <w:pPr>
      <w:ind w:firstLine="640" w:firstLineChars="200"/>
    </w:pPr>
    <w:rPr>
      <w:rFonts w:eastAsia="仿宋_GB2312"/>
      <w:color w:val="000000"/>
      <w:sz w:val="32"/>
      <w:szCs w:val="32"/>
      <w:lang w:val="zh-CN"/>
    </w:rPr>
  </w:style>
  <w:style w:type="paragraph" w:styleId="4">
    <w:name w:val="Plain Text"/>
    <w:basedOn w:val="1"/>
    <w:link w:val="41"/>
    <w:uiPriority w:val="99"/>
    <w:rPr>
      <w:rFonts w:ascii="宋体" w:hAnsi="Courier New"/>
      <w:szCs w:val="20"/>
    </w:rPr>
  </w:style>
  <w:style w:type="paragraph" w:styleId="5">
    <w:name w:val="Date"/>
    <w:basedOn w:val="1"/>
    <w:next w:val="1"/>
    <w:link w:val="37"/>
    <w:uiPriority w:val="99"/>
    <w:pPr>
      <w:ind w:left="100" w:leftChars="2500"/>
    </w:pPr>
    <w:rPr>
      <w:rFonts w:ascii="仿宋_GB2312" w:eastAsia="仿宋_GB2312"/>
      <w:sz w:val="32"/>
    </w:rPr>
  </w:style>
  <w:style w:type="paragraph" w:styleId="6">
    <w:name w:val="Balloon Text"/>
    <w:basedOn w:val="1"/>
    <w:link w:val="58"/>
    <w:qFormat/>
    <w:uiPriority w:val="99"/>
    <w:rPr>
      <w:sz w:val="18"/>
      <w:szCs w:val="20"/>
    </w:rPr>
  </w:style>
  <w:style w:type="paragraph" w:styleId="7">
    <w:name w:val="footer"/>
    <w:basedOn w:val="1"/>
    <w:link w:val="40"/>
    <w:uiPriority w:val="99"/>
    <w:pPr>
      <w:tabs>
        <w:tab w:val="center" w:pos="4153"/>
        <w:tab w:val="right" w:pos="8306"/>
      </w:tabs>
      <w:snapToGrid w:val="0"/>
      <w:jc w:val="left"/>
    </w:pPr>
    <w:rPr>
      <w:sz w:val="18"/>
      <w:szCs w:val="18"/>
    </w:rPr>
  </w:style>
  <w:style w:type="paragraph" w:styleId="8">
    <w:name w:val="header"/>
    <w:basedOn w:val="1"/>
    <w:link w:val="38"/>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uiPriority w:val="99"/>
    <w:pPr>
      <w:ind w:left="200" w:hanging="200" w:hangingChars="200"/>
    </w:pPr>
  </w:style>
  <w:style w:type="paragraph" w:styleId="10">
    <w:name w:val="Body Text 2"/>
    <w:basedOn w:val="1"/>
    <w:link w:val="32"/>
    <w:qFormat/>
    <w:uiPriority w:val="99"/>
    <w:pPr>
      <w:spacing w:after="120" w:line="480" w:lineRule="auto"/>
    </w:pPr>
  </w:style>
  <w:style w:type="paragraph" w:styleId="11">
    <w:name w:val="Normal (Web)"/>
    <w:basedOn w:val="1"/>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eastAsia="仿宋_GB2312" w:cs="Times New Roman"/>
      <w:sz w:val="32"/>
    </w:rPr>
  </w:style>
  <w:style w:type="character" w:styleId="16">
    <w:name w:val="page number"/>
    <w:basedOn w:val="14"/>
    <w:qFormat/>
    <w:uiPriority w:val="99"/>
    <w:rPr>
      <w:rFonts w:cs="Times New Roman"/>
    </w:rPr>
  </w:style>
  <w:style w:type="character" w:customStyle="1" w:styleId="17">
    <w:name w:val="样式1 Char Char"/>
    <w:link w:val="18"/>
    <w:locked/>
    <w:uiPriority w:val="99"/>
    <w:rPr>
      <w:rFonts w:ascii="黑体" w:hAnsi="Courier New" w:eastAsia="黑体"/>
      <w:snapToGrid w:val="0"/>
      <w:kern w:val="2"/>
      <w:sz w:val="32"/>
      <w:lang w:val="en-US" w:eastAsia="zh-CN"/>
    </w:rPr>
  </w:style>
  <w:style w:type="paragraph" w:customStyle="1" w:styleId="18">
    <w:name w:val="样式1"/>
    <w:basedOn w:val="4"/>
    <w:link w:val="17"/>
    <w:uiPriority w:val="99"/>
    <w:pPr>
      <w:adjustRightInd w:val="0"/>
      <w:snapToGrid w:val="0"/>
      <w:spacing w:line="610" w:lineRule="exact"/>
      <w:ind w:firstLine="640" w:firstLineChars="200"/>
    </w:pPr>
    <w:rPr>
      <w:rFonts w:ascii="黑体" w:eastAsia="黑体"/>
      <w:sz w:val="32"/>
    </w:rPr>
  </w:style>
  <w:style w:type="character" w:customStyle="1" w:styleId="19">
    <w:name w:val="ca-41"/>
    <w:uiPriority w:val="99"/>
    <w:rPr>
      <w:rFonts w:ascii="??_GB2312" w:eastAsia="Times New Roman"/>
      <w:color w:val="000000"/>
      <w:sz w:val="32"/>
    </w:rPr>
  </w:style>
  <w:style w:type="character" w:customStyle="1" w:styleId="20">
    <w:name w:val="ca-01"/>
    <w:uiPriority w:val="99"/>
    <w:rPr>
      <w:rFonts w:ascii="Times New Roman"/>
      <w:b/>
      <w:color w:val="000000"/>
      <w:spacing w:val="-20"/>
      <w:sz w:val="44"/>
    </w:rPr>
  </w:style>
  <w:style w:type="character" w:customStyle="1" w:styleId="21">
    <w:name w:val="Char Char1"/>
    <w:locked/>
    <w:uiPriority w:val="99"/>
    <w:rPr>
      <w:rFonts w:ascii="宋体" w:hAnsi="Courier New" w:eastAsia="宋体"/>
      <w:kern w:val="2"/>
      <w:sz w:val="21"/>
      <w:lang w:val="en-US" w:eastAsia="zh-CN"/>
    </w:rPr>
  </w:style>
  <w:style w:type="character" w:customStyle="1" w:styleId="22">
    <w:name w:val="Char Char2"/>
    <w:uiPriority w:val="99"/>
    <w:rPr>
      <w:rFonts w:ascii="黑体" w:eastAsia="黑体"/>
      <w:sz w:val="24"/>
      <w:lang w:val="en-US" w:eastAsia="zh-CN"/>
    </w:rPr>
  </w:style>
  <w:style w:type="character" w:customStyle="1" w:styleId="23">
    <w:name w:val="样式1 Char"/>
    <w:uiPriority w:val="99"/>
    <w:rPr>
      <w:rFonts w:ascii="黑体" w:hAnsi="Courier New" w:eastAsia="黑体"/>
      <w:snapToGrid w:val="0"/>
      <w:kern w:val="2"/>
      <w:sz w:val="32"/>
      <w:lang w:val="en-US" w:eastAsia="zh-CN"/>
    </w:rPr>
  </w:style>
  <w:style w:type="character" w:customStyle="1" w:styleId="24">
    <w:name w:val="纯文本 Char"/>
    <w:uiPriority w:val="99"/>
    <w:rPr>
      <w:rFonts w:ascii="宋体" w:hAnsi="Courier New" w:eastAsia="宋体"/>
      <w:kern w:val="2"/>
      <w:sz w:val="21"/>
      <w:lang w:val="en-US" w:eastAsia="zh-CN"/>
    </w:rPr>
  </w:style>
  <w:style w:type="character" w:customStyle="1" w:styleId="25">
    <w:name w:val="样式2 Char"/>
    <w:link w:val="26"/>
    <w:locked/>
    <w:uiPriority w:val="99"/>
    <w:rPr>
      <w:rFonts w:ascii="楷体_GB2312" w:hAnsi="Courier New" w:eastAsia="楷体_GB2312"/>
      <w:snapToGrid w:val="0"/>
      <w:kern w:val="2"/>
      <w:sz w:val="32"/>
      <w:lang w:val="en-US" w:eastAsia="zh-CN"/>
    </w:rPr>
  </w:style>
  <w:style w:type="paragraph" w:customStyle="1" w:styleId="26">
    <w:name w:val="样式2"/>
    <w:basedOn w:val="4"/>
    <w:link w:val="25"/>
    <w:qFormat/>
    <w:uiPriority w:val="99"/>
    <w:pPr>
      <w:adjustRightInd w:val="0"/>
      <w:snapToGrid w:val="0"/>
      <w:spacing w:line="610" w:lineRule="exact"/>
      <w:ind w:firstLine="640" w:firstLineChars="200"/>
    </w:pPr>
    <w:rPr>
      <w:rFonts w:ascii="楷体_GB2312" w:eastAsia="楷体_GB2312"/>
      <w:sz w:val="32"/>
    </w:rPr>
  </w:style>
  <w:style w:type="character" w:customStyle="1" w:styleId="27">
    <w:name w:val="Plain Text Char1"/>
    <w:qFormat/>
    <w:locked/>
    <w:uiPriority w:val="99"/>
    <w:rPr>
      <w:rFonts w:ascii="宋体" w:hAnsi="Courier New" w:eastAsia="宋体"/>
      <w:kern w:val="2"/>
      <w:sz w:val="21"/>
      <w:lang w:val="en-US" w:eastAsia="zh-CN"/>
    </w:rPr>
  </w:style>
  <w:style w:type="character" w:customStyle="1" w:styleId="28">
    <w:name w:val="Char Char"/>
    <w:qFormat/>
    <w:uiPriority w:val="99"/>
    <w:rPr>
      <w:rFonts w:ascii="宋体" w:hAnsi="Courier New" w:eastAsia="宋体"/>
      <w:kern w:val="2"/>
      <w:sz w:val="21"/>
      <w:lang w:val="en-US" w:eastAsia="zh-CN"/>
    </w:rPr>
  </w:style>
  <w:style w:type="character" w:customStyle="1" w:styleId="29">
    <w:name w:val="Body Text Char1"/>
    <w:qFormat/>
    <w:locked/>
    <w:uiPriority w:val="99"/>
    <w:rPr>
      <w:rFonts w:eastAsia="华文中宋"/>
      <w:kern w:val="2"/>
      <w:sz w:val="24"/>
      <w:lang w:val="en-US" w:eastAsia="zh-CN"/>
    </w:rPr>
  </w:style>
  <w:style w:type="character" w:customStyle="1" w:styleId="30">
    <w:name w:val="ca-11"/>
    <w:qFormat/>
    <w:uiPriority w:val="99"/>
    <w:rPr>
      <w:rFonts w:ascii="??" w:eastAsia="Times New Roman"/>
      <w:b/>
      <w:color w:val="000000"/>
      <w:spacing w:val="-20"/>
      <w:sz w:val="44"/>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Body Text 2 Char"/>
    <w:basedOn w:val="14"/>
    <w:link w:val="10"/>
    <w:semiHidden/>
    <w:qFormat/>
    <w:locked/>
    <w:uiPriority w:val="99"/>
    <w:rPr>
      <w:rFonts w:cs="Times New Roman"/>
      <w:sz w:val="24"/>
      <w:szCs w:val="24"/>
    </w:rPr>
  </w:style>
  <w:style w:type="paragraph" w:customStyle="1" w:styleId="33">
    <w:name w:val="p0"/>
    <w:basedOn w:val="1"/>
    <w:qFormat/>
    <w:uiPriority w:val="99"/>
    <w:pPr>
      <w:widowControl/>
      <w:spacing w:line="365" w:lineRule="atLeast"/>
      <w:ind w:left="1"/>
      <w:textAlignment w:val="bottom"/>
    </w:pPr>
    <w:rPr>
      <w:kern w:val="0"/>
      <w:sz w:val="20"/>
      <w:szCs w:val="20"/>
    </w:rPr>
  </w:style>
  <w:style w:type="paragraph" w:customStyle="1" w:styleId="34">
    <w:name w:val="Char"/>
    <w:basedOn w:val="1"/>
    <w:semiHidden/>
    <w:qFormat/>
    <w:uiPriority w:val="99"/>
  </w:style>
  <w:style w:type="paragraph" w:customStyle="1" w:styleId="35">
    <w:name w:val="p16"/>
    <w:basedOn w:val="1"/>
    <w:qFormat/>
    <w:uiPriority w:val="99"/>
    <w:pPr>
      <w:widowControl/>
    </w:pPr>
    <w:rPr>
      <w:kern w:val="0"/>
      <w:szCs w:val="21"/>
    </w:rPr>
  </w:style>
  <w:style w:type="character" w:customStyle="1" w:styleId="36">
    <w:name w:val="Body Text Char"/>
    <w:basedOn w:val="14"/>
    <w:link w:val="2"/>
    <w:semiHidden/>
    <w:locked/>
    <w:uiPriority w:val="99"/>
    <w:rPr>
      <w:rFonts w:cs="Times New Roman"/>
      <w:sz w:val="24"/>
      <w:szCs w:val="24"/>
    </w:rPr>
  </w:style>
  <w:style w:type="character" w:customStyle="1" w:styleId="37">
    <w:name w:val="Date Char"/>
    <w:basedOn w:val="14"/>
    <w:link w:val="5"/>
    <w:semiHidden/>
    <w:locked/>
    <w:uiPriority w:val="99"/>
    <w:rPr>
      <w:rFonts w:cs="Times New Roman"/>
      <w:sz w:val="24"/>
      <w:szCs w:val="24"/>
    </w:rPr>
  </w:style>
  <w:style w:type="character" w:customStyle="1" w:styleId="38">
    <w:name w:val="Header Char"/>
    <w:basedOn w:val="14"/>
    <w:link w:val="8"/>
    <w:semiHidden/>
    <w:locked/>
    <w:uiPriority w:val="99"/>
    <w:rPr>
      <w:rFonts w:cs="Times New Roman"/>
      <w:sz w:val="18"/>
      <w:szCs w:val="18"/>
    </w:rPr>
  </w:style>
  <w:style w:type="character" w:customStyle="1" w:styleId="39">
    <w:name w:val="Body Text Indent Char"/>
    <w:basedOn w:val="14"/>
    <w:link w:val="3"/>
    <w:semiHidden/>
    <w:locked/>
    <w:uiPriority w:val="99"/>
    <w:rPr>
      <w:rFonts w:cs="Times New Roman"/>
      <w:sz w:val="24"/>
      <w:szCs w:val="24"/>
    </w:rPr>
  </w:style>
  <w:style w:type="character" w:customStyle="1" w:styleId="40">
    <w:name w:val="Footer Char"/>
    <w:basedOn w:val="14"/>
    <w:link w:val="7"/>
    <w:semiHidden/>
    <w:locked/>
    <w:uiPriority w:val="99"/>
    <w:rPr>
      <w:rFonts w:cs="Times New Roman"/>
      <w:sz w:val="18"/>
      <w:szCs w:val="18"/>
    </w:rPr>
  </w:style>
  <w:style w:type="character" w:customStyle="1" w:styleId="41">
    <w:name w:val="Plain Text Char"/>
    <w:basedOn w:val="14"/>
    <w:link w:val="4"/>
    <w:semiHidden/>
    <w:locked/>
    <w:uiPriority w:val="99"/>
    <w:rPr>
      <w:rFonts w:ascii="宋体" w:hAnsi="Courier New" w:cs="Courier New"/>
      <w:sz w:val="21"/>
      <w:szCs w:val="21"/>
    </w:rPr>
  </w:style>
  <w:style w:type="paragraph" w:customStyle="1" w:styleId="42">
    <w:name w:val="Char Char Char Char Char Char Char Char Char Char"/>
    <w:basedOn w:val="1"/>
    <w:semiHidden/>
    <w:uiPriority w:val="99"/>
  </w:style>
  <w:style w:type="paragraph" w:customStyle="1" w:styleId="43">
    <w:name w:val="content-parag"/>
    <w:basedOn w:val="1"/>
    <w:uiPriority w:val="99"/>
    <w:pPr>
      <w:widowControl/>
      <w:spacing w:before="100" w:beforeAutospacing="1" w:after="100" w:afterAutospacing="1"/>
      <w:jc w:val="left"/>
    </w:pPr>
    <w:rPr>
      <w:rFonts w:ascii="宋体" w:hAnsi="宋体"/>
      <w:kern w:val="0"/>
      <w:sz w:val="24"/>
    </w:rPr>
  </w:style>
  <w:style w:type="paragraph" w:customStyle="1" w:styleId="44">
    <w:name w:val="纯文本 New"/>
    <w:basedOn w:val="1"/>
    <w:uiPriority w:val="99"/>
    <w:rPr>
      <w:rFonts w:ascii="宋体" w:hAnsi="Courier New"/>
      <w:szCs w:val="20"/>
    </w:rPr>
  </w:style>
  <w:style w:type="paragraph" w:customStyle="1" w:styleId="45">
    <w:name w:val="样式5"/>
    <w:basedOn w:val="18"/>
    <w:uiPriority w:val="99"/>
    <w:pPr>
      <w:ind w:firstLine="0" w:firstLineChars="0"/>
      <w:jc w:val="center"/>
    </w:pPr>
  </w:style>
  <w:style w:type="paragraph" w:customStyle="1" w:styleId="46">
    <w:name w:val="列出段落"/>
    <w:basedOn w:val="1"/>
    <w:uiPriority w:val="99"/>
    <w:pPr>
      <w:ind w:firstLine="420" w:firstLineChars="200"/>
    </w:pPr>
  </w:style>
  <w:style w:type="paragraph" w:customStyle="1" w:styleId="47">
    <w:name w:val="正文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Char Char Char Char Char Char Char"/>
    <w:basedOn w:val="1"/>
    <w:semiHidden/>
    <w:uiPriority w:val="99"/>
  </w:style>
  <w:style w:type="paragraph" w:customStyle="1" w:styleId="50">
    <w:name w:val="Char1"/>
    <w:basedOn w:val="1"/>
    <w:semiHidden/>
    <w:uiPriority w:val="99"/>
  </w:style>
  <w:style w:type="paragraph" w:customStyle="1" w:styleId="51">
    <w:name w:val="Char Char Char Char"/>
    <w:basedOn w:val="1"/>
    <w:semiHidden/>
    <w:uiPriority w:val="99"/>
  </w:style>
  <w:style w:type="paragraph" w:customStyle="1" w:styleId="52">
    <w:name w:val="reader-word-layer reader-word-s1-2"/>
    <w:basedOn w:val="1"/>
    <w:uiPriority w:val="99"/>
    <w:pPr>
      <w:widowControl/>
      <w:spacing w:before="100" w:beforeAutospacing="1" w:after="100" w:afterAutospacing="1"/>
      <w:jc w:val="left"/>
    </w:pPr>
    <w:rPr>
      <w:rFonts w:ascii="宋体" w:hAnsi="宋体"/>
      <w:kern w:val="0"/>
      <w:sz w:val="24"/>
    </w:rPr>
  </w:style>
  <w:style w:type="paragraph" w:customStyle="1" w:styleId="53">
    <w:name w:val="正文 New New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har Char Char"/>
    <w:basedOn w:val="1"/>
    <w:qFormat/>
    <w:uiPriority w:val="99"/>
    <w:rPr>
      <w:rFonts w:eastAsia="仿宋_GB2312"/>
      <w:sz w:val="32"/>
      <w:szCs w:val="20"/>
    </w:rPr>
  </w:style>
  <w:style w:type="paragraph" w:customStyle="1" w:styleId="55">
    <w:name w:val="样式4"/>
    <w:basedOn w:val="4"/>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56">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character" w:customStyle="1" w:styleId="57">
    <w:name w:val="Balloon Text Char"/>
    <w:basedOn w:val="14"/>
    <w:link w:val="6"/>
    <w:semiHidden/>
    <w:qFormat/>
    <w:locked/>
    <w:uiPriority w:val="99"/>
    <w:rPr>
      <w:rFonts w:cs="Times New Roman"/>
      <w:sz w:val="2"/>
    </w:rPr>
  </w:style>
  <w:style w:type="character" w:customStyle="1" w:styleId="58">
    <w:name w:val="Balloon Text Char1"/>
    <w:link w:val="6"/>
    <w:qFormat/>
    <w:locked/>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15</Pages>
  <Words>1066</Words>
  <Characters>6082</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2018-05-11T06:33:00Z</dcterms:created>
  <dc:creator>微软用户</dc:creator>
  <cp:lastModifiedBy>王丹</cp:lastModifiedBy>
  <cp:lastPrinted>2018-04-24T00:51:00Z</cp:lastPrinted>
  <dcterms:modified xsi:type="dcterms:W3CDTF">2023-07-20T08:49:44Z</dcterms:modified>
  <dc:title>中共云南省人民代表大会常务委员会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D48B8B1C65A14F89A68CDF5C6AAD2F43_12</vt:lpwstr>
  </property>
</Properties>
</file>