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90" w:lineRule="exact"/>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黑体" w:cs="Times New Roman"/>
          <w:kern w:val="0"/>
          <w:sz w:val="30"/>
          <w:szCs w:val="30"/>
          <w:highlight w:val="none"/>
          <w:u w:val="none"/>
          <w:lang w:val="en-US" w:eastAsia="zh-CN" w:bidi="ar-SA"/>
        </w:rPr>
        <w:t>附件</w:t>
      </w:r>
      <w:r>
        <w:rPr>
          <w:rFonts w:hint="eastAsia" w:ascii="Times New Roman" w:hAnsi="Times New Roman" w:eastAsia="黑体" w:cs="Times New Roman"/>
          <w:kern w:val="0"/>
          <w:sz w:val="30"/>
          <w:szCs w:val="30"/>
          <w:highlight w:val="none"/>
          <w:u w:val="none"/>
          <w:lang w:val="en-US" w:eastAsia="zh-CN" w:bidi="ar-SA"/>
        </w:rPr>
        <w:t>4</w:t>
      </w:r>
    </w:p>
    <w:p>
      <w:pPr>
        <w:keepNext w:val="0"/>
        <w:keepLines w:val="0"/>
        <w:pageBreakBefore w:val="0"/>
        <w:widowControl/>
        <w:kinsoku/>
        <w:wordWrap/>
        <w:overflowPunct/>
        <w:topLinePunct w:val="0"/>
        <w:autoSpaceDE/>
        <w:autoSpaceDN/>
        <w:bidi w:val="0"/>
        <w:adjustRightInd w:val="0"/>
        <w:snapToGrid w:val="0"/>
        <w:spacing w:after="0" w:line="59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90" w:lineRule="exact"/>
        <w:jc w:val="center"/>
        <w:textAlignment w:val="auto"/>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玉溪高新区科技创新联合专项</w:t>
      </w:r>
    </w:p>
    <w:p>
      <w:pPr>
        <w:keepNext w:val="0"/>
        <w:keepLines w:val="0"/>
        <w:pageBreakBefore w:val="0"/>
        <w:widowControl/>
        <w:kinsoku/>
        <w:wordWrap/>
        <w:overflowPunct/>
        <w:topLinePunct w:val="0"/>
        <w:autoSpaceDE/>
        <w:autoSpaceDN/>
        <w:bidi w:val="0"/>
        <w:adjustRightInd w:val="0"/>
        <w:snapToGrid w:val="0"/>
        <w:spacing w:after="0" w:line="590" w:lineRule="exact"/>
        <w:jc w:val="center"/>
        <w:textAlignment w:val="auto"/>
        <w:rPr>
          <w:rFonts w:hint="default" w:ascii="Times New Roman" w:hAnsi="Times New Roman" w:eastAsia="方正小标宋简体" w:cs="Times New Roman"/>
          <w:color w:val="auto"/>
          <w:sz w:val="32"/>
          <w:szCs w:val="32"/>
          <w:highlight w:val="none"/>
        </w:rPr>
      </w:pPr>
      <w:r>
        <w:rPr>
          <w:rFonts w:hint="eastAsia" w:ascii="Times New Roman" w:hAnsi="Times New Roman" w:eastAsia="方正小标宋简体" w:cs="Times New Roman"/>
          <w:sz w:val="40"/>
          <w:szCs w:val="40"/>
          <w:lang w:val="en-US" w:eastAsia="zh-CN"/>
        </w:rPr>
        <w:t>重点产业领域</w:t>
      </w:r>
      <w:r>
        <w:rPr>
          <w:rFonts w:hint="default" w:ascii="Times New Roman" w:hAnsi="Times New Roman" w:eastAsia="方正小标宋简体" w:cs="Times New Roman"/>
          <w:sz w:val="40"/>
          <w:szCs w:val="40"/>
        </w:rPr>
        <w:t>项目资金预算编制提纲</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概述：项目</w:t>
      </w:r>
      <w:r>
        <w:rPr>
          <w:rFonts w:hint="default" w:ascii="Times New Roman" w:hAnsi="Times New Roman" w:eastAsia="仿宋_GB2312" w:cs="Times New Roman"/>
          <w:color w:val="auto"/>
          <w:sz w:val="30"/>
          <w:szCs w:val="30"/>
          <w:highlight w:val="none"/>
          <w:lang w:val="en-US" w:eastAsia="zh-CN"/>
        </w:rPr>
        <w:t>牵头</w:t>
      </w:r>
      <w:r>
        <w:rPr>
          <w:rFonts w:hint="default" w:ascii="Times New Roman" w:hAnsi="Times New Roman" w:eastAsia="仿宋_GB2312" w:cs="Times New Roman"/>
          <w:color w:val="auto"/>
          <w:sz w:val="30"/>
          <w:szCs w:val="30"/>
          <w:highlight w:val="none"/>
        </w:rPr>
        <w:t>单位及</w:t>
      </w:r>
      <w:r>
        <w:rPr>
          <w:rFonts w:hint="default" w:ascii="Times New Roman" w:hAnsi="Times New Roman" w:eastAsia="仿宋_GB2312" w:cs="Times New Roman"/>
          <w:color w:val="auto"/>
          <w:sz w:val="30"/>
          <w:szCs w:val="30"/>
          <w:highlight w:val="none"/>
          <w:lang w:eastAsia="zh-CN"/>
        </w:rPr>
        <w:t>项目参加单位</w:t>
      </w:r>
      <w:r>
        <w:rPr>
          <w:rFonts w:hint="default" w:ascii="Times New Roman" w:hAnsi="Times New Roman" w:eastAsia="仿宋_GB2312" w:cs="Times New Roman"/>
          <w:color w:val="auto"/>
          <w:sz w:val="30"/>
          <w:szCs w:val="30"/>
          <w:highlight w:val="none"/>
        </w:rPr>
        <w:t>的基本情况（含现有设备仪器情况）、财务状况，科研、财务制度建设及执行情况等。</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一、项目资金预算</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项目总预算（若有</w:t>
      </w:r>
      <w:r>
        <w:rPr>
          <w:rFonts w:hint="default" w:ascii="Times New Roman" w:hAnsi="Times New Roman" w:eastAsia="仿宋_GB2312" w:cs="Times New Roman"/>
          <w:color w:val="auto"/>
          <w:sz w:val="30"/>
          <w:szCs w:val="30"/>
          <w:highlight w:val="none"/>
          <w:lang w:eastAsia="zh-CN"/>
        </w:rPr>
        <w:t>项目参加单位</w:t>
      </w:r>
      <w:r>
        <w:rPr>
          <w:rFonts w:hint="default" w:ascii="Times New Roman" w:hAnsi="Times New Roman" w:eastAsia="仿宋_GB2312" w:cs="Times New Roman"/>
          <w:color w:val="auto"/>
          <w:sz w:val="30"/>
          <w:szCs w:val="30"/>
          <w:highlight w:val="none"/>
        </w:rPr>
        <w:t>的需说明各</w:t>
      </w:r>
      <w:r>
        <w:rPr>
          <w:rFonts w:hint="default" w:ascii="Times New Roman" w:hAnsi="Times New Roman" w:eastAsia="仿宋_GB2312" w:cs="Times New Roman"/>
          <w:color w:val="auto"/>
          <w:sz w:val="30"/>
          <w:szCs w:val="30"/>
          <w:highlight w:val="none"/>
          <w:lang w:eastAsia="zh-CN"/>
        </w:rPr>
        <w:t>项目参加单位</w:t>
      </w:r>
      <w:r>
        <w:rPr>
          <w:rFonts w:hint="default" w:ascii="Times New Roman" w:hAnsi="Times New Roman" w:eastAsia="仿宋_GB2312" w:cs="Times New Roman"/>
          <w:color w:val="auto"/>
          <w:sz w:val="30"/>
          <w:szCs w:val="30"/>
          <w:highlight w:val="none"/>
        </w:rPr>
        <w:t>的资金预算额度）、来源构成及分年度使用计划。</w:t>
      </w:r>
    </w:p>
    <w:p>
      <w:pPr>
        <w:keepNext w:val="0"/>
        <w:keepLines w:val="0"/>
        <w:pageBreakBefore w:val="0"/>
        <w:kinsoku/>
        <w:wordWrap/>
        <w:overflowPunct/>
        <w:topLinePunct w:val="0"/>
        <w:autoSpaceDE/>
        <w:autoSpaceDN/>
        <w:bidi w:val="0"/>
        <w:spacing w:after="0" w:line="590" w:lineRule="exact"/>
        <w:ind w:firstLine="600" w:firstLineChars="200"/>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黑体" w:cs="Times New Roman"/>
          <w:color w:val="auto"/>
          <w:sz w:val="30"/>
          <w:szCs w:val="30"/>
          <w:highlight w:val="none"/>
        </w:rPr>
        <w:t>二、项目绩效目标</w:t>
      </w:r>
    </w:p>
    <w:tbl>
      <w:tblPr>
        <w:tblStyle w:val="7"/>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550"/>
        <w:gridCol w:w="1517"/>
        <w:gridCol w:w="1366"/>
        <w:gridCol w:w="198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07"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 xml:space="preserve">项目绩效目标描述（包括总任务、总产出、总效益等）： </w:t>
            </w:r>
          </w:p>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color w:val="auto"/>
                <w:sz w:val="32"/>
                <w:highlight w:val="none"/>
                <w:lang w:val="en-US" w:eastAsia="zh-CN"/>
              </w:rPr>
            </w:pPr>
          </w:p>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color w:val="auto"/>
                <w:sz w:val="32"/>
                <w:highlight w:val="none"/>
                <w:lang w:val="en-US" w:eastAsia="zh-CN"/>
              </w:rPr>
            </w:pPr>
          </w:p>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color w:val="auto"/>
                <w:sz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7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项目绩效指标</w:t>
            </w:r>
          </w:p>
        </w:tc>
        <w:tc>
          <w:tcPr>
            <w:tcW w:w="1366"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指标值</w:t>
            </w:r>
          </w:p>
        </w:tc>
        <w:tc>
          <w:tcPr>
            <w:tcW w:w="1984"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绩效指标值设定依据及数据来源</w:t>
            </w:r>
          </w:p>
        </w:tc>
        <w:tc>
          <w:tcPr>
            <w:tcW w:w="1186"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val="en-US" w:eastAsia="zh-CN"/>
              </w:rPr>
            </w:pPr>
            <w:r>
              <w:rPr>
                <w:rFonts w:hint="default" w:ascii="Times New Roman" w:hAnsi="Times New Roman" w:eastAsia="黑体" w:cs="Times New Roman"/>
                <w:bCs/>
                <w:color w:val="auto"/>
                <w:kern w:val="0"/>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一级指标</w:t>
            </w: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二级指标</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三级指标</w:t>
            </w: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04" w:type="dxa"/>
            <w:vMerge w:val="restart"/>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产出指标</w:t>
            </w: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数量指标</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04" w:type="dxa"/>
            <w:vMerge w:val="continue"/>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continue"/>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质量指标</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continue"/>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restart"/>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效益指标</w:t>
            </w:r>
          </w:p>
        </w:tc>
        <w:tc>
          <w:tcPr>
            <w:tcW w:w="1550"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社会效益</w:t>
            </w:r>
          </w:p>
        </w:tc>
        <w:tc>
          <w:tcPr>
            <w:tcW w:w="1517" w:type="dxa"/>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continue"/>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517"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restart"/>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满意度</w:t>
            </w:r>
          </w:p>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指  标</w:t>
            </w:r>
          </w:p>
        </w:tc>
        <w:tc>
          <w:tcPr>
            <w:tcW w:w="1550"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服务对象满意度</w:t>
            </w:r>
          </w:p>
        </w:tc>
        <w:tc>
          <w:tcPr>
            <w:tcW w:w="1517"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adjustRightInd w:val="0"/>
              <w:snapToGrid w:val="0"/>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4" w:type="dxa"/>
            <w:vMerge w:val="continue"/>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c>
          <w:tcPr>
            <w:tcW w:w="1550"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517"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c>
          <w:tcPr>
            <w:tcW w:w="1366"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c>
          <w:tcPr>
            <w:tcW w:w="1984"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c>
          <w:tcPr>
            <w:tcW w:w="1186" w:type="dxa"/>
            <w:vAlign w:val="center"/>
          </w:tcPr>
          <w:p>
            <w:pPr>
              <w:keepNext w:val="0"/>
              <w:keepLines w:val="0"/>
              <w:kinsoku/>
              <w:wordWrap/>
              <w:overflowPunct/>
              <w:topLinePunct w:val="0"/>
              <w:bidi w:val="0"/>
              <w:spacing w:line="590" w:lineRule="exact"/>
              <w:jc w:val="center"/>
              <w:rPr>
                <w:rFonts w:hint="default" w:ascii="Times New Roman" w:hAnsi="Times New Roman" w:eastAsia="仿宋_GB2312" w:cs="Times New Roman"/>
                <w:color w:val="auto"/>
                <w:sz w:val="24"/>
                <w:szCs w:val="24"/>
                <w:highlight w:val="none"/>
              </w:rPr>
            </w:pPr>
          </w:p>
        </w:tc>
      </w:tr>
    </w:tbl>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三、分科目说明预算支出主要内容及测算依据</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（一）直接费用</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仿宋_GB2312" w:cs="Times New Roman"/>
          <w:color w:val="auto"/>
          <w:kern w:val="0"/>
          <w:sz w:val="30"/>
          <w:szCs w:val="30"/>
          <w:highlight w:val="none"/>
        </w:rPr>
        <w:t>按照设备费、业务费、劳务费三类科目，结合科研任务按支出用途分别进行具体说明。对仪器设备购置、</w:t>
      </w:r>
      <w:r>
        <w:rPr>
          <w:rFonts w:hint="default" w:ascii="Times New Roman" w:hAnsi="Times New Roman" w:eastAsia="仿宋_GB2312" w:cs="Times New Roman"/>
          <w:color w:val="auto"/>
          <w:kern w:val="0"/>
          <w:sz w:val="30"/>
          <w:szCs w:val="30"/>
          <w:highlight w:val="none"/>
          <w:lang w:eastAsia="zh-CN"/>
        </w:rPr>
        <w:t>项目参加单位</w:t>
      </w:r>
      <w:r>
        <w:rPr>
          <w:rFonts w:hint="default" w:ascii="Times New Roman" w:hAnsi="Times New Roman" w:eastAsia="仿宋_GB2312" w:cs="Times New Roman"/>
          <w:color w:val="auto"/>
          <w:kern w:val="0"/>
          <w:sz w:val="30"/>
          <w:szCs w:val="30"/>
          <w:highlight w:val="none"/>
        </w:rPr>
        <w:t>资质及拟外拨资金进行重点说明，并申明现有的实施条件和从单位外部可能获得的共享服务。</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eastAsia="zh-CN"/>
        </w:rPr>
        <w:t>（二）</w:t>
      </w:r>
      <w:r>
        <w:rPr>
          <w:rFonts w:hint="default" w:ascii="Times New Roman" w:hAnsi="Times New Roman" w:eastAsia="仿宋_GB2312" w:cs="Times New Roman"/>
          <w:color w:val="auto"/>
          <w:sz w:val="30"/>
          <w:szCs w:val="30"/>
          <w:highlight w:val="none"/>
        </w:rPr>
        <w:t>间接费用（简要说明）</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黑体" w:cs="Times New Roman"/>
          <w:color w:val="auto"/>
          <w:sz w:val="30"/>
          <w:szCs w:val="30"/>
          <w:highlight w:val="none"/>
        </w:rPr>
      </w:pPr>
      <w:r>
        <w:rPr>
          <w:rFonts w:hint="default" w:ascii="Times New Roman" w:hAnsi="Times New Roman" w:eastAsia="黑体" w:cs="Times New Roman"/>
          <w:color w:val="auto"/>
          <w:sz w:val="30"/>
          <w:szCs w:val="30"/>
          <w:highlight w:val="none"/>
        </w:rPr>
        <w:t>四、项目资金预算可行性评价</w:t>
      </w:r>
    </w:p>
    <w:p>
      <w:pPr>
        <w:pStyle w:val="2"/>
        <w:rPr>
          <w:rFonts w:hint="default" w:ascii="Times New Roman" w:hAnsi="Times New Roman" w:eastAsia="黑体" w:cs="Times New Roman"/>
          <w:color w:val="auto"/>
          <w:sz w:val="30"/>
          <w:szCs w:val="30"/>
          <w:highlight w:val="none"/>
        </w:rPr>
      </w:pPr>
    </w:p>
    <w:p>
      <w:pPr>
        <w:pStyle w:val="3"/>
        <w:rPr>
          <w:rFonts w:hint="default" w:ascii="Times New Roman" w:hAnsi="Times New Roman" w:eastAsia="黑体" w:cs="Times New Roman"/>
          <w:color w:val="auto"/>
          <w:sz w:val="30"/>
          <w:szCs w:val="30"/>
          <w:highlight w:val="none"/>
        </w:rPr>
      </w:pPr>
    </w:p>
    <w:p>
      <w:pPr>
        <w:pStyle w:val="2"/>
        <w:rPr>
          <w:rFonts w:hint="default" w:ascii="Times New Roman" w:hAnsi="Times New Roman" w:eastAsia="黑体" w:cs="Times New Roman"/>
          <w:color w:val="auto"/>
          <w:sz w:val="30"/>
          <w:szCs w:val="30"/>
          <w:highlight w:val="none"/>
        </w:rPr>
      </w:pPr>
    </w:p>
    <w:p>
      <w:pPr>
        <w:pStyle w:val="3"/>
        <w:rPr>
          <w:rFonts w:hint="default" w:ascii="Times New Roman" w:hAnsi="Times New Roman" w:eastAsia="黑体" w:cs="Times New Roman"/>
          <w:color w:val="auto"/>
          <w:sz w:val="30"/>
          <w:szCs w:val="30"/>
          <w:highlight w:val="none"/>
        </w:rPr>
      </w:pPr>
    </w:p>
    <w:p>
      <w:pPr>
        <w:pStyle w:val="2"/>
        <w:rPr>
          <w:rFonts w:hint="default" w:ascii="Times New Roman" w:hAnsi="Times New Roman" w:eastAsia="黑体" w:cs="Times New Roman"/>
          <w:color w:val="auto"/>
          <w:sz w:val="30"/>
          <w:szCs w:val="30"/>
          <w:highlight w:val="none"/>
        </w:rPr>
      </w:pPr>
    </w:p>
    <w:p>
      <w:pPr>
        <w:rPr>
          <w:rFonts w:hint="default" w:ascii="Times New Roman" w:hAnsi="Times New Roman" w:eastAsia="黑体" w:cs="Times New Roman"/>
          <w:b w:val="0"/>
          <w:bCs/>
          <w:color w:val="auto"/>
          <w:kern w:val="0"/>
          <w:sz w:val="30"/>
          <w:szCs w:val="30"/>
          <w:highlight w:val="none"/>
          <w:lang w:eastAsia="zh-CN"/>
        </w:rPr>
      </w:pPr>
    </w:p>
    <w:p>
      <w:pPr>
        <w:pStyle w:val="3"/>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b w:val="0"/>
          <w:bCs/>
          <w:color w:val="auto"/>
          <w:kern w:val="0"/>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b w:val="0"/>
          <w:bCs/>
          <w:color w:val="auto"/>
          <w:kern w:val="0"/>
          <w:sz w:val="30"/>
          <w:szCs w:val="30"/>
          <w:highlight w:val="none"/>
          <w:lang w:val="en-US" w:eastAsia="zh-CN"/>
        </w:rPr>
      </w:pPr>
      <w:bookmarkStart w:id="0" w:name="_GoBack"/>
      <w:bookmarkEnd w:id="0"/>
      <w:r>
        <w:rPr>
          <w:rFonts w:hint="default" w:ascii="Times New Roman" w:hAnsi="Times New Roman" w:eastAsia="黑体" w:cs="Times New Roman"/>
          <w:b w:val="0"/>
          <w:bCs/>
          <w:color w:val="auto"/>
          <w:kern w:val="0"/>
          <w:sz w:val="30"/>
          <w:szCs w:val="30"/>
          <w:highlight w:val="none"/>
          <w:lang w:eastAsia="zh-CN"/>
        </w:rPr>
        <w:t>附表</w:t>
      </w:r>
      <w:r>
        <w:rPr>
          <w:rFonts w:hint="eastAsia" w:ascii="Times New Roman" w:hAnsi="Times New Roman" w:eastAsia="黑体" w:cs="Times New Roman"/>
          <w:b w:val="0"/>
          <w:bCs/>
          <w:color w:val="auto"/>
          <w:kern w:val="0"/>
          <w:sz w:val="30"/>
          <w:szCs w:val="30"/>
          <w:highlight w:val="none"/>
          <w:lang w:val="en-US" w:eastAsia="zh-CN"/>
        </w:rPr>
        <w:t>4</w:t>
      </w:r>
      <w:r>
        <w:rPr>
          <w:rFonts w:hint="default" w:ascii="Times New Roman" w:hAnsi="Times New Roman" w:eastAsia="黑体" w:cs="Times New Roman"/>
          <w:b w:val="0"/>
          <w:bCs/>
          <w:color w:val="auto"/>
          <w:kern w:val="0"/>
          <w:sz w:val="30"/>
          <w:szCs w:val="30"/>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小标宋简体" w:cs="Times New Roman"/>
          <w:bCs/>
          <w:color w:val="auto"/>
          <w:kern w:val="0"/>
          <w:sz w:val="36"/>
          <w:szCs w:val="36"/>
          <w:highlight w:val="none"/>
        </w:rPr>
      </w:pPr>
    </w:p>
    <w:p>
      <w:pPr>
        <w:jc w:val="center"/>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项目资金预算表</w:t>
      </w:r>
    </w:p>
    <w:p>
      <w:pPr>
        <w:pStyle w:val="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jc w:val="right"/>
        <w:textAlignment w:val="auto"/>
        <w:rPr>
          <w:rFonts w:hint="default" w:ascii="Times New Roman" w:hAnsi="Times New Roman" w:cs="Times New Roman"/>
          <w:lang w:eastAsia="zh-CN"/>
        </w:rPr>
      </w:pPr>
      <w:r>
        <w:rPr>
          <w:rFonts w:hint="default" w:ascii="Times New Roman" w:hAnsi="Times New Roman" w:eastAsia="仿宋_GB2312" w:cs="Times New Roman"/>
          <w:color w:val="auto"/>
          <w:kern w:val="0"/>
          <w:sz w:val="30"/>
          <w:szCs w:val="30"/>
          <w:highlight w:val="none"/>
        </w:rPr>
        <w:t>单位：</w:t>
      </w:r>
      <w:r>
        <w:rPr>
          <w:rFonts w:hint="default" w:ascii="Times New Roman" w:hAnsi="Times New Roman" w:eastAsia="仿宋_GB2312" w:cs="Times New Roman"/>
          <w:color w:val="auto"/>
          <w:kern w:val="0"/>
          <w:sz w:val="30"/>
          <w:szCs w:val="30"/>
          <w:highlight w:val="none"/>
          <w:lang w:eastAsia="zh-CN"/>
        </w:rPr>
        <w:t>万元</w:t>
      </w:r>
    </w:p>
    <w:tbl>
      <w:tblPr>
        <w:tblStyle w:val="7"/>
        <w:tblpPr w:leftFromText="180" w:rightFromText="180" w:vertAnchor="text" w:horzAnchor="page" w:tblpX="1622" w:tblpY="112"/>
        <w:tblOverlap w:val="never"/>
        <w:tblW w:w="8807" w:type="dxa"/>
        <w:tblInd w:w="108" w:type="dxa"/>
        <w:tblLayout w:type="fixed"/>
        <w:tblCellMar>
          <w:top w:w="0" w:type="dxa"/>
          <w:left w:w="108" w:type="dxa"/>
          <w:bottom w:w="0" w:type="dxa"/>
          <w:right w:w="108" w:type="dxa"/>
        </w:tblCellMar>
      </w:tblPr>
      <w:tblGrid>
        <w:gridCol w:w="2270"/>
        <w:gridCol w:w="1446"/>
        <w:gridCol w:w="410"/>
        <w:gridCol w:w="973"/>
        <w:gridCol w:w="677"/>
        <w:gridCol w:w="740"/>
        <w:gridCol w:w="1033"/>
        <w:gridCol w:w="1258"/>
      </w:tblGrid>
      <w:tr>
        <w:trPr>
          <w:trHeight w:val="703"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预算科目</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总预算数</w:t>
            </w:r>
          </w:p>
        </w:tc>
        <w:tc>
          <w:tcPr>
            <w:tcW w:w="1383"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财政资金</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自筹资金</w:t>
            </w: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备注</w:t>
            </w:r>
          </w:p>
        </w:tc>
      </w:tr>
      <w:tr>
        <w:trPr>
          <w:trHeight w:val="624" w:hRule="atLeast"/>
        </w:trPr>
        <w:tc>
          <w:tcPr>
            <w:tcW w:w="880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一、资金来源</w:t>
            </w: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（一）财政资金</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（二）自筹资金</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jc w:val="center"/>
              <w:textAlignment w:val="auto"/>
              <w:rPr>
                <w:rFonts w:hint="default" w:ascii="Times New Roman" w:hAnsi="Times New Roman" w:eastAsia="仿宋_GB2312" w:cs="Times New Roman"/>
                <w:color w:val="auto"/>
                <w:kern w:val="0"/>
                <w:sz w:val="24"/>
                <w:szCs w:val="24"/>
                <w:highlight w:val="none"/>
              </w:rPr>
            </w:pPr>
          </w:p>
        </w:tc>
      </w:tr>
      <w:tr>
        <w:trPr>
          <w:trHeight w:val="624" w:hRule="atLeast"/>
        </w:trPr>
        <w:tc>
          <w:tcPr>
            <w:tcW w:w="880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二、资金支出</w:t>
            </w: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（一）直接费用</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1.设备费</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eastAsia="仿宋_GB2312" w:cs="Times New Roman"/>
                <w:color w:val="auto"/>
                <w:kern w:val="0"/>
                <w:sz w:val="24"/>
                <w:szCs w:val="24"/>
                <w:highlight w:val="none"/>
              </w:rPr>
            </w:pP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2.业务费</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3.劳务费</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（二）间接费用</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c>
          <w:tcPr>
            <w:tcW w:w="22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00"/>
              <w:textAlignment w:val="auto"/>
              <w:rPr>
                <w:rFonts w:hint="default" w:ascii="Times New Roman" w:hAnsi="Times New Roman" w:eastAsia="仿宋_GB2312" w:cs="Times New Roman"/>
                <w:color w:val="auto"/>
                <w:kern w:val="0"/>
                <w:sz w:val="24"/>
                <w:szCs w:val="24"/>
                <w:highlight w:val="none"/>
              </w:rPr>
            </w:pPr>
          </w:p>
        </w:tc>
      </w:tr>
      <w:tr>
        <w:trPr>
          <w:trHeight w:val="624" w:hRule="atLeast"/>
        </w:trPr>
        <w:tc>
          <w:tcPr>
            <w:tcW w:w="880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left"/>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黑体" w:cs="Times New Roman"/>
                <w:bCs/>
                <w:color w:val="auto"/>
                <w:kern w:val="0"/>
                <w:sz w:val="24"/>
                <w:szCs w:val="24"/>
                <w:highlight w:val="none"/>
              </w:rPr>
              <w:t>三、分年度用款计划</w:t>
            </w: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年度</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第一年</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第二年</w:t>
            </w:r>
          </w:p>
        </w:tc>
        <w:tc>
          <w:tcPr>
            <w:tcW w:w="17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第三年</w:t>
            </w: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jc w:val="center"/>
              <w:rPr>
                <w:rFonts w:hint="default" w:ascii="Times New Roman" w:hAnsi="Times New Roman" w:eastAsia="黑体" w:cs="Times New Roman"/>
                <w:bCs/>
                <w:color w:val="auto"/>
                <w:kern w:val="0"/>
                <w:sz w:val="24"/>
                <w:szCs w:val="24"/>
                <w:highlight w:val="none"/>
                <w:lang w:eastAsia="zh-CN"/>
              </w:rPr>
            </w:pPr>
            <w:r>
              <w:rPr>
                <w:rFonts w:hint="default" w:ascii="Times New Roman" w:hAnsi="Times New Roman" w:eastAsia="黑体" w:cs="Times New Roman"/>
                <w:bCs/>
                <w:color w:val="auto"/>
                <w:kern w:val="0"/>
                <w:sz w:val="24"/>
                <w:szCs w:val="24"/>
                <w:highlight w:val="none"/>
                <w:lang w:eastAsia="zh-CN"/>
              </w:rPr>
              <w:t>合计</w:t>
            </w: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0"/>
              <w:jc w:val="both"/>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用款总额</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0"/>
              <w:jc w:val="both"/>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财政资金</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r>
      <w:tr>
        <w:trPr>
          <w:trHeight w:val="624" w:hRule="atLeast"/>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0"/>
              <w:jc w:val="both"/>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自筹资金</w:t>
            </w:r>
          </w:p>
        </w:tc>
        <w:tc>
          <w:tcPr>
            <w:tcW w:w="18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77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after="0" w:line="240" w:lineRule="auto"/>
              <w:ind w:firstLine="400"/>
              <w:rPr>
                <w:rFonts w:hint="default" w:ascii="Times New Roman" w:hAnsi="Times New Roman" w:eastAsia="仿宋_GB2312" w:cs="Times New Roman"/>
                <w:color w:val="auto"/>
                <w:kern w:val="0"/>
                <w:sz w:val="24"/>
                <w:szCs w:val="24"/>
                <w:highlight w:val="none"/>
              </w:rPr>
            </w:pPr>
          </w:p>
        </w:tc>
      </w:tr>
    </w:tbl>
    <w:p>
      <w:pPr>
        <w:rPr>
          <w:rFonts w:hint="default" w:ascii="Times New Roman" w:hAnsi="Times New Roman" w:cs="Times New Roman"/>
          <w:lang w:eastAsia="zh-CN"/>
        </w:rPr>
        <w:sectPr>
          <w:headerReference r:id="rId3" w:type="default"/>
          <w:footerReference r:id="rId5" w:type="default"/>
          <w:headerReference r:id="rId4" w:type="even"/>
          <w:footerReference r:id="rId6" w:type="even"/>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lang w:eastAsia="zh-CN"/>
        </w:rPr>
        <w:br w:type="page"/>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黑体" w:cs="Times New Roman"/>
          <w:b w:val="0"/>
          <w:bCs/>
          <w:color w:val="auto"/>
          <w:kern w:val="0"/>
          <w:sz w:val="30"/>
          <w:szCs w:val="30"/>
          <w:highlight w:val="none"/>
          <w:lang w:val="en-US" w:eastAsia="zh-CN"/>
        </w:rPr>
      </w:pPr>
      <w:r>
        <w:rPr>
          <w:rFonts w:hint="default" w:ascii="Times New Roman" w:hAnsi="Times New Roman" w:eastAsia="黑体" w:cs="Times New Roman"/>
          <w:b w:val="0"/>
          <w:bCs/>
          <w:color w:val="auto"/>
          <w:kern w:val="0"/>
          <w:sz w:val="30"/>
          <w:szCs w:val="30"/>
          <w:highlight w:val="none"/>
          <w:lang w:eastAsia="zh-CN"/>
        </w:rPr>
        <w:t>附表</w:t>
      </w:r>
      <w:r>
        <w:rPr>
          <w:rFonts w:hint="eastAsia" w:ascii="Times New Roman" w:hAnsi="Times New Roman" w:eastAsia="黑体" w:cs="Times New Roman"/>
          <w:b w:val="0"/>
          <w:bCs/>
          <w:color w:val="auto"/>
          <w:kern w:val="0"/>
          <w:sz w:val="30"/>
          <w:szCs w:val="30"/>
          <w:highlight w:val="none"/>
          <w:lang w:val="en-US" w:eastAsia="zh-CN"/>
        </w:rPr>
        <w:t>4</w:t>
      </w:r>
      <w:r>
        <w:rPr>
          <w:rFonts w:hint="default" w:ascii="Times New Roman" w:hAnsi="Times New Roman" w:eastAsia="黑体" w:cs="Times New Roman"/>
          <w:b w:val="0"/>
          <w:bCs/>
          <w:color w:val="auto"/>
          <w:kern w:val="0"/>
          <w:sz w:val="30"/>
          <w:szCs w:val="30"/>
          <w:highlight w:val="none"/>
          <w:lang w:val="en-US" w:eastAsia="zh-CN"/>
        </w:rPr>
        <w:t>-2</w:t>
      </w:r>
    </w:p>
    <w:p>
      <w:pPr>
        <w:pStyle w:val="2"/>
        <w:keepNext w:val="0"/>
        <w:keepLines w:val="0"/>
        <w:pageBreakBefore w:val="0"/>
        <w:widowControl w:val="0"/>
        <w:kinsoku/>
        <w:wordWrap/>
        <w:overflowPunct/>
        <w:topLinePunct w:val="0"/>
        <w:autoSpaceDE/>
        <w:autoSpaceDN/>
        <w:bidi w:val="0"/>
        <w:adjustRightInd w:val="0"/>
        <w:snapToGrid w:val="0"/>
        <w:spacing w:before="289" w:beforeLines="50" w:line="460" w:lineRule="exact"/>
        <w:ind w:left="0" w:leftChars="0" w:firstLine="0" w:firstLineChars="0"/>
        <w:jc w:val="center"/>
        <w:textAlignment w:val="auto"/>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设备费—购置设备预算明细表</w:t>
      </w:r>
    </w:p>
    <w:p>
      <w:pPr>
        <w:pStyle w:val="3"/>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default" w:ascii="Times New Roman" w:hAnsi="Times New Roman" w:cs="Times New Roman"/>
          <w:lang w:eastAsia="zh-CN"/>
        </w:rPr>
      </w:pPr>
      <w:r>
        <w:rPr>
          <w:rFonts w:hint="default" w:ascii="Times New Roman" w:hAnsi="Times New Roman" w:eastAsia="仿宋_GB2312" w:cs="Times New Roman"/>
          <w:color w:val="auto"/>
          <w:kern w:val="0"/>
          <w:sz w:val="30"/>
          <w:szCs w:val="30"/>
          <w:highlight w:val="none"/>
        </w:rPr>
        <w:t>单位：万元（保留两位小数）</w:t>
      </w:r>
    </w:p>
    <w:tbl>
      <w:tblPr>
        <w:tblStyle w:val="7"/>
        <w:tblW w:w="4998" w:type="pct"/>
        <w:tblInd w:w="0" w:type="dxa"/>
        <w:tblLayout w:type="autofit"/>
        <w:tblCellMar>
          <w:top w:w="0" w:type="dxa"/>
          <w:left w:w="108" w:type="dxa"/>
          <w:bottom w:w="0" w:type="dxa"/>
          <w:right w:w="108" w:type="dxa"/>
        </w:tblCellMar>
      </w:tblPr>
      <w:tblGrid>
        <w:gridCol w:w="641"/>
        <w:gridCol w:w="859"/>
        <w:gridCol w:w="1001"/>
        <w:gridCol w:w="950"/>
        <w:gridCol w:w="979"/>
        <w:gridCol w:w="993"/>
        <w:gridCol w:w="950"/>
        <w:gridCol w:w="1032"/>
        <w:gridCol w:w="1118"/>
        <w:gridCol w:w="1452"/>
        <w:gridCol w:w="1396"/>
        <w:gridCol w:w="1231"/>
        <w:gridCol w:w="1566"/>
      </w:tblGrid>
      <w:tr>
        <w:tblPrEx>
          <w:tblCellMar>
            <w:top w:w="0" w:type="dxa"/>
            <w:left w:w="108" w:type="dxa"/>
            <w:bottom w:w="0" w:type="dxa"/>
            <w:right w:w="108" w:type="dxa"/>
          </w:tblCellMar>
        </w:tblPrEx>
        <w:trPr>
          <w:trHeight w:val="692"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序号</w:t>
            </w:r>
          </w:p>
        </w:tc>
        <w:tc>
          <w:tcPr>
            <w:tcW w:w="3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设备名称</w:t>
            </w:r>
          </w:p>
        </w:tc>
        <w:tc>
          <w:tcPr>
            <w:tcW w:w="3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功能和技术指标</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单价（万元/台套）</w:t>
            </w:r>
          </w:p>
        </w:tc>
        <w:tc>
          <w:tcPr>
            <w:tcW w:w="3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数量（台套）</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lang w:eastAsia="zh-CN"/>
              </w:rPr>
            </w:pPr>
            <w:r>
              <w:rPr>
                <w:rFonts w:hint="default" w:ascii="Times New Roman" w:hAnsi="Times New Roman" w:eastAsia="黑体" w:cs="Times New Roman"/>
                <w:bCs/>
                <w:color w:val="auto"/>
                <w:kern w:val="0"/>
                <w:sz w:val="24"/>
                <w:szCs w:val="24"/>
                <w:highlight w:val="none"/>
                <w:lang w:eastAsia="zh-CN"/>
              </w:rPr>
              <w:t>金额（万元）</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购置</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单位</w:t>
            </w:r>
          </w:p>
        </w:tc>
        <w:tc>
          <w:tcPr>
            <w:tcW w:w="36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存放单位（地点）</w:t>
            </w:r>
          </w:p>
        </w:tc>
        <w:tc>
          <w:tcPr>
            <w:tcW w:w="39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设备</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类型</w:t>
            </w:r>
          </w:p>
        </w:tc>
        <w:tc>
          <w:tcPr>
            <w:tcW w:w="51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主要生产厂家及国别</w:t>
            </w:r>
          </w:p>
        </w:tc>
        <w:tc>
          <w:tcPr>
            <w:tcW w:w="49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规格</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型号</w:t>
            </w:r>
          </w:p>
        </w:tc>
        <w:tc>
          <w:tcPr>
            <w:tcW w:w="43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拟开放共享范围</w:t>
            </w:r>
          </w:p>
        </w:tc>
        <w:tc>
          <w:tcPr>
            <w:tcW w:w="55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购置必要性及对项目研究的作用和用途</w:t>
            </w:r>
          </w:p>
        </w:tc>
      </w:tr>
      <w:tr>
        <w:trPr>
          <w:trHeight w:val="537" w:hRule="atLeast"/>
        </w:trPr>
        <w:tc>
          <w:tcPr>
            <w:tcW w:w="22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0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4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64"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394"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512"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492"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434"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c>
          <w:tcPr>
            <w:tcW w:w="552" w:type="pct"/>
            <w:tcBorders>
              <w:top w:val="single" w:color="auto" w:sz="4" w:space="0"/>
              <w:left w:val="nil"/>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
                <w:color w:val="auto"/>
                <w:kern w:val="0"/>
                <w:sz w:val="24"/>
                <w:szCs w:val="24"/>
                <w:highlight w:val="none"/>
              </w:rPr>
            </w:pPr>
          </w:p>
        </w:tc>
      </w:tr>
      <w:tr>
        <w:tblPrEx>
          <w:tblCellMar>
            <w:top w:w="0" w:type="dxa"/>
            <w:left w:w="108" w:type="dxa"/>
            <w:bottom w:w="0" w:type="dxa"/>
            <w:right w:w="108" w:type="dxa"/>
          </w:tblCellMar>
        </w:tblPrEx>
        <w:trPr>
          <w:trHeight w:val="567" w:hRule="atLeast"/>
        </w:trPr>
        <w:tc>
          <w:tcPr>
            <w:tcW w:w="88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单价</w:t>
            </w:r>
            <w:r>
              <w:rPr>
                <w:rFonts w:hint="default" w:ascii="Times New Roman" w:hAnsi="Times New Roman" w:eastAsia="仿宋_GB2312" w:cs="Times New Roman"/>
                <w:bCs/>
                <w:color w:val="auto"/>
                <w:kern w:val="0"/>
                <w:sz w:val="24"/>
                <w:szCs w:val="24"/>
                <w:highlight w:val="none"/>
                <w:lang w:val="en-US" w:eastAsia="zh-CN"/>
              </w:rPr>
              <w:t>50</w:t>
            </w:r>
            <w:r>
              <w:rPr>
                <w:rFonts w:hint="default" w:ascii="Times New Roman" w:hAnsi="Times New Roman" w:eastAsia="仿宋_GB2312" w:cs="Times New Roman"/>
                <w:bCs/>
                <w:color w:val="auto"/>
                <w:kern w:val="0"/>
                <w:sz w:val="24"/>
                <w:szCs w:val="24"/>
                <w:highlight w:val="none"/>
              </w:rPr>
              <w:t>万元</w:t>
            </w:r>
            <w:r>
              <w:rPr>
                <w:rFonts w:hint="default" w:ascii="Times New Roman" w:hAnsi="Times New Roman" w:eastAsia="仿宋_GB2312" w:cs="Times New Roman"/>
                <w:bCs/>
                <w:color w:val="auto"/>
                <w:kern w:val="0"/>
                <w:sz w:val="24"/>
                <w:szCs w:val="24"/>
                <w:highlight w:val="none"/>
                <w:lang w:val="en-US" w:eastAsia="zh-CN"/>
              </w:rPr>
              <w:t>及</w:t>
            </w:r>
            <w:r>
              <w:rPr>
                <w:rFonts w:hint="default" w:ascii="Times New Roman" w:hAnsi="Times New Roman" w:eastAsia="仿宋_GB2312" w:cs="Times New Roman"/>
                <w:bCs/>
                <w:color w:val="auto"/>
                <w:kern w:val="0"/>
                <w:sz w:val="24"/>
                <w:szCs w:val="24"/>
                <w:highlight w:val="none"/>
              </w:rPr>
              <w:t>以</w:t>
            </w:r>
            <w:r>
              <w:rPr>
                <w:rFonts w:hint="default" w:ascii="Times New Roman" w:hAnsi="Times New Roman" w:eastAsia="仿宋_GB2312" w:cs="Times New Roman"/>
                <w:bCs/>
                <w:color w:val="auto"/>
                <w:kern w:val="0"/>
                <w:sz w:val="24"/>
                <w:szCs w:val="24"/>
                <w:highlight w:val="none"/>
                <w:lang w:val="en-US" w:eastAsia="zh-CN"/>
              </w:rPr>
              <w:t>上</w:t>
            </w:r>
            <w:r>
              <w:rPr>
                <w:rFonts w:hint="default" w:ascii="Times New Roman" w:hAnsi="Times New Roman" w:eastAsia="仿宋_GB2312" w:cs="Times New Roman"/>
                <w:bCs/>
                <w:color w:val="auto"/>
                <w:kern w:val="0"/>
                <w:sz w:val="24"/>
                <w:szCs w:val="24"/>
                <w:highlight w:val="none"/>
              </w:rPr>
              <w:t>购置设备合计</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45"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rPr>
            </w:pPr>
          </w:p>
        </w:tc>
        <w:tc>
          <w:tcPr>
            <w:tcW w:w="350"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6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5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4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5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r>
      <w:tr>
        <w:trPr>
          <w:trHeight w:val="684" w:hRule="atLeast"/>
        </w:trPr>
        <w:tc>
          <w:tcPr>
            <w:tcW w:w="88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rPr>
              <w:t>单价</w:t>
            </w:r>
            <w:r>
              <w:rPr>
                <w:rFonts w:hint="default" w:ascii="Times New Roman" w:hAnsi="Times New Roman" w:eastAsia="仿宋_GB2312" w:cs="Times New Roman"/>
                <w:bCs/>
                <w:color w:val="auto"/>
                <w:kern w:val="0"/>
                <w:sz w:val="24"/>
                <w:szCs w:val="24"/>
                <w:highlight w:val="none"/>
                <w:lang w:val="en-US" w:eastAsia="zh-CN"/>
              </w:rPr>
              <w:t>50</w:t>
            </w:r>
            <w:r>
              <w:rPr>
                <w:rFonts w:hint="default" w:ascii="Times New Roman" w:hAnsi="Times New Roman" w:eastAsia="仿宋_GB2312" w:cs="Times New Roman"/>
                <w:bCs/>
                <w:color w:val="auto"/>
                <w:kern w:val="0"/>
                <w:sz w:val="24"/>
                <w:szCs w:val="24"/>
                <w:highlight w:val="none"/>
              </w:rPr>
              <w:t>万元以下购置设备合计</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345"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lang w:val="en-US" w:eastAsia="zh-CN" w:bidi="ar-SA"/>
              </w:rPr>
            </w:pPr>
          </w:p>
        </w:tc>
        <w:tc>
          <w:tcPr>
            <w:tcW w:w="350"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lang w:val="en-US" w:eastAsia="zh-CN" w:bidi="ar-SA"/>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36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3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5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4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c>
          <w:tcPr>
            <w:tcW w:w="5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lang w:val="en-US" w:eastAsia="zh-CN" w:bidi="ar-SA"/>
              </w:rPr>
            </w:pPr>
            <w:r>
              <w:rPr>
                <w:rFonts w:hint="default" w:ascii="Times New Roman" w:hAnsi="Times New Roman" w:eastAsia="仿宋_GB2312" w:cs="Times New Roman"/>
                <w:bCs/>
                <w:color w:val="auto"/>
                <w:kern w:val="0"/>
                <w:sz w:val="24"/>
                <w:szCs w:val="24"/>
                <w:highlight w:val="none"/>
                <w:lang w:val="en-US" w:eastAsia="zh-CN"/>
              </w:rPr>
              <w:t>/</w:t>
            </w:r>
          </w:p>
        </w:tc>
      </w:tr>
      <w:tr>
        <w:tblPrEx>
          <w:tblCellMar>
            <w:top w:w="0" w:type="dxa"/>
            <w:left w:w="108" w:type="dxa"/>
            <w:bottom w:w="0" w:type="dxa"/>
            <w:right w:w="108" w:type="dxa"/>
          </w:tblCellMar>
        </w:tblPrEx>
        <w:trPr>
          <w:trHeight w:val="567" w:hRule="atLeast"/>
        </w:trPr>
        <w:tc>
          <w:tcPr>
            <w:tcW w:w="882"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xml:space="preserve">累 </w:t>
            </w:r>
            <w:r>
              <w:rPr>
                <w:rFonts w:hint="default" w:ascii="Times New Roman" w:hAnsi="Times New Roman" w:cs="Times New Roman"/>
                <w:bCs/>
                <w:color w:val="auto"/>
                <w:kern w:val="0"/>
                <w:sz w:val="24"/>
                <w:szCs w:val="24"/>
                <w:highlight w:val="none"/>
              </w:rPr>
              <w:t xml:space="preserve"> </w:t>
            </w:r>
            <w:r>
              <w:rPr>
                <w:rFonts w:hint="default" w:ascii="Times New Roman" w:hAnsi="Times New Roman" w:eastAsia="仿宋_GB2312" w:cs="Times New Roman"/>
                <w:bCs/>
                <w:color w:val="auto"/>
                <w:kern w:val="0"/>
                <w:sz w:val="24"/>
                <w:szCs w:val="24"/>
                <w:highlight w:val="none"/>
              </w:rPr>
              <w:t>计</w:t>
            </w: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45"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rPr>
            </w:pPr>
          </w:p>
        </w:tc>
        <w:tc>
          <w:tcPr>
            <w:tcW w:w="350" w:type="pct"/>
            <w:tcBorders>
              <w:top w:val="single" w:color="auto" w:sz="4" w:space="0"/>
              <w:left w:val="single" w:color="auto" w:sz="4" w:space="0"/>
              <w:bottom w:val="single" w:color="auto" w:sz="4" w:space="0"/>
              <w:right w:val="single" w:color="auto" w:sz="4" w:space="0"/>
            </w:tcBorders>
            <w:vAlign w:val="top"/>
          </w:tcPr>
          <w:p>
            <w:pPr>
              <w:keepNext w:val="0"/>
              <w:keepLines w:val="0"/>
              <w:widowControl/>
              <w:kinsoku/>
              <w:wordWrap/>
              <w:overflowPunct/>
              <w:topLinePunct w:val="0"/>
              <w:bidi w:val="0"/>
              <w:adjustRightInd w:val="0"/>
              <w:snapToGrid w:val="0"/>
              <w:spacing w:line="400" w:lineRule="exact"/>
              <w:jc w:val="left"/>
              <w:rPr>
                <w:rFonts w:hint="default" w:ascii="Times New Roman" w:hAnsi="Times New Roman" w:eastAsia="仿宋_GB2312" w:cs="Times New Roman"/>
                <w:bCs/>
                <w:color w:val="auto"/>
                <w:kern w:val="0"/>
                <w:sz w:val="24"/>
                <w:szCs w:val="24"/>
                <w:highlight w:val="none"/>
              </w:rPr>
            </w:pPr>
          </w:p>
        </w:tc>
        <w:tc>
          <w:tcPr>
            <w:tcW w:w="3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6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39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5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4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c>
          <w:tcPr>
            <w:tcW w:w="5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kinsoku/>
              <w:wordWrap/>
              <w:overflowPunct/>
              <w:topLinePunct w:val="0"/>
              <w:bidi w:val="0"/>
              <w:adjustRightInd w:val="0"/>
              <w:snapToGrid w:val="0"/>
              <w:spacing w:line="40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注：1.本表只填写财政资金购置的设备；</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960" w:firstLineChars="4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2.单价</w:t>
      </w:r>
      <w:r>
        <w:rPr>
          <w:rFonts w:hint="default" w:ascii="Times New Roman" w:hAnsi="Times New Roman" w:eastAsia="仿宋_GB2312" w:cs="Times New Roman"/>
          <w:color w:val="auto"/>
          <w:sz w:val="24"/>
          <w:szCs w:val="24"/>
          <w:highlight w:val="none"/>
          <w:lang w:val="en-US" w:eastAsia="zh-CN"/>
        </w:rPr>
        <w:t>50</w:t>
      </w:r>
      <w:r>
        <w:rPr>
          <w:rFonts w:hint="default" w:ascii="Times New Roman" w:hAnsi="Times New Roman" w:eastAsia="仿宋_GB2312" w:cs="Times New Roman"/>
          <w:color w:val="auto"/>
          <w:sz w:val="24"/>
          <w:szCs w:val="24"/>
          <w:highlight w:val="none"/>
        </w:rPr>
        <w:t>万元以下的设备不填写明细。</w:t>
      </w:r>
    </w:p>
    <w:p>
      <w:pP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黑体" w:cs="Times New Roman"/>
          <w:b w:val="0"/>
          <w:bCs/>
          <w:color w:val="auto"/>
          <w:kern w:val="0"/>
          <w:sz w:val="30"/>
          <w:szCs w:val="30"/>
          <w:highlight w:val="none"/>
          <w:lang w:val="en-US" w:eastAsia="zh-CN"/>
        </w:rPr>
      </w:pPr>
      <w:r>
        <w:rPr>
          <w:rFonts w:hint="default" w:ascii="Times New Roman" w:hAnsi="Times New Roman" w:eastAsia="黑体" w:cs="Times New Roman"/>
          <w:b w:val="0"/>
          <w:bCs/>
          <w:color w:val="auto"/>
          <w:kern w:val="0"/>
          <w:sz w:val="30"/>
          <w:szCs w:val="30"/>
          <w:highlight w:val="none"/>
          <w:lang w:eastAsia="zh-CN"/>
        </w:rPr>
        <w:t>附表</w:t>
      </w:r>
      <w:r>
        <w:rPr>
          <w:rFonts w:hint="eastAsia" w:ascii="Times New Roman" w:hAnsi="Times New Roman" w:eastAsia="黑体" w:cs="Times New Roman"/>
          <w:b w:val="0"/>
          <w:bCs/>
          <w:color w:val="auto"/>
          <w:kern w:val="0"/>
          <w:sz w:val="30"/>
          <w:szCs w:val="30"/>
          <w:highlight w:val="none"/>
          <w:lang w:val="en-US" w:eastAsia="zh-CN"/>
        </w:rPr>
        <w:t>4</w:t>
      </w:r>
      <w:r>
        <w:rPr>
          <w:rFonts w:hint="default" w:ascii="Times New Roman" w:hAnsi="Times New Roman" w:eastAsia="黑体" w:cs="Times New Roman"/>
          <w:b w:val="0"/>
          <w:bCs/>
          <w:color w:val="auto"/>
          <w:kern w:val="0"/>
          <w:sz w:val="30"/>
          <w:szCs w:val="30"/>
          <w:highlight w:val="none"/>
          <w:lang w:val="en-US" w:eastAsia="zh-CN"/>
        </w:rPr>
        <w:t>-3</w:t>
      </w:r>
    </w:p>
    <w:p>
      <w:pPr>
        <w:pStyle w:val="2"/>
        <w:keepNext w:val="0"/>
        <w:keepLines w:val="0"/>
        <w:pageBreakBefore w:val="0"/>
        <w:widowControl w:val="0"/>
        <w:kinsoku/>
        <w:wordWrap/>
        <w:overflowPunct/>
        <w:topLinePunct w:val="0"/>
        <w:autoSpaceDE/>
        <w:autoSpaceDN/>
        <w:bidi w:val="0"/>
        <w:adjustRightInd w:val="0"/>
        <w:snapToGrid w:val="0"/>
        <w:spacing w:before="289" w:beforeLines="50" w:line="460" w:lineRule="exact"/>
        <w:ind w:left="0" w:leftChars="0" w:firstLine="0" w:firstLineChars="0"/>
        <w:jc w:val="center"/>
        <w:textAlignment w:val="auto"/>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项目资金支出预算明细表</w:t>
      </w:r>
    </w:p>
    <w:p>
      <w:pPr>
        <w:pStyle w:val="3"/>
        <w:keepNext w:val="0"/>
        <w:keepLines w:val="0"/>
        <w:pageBreakBefore w:val="0"/>
        <w:widowControl w:val="0"/>
        <w:kinsoku/>
        <w:wordWrap/>
        <w:overflowPunct/>
        <w:topLinePunct w:val="0"/>
        <w:autoSpaceDE/>
        <w:autoSpaceDN/>
        <w:bidi w:val="0"/>
        <w:adjustRightInd w:val="0"/>
        <w:snapToGrid w:val="0"/>
        <w:spacing w:line="460" w:lineRule="exact"/>
        <w:jc w:val="righ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金额单位：万元</w:t>
      </w:r>
    </w:p>
    <w:tbl>
      <w:tblPr>
        <w:tblStyle w:val="7"/>
        <w:tblW w:w="125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290"/>
        <w:gridCol w:w="1338"/>
        <w:gridCol w:w="925"/>
        <w:gridCol w:w="1387"/>
        <w:gridCol w:w="1219"/>
        <w:gridCol w:w="956"/>
        <w:gridCol w:w="1063"/>
        <w:gridCol w:w="1211"/>
        <w:gridCol w:w="1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5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序号</w:t>
            </w:r>
          </w:p>
        </w:tc>
        <w:tc>
          <w:tcPr>
            <w:tcW w:w="2290"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单位名称</w:t>
            </w:r>
          </w:p>
        </w:tc>
        <w:tc>
          <w:tcPr>
            <w:tcW w:w="1338"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统一社会信用代码</w:t>
            </w:r>
          </w:p>
        </w:tc>
        <w:tc>
          <w:tcPr>
            <w:tcW w:w="92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单位</w:t>
            </w:r>
          </w:p>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类型</w:t>
            </w:r>
          </w:p>
        </w:tc>
        <w:tc>
          <w:tcPr>
            <w:tcW w:w="1387"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任务分工</w:t>
            </w:r>
          </w:p>
        </w:tc>
        <w:tc>
          <w:tcPr>
            <w:tcW w:w="1219"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研究任务负责人</w:t>
            </w:r>
          </w:p>
        </w:tc>
        <w:tc>
          <w:tcPr>
            <w:tcW w:w="956"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合计</w:t>
            </w:r>
          </w:p>
        </w:tc>
        <w:tc>
          <w:tcPr>
            <w:tcW w:w="2274"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财政资金</w:t>
            </w:r>
          </w:p>
        </w:tc>
        <w:tc>
          <w:tcPr>
            <w:tcW w:w="1411"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lang w:val="en-US" w:eastAsia="zh-CN"/>
              </w:rPr>
              <w:t>自筹</w:t>
            </w:r>
            <w:r>
              <w:rPr>
                <w:rFonts w:hint="default" w:ascii="Times New Roman" w:hAnsi="Times New Roman" w:eastAsia="黑体" w:cs="Times New Roman"/>
                <w:bCs/>
                <w:color w:val="auto"/>
                <w:kern w:val="0"/>
                <w:sz w:val="24"/>
                <w:szCs w:val="24"/>
                <w:highlight w:val="none"/>
              </w:rPr>
              <w:t>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50" w:type="dxa"/>
            <w:vMerge w:val="continue"/>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2290" w:type="dxa"/>
            <w:vMerge w:val="continue"/>
            <w:tcBorders>
              <w:right w:val="single" w:color="auto" w:sz="4" w:space="0"/>
            </w:tcBorders>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1338" w:type="dxa"/>
            <w:vMerge w:val="continue"/>
            <w:tcBorders>
              <w:left w:val="single" w:color="auto" w:sz="4" w:space="0"/>
            </w:tcBorders>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925" w:type="dxa"/>
            <w:vMerge w:val="continue"/>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1387" w:type="dxa"/>
            <w:vMerge w:val="continue"/>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1219" w:type="dxa"/>
            <w:vMerge w:val="continue"/>
            <w:tcBorders>
              <w:right w:val="single" w:color="auto" w:sz="4" w:space="0"/>
            </w:tcBorders>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956" w:type="dxa"/>
            <w:vMerge w:val="continue"/>
            <w:tcBorders>
              <w:left w:val="single" w:color="auto" w:sz="4" w:space="0"/>
              <w:right w:val="single" w:color="auto" w:sz="4" w:space="0"/>
            </w:tcBorders>
            <w:vAlign w:val="center"/>
          </w:tcPr>
          <w:p>
            <w:pPr>
              <w:keepNext w:val="0"/>
              <w:keepLines w:val="0"/>
              <w:widowControl/>
              <w:kinsoku/>
              <w:wordWrap/>
              <w:overflowPunct/>
              <w:topLinePunct w:val="0"/>
              <w:bidi w:val="0"/>
              <w:spacing w:line="590" w:lineRule="exact"/>
              <w:jc w:val="center"/>
              <w:rPr>
                <w:rFonts w:hint="default" w:ascii="Times New Roman" w:hAnsi="Times New Roman" w:eastAsia="黑体" w:cs="Times New Roman"/>
                <w:bCs/>
                <w:color w:val="auto"/>
                <w:kern w:val="0"/>
                <w:sz w:val="24"/>
                <w:szCs w:val="24"/>
                <w:highlight w:val="none"/>
              </w:rPr>
            </w:pPr>
          </w:p>
        </w:tc>
        <w:tc>
          <w:tcPr>
            <w:tcW w:w="106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小计</w:t>
            </w:r>
          </w:p>
        </w:tc>
        <w:tc>
          <w:tcPr>
            <w:tcW w:w="121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黑体" w:cs="Times New Roman"/>
                <w:bCs/>
                <w:color w:val="auto"/>
                <w:kern w:val="0"/>
                <w:sz w:val="24"/>
                <w:szCs w:val="24"/>
                <w:highlight w:val="none"/>
              </w:rPr>
            </w:pPr>
            <w:r>
              <w:rPr>
                <w:rFonts w:hint="default" w:ascii="Times New Roman" w:hAnsi="Times New Roman" w:eastAsia="黑体" w:cs="Times New Roman"/>
                <w:bCs/>
                <w:color w:val="auto"/>
                <w:kern w:val="0"/>
                <w:sz w:val="24"/>
                <w:szCs w:val="24"/>
                <w:highlight w:val="none"/>
              </w:rPr>
              <w:t>其中：间接费用</w:t>
            </w:r>
          </w:p>
        </w:tc>
        <w:tc>
          <w:tcPr>
            <w:tcW w:w="1411" w:type="dxa"/>
            <w:vMerge w:val="continue"/>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50"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2290" w:type="dxa"/>
            <w:tcBorders>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338" w:type="dxa"/>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925"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387"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219" w:type="dxa"/>
            <w:tcBorders>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956"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063"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211"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411" w:type="dxa"/>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750"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2290" w:type="dxa"/>
            <w:tcBorders>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338" w:type="dxa"/>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925"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387" w:type="dxa"/>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219" w:type="dxa"/>
            <w:tcBorders>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956"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063"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211" w:type="dxa"/>
            <w:tcBorders>
              <w:left w:val="single" w:color="auto" w:sz="4" w:space="0"/>
              <w:righ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c>
          <w:tcPr>
            <w:tcW w:w="1411" w:type="dxa"/>
            <w:tcBorders>
              <w:left w:val="single" w:color="auto" w:sz="4" w:space="0"/>
            </w:tcBorders>
            <w:vAlign w:val="center"/>
          </w:tcPr>
          <w:p>
            <w:pPr>
              <w:keepNext w:val="0"/>
              <w:keepLines w:val="0"/>
              <w:kinsoku/>
              <w:wordWrap/>
              <w:overflowPunct/>
              <w:topLinePunct w:val="0"/>
              <w:autoSpaceDE w:val="0"/>
              <w:autoSpaceDN w:val="0"/>
              <w:bidi w:val="0"/>
              <w:adjustRightInd w:val="0"/>
              <w:snapToGrid w:val="0"/>
              <w:spacing w:line="590" w:lineRule="exact"/>
              <w:jc w:val="center"/>
              <w:rPr>
                <w:rFonts w:hint="default" w:ascii="Times New Roman" w:hAnsi="Times New Roman" w:eastAsia="仿宋_GB2312" w:cs="Times New Roman"/>
                <w:color w:val="auto"/>
                <w:sz w:val="30"/>
                <w:szCs w:val="3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909" w:type="dxa"/>
            <w:gridSpan w:val="6"/>
            <w:tcBorders>
              <w:right w:val="single" w:color="auto" w:sz="4" w:space="0"/>
            </w:tcBorders>
            <w:vAlign w:val="center"/>
          </w:tcPr>
          <w:p>
            <w:pPr>
              <w:keepNext w:val="0"/>
              <w:keepLines w:val="0"/>
              <w:kinsoku/>
              <w:wordWrap/>
              <w:overflowPunct/>
              <w:topLinePunct w:val="0"/>
              <w:bidi w:val="0"/>
              <w:spacing w:line="590" w:lineRule="exact"/>
              <w:jc w:val="center"/>
              <w:rPr>
                <w:rFonts w:hint="default" w:ascii="Times New Roman" w:hAnsi="Times New Roman" w:cs="Times New Roman"/>
                <w:color w:val="auto"/>
                <w:highlight w:val="none"/>
              </w:rPr>
            </w:pPr>
            <w:r>
              <w:rPr>
                <w:rFonts w:hint="default" w:ascii="Times New Roman" w:hAnsi="Times New Roman" w:eastAsia="黑体" w:cs="Times New Roman"/>
                <w:bCs/>
                <w:color w:val="auto"/>
                <w:kern w:val="0"/>
                <w:sz w:val="24"/>
                <w:szCs w:val="24"/>
                <w:highlight w:val="none"/>
              </w:rPr>
              <w:t>累计</w:t>
            </w:r>
          </w:p>
        </w:tc>
        <w:tc>
          <w:tcPr>
            <w:tcW w:w="956" w:type="dxa"/>
            <w:tcBorders>
              <w:left w:val="single" w:color="auto" w:sz="4" w:space="0"/>
              <w:right w:val="single" w:color="auto" w:sz="4" w:space="0"/>
            </w:tcBorders>
            <w:vAlign w:val="center"/>
          </w:tcPr>
          <w:p>
            <w:pPr>
              <w:keepNext w:val="0"/>
              <w:keepLines w:val="0"/>
              <w:kinsoku/>
              <w:wordWrap/>
              <w:overflowPunct/>
              <w:topLinePunct w:val="0"/>
              <w:bidi w:val="0"/>
              <w:spacing w:line="590" w:lineRule="exact"/>
              <w:rPr>
                <w:rFonts w:hint="default" w:ascii="Times New Roman" w:hAnsi="Times New Roman" w:cs="Times New Roman"/>
                <w:color w:val="auto"/>
                <w:highlight w:val="none"/>
              </w:rPr>
            </w:pPr>
          </w:p>
        </w:tc>
        <w:tc>
          <w:tcPr>
            <w:tcW w:w="1063" w:type="dxa"/>
            <w:tcBorders>
              <w:left w:val="single" w:color="auto" w:sz="4" w:space="0"/>
              <w:right w:val="single" w:color="auto" w:sz="4" w:space="0"/>
            </w:tcBorders>
            <w:vAlign w:val="center"/>
          </w:tcPr>
          <w:p>
            <w:pPr>
              <w:keepNext w:val="0"/>
              <w:keepLines w:val="0"/>
              <w:kinsoku/>
              <w:wordWrap/>
              <w:overflowPunct/>
              <w:topLinePunct w:val="0"/>
              <w:bidi w:val="0"/>
              <w:spacing w:line="590" w:lineRule="exact"/>
              <w:rPr>
                <w:rFonts w:hint="default" w:ascii="Times New Roman" w:hAnsi="Times New Roman" w:cs="Times New Roman"/>
                <w:color w:val="auto"/>
                <w:highlight w:val="none"/>
              </w:rPr>
            </w:pPr>
          </w:p>
        </w:tc>
        <w:tc>
          <w:tcPr>
            <w:tcW w:w="1211" w:type="dxa"/>
            <w:tcBorders>
              <w:left w:val="single" w:color="auto" w:sz="4" w:space="0"/>
              <w:right w:val="single" w:color="auto" w:sz="4" w:space="0"/>
            </w:tcBorders>
            <w:vAlign w:val="center"/>
          </w:tcPr>
          <w:p>
            <w:pPr>
              <w:keepNext w:val="0"/>
              <w:keepLines w:val="0"/>
              <w:kinsoku/>
              <w:wordWrap/>
              <w:overflowPunct/>
              <w:topLinePunct w:val="0"/>
              <w:bidi w:val="0"/>
              <w:spacing w:line="590" w:lineRule="exact"/>
              <w:rPr>
                <w:rFonts w:hint="default" w:ascii="Times New Roman" w:hAnsi="Times New Roman" w:cs="Times New Roman"/>
                <w:color w:val="auto"/>
                <w:highlight w:val="none"/>
              </w:rPr>
            </w:pPr>
          </w:p>
        </w:tc>
        <w:tc>
          <w:tcPr>
            <w:tcW w:w="1411" w:type="dxa"/>
            <w:tcBorders>
              <w:left w:val="single" w:color="auto" w:sz="4" w:space="0"/>
            </w:tcBorders>
            <w:vAlign w:val="center"/>
          </w:tcPr>
          <w:p>
            <w:pPr>
              <w:keepNext w:val="0"/>
              <w:keepLines w:val="0"/>
              <w:kinsoku/>
              <w:wordWrap/>
              <w:overflowPunct/>
              <w:topLinePunct w:val="0"/>
              <w:bidi w:val="0"/>
              <w:spacing w:line="590" w:lineRule="exact"/>
              <w:rPr>
                <w:rFonts w:hint="default" w:ascii="Times New Roman" w:hAnsi="Times New Roman" w:cs="Times New Roman"/>
                <w:color w:val="auto"/>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firstLine="960" w:firstLineChars="4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注：1.单位类型为项目</w:t>
      </w:r>
      <w:r>
        <w:rPr>
          <w:rFonts w:hint="default" w:ascii="Times New Roman" w:hAnsi="Times New Roman" w:eastAsia="仿宋_GB2312" w:cs="Times New Roman"/>
          <w:color w:val="auto"/>
          <w:sz w:val="24"/>
          <w:szCs w:val="24"/>
          <w:highlight w:val="none"/>
          <w:lang w:val="en-US" w:eastAsia="zh-CN"/>
        </w:rPr>
        <w:t>牵头</w:t>
      </w:r>
      <w:r>
        <w:rPr>
          <w:rFonts w:hint="default" w:ascii="Times New Roman" w:hAnsi="Times New Roman" w:eastAsia="仿宋_GB2312" w:cs="Times New Roman"/>
          <w:color w:val="auto"/>
          <w:sz w:val="24"/>
          <w:szCs w:val="24"/>
          <w:highlight w:val="none"/>
        </w:rPr>
        <w:t>单位、项目参加单位；</w:t>
      </w:r>
    </w:p>
    <w:p>
      <w:pPr>
        <w:ind w:firstLine="1440" w:firstLineChars="60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任务分工的描述应简洁，不超过300字。</w:t>
      </w:r>
    </w:p>
    <w:p>
      <w:pPr>
        <w:pStyle w:val="2"/>
        <w:rPr>
          <w:rFonts w:hint="default" w:ascii="Times New Roman" w:hAnsi="Times New Roman" w:cs="Times New Roman"/>
        </w:rPr>
      </w:pPr>
    </w:p>
    <w:p>
      <w:pPr>
        <w:pStyle w:val="3"/>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sectPr>
          <w:pgSz w:w="16838" w:h="11906" w:orient="landscape"/>
          <w:pgMar w:top="1800" w:right="1440" w:bottom="1800" w:left="1440" w:header="851" w:footer="992" w:gutter="0"/>
          <w:pgNumType w:fmt="decimal"/>
          <w:cols w:space="425" w:num="1"/>
          <w:docGrid w:type="lines" w:linePitch="312" w:charSpace="0"/>
        </w:sectPr>
      </w:pPr>
    </w:p>
    <w:p>
      <w:pPr>
        <w:pStyle w:val="2"/>
        <w:adjustRightInd w:val="0"/>
        <w:snapToGrid w:val="0"/>
        <w:spacing w:before="289" w:beforeLines="50" w:line="460" w:lineRule="exact"/>
        <w:ind w:left="0" w:leftChars="0" w:firstLine="0" w:firstLineChars="0"/>
        <w:jc w:val="center"/>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项目资金预算编制说明</w:t>
      </w:r>
    </w:p>
    <w:p>
      <w:pPr>
        <w:keepNext w:val="0"/>
        <w:keepLines w:val="0"/>
        <w:pageBreakBefore w:val="0"/>
        <w:widowControl/>
        <w:kinsoku/>
        <w:wordWrap/>
        <w:overflowPunct/>
        <w:topLinePunct w:val="0"/>
        <w:autoSpaceDE/>
        <w:autoSpaceDN/>
        <w:bidi w:val="0"/>
        <w:adjustRightInd w:val="0"/>
        <w:snapToGrid w:val="0"/>
        <w:spacing w:after="0" w:line="590" w:lineRule="exact"/>
        <w:ind w:firstLine="600" w:firstLineChars="200"/>
        <w:jc w:val="left"/>
        <w:textAlignment w:val="auto"/>
        <w:rPr>
          <w:rFonts w:hint="default" w:ascii="Times New Roman" w:hAnsi="Times New Roman" w:eastAsia="仿宋_GB2312" w:cs="Times New Roman"/>
          <w:color w:val="auto"/>
          <w:sz w:val="30"/>
          <w:szCs w:val="30"/>
          <w:highlight w:val="none"/>
        </w:rPr>
      </w:pP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eastAsia="zh-CN"/>
        </w:rPr>
        <w:t>（一）</w:t>
      </w:r>
      <w:r>
        <w:rPr>
          <w:rFonts w:hint="default" w:ascii="Times New Roman" w:hAnsi="Times New Roman" w:eastAsia="仿宋_GB2312" w:cs="Times New Roman"/>
          <w:color w:val="auto"/>
          <w:sz w:val="30"/>
          <w:szCs w:val="30"/>
          <w:highlight w:val="none"/>
        </w:rPr>
        <w:t>直接费用是指在项目实施过程中发生的直接相关费用，包括设备费、业务费、劳务费三大类。</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1.设备费:指在项目实施过程中购置或试制专用仪器设备，对现有仪器设备进行维修升级改造，以及租赁外单位仪器设备而发生的费用。计算类仪器设备和软件工具可在设备费科目列支。</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2.业务费:是指在项目实施过程中消耗的各种材料、测试化验加工、燃料动力、档案</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出版/文献/信息传播/知识产权事务、会议/差旅/国际合作交流等费用，以及其他相关支出。从项目资金中列支的国际合作与交流费用不纳入“三公”经费统计范围，不受零增长要求限制。</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3.劳务费:是指在项目实施过程中支付给参与项目的研究生、博士后、访问学者和项目聘用的研究人员、科研辅助人员、科研财务助理等的劳务性费用</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以及支付给临时聘请咨询专家的费用等。项目聘用人员劳务费开支标准参照本单位同类在职人员薪酬水平自主确定，其由单位缴纳的社会保险、住房公积金、职业年金纳入劳务费科目列支。专家咨询费按规定标准支付，不得支付给参与本项目研究和管理的相关工作人员。</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（二）</w:t>
      </w:r>
      <w:r>
        <w:rPr>
          <w:rFonts w:hint="default" w:ascii="Times New Roman" w:hAnsi="Times New Roman" w:eastAsia="仿宋_GB2312" w:cs="Times New Roman"/>
          <w:color w:val="auto"/>
          <w:sz w:val="30"/>
          <w:szCs w:val="30"/>
          <w:highlight w:val="none"/>
        </w:rPr>
        <w:t>间接费用是指项目承担单位在组织实施项目过程中发生的无法在直接费用中列支的相关费用，包括管理费用及绩效支出。管理费用主要包括项目承担单位为项目研究提供的房屋占用，日常水、电、气、暖等消耗。绩效支出是项目承担单位为激励科研人员、科研财务助理，提高科研工作绩效安排的相关支出。探索对急需紧缺、业内认可、业绩突出的极少数高层次人才实行年薪制，所需费用可从间接费中列支，按照一项一议原则确定间接费比例。</w:t>
      </w:r>
    </w:p>
    <w:p>
      <w:pPr>
        <w:keepNext w:val="0"/>
        <w:keepLines w:val="0"/>
        <w:pageBreakBefore w:val="0"/>
        <w:widowControl/>
        <w:kinsoku/>
        <w:wordWrap/>
        <w:overflowPunct/>
        <w:topLinePunct w:val="0"/>
        <w:autoSpaceDE/>
        <w:autoSpaceDN/>
        <w:bidi w:val="0"/>
        <w:adjustRightInd w:val="0"/>
        <w:snapToGrid/>
        <w:spacing w:after="0" w:line="580" w:lineRule="exact"/>
        <w:ind w:firstLine="600" w:firstLineChars="200"/>
        <w:jc w:val="both"/>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间接费用按照直接费用扣除设备购置费后的一定比例核定，具体比例为:500万元及以下的部分为不超过30%，超过500万元至1000万元的部分为不超过25%,超过1000万元以上的部分为不超过20%;对数学等纯理论基础研究项目，间接费用比例为不超过60%。项目中有多个单位的，间接费用在总额范围内由项目承担单位与参加单位协商分配。项目承担单位不得在核定的间接费用以外，再以任何名义在联合专项资金中重复提取、列支相关费用。</w:t>
      </w: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简体">
    <w:altName w:val="方正仿宋_GBK"/>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CG Times">
    <w:altName w:val="Times New Roman"/>
    <w:panose1 w:val="02020603050405020304"/>
    <w:charset w:val="00"/>
    <w:family w:val="roman"/>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s>
      <w:jc w:val="right"/>
      <w:rPr>
        <w:rFonts w:hAnsi="CG Time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tabs>
        <w:tab w:val="center" w:pos="4140"/>
        <w:tab w:val="right" w:pos="8300"/>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s>
      <w:rPr>
        <w:rFonts w:hAnsi="CG Times"/>
        <w:sz w:val="28"/>
        <w:szCs w:val="28"/>
      </w:rPr>
    </w:pPr>
  </w:p>
  <w:p>
    <w:pPr>
      <w:pStyle w:val="4"/>
      <w:tabs>
        <w:tab w:val="center" w:pos="4140"/>
        <w:tab w:val="right" w:pos="8300"/>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enter" w:pos="4140"/>
        <w:tab w:val="right" w:pos="8300"/>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244"/>
        <w:tab w:val="center" w:pos="4140"/>
        <w:tab w:val="right" w:pos="8300"/>
      </w:tabs>
      <w:jc w:val="left"/>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TVhMzVlY2Q5Zjg2ODViMGJjZGExNmI3MzlhYjkifQ=="/>
  </w:docVars>
  <w:rsids>
    <w:rsidRoot w:val="00A62299"/>
    <w:rsid w:val="00A62299"/>
    <w:rsid w:val="032315EE"/>
    <w:rsid w:val="0FFE17A0"/>
    <w:rsid w:val="111B00BE"/>
    <w:rsid w:val="138F668B"/>
    <w:rsid w:val="14042A4C"/>
    <w:rsid w:val="2870368F"/>
    <w:rsid w:val="2A6D4BE6"/>
    <w:rsid w:val="2ADF9F0D"/>
    <w:rsid w:val="3AF6196E"/>
    <w:rsid w:val="3DDB69C1"/>
    <w:rsid w:val="445E6A54"/>
    <w:rsid w:val="467454A6"/>
    <w:rsid w:val="46752AE1"/>
    <w:rsid w:val="4A63280D"/>
    <w:rsid w:val="4E9B3838"/>
    <w:rsid w:val="5F785392"/>
    <w:rsid w:val="6FAE0E4E"/>
    <w:rsid w:val="76025051"/>
    <w:rsid w:val="77444A87"/>
    <w:rsid w:val="77E72A7F"/>
    <w:rsid w:val="79156236"/>
    <w:rsid w:val="7EFFEE72"/>
    <w:rsid w:val="DD77783A"/>
    <w:rsid w:val="DF7D8E17"/>
    <w:rsid w:val="FE5D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styleId="4">
    <w:name w:val="footer"/>
    <w:basedOn w:val="1"/>
    <w:qFormat/>
    <w:uiPriority w:val="99"/>
    <w:pPr>
      <w:tabs>
        <w:tab w:val="center" w:pos="4153"/>
        <w:tab w:val="right" w:pos="8306"/>
      </w:tabs>
      <w:suppressAutoHyphens/>
      <w:bidi w:val="0"/>
      <w:snapToGrid w:val="0"/>
      <w:spacing w:after="160" w:line="259" w:lineRule="auto"/>
      <w:jc w:val="left"/>
    </w:pPr>
    <w:rPr>
      <w:rFonts w:cs="Times New Roman"/>
      <w:kern w:val="0"/>
      <w:sz w:val="18"/>
      <w:szCs w:val="18"/>
    </w:rPr>
  </w:style>
  <w:style w:type="paragraph" w:styleId="5">
    <w:name w:val="header"/>
    <w:basedOn w:val="1"/>
    <w:qFormat/>
    <w:uiPriority w:val="0"/>
    <w:pPr>
      <w:pBdr>
        <w:bottom w:val="single" w:color="auto" w:sz="6" w:space="1"/>
      </w:pBdr>
      <w:tabs>
        <w:tab w:val="center" w:pos="4153"/>
        <w:tab w:val="right" w:pos="8306"/>
      </w:tabs>
      <w:suppressAutoHyphens/>
      <w:bidi w:val="0"/>
      <w:snapToGrid w:val="0"/>
      <w:spacing w:after="160" w:line="259" w:lineRule="auto"/>
      <w:jc w:val="center"/>
    </w:pPr>
    <w:rPr>
      <w:rFonts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首行缩进 21"/>
    <w:basedOn w:val="10"/>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10">
    <w:name w:val="正文文本缩进1"/>
    <w:basedOn w:val="1"/>
    <w:qFormat/>
    <w:uiPriority w:val="0"/>
    <w:pPr>
      <w:suppressAutoHyphens/>
      <w:bidi w:val="0"/>
      <w:adjustRightInd w:val="0"/>
      <w:snapToGrid w:val="0"/>
      <w:spacing w:after="0" w:line="360" w:lineRule="auto"/>
      <w:ind w:left="1680" w:hanging="990" w:firstLineChars="200"/>
    </w:pPr>
    <w:rPr>
      <w:rFonts w:ascii="仿宋_GB2312" w:hAnsi="Times New Roman" w:eastAsia="仿宋_GB2312" w:cs="仿宋_GB2312"/>
      <w:spacing w:val="-4"/>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7</Pages>
  <Words>1638</Words>
  <Characters>1684</Characters>
  <Lines>0</Lines>
  <Paragraphs>0</Paragraphs>
  <TotalTime>0</TotalTime>
  <ScaleCrop>false</ScaleCrop>
  <LinksUpToDate>false</LinksUpToDate>
  <CharactersWithSpaces>1689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2021-12-19T14:47:00Z</dcterms:created>
  <dc:creator>vivi</dc:creator>
  <cp:lastModifiedBy>赵金秀</cp:lastModifiedBy>
  <dcterms:modified xsi:type="dcterms:W3CDTF">2023-07-18T16:09:09Z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F19AF4BB02204E23A5F7E4D86B1C7E5F</vt:lpwstr>
  </property>
</Properties>
</file>