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0"/>
          <w:szCs w:val="40"/>
          <w:u w:val="none"/>
          <w:lang w:val="en-US" w:eastAsia="zh-CN" w:bidi="ar"/>
        </w:rPr>
        <w:t>中央和国家机关工作人员赴地方差旅住宿费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0"/>
          <w:szCs w:val="40"/>
          <w:u w:val="none"/>
          <w:lang w:val="en-US" w:eastAsia="zh-CN" w:bidi="ar"/>
        </w:rPr>
        <w:t>和伙食补助费标准明细表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（玉溪市市级机关出差住宿费标准表）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单位:元/人·天</w:t>
      </w:r>
    </w:p>
    <w:tbl>
      <w:tblPr>
        <w:tblStyle w:val="4"/>
        <w:tblW w:w="8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"/>
        <w:gridCol w:w="566"/>
        <w:gridCol w:w="1722"/>
        <w:gridCol w:w="742"/>
        <w:gridCol w:w="765"/>
        <w:gridCol w:w="603"/>
        <w:gridCol w:w="1167"/>
        <w:gridCol w:w="674"/>
        <w:gridCol w:w="413"/>
        <w:gridCol w:w="406"/>
        <w:gridCol w:w="429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Header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(城市)</w:t>
            </w:r>
          </w:p>
        </w:tc>
        <w:tc>
          <w:tcPr>
            <w:tcW w:w="21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住宿费标准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旺季地区</w:t>
            </w: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旺季浮动标准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伙食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补助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tblHeader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旺季期间</w:t>
            </w: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旺季上浮价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tblHeader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司局级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部级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司局级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其他人员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6个中心城区、滨海新区、东丽区、西青区、津南区、北辰区、武清区、宝坻区、静海区、蓟县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河北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石家庄市、张家口市、秦皇岛市、廊坊市、承德市、保定市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-9月、11-3月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-8月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太原市、大同市、晋城市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临汾市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阳泉市、长治市、晋中市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海拉尔市、满洲里市、阿尔山市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-9月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二连浩特市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额济纳旗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-10月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长春市、吉林市、延边州、长白山管理区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吉林市、延边州、长白山管理区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-9月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牡丹江市、伊春市、大兴安岭地区、黑河市、佳木斯市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-8月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南京市、苏州市、无锡市、常州市、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镇江市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福州市、泉州市、平潭综合实验区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济南市、淄博市、枣庄市、东营市、烟台市、潍坊市、济宁市、泰安市、威海市、日照市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烟台市、威海市、日照市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-9月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7-9月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-5月上旬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广州市、珠海市、佛山市、东莞市、中山市、江门市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桂林市、北海市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1-2月、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海口市、三沙市、儋州市、五指山市、文昌市、琼海市、万宁市、东方市、定安县、屯昌县、澄迈县、临高县、白沙县、昌江县、乐东县、陵水县、保亭县、琼中县、洋浦开发区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海口市、文昌市、澄迈县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1-2月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琼海市、万宁市、陵水县、保亭县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1-3月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三亚市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三亚市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0-4月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9个中心城区、北部新区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阿坝州、甘孜州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绵阳市、乐山市、雅安市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凉山州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德阳市、遂宁市、巴中市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昆明市、大理州、丽江市、迪庆州、西双版纳州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西藏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拉萨市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拉萨市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6-9月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-9月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榆林市、延安市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杨凌区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咸阳市、宝鸡市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渭南市、韩城市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兰州市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西宁市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西宁市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6-9月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玉树州、果洛州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玉树州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-9月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海北州、黄南州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海北州、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黄南州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-9月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海东市、海南州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海东市、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海南州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-9月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海西州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海西州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-9月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0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after="16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方正仿宋简体" w:hAnsi="方正仿宋简体" w:eastAsia="方正仿宋简体" w:cs="方正仿宋简体"/>
      <w:color w:val="FF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2023-05-25T02:04:57Z</dcterms:created>
  <dc:creator>Administrator</dc:creator>
  <cp:lastModifiedBy>Administrator</cp:lastModifiedBy>
  <dcterms:modified xsi:type="dcterms:W3CDTF">2023-05-25T02:05:28Z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