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玉溪市落实云南省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城市更新居住品质提升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三年行动计划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实施方案</w:t>
      </w:r>
    </w:p>
    <w:bookmarkEnd w:id="0"/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为贯彻落实《云南省城市更新居住品质提升三年行动计划（2022—2024年）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云建更〔2022〕72号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精神，科学有序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城市更新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，加快推进全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城镇老旧小区、棚户区、城中村、老旧厂区和老旧街区改造，推动居住品质提升，促进城市高质量发展，结合我市实际，制定本实施方案。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一、总体要求和目标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坚持“以人民为中心”的发展理念，聚焦人民群众“急难愁盼”的热点难点堵点问题，重点围绕城镇老旧小区、棚户区、城中村、老旧厂区和老旧街区改造，大力实施城市更新行动，突出治理“城市病”，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增强城市综合承载力和资源优化配置能力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，使城镇综合服务功能日益完善、人居环境质量持续改善、城市品质显著提升。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2022-2024年实现开工改造城镇老旧小区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489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个、城镇棚户区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7966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套、城中村3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个、老旧厂区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个、老旧街区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。其中：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老旧小区275个、城镇棚户区994套、城中村8个、老旧厂区5个、老旧街区1个；2023年改造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老旧小区1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个、城镇棚户区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4331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套、城中村13个、老旧厂区2个；2024年改造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老旧小区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个、城镇棚户区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套、城中村11个、老旧厂区3个、老旧街区1个。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工作任务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（一）城镇老旧小区改造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点改造2000年底前建成需改造的城镇老旧小区，鼓励有条件的地区推动2000年底至2005年建成的基础设施不完善、存在安全隐患、居民积极性高、改造意愿强烈的小区改造，实施成片改造的可适当延伸至2010年底前建成的配套基础设施不完善的小区。至2024年，基本完成2000年底前建成需改造的城镇老旧小区开工改造任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推进相邻小区及周边地区联动改造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合理确定改造内容，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做到基础类应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尽改，完善类宜改则改，提升类能改则改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鼓励有条件的加装电梯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。统筹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党建、养老、托幼、教育、医疗、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消防、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环卫等公共服务设施共建共享，以完整社区的标准和“15分钟生活圈”的规模实施改造。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〔责任单位：市住房城乡建设局牵头，市发展改革委、市自然资源规划局、市财政局、市民政局、市教育体育局、市公安局、市商务局、市文化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旅游局、市消防救援支队配合，各县（市、区）人民政府实施〕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（二）城镇棚户区改造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重点改造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设市城市、县城和重点镇规划区范围内的简易结构房屋较多、建筑密度较大、房屋使用年限较长、使用功能不全、基础设施简陋、设施配套不齐全、交通不便利、治安和消防隐患大、环境卫生脏乱差的区域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。可将三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大高原湖泊周边需要拆迁改造的城中（边）住房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符合当地棚户区改造范围和标准的城市危房纳入棚户区改造范围。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执行棚户区改造范围和标准，坚持尽力而为与量力而行相结合，采取拆除新建、改建（扩建、翻建）等多种方式实施。在不新增政府隐性债务的前提下，充分运用市场手段，努力实现县域范围内棚改资金收支总平衡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〔责任单位：市住房城乡建设局牵头，市发展改革委、市自然资源规划局、市财政局、市农业农村局、市林草局配合，各县（市、 区）人民政府、玉溪高新区管委实施〕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（三）城中村改造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重点改造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城市建成区内，已无农村户口和集体用地、撤销了乡村行政建制、实施街道办事处居委会城镇管理的区域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城市规划区范围内的其他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城中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稳步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实施改造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，具体改造范围由当地人民政府确定。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坚持科学规划、分步实施，有计划、有重点、有步骤地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城中村改造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坚持政府主导、市场参与，通过多渠道筹资和发挥市场机制的作用实现可持续发展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坚持因地制宜、分类指导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从实际出发采取改造和拆除相结合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方式实施改造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坚持完善配套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同步建设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将城中村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建设和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周边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市政基础设施、公共服务设施同步配套规划建设。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〔责任单位：市住房城乡建设局、市自然资源规划局牵头，市发展改革委、市财政局、市农业农村局、市民政局、市公安局配合，各县（市、 区）人民政府实施〕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（四）老旧厂区改造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有序实施城区（城镇）老旧厂区的搬迁退出和向园区聚集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做好老旧厂区的评估论证，科学合理编制老旧厂区分类保护利用方案，实施城区（城镇）内腾退老旧厂区的“退二进三”多元化改造，充分提升老旧厂区用地效率，活化利用工业遗产，盘活老旧厂区资源和效益，充分发挥老旧厂区的利用价值，促进老旧厂区可持续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土地资源的集约高效利用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隶书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责任单位：市工业和信息化局牵头，市自然资源规划局、市发展改革委、市住房城乡建设局、市商务局、市文化和旅游局配合，各县（市、 区）人民政府、玉溪高新区管委实施〕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（五）老旧街区改造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重点改造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功能不完善、品质不高、需提升改造的街区，优先改造具有传统风貌和地方人文特色的老旧街区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安全隐患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突出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，环境“脏乱差”的背街小巷，推行小规模、渐进式的“微更新”改造。培育引入新产业、新业态，顺应多元化、多样化、个性化的产品或服务需求，促进城市产业的延续和老旧街区功能置换，激发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活力，打造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亮点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打造安全有序、设施完善、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风貌协调、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环境优美的文明街巷，形成一批特色鲜明的活力街区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〔责任单位：市住房城乡建设局牵头，市文化和旅游局、市商务局、市自然资源规划局、市发展改革委配合，各县（市、 区）人民政府实施〕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保障措施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规划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引领作用。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以总体规划设计为引领，坚持连片开发、整体集中推进的工作方式，全面提升城市内部规划布局的合理性，使住宅、商业、办公、文化等不同功能区相互交织、有机结合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依据国土空间规划、国民经济和社会发展规划，制定城市更新专项规划，客观评估建成区现状及存在问题、确定工作目标、框定更新范围、划分更新单元、建立更新项目库、明确建设时序，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有序推进城市更新行动。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市自然资源规划局</w:t>
      </w:r>
      <w:r>
        <w:rPr>
          <w:rFonts w:hint="eastAsia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牵头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市发展改革委、市民政局、市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工业和信息化局、市商务局、市教体局、市文化和旅游局配合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，各县（市、 区）人民政府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、高新区管委会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kern w:val="2"/>
          <w:sz w:val="32"/>
          <w:szCs w:val="32"/>
          <w:lang w:val="en-US" w:eastAsia="zh-CN" w:bidi="ar-SA"/>
        </w:rPr>
        <w:t>（二）提高项目策划水平</w:t>
      </w:r>
      <w:r>
        <w:rPr>
          <w:rFonts w:hint="default" w:ascii="Times New Roman" w:hAnsi="Times New Roman" w:eastAsia="楷体_GB2312" w:cs="Times New Roman"/>
          <w:b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结合“双百城市”和“双十县城”规划，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强化项目谋划包装，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整合政策和资源，实现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区域统筹平衡。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转变城市开发建设方式，切实防止大拆大建，推行小规模、渐进式有机更新和微改造，试点实施“留、改、拆、建”混合改造，加强片区基础设施、公共服务设施共建共享。在成片改造区域内，城镇老旧小区、老旧厂区、老旧街区及城中村等可统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打包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探索城市更新工作机制、实施模式、政策措施、技术方法和管理制度等一整套方法路径，形成一批具有示范效应的城市更新项目，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发挥示范引领作用，科学引导各地有序实施城市更新行动。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牵头，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市发展改革委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、市工业和信息化局配合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，各县（市、 区）人民政府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、高新区管委会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）创新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融资方式方法。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强化城市经营理念，坚持政府主导、市场化运作，充分发挥市场在资源配置中的决定性作用，调动各方积极性，鼓励多元主体参与，积极探索投融资新模式。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积极争取中央、省级补助资金和专项债券资金，努力拓展银行信贷、社会资本、债券融资、居民个人出资参与等渠道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加大招商引资力度，引入有实力的企业通过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“投、融、建、管、营”一体化服务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参与城市更新工作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引导市场金融机构探索贷款投放和担保新模式，创新信贷金融产品，优先保障符合条件的城市更新改造项目资金需求。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〔责任单位：市财政局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市住房城乡建设局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市发展改革委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按职责分别负责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，各县（市、 区）人民政府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、高新区管委会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（四）完善制度支撑体系。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建立城市更新规划引领、分类指导、政策激励和长效运营等工作机制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完善政府统筹“自上而下”的重点片区和重大项目的管控机制，探索社区和市场主体“自下而上”的需求主导的更新申报机制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构建城市有机更新与社区发展治理双线融合机制。统筹各年度建设用地指标，用好城镇保障性安居工程相关土地支持政策，优先保障城市更新项目需求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〔责任单位：市住房城乡建设局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市自然资源规划局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市发展改革委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按职责分别负责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，各县（市、 区）人民政府</w:t>
      </w:r>
      <w:r>
        <w:rPr>
          <w:rFonts w:hint="eastAsia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、高新区管委会</w:t>
      </w: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实施〕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四、工作要求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加强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组织领导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市人民政府对全市城市更新工作负总责，强化政策协调、组织领导和统筹调度，分解压实相关部门工作任务及责任；县（市、区）人民政府履行好城市更新工作的主体责任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负责工作方案制定、资金筹集、宣传发动、组织实施、政策保障、运行监管等工作，确保各项工作目标有序推进。各级发改、住建、工信、财政、商务、民政、教体、自规、文旅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、农业、环保、公安、消防救援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等部门要结合职能职责进一步加强协作配合，合力推进城市更新工作。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（二）推进项目实施。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加快项目前期工作，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鼓励有条件的项目提前开工建设。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严格执行基本建设程序和标准规范，落实工程质量责任，强化现场安全管理，每年度城镇老旧小区改造任务需在当年9月前实现全部开工；棚户区改造项目在当年10月底前实现全部开工；老旧厂区、老旧街区、城中村改造项目在当年12月底前实现全部开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认真落实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“典型引路法”的要求，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及时总结可复制、可推广的经验做法，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申报省级试点示范项目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（三）严格资金管理。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各地新增专项债券限额内，支持符合条件的项目申报发行专项债券。各地要严格资金的使用范围，严格资金监督管理，严格资金跟踪调度，对检查中发现资金使用管理存在的问题要及时整改。严格落实保障性安居工程专项资金使用管理及融资、债券资金使用有关规定，严格资金审核支付程序，确保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0"/>
          <w:sz w:val="32"/>
          <w:szCs w:val="32"/>
          <w:lang w:val="en-US" w:eastAsia="zh-CN" w:bidi="ar-SA"/>
        </w:rPr>
        <w:t>（四）强化监督检查。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建立健全考核制度，将城镇老旧小区、城镇棚户区、老旧厂区、老旧街区和城中村改造工作纳入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县（市、区）人民政府、高新区管委会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及有关部门年度目标考核指标，加强监督指导力度，定期对各地工作进行全面督促检查，全面落实各项政策措施，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确保各项目标任务如期完成。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1280" w:hanging="1280" w:hangingChars="4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2022-2024年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城镇老旧小区改造年度计划表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20" w:hanging="320" w:hangingChars="1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2022-2024年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城镇棚户区改造年度计划表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20" w:hanging="320" w:hangingChars="1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2022-2024年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城中村改造年度计划表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20" w:hanging="320" w:hangingChars="1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2022-2024年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老旧厂区改造年度计划表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320" w:hanging="320" w:hangingChars="1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2022-2024年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老旧街区改造年度计划表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footerReference r:id="rId3" w:type="default"/>
          <w:pgSz w:w="11906" w:h="16838"/>
          <w:pgMar w:top="2041" w:right="1474" w:bottom="1304" w:left="1588" w:header="1361" w:footer="1191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玉溪市2022—2024年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城镇</w:t>
      </w: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老旧小区改造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年度计划表</w:t>
      </w:r>
    </w:p>
    <w:tbl>
      <w:tblPr>
        <w:tblStyle w:val="10"/>
        <w:tblW w:w="14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107"/>
        <w:gridCol w:w="1107"/>
        <w:gridCol w:w="1266"/>
        <w:gridCol w:w="1107"/>
        <w:gridCol w:w="1107"/>
        <w:gridCol w:w="1266"/>
        <w:gridCol w:w="1107"/>
        <w:gridCol w:w="1107"/>
        <w:gridCol w:w="1009"/>
        <w:gridCol w:w="972"/>
        <w:gridCol w:w="972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</w:p>
        </w:tc>
        <w:tc>
          <w:tcPr>
            <w:tcW w:w="3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小区数（个）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建筑面积（万平方米）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小区数（个）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建筑面积（万平方米）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小区数（个）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建筑面积（万平方米）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小区数（个）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户数（户）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建筑面积（万平方米）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红塔区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111.07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101.87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江川区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通海县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华宁县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易门县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峨山县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12.505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新平县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元江县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3.2183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14.2159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152.2653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10682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140.0409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318.6892</w:t>
            </w:r>
          </w:p>
        </w:tc>
      </w:tr>
    </w:tbl>
    <w:p>
      <w:pPr>
        <w:pStyle w:val="15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6838" w:h="11906" w:orient="landscape"/>
          <w:pgMar w:top="2041" w:right="1474" w:bottom="1417" w:left="1587" w:header="851" w:footer="907" w:gutter="0"/>
          <w:pgNumType w:fmt="decimal"/>
          <w:cols w:space="720" w:num="1"/>
          <w:rtlGutter w:val="0"/>
          <w:docGrid w:type="lines" w:linePitch="323" w:charSpace="0"/>
        </w:sectPr>
      </w:pPr>
    </w:p>
    <w:p>
      <w:pPr>
        <w:pStyle w:val="15"/>
        <w:ind w:left="1" w:leftChars="-95" w:right="-170" w:rightChars="-81" w:hanging="200" w:hangingChars="50"/>
        <w:jc w:val="center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玉溪市2022—2024年城镇棚户区改造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年度计划表</w:t>
      </w:r>
    </w:p>
    <w:tbl>
      <w:tblPr>
        <w:tblStyle w:val="10"/>
        <w:tblW w:w="9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35"/>
        <w:gridCol w:w="1010"/>
        <w:gridCol w:w="4368"/>
        <w:gridCol w:w="126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计划改造年份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计划任务（套）</w:t>
            </w:r>
          </w:p>
        </w:tc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预计投资额（亿元）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红塔区2022年棚户区改造项目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元江县2022年城镇棚户区改造项目（福利巷、西门村南）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凤凰街道玉纺小区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北城街道棚改一期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新兴州城棚改一期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迎春小区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高铁新城一期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江川区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江川区城中村微改造项目（上营社区、大街社区）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澄江市城镇棚户区改造项目大窑片区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澄江市城镇棚户区改造项目小窑片区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澄江市城镇棚户区改造项目赵庄片区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澄江市城镇棚户区改造项目高楼房片区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双江街道土官社区棚户区改造一期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小街街道小街社区棚户区改造一期项目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元江县2023年城镇棚户区改造建设项目（新村、高砍、双高、团田、小寨子、大路新寨）项目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凤凰街道轻工设备厂小区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北城街道棚改二期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新兴州城棚改二期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珊瑚一巷、三巷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高铁新城二期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小街街道小街社区棚户区改造二期项目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元江县城河片区城镇棚户区改造建设项目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81.459</w:t>
            </w:r>
          </w:p>
        </w:tc>
      </w:tr>
    </w:tbl>
    <w:p>
      <w:pPr>
        <w:pStyle w:val="15"/>
        <w:ind w:left="0" w:leftChars="0" w:firstLine="0" w:firstLineChars="0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pgSz w:w="11906" w:h="16838"/>
          <w:pgMar w:top="1474" w:right="1417" w:bottom="1134" w:left="2041" w:header="851" w:footer="850" w:gutter="0"/>
          <w:pgNumType w:fmt="decimal"/>
          <w:cols w:space="720" w:num="1"/>
          <w:rtlGutter w:val="0"/>
          <w:docGrid w:type="lines" w:linePitch="323" w:charSpace="0"/>
        </w:sectPr>
      </w:pPr>
    </w:p>
    <w:tbl>
      <w:tblPr>
        <w:tblStyle w:val="10"/>
        <w:tblW w:w="89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73"/>
        <w:gridCol w:w="1116"/>
        <w:gridCol w:w="3348"/>
        <w:gridCol w:w="134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89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玉溪市2022—2024年老旧厂区改造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计划改造年份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3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改造面积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（万平方米）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预计投资额（亿元）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江川区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江川磷化公司兴江路片区旧厂区改造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通海县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华隆包装厂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通海县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通印老厂房片区改造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高新区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高新阳光</w:t>
            </w:r>
            <w:r>
              <w:rPr>
                <w:rStyle w:val="18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住宅小区项目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高新区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拆除滇中药业，</w:t>
            </w:r>
            <w:r>
              <w:rPr>
                <w:rStyle w:val="18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“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退二进三</w:t>
            </w:r>
            <w:r>
              <w:rPr>
                <w:rStyle w:val="18"/>
                <w:rFonts w:hint="default" w:ascii="Times New Roman" w:hAnsi="Times New Roman" w:eastAsia="宋体" w:cs="Times New Roman"/>
                <w:sz w:val="20"/>
                <w:szCs w:val="20"/>
                <w:lang w:val="en-US" w:eastAsia="zh-CN" w:bidi="ar"/>
              </w:rPr>
              <w:t>”</w:t>
            </w: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15.84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澄江市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云南澄江冶钢集团水泥有限公司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高新区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原司艾特药业破产企业开发项目（商业中心）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通海县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民族织染厂片区改造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元江县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元江糖厂生活区改造项目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元江县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元江中小微企业创业产业园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小计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9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34.18</w:t>
            </w:r>
          </w:p>
        </w:tc>
      </w:tr>
    </w:tbl>
    <w:p>
      <w:pPr>
        <w:pStyle w:val="6"/>
        <w:jc w:val="both"/>
        <w:rPr>
          <w:rFonts w:hint="default" w:ascii="Times New Roman" w:hAnsi="Times New Roman" w:cs="Times New Roman"/>
          <w:sz w:val="20"/>
          <w:szCs w:val="20"/>
        </w:rPr>
        <w:sectPr>
          <w:pgSz w:w="11906" w:h="16838"/>
          <w:pgMar w:top="1474" w:right="1417" w:bottom="1587" w:left="2041" w:header="851" w:footer="907" w:gutter="0"/>
          <w:pgNumType w:fmt="decimal"/>
          <w:cols w:space="720" w:num="1"/>
          <w:rtlGutter w:val="0"/>
          <w:docGrid w:type="lines" w:linePitch="323" w:charSpace="0"/>
        </w:sectPr>
      </w:pPr>
    </w:p>
    <w:tbl>
      <w:tblPr>
        <w:tblStyle w:val="10"/>
        <w:tblW w:w="9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948"/>
        <w:gridCol w:w="984"/>
        <w:gridCol w:w="3313"/>
        <w:gridCol w:w="887"/>
        <w:gridCol w:w="1392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1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玉溪市2022—2024年城中村改造</w:t>
            </w:r>
            <w:r>
              <w:rPr>
                <w:rFonts w:hint="eastAsia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计划改造年份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所属县（市、区）</w:t>
            </w:r>
          </w:p>
        </w:tc>
        <w:tc>
          <w:tcPr>
            <w:tcW w:w="3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计划户数（户）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  <w:r>
              <w:rPr>
                <w:rStyle w:val="19"/>
                <w:rFonts w:hint="default" w:ascii="Times New Roman" w:hAnsi="Times New Roman" w:eastAsia="方正黑体_GBK" w:cs="Times New Roman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（万平方米）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预计投资额（亿元）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李家高山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任家边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珊瑚二巷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珊瑚四巷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江川区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大街社区城中村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华宁县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塘子心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新平县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青龙一组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2022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年城镇棚户区改造项目（福利巷、西门村南）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迎春小区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华宁县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太平街片区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华宁县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高田片区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4.8879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土官下村一组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土官下村二组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土官下村三组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土官上村四组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土官大石头五组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土官大石头六组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小街街道小街社区六组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小街街道小街社区七组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小街街道小街社区八组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  <w:r>
              <w:rPr>
                <w:rStyle w:val="20"/>
                <w:rFonts w:hint="default" w:ascii="Times New Roman" w:hAnsi="Times New Roman" w:eastAsia="方正仿宋_GBK" w:cs="Times New Roman"/>
                <w:lang w:val="en-US" w:eastAsia="zh-CN" w:bidi="ar"/>
              </w:rPr>
              <w:t>2023</w:t>
            </w:r>
            <w:r>
              <w:rPr>
                <w:rStyle w:val="21"/>
                <w:rFonts w:hint="default" w:ascii="Times New Roman" w:hAnsi="Times New Roman" w:cs="Times New Roman"/>
                <w:lang w:val="en-US" w:eastAsia="zh-CN" w:bidi="ar"/>
              </w:rPr>
              <w:t>年城镇棚户区改造建设项目（新村、高砍、双高、团田、小寨子、大路新寨）项目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105.7899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珊瑚一巷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红塔区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珊瑚三巷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小窑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高楼房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小街街道小街社区二组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小街街道小街社区三组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5.632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小街街道小街社区四组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峨山县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小街街道小街社区白庙组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3.256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元江县城河片区城镇棚户区改造建设项目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8.2233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65.1453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书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书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209.9552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cs="Times New Roman"/>
        </w:rPr>
      </w:pPr>
    </w:p>
    <w:tbl>
      <w:tblPr>
        <w:tblStyle w:val="10"/>
        <w:tblpPr w:leftFromText="180" w:rightFromText="180" w:vertAnchor="text" w:horzAnchor="page" w:tblpXSpec="center" w:tblpY="2400"/>
        <w:tblOverlap w:val="never"/>
        <w:tblW w:w="84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47"/>
        <w:gridCol w:w="1145"/>
        <w:gridCol w:w="2911"/>
        <w:gridCol w:w="121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计划改造年份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所属县（市、区）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改造面积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（万平方米）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预计投资额（亿元）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易门县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菌文化主题街区项目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易门县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野生菌汤锅美食主题街区提升项目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0.576</w:t>
            </w:r>
          </w:p>
        </w:tc>
      </w:tr>
    </w:tbl>
    <w:p>
      <w:pPr>
        <w:pStyle w:val="15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pStyle w:val="15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玉溪市2022—2024年老旧街区改造</w:t>
      </w:r>
      <w:r>
        <w:rPr>
          <w:rFonts w:hint="eastAsia" w:ascii="Times New Roman" w:hAnsi="Times New Roman" w:eastAsia="方正小标宋_GBK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年度计划表</w:t>
      </w:r>
    </w:p>
    <w:p>
      <w:pPr>
        <w:pStyle w:val="15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rPr>
          <w:rFonts w:hint="default" w:ascii="Times New Roman" w:hAnsi="Times New Roman" w:cs="Times New Roman"/>
        </w:rPr>
      </w:pPr>
    </w:p>
    <w:p/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1134" w:right="1474" w:bottom="1134" w:left="1587" w:header="136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42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42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42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right="42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420"/>
                      <w:jc w:val="right"/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20" w:firstLineChars="150"/>
      <w:rPr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2"/>
        <w:sz w:val="28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600" w:lineRule="exac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600" w:lineRule="exact"/>
                      <w:ind w:left="0" w:leftChars="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66C75"/>
    <w:rsid w:val="FFE6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480" w:lineRule="auto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Body Text"/>
    <w:basedOn w:val="1"/>
    <w:next w:val="6"/>
    <w:qFormat/>
    <w:uiPriority w:val="0"/>
    <w:pPr>
      <w:adjustRightInd w:val="0"/>
      <w:snapToGrid w:val="0"/>
      <w:spacing w:line="348" w:lineRule="auto"/>
      <w:jc w:val="center"/>
    </w:pPr>
    <w:rPr>
      <w:rFonts w:eastAsia="方正小标宋简体"/>
      <w:bCs/>
      <w:sz w:val="44"/>
      <w:szCs w:val="44"/>
    </w:rPr>
  </w:style>
  <w:style w:type="paragraph" w:styleId="6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36" w:lineRule="auto"/>
      <w:jc w:val="left"/>
    </w:pPr>
    <w:rPr>
      <w:rFonts w:ascii="宋体" w:hAnsi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4">
    <w:name w:val=" Char1 Char Char Char"/>
    <w:basedOn w:val="4"/>
    <w:qFormat/>
    <w:uiPriority w:val="0"/>
    <w:pPr>
      <w:adjustRightInd w:val="0"/>
      <w:snapToGrid w:val="0"/>
      <w:spacing w:before="240" w:after="240" w:line="348" w:lineRule="auto"/>
      <w:ind w:firstLine="200" w:firstLineChars="200"/>
    </w:pPr>
    <w:rPr>
      <w:rFonts w:eastAsia="仿宋_GB2312"/>
    </w:rPr>
  </w:style>
  <w:style w:type="paragraph" w:customStyle="1" w:styleId="15">
    <w:name w:val="Body Text First Indent 21"/>
    <w:basedOn w:val="16"/>
    <w:qFormat/>
    <w:uiPriority w:val="99"/>
    <w:pPr>
      <w:ind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16">
    <w:name w:val="Body Text Indent1"/>
    <w:basedOn w:val="1"/>
    <w:qFormat/>
    <w:uiPriority w:val="0"/>
    <w:pPr>
      <w:spacing w:after="120"/>
      <w:ind w:left="420" w:leftChars="200"/>
    </w:pPr>
  </w:style>
  <w:style w:type="character" w:customStyle="1" w:styleId="17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9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01"/>
    <w:basedOn w:val="1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2022-10-18T14:45:00Z</dcterms:created>
  <dc:creator>鱼</dc:creator>
  <cp:lastModifiedBy>鱼</cp:lastModifiedBy>
  <dcterms:modified xsi:type="dcterms:W3CDTF">2022-10-18T14:46:49Z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