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ind w:right="233" w:rightChars="111"/>
        <w:rPr>
          <w:rFonts w:hint="eastAsia" w:ascii="方正黑体_GBK" w:hAnsi="方正黑体_GBK" w:eastAsia="方正黑体_GBK" w:cs="方正黑体_GBK"/>
          <w:kern w:val="1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13"/>
          <w:sz w:val="32"/>
          <w:szCs w:val="32"/>
        </w:rPr>
        <w:t xml:space="preserve">附件1 </w:t>
      </w:r>
    </w:p>
    <w:p>
      <w:pPr>
        <w:autoSpaceDE w:val="0"/>
        <w:autoSpaceDN w:val="0"/>
        <w:adjustRightInd w:val="0"/>
        <w:snapToGrid w:val="0"/>
        <w:ind w:right="233" w:rightChars="111" w:firstLine="440" w:firstLineChars="100"/>
        <w:jc w:val="center"/>
        <w:rPr>
          <w:rFonts w:hint="eastAsia" w:ascii="方正小标宋_GBK" w:hAnsi="方正小标宋_GBK" w:eastAsia="方正小标宋_GBK" w:cs="方正小标宋_GBK"/>
          <w:color w:val="000000"/>
          <w:kern w:val="13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13"/>
          <w:sz w:val="44"/>
          <w:szCs w:val="44"/>
        </w:rPr>
        <w:t>县（市、区）学前、义务教育适龄残疾儿童少年评估基本情况汇总表</w:t>
      </w:r>
    </w:p>
    <w:bookmarkEnd w:id="0"/>
    <w:p>
      <w:pPr>
        <w:autoSpaceDE w:val="0"/>
        <w:autoSpaceDN w:val="0"/>
        <w:adjustRightInd w:val="0"/>
        <w:snapToGrid w:val="0"/>
        <w:ind w:right="233" w:rightChars="111" w:firstLine="440" w:firstLineChars="100"/>
        <w:jc w:val="center"/>
        <w:rPr>
          <w:rFonts w:hint="eastAsia" w:ascii="方正小标宋_GBK" w:hAnsi="方正小标宋_GBK" w:eastAsia="方正小标宋_GBK" w:cs="方正小标宋_GBK"/>
          <w:color w:val="000000"/>
          <w:kern w:val="13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right="233" w:rightChars="111"/>
        <w:rPr>
          <w:rFonts w:ascii="楷体_GB2312" w:eastAsia="楷体_GB2312" w:cs="宋体"/>
          <w:kern w:val="13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u w:val="single"/>
        </w:rPr>
        <w:t xml:space="preserve">     </w:t>
      </w:r>
      <w:r>
        <w:rPr>
          <w:rFonts w:ascii="仿宋" w:hAnsi="仿宋" w:eastAsia="仿宋" w:cs="Times New Roman"/>
          <w:sz w:val="32"/>
        </w:rPr>
        <w:t>县（市、区）</w:t>
      </w:r>
      <w:r>
        <w:rPr>
          <w:rFonts w:hint="eastAsia" w:ascii="仿宋" w:hAnsi="仿宋" w:eastAsia="仿宋" w:cs="Times New Roman"/>
          <w:sz w:val="32"/>
        </w:rPr>
        <w:t>教育体育局</w:t>
      </w:r>
    </w:p>
    <w:tbl>
      <w:tblPr>
        <w:tblStyle w:val="2"/>
        <w:tblW w:w="9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963"/>
        <w:gridCol w:w="1251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  <w:t>评估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  <w:t>残疾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  <w:t>儿童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  <w:t>少年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  <w:t>信息</w:t>
            </w:r>
          </w:p>
        </w:tc>
        <w:tc>
          <w:tcPr>
            <w:tcW w:w="8158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32"/>
                <w:szCs w:val="32"/>
              </w:rPr>
              <w:t>学前段：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32"/>
                <w:szCs w:val="32"/>
              </w:rPr>
              <w:t>视力障碍：   人，听力障碍：    人，智力障碍：  人，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  <w:t>多重障碍儿童少年：    人，其他：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  <w:t>义务教育段：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32"/>
                <w:szCs w:val="32"/>
              </w:rPr>
              <w:t>视力障碍：  人，听力障碍： 人，智力障碍：  人，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  <w:t>多重障碍儿童少年：   人，其他：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  <w:t>拟定评估时间</w:t>
            </w:r>
          </w:p>
        </w:tc>
        <w:tc>
          <w:tcPr>
            <w:tcW w:w="8158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bCs/>
                <w:color w:val="FF0000"/>
                <w:kern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  <w:t>拟定评估地点</w:t>
            </w:r>
          </w:p>
        </w:tc>
        <w:tc>
          <w:tcPr>
            <w:tcW w:w="8158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bCs/>
                <w:color w:val="FF0000"/>
                <w:kern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  <w:t>联系人</w:t>
            </w:r>
          </w:p>
        </w:tc>
        <w:tc>
          <w:tcPr>
            <w:tcW w:w="296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kern w:val="13"/>
                <w:sz w:val="32"/>
                <w:szCs w:val="32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  <w:t>联系方式</w:t>
            </w:r>
          </w:p>
        </w:tc>
        <w:tc>
          <w:tcPr>
            <w:tcW w:w="39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kern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1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备注：各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  <w:t>县（市、区）教育体育局于2021年4月16日前分别将此表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报送至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  <w:t>：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3"/>
                <w:sz w:val="32"/>
                <w:szCs w:val="32"/>
              </w:rPr>
              <w:t>市教育体育局基础教育科邮箱：OA邮箱  李 彤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市残疾人联合会教就科邮箱：OA邮箱  尹国光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市特殊教育学校教务处邮箱：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u w:val="none"/>
              </w:rPr>
              <w:t>ynyxtxjwc@163.com</w:t>
            </w:r>
          </w:p>
          <w:p>
            <w:pPr>
              <w:autoSpaceDE w:val="0"/>
              <w:autoSpaceDN w:val="0"/>
              <w:adjustRightInd w:val="0"/>
              <w:snapToGrid w:val="0"/>
              <w:ind w:right="233" w:rightChars="111"/>
              <w:jc w:val="left"/>
              <w:rPr>
                <w:rFonts w:hint="default" w:ascii="Times New Roman" w:hAnsi="Times New Roman" w:eastAsia="方正仿宋_GBK" w:cs="Times New Roman"/>
                <w:b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市特殊教育学校联系人：</w:t>
            </w:r>
            <w:r>
              <w:rPr>
                <w:rFonts w:hint="default" w:ascii="Times New Roman" w:hAnsi="Times New Roman" w:eastAsia="方正仿宋_GBK" w:cs="Times New Roman"/>
                <w:kern w:val="13"/>
                <w:sz w:val="32"/>
                <w:szCs w:val="32"/>
              </w:rPr>
              <w:t>胡春梅    李娇</w:t>
            </w:r>
          </w:p>
        </w:tc>
      </w:tr>
    </w:tbl>
    <w:p/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258B8"/>
    <w:rsid w:val="324258B8"/>
    <w:rsid w:val="35EB71C2"/>
    <w:rsid w:val="3CB3592A"/>
    <w:rsid w:val="4F2E50FC"/>
    <w:rsid w:val="6B7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2021-08-16T08:25:00Z</dcterms:created>
  <dc:creator>Administrator</dc:creator>
  <cp:lastModifiedBy>Administrator</cp:lastModifiedBy>
  <dcterms:modified xsi:type="dcterms:W3CDTF">2021-08-16T08:27:14Z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