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Noto Sans Lisu" w:hAnsi="Noto Sans Lisu" w:eastAsia="楷体" w:cs="Times New Roman"/>
          <w:sz w:val="32"/>
          <w:szCs w:val="32"/>
          <w:lang w:bidi="ar"/>
        </w:rPr>
      </w:pPr>
      <w:r>
        <w:rPr>
          <w:rFonts w:hint="default" w:ascii="LinTimes" w:hAnsi="LinTimes" w:eastAsia="仿宋_GB2312" w:cs="LinTimes"/>
          <w:sz w:val="32"/>
          <w:szCs w:val="32"/>
          <w:lang w:bidi="ar"/>
        </w:rPr>
        <w:t>附件</w:t>
      </w:r>
      <w:r>
        <w:rPr>
          <w:rFonts w:hint="eastAsia" w:ascii="LinTimes" w:hAnsi="LinTimes" w:eastAsia="仿宋_GB2312" w:cs="LinTimes"/>
          <w:sz w:val="32"/>
          <w:szCs w:val="32"/>
          <w:lang w:val="en-US" w:eastAsia="zh-CN" w:bidi="ar"/>
        </w:rPr>
        <w:t>2</w:t>
      </w:r>
      <w:r>
        <w:rPr>
          <w:rFonts w:hint="default" w:ascii="LinTimes" w:hAnsi="LinTimes" w:eastAsia="仿宋_GB2312" w:cs="LinTimes"/>
          <w:sz w:val="32"/>
          <w:szCs w:val="32"/>
          <w:lang w:bidi="ar"/>
        </w:rPr>
        <w:t xml:space="preserve"> </w:t>
      </w:r>
      <w:r>
        <w:rPr>
          <w:rFonts w:hint="default" w:ascii="LinTimes" w:hAnsi="LinTimes" w:eastAsia="楷体_GB2312" w:cs="LinTimes"/>
          <w:sz w:val="32"/>
          <w:szCs w:val="32"/>
          <w:lang w:bidi="ar"/>
        </w:rPr>
        <w:t xml:space="preserve"> </w:t>
      </w:r>
      <w:r>
        <w:rPr>
          <w:rFonts w:hint="default" w:ascii="LinTimes" w:hAnsi="LinTimes" w:eastAsia="楷体" w:cs="LinTimes"/>
          <w:sz w:val="32"/>
          <w:szCs w:val="32"/>
          <w:lang w:bidi="ar"/>
        </w:rPr>
        <w:t xml:space="preserve"> </w:t>
      </w:r>
      <w:r>
        <w:rPr>
          <w:rFonts w:ascii="Noto Sans Lisu" w:hAnsi="Noto Sans Lisu" w:eastAsia="楷体" w:cs="Times New Roman"/>
          <w:sz w:val="32"/>
          <w:szCs w:val="32"/>
          <w:lang w:bidi="ar"/>
        </w:rPr>
        <w:t xml:space="preserve">       </w:t>
      </w:r>
    </w:p>
    <w:p>
      <w:pPr>
        <w:jc w:val="center"/>
        <w:rPr>
          <w:rFonts w:hint="eastAsia" w:ascii="黑体" w:hAnsi="宋体" w:eastAsia="黑体" w:cs="黑体"/>
          <w:sz w:val="36"/>
          <w:szCs w:val="36"/>
          <w:lang w:bidi="ar"/>
        </w:rPr>
      </w:pPr>
      <w:bookmarkStart w:id="0" w:name="_GoBack"/>
      <w:r>
        <w:rPr>
          <w:rFonts w:hint="eastAsia" w:ascii="黑体" w:hAnsi="宋体" w:eastAsia="黑体" w:cs="黑体"/>
          <w:sz w:val="36"/>
          <w:szCs w:val="36"/>
          <w:lang w:eastAsia="zh-CN" w:bidi="ar"/>
        </w:rPr>
        <w:t>重点联系商贸物流</w:t>
      </w:r>
      <w:r>
        <w:rPr>
          <w:rFonts w:hint="eastAsia" w:ascii="黑体" w:hAnsi="宋体" w:eastAsia="黑体" w:cs="黑体"/>
          <w:sz w:val="36"/>
          <w:szCs w:val="36"/>
          <w:lang w:bidi="ar"/>
        </w:rPr>
        <w:t>企业</w:t>
      </w:r>
      <w:r>
        <w:rPr>
          <w:rFonts w:hint="eastAsia" w:ascii="黑体" w:hAnsi="宋体" w:eastAsia="黑体" w:cs="黑体"/>
          <w:sz w:val="36"/>
          <w:szCs w:val="36"/>
          <w:lang w:eastAsia="zh-CN" w:bidi="ar"/>
        </w:rPr>
        <w:t>推荐</w:t>
      </w:r>
      <w:r>
        <w:rPr>
          <w:rFonts w:hint="eastAsia" w:ascii="黑体" w:hAnsi="宋体" w:eastAsia="黑体" w:cs="黑体"/>
          <w:sz w:val="36"/>
          <w:szCs w:val="36"/>
          <w:lang w:bidi="ar"/>
        </w:rPr>
        <w:t>表</w:t>
      </w:r>
      <w:bookmarkEnd w:id="0"/>
    </w:p>
    <w:p>
      <w:pPr>
        <w:jc w:val="both"/>
        <w:rPr>
          <w:rFonts w:hint="eastAsia" w:ascii="黑体" w:hAnsi="宋体" w:eastAsia="黑体" w:cs="黑体"/>
          <w:sz w:val="21"/>
          <w:szCs w:val="21"/>
          <w:lang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142875</wp:posOffset>
                </wp:positionV>
                <wp:extent cx="4938395" cy="304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4305" y="725170"/>
                          <a:ext cx="49383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default" w:ascii="LinTimes" w:hAnsi="LinTimes" w:eastAsia="仿宋_GB2312" w:cs="LinTimes"/>
                                <w:b/>
                                <w:bCs/>
                                <w:lang w:eastAsia="zh-CN"/>
                              </w:rPr>
                              <w:t>注：各省（区、市）推荐的重点联系商贸物流企业不少于</w:t>
                            </w:r>
                            <w:r>
                              <w:rPr>
                                <w:rFonts w:hint="default" w:ascii="LinTimes" w:hAnsi="LinTimes" w:eastAsia="仿宋_GB2312" w:cs="LinTimes"/>
                                <w:b/>
                                <w:bCs/>
                                <w:lang w:val="en-US" w:eastAsia="zh-CN"/>
                              </w:rPr>
                              <w:t>10家</w:t>
                            </w:r>
                            <w:r>
                              <w:rPr>
                                <w:rFonts w:hint="eastAsia" w:ascii="LinTimes" w:hAnsi="LinTimes" w:eastAsia="仿宋_GB2312" w:cs="LinTimes"/>
                                <w:b/>
                                <w:bCs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35pt;margin-top:11.25pt;height:24pt;width:388.85pt;z-index:251658240;mso-width-relative:page;mso-height-relative:page;" filled="f" stroked="f" coordsize="21600,21600" o:gfxdata="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pTcvo2wAAAAkBAAAPAAAAAAAAAAEAIAAAACIAAABkcnMvZG93bnJldi54&#10;bWxQSwECFAAUAAAACACHTuJAl5r06DACAAAxBAAADgAAAAAAAAABACAAAAAq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default" w:ascii="LinTimes" w:hAnsi="LinTimes" w:eastAsia="仿宋_GB2312" w:cs="LinTimes"/>
                          <w:b/>
                          <w:bCs/>
                          <w:lang w:eastAsia="zh-CN"/>
                        </w:rPr>
                        <w:t>注：各省（区、市）推荐的重点联系商贸物流企业不少于</w:t>
                      </w:r>
                      <w:r>
                        <w:rPr>
                          <w:rFonts w:hint="default" w:ascii="LinTimes" w:hAnsi="LinTimes" w:eastAsia="仿宋_GB2312" w:cs="LinTimes"/>
                          <w:b/>
                          <w:bCs/>
                          <w:lang w:val="en-US" w:eastAsia="zh-CN"/>
                        </w:rPr>
                        <w:t>10家</w:t>
                      </w:r>
                      <w:r>
                        <w:rPr>
                          <w:rFonts w:hint="eastAsia" w:ascii="LinTimes" w:hAnsi="LinTimes" w:eastAsia="仿宋_GB2312" w:cs="LinTimes"/>
                          <w:b/>
                          <w:bCs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b/>
          <w:bCs/>
          <w:lang w:eastAsia="zh-CN"/>
        </w:rPr>
      </w:pPr>
    </w:p>
    <w:tbl>
      <w:tblPr>
        <w:tblStyle w:val="5"/>
        <w:tblW w:w="982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053"/>
        <w:gridCol w:w="1283"/>
        <w:gridCol w:w="907"/>
        <w:gridCol w:w="1503"/>
        <w:gridCol w:w="25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28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18"/>
              </w:rPr>
              <w:t>一、企业基本信息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8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统一社会信用代码: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sz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</w:rPr>
              <w:t>尚未领取统一社会信用代码的填写原组织机构代码：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□□□□□□□□－□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单位详细名称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企业主要负责人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sz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法人代表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sz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注册资本（金）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  <w:r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u w:val="single"/>
                <w:lang w:bidi="ar"/>
              </w:rPr>
              <w:t xml:space="preserve">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u w:val="single"/>
                <w:lang w:bidi="ar"/>
              </w:rPr>
              <w:t xml:space="preserve">    </w:t>
            </w:r>
            <w:r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u w:val="single"/>
                <w:lang w:bidi="ar"/>
              </w:rPr>
              <w:t xml:space="preserve">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 xml:space="preserve">  万元人民币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eastAsia="zh-CN"/>
              </w:rPr>
              <w:t>注册地址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登记注册类型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180" w:firstLineChars="100"/>
              <w:jc w:val="both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u w:val="single"/>
                <w:lang w:bidi="ar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default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民营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外资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</w:t>
            </w:r>
            <w:r>
              <w:rPr>
                <w:rFonts w:hint="default" w:ascii="宋体" w:hAnsi="宋体"/>
                <w:sz w:val="18"/>
                <w:szCs w:val="18"/>
              </w:rPr>
              <w:t>主要业态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（可多选）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Noto Sans Lisu" w:hAnsi="Noto Sans Lisu" w:eastAsia="宋体" w:cs="Times New Roman"/>
                <w:b/>
                <w:b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商贸流通企业（有自营物流的）：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便利店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超市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购物中心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仓储会员店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批发企业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餐饮企业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电子商务企业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val="en" w:eastAsia="zh-CN" w:bidi="ar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进出口企业（含跨境电商）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再生资源回收企业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第三方物流企业：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综合物流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城乡配送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快递物流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餐饮配送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即时配送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冷链物流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快消品物流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农产品物流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医药物流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汽车物流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大宗商品物流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物流辅助企业：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物流园区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供应链管理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物流包装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信息服务平台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eastAsia="zh-CN" w:bidi="ar"/>
              </w:rPr>
              <w:t>国际货运代理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Noto Sans Lisu" w:hAnsi="Noto Sans Lisu" w:eastAsia="宋体" w:cs="Times New Roman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主要业务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Noto Sans Lisu" w:hAnsi="Noto Sans Lisu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9828" w:type="dxa"/>
            <w:gridSpan w:val="6"/>
            <w:noWrap w:val="0"/>
            <w:vAlign w:val="center"/>
          </w:tcPr>
          <w:tbl>
            <w:tblPr>
              <w:tblStyle w:val="5"/>
              <w:tblW w:w="9828" w:type="dxa"/>
              <w:jc w:val="center"/>
              <w:tblInd w:w="0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8"/>
              <w:gridCol w:w="2761"/>
              <w:gridCol w:w="1482"/>
              <w:gridCol w:w="4037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06" w:hRule="atLeast"/>
                <w:jc w:val="center"/>
              </w:trPr>
              <w:tc>
                <w:tcPr>
                  <w:tcW w:w="15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bidi="ar"/>
                    </w:rPr>
                    <w:t>职工人数（人）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</w:pPr>
                </w:p>
              </w:tc>
              <w:tc>
                <w:tcPr>
                  <w:tcW w:w="14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val="en"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  <w:t>网点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bidi="ar"/>
                    </w:rPr>
                    <w:t>数量</w:t>
                  </w:r>
                  <w:r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lang w:val="en" w:bidi="ar"/>
                    </w:rPr>
                    <w:t>(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val="en" w:eastAsia="zh-CN" w:bidi="ar"/>
                    </w:rPr>
                    <w:t>物流园区、配送中心、末端网点等）</w:t>
                  </w:r>
                </w:p>
              </w:tc>
              <w:tc>
                <w:tcPr>
                  <w:tcW w:w="40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 w:firstLine="360" w:firstLineChars="20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none"/>
                      <w:lang w:bidi="ar"/>
                    </w:rPr>
                    <w:t>家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物流园区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  <w:t xml:space="preserve"> 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 xml:space="preserve">   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none"/>
                      <w:lang w:bidi="ar"/>
                    </w:rPr>
                    <w:t>家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配送中心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none"/>
                      <w:lang w:bidi="ar"/>
                    </w:rPr>
                    <w:t>+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  <w:t xml:space="preserve"> 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  <w:t xml:space="preserve">  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none"/>
                      <w:lang w:bidi="ar"/>
                    </w:rPr>
                    <w:t>家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末端配送网点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1" w:hRule="atLeast"/>
                <w:jc w:val="center"/>
              </w:trPr>
              <w:tc>
                <w:tcPr>
                  <w:tcW w:w="15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  <w:t>仓储面积（平方米）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</w:pPr>
                </w:p>
              </w:tc>
              <w:tc>
                <w:tcPr>
                  <w:tcW w:w="14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  <w:t>智能立体库面积（平方米）</w:t>
                  </w:r>
                </w:p>
              </w:tc>
              <w:tc>
                <w:tcPr>
                  <w:tcW w:w="40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 w:firstLine="270" w:firstLineChars="15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1" w:hRule="atLeast"/>
                <w:jc w:val="center"/>
              </w:trPr>
              <w:tc>
                <w:tcPr>
                  <w:tcW w:w="15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  <w:t>运输车辆（辆）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</w:pPr>
                </w:p>
              </w:tc>
              <w:tc>
                <w:tcPr>
                  <w:tcW w:w="14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  <w:t>新能源或清洁能源运输车辆（辆）</w:t>
                  </w:r>
                </w:p>
              </w:tc>
              <w:tc>
                <w:tcPr>
                  <w:tcW w:w="40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 w:firstLine="270" w:firstLineChars="15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6" w:hRule="atLeast"/>
                <w:jc w:val="center"/>
              </w:trPr>
              <w:tc>
                <w:tcPr>
                  <w:tcW w:w="15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lang w:val="en"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  <w:t>标准托盘数量（自有</w:t>
                  </w:r>
                  <w:r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lang w:val="en" w:eastAsia="zh-CN" w:bidi="ar"/>
                    </w:rPr>
                    <w:t>/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val="en" w:eastAsia="zh-CN" w:bidi="ar"/>
                    </w:rPr>
                    <w:t>租赁）</w:t>
                  </w:r>
                </w:p>
              </w:tc>
              <w:tc>
                <w:tcPr>
                  <w:tcW w:w="2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</w:pPr>
                </w:p>
              </w:tc>
              <w:tc>
                <w:tcPr>
                  <w:tcW w:w="14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  <w:t>标准物流周转箱（筐）数量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eastAsia="zh-CN" w:bidi="ar"/>
                    </w:rPr>
                    <w:t>（自有</w:t>
                  </w:r>
                  <w:r>
                    <w:rPr>
                      <w:rFonts w:hint="default" w:ascii="Noto Sans Lisu" w:hAnsi="Noto Sans Lisu" w:eastAsia="宋体" w:cs="Times New Roman"/>
                      <w:kern w:val="0"/>
                      <w:sz w:val="18"/>
                      <w:szCs w:val="18"/>
                      <w:lang w:val="en" w:eastAsia="zh-CN" w:bidi="ar"/>
                    </w:rPr>
                    <w:t>/</w:t>
                  </w:r>
                  <w:r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lang w:val="en" w:eastAsia="zh-CN" w:bidi="ar"/>
                    </w:rPr>
                    <w:t>租赁）</w:t>
                  </w:r>
                </w:p>
              </w:tc>
              <w:tc>
                <w:tcPr>
                  <w:tcW w:w="40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2" w:lineRule="auto"/>
                    <w:ind w:left="0" w:right="0" w:firstLine="270" w:firstLineChars="150"/>
                    <w:jc w:val="center"/>
                    <w:rPr>
                      <w:rFonts w:hint="eastAsia" w:ascii="Noto Sans Lisu" w:hAnsi="Noto Sans Lisu" w:eastAsia="宋体" w:cs="Times New Roman"/>
                      <w:kern w:val="0"/>
                      <w:sz w:val="18"/>
                      <w:szCs w:val="18"/>
                      <w:u w:val="single"/>
                      <w:lang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b/>
                <w:kern w:val="0"/>
                <w:sz w:val="20"/>
                <w:szCs w:val="18"/>
              </w:rPr>
              <w:t>二、经营情况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36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指标名称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计量单位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本期</w:t>
            </w:r>
          </w:p>
        </w:tc>
        <w:tc>
          <w:tcPr>
            <w:tcW w:w="2534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去年</w:t>
            </w:r>
            <w:r>
              <w:rPr>
                <w:rFonts w:hint="eastAsia" w:ascii="宋体" w:hAnsi="宋体"/>
                <w:sz w:val="18"/>
                <w:szCs w:val="18"/>
              </w:rPr>
              <w:t>同期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601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营业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收入</w:t>
            </w:r>
          </w:p>
        </w:tc>
        <w:tc>
          <w:tcPr>
            <w:tcW w:w="128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241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bottom w:val="single" w:color="auto" w:sz="6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6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物流费用</w:t>
            </w:r>
          </w:p>
        </w:tc>
        <w:tc>
          <w:tcPr>
            <w:tcW w:w="128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241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3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其中：保管费用（仓储、装卸搬运、加工包装、货物损耗等货物保管环节产生的费用）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3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     运输费用（基础运费、杂费、代理费等货物运输环节产生的费用）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3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     管理费用（物流管理产生的人员薪酬、办公支出、教育培训等费用）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物流费用率（物流费用</w:t>
            </w:r>
            <w:r>
              <w:rPr>
                <w:rFonts w:hint="default" w:ascii="宋体" w:hAnsi="宋体"/>
                <w:kern w:val="0"/>
                <w:sz w:val="18"/>
                <w:szCs w:val="18"/>
                <w:lang w:val="en" w:eastAsia="zh-CN"/>
              </w:rPr>
              <w:t>/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" w:eastAsia="zh-CN"/>
              </w:rPr>
              <w:t>营业收入）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配送总量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万吨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" w:eastAsia="zh-CN"/>
              </w:rPr>
              <w:t>库存周转次数（配送总量</w:t>
            </w:r>
            <w:r>
              <w:rPr>
                <w:rFonts w:hint="default" w:ascii="宋体" w:hAnsi="宋体"/>
                <w:kern w:val="0"/>
                <w:sz w:val="18"/>
                <w:szCs w:val="18"/>
                <w:lang w:val="en" w:eastAsia="zh-CN"/>
              </w:rPr>
              <w:t>/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" w:eastAsia="zh-CN"/>
              </w:rPr>
              <w:t>平均库存量）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次</w:t>
            </w:r>
            <w:r>
              <w:rPr>
                <w:rFonts w:hint="default" w:ascii="宋体" w:hAnsi="宋体"/>
                <w:kern w:val="0"/>
                <w:sz w:val="18"/>
                <w:szCs w:val="18"/>
                <w:lang w:val="en" w:eastAsia="zh-CN"/>
              </w:rPr>
              <w:t>/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" w:eastAsia="zh-CN"/>
              </w:rPr>
              <w:t>年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9828" w:type="dxa"/>
            <w:gridSpan w:val="6"/>
            <w:tcBorders>
              <w:top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安全生产有关情况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  <w:jc w:val="center"/>
        </w:trPr>
        <w:tc>
          <w:tcPr>
            <w:tcW w:w="9828" w:type="dxa"/>
            <w:gridSpan w:val="6"/>
            <w:tcBorders>
              <w:top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在物流方面</w:t>
            </w:r>
            <w:r>
              <w:rPr>
                <w:rFonts w:hint="eastAsia" w:ascii="宋体" w:hAnsi="宋体"/>
                <w:sz w:val="18"/>
                <w:szCs w:val="18"/>
              </w:rPr>
              <w:t>的主要困难和问题：</w:t>
            </w: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  <w:jc w:val="center"/>
        </w:trPr>
        <w:tc>
          <w:tcPr>
            <w:tcW w:w="9828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相关政策建议：</w:t>
            </w: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sz w:val="18"/>
          <w:szCs w:val="18"/>
          <w:lang w:bidi="ar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联系人：</w:t>
      </w:r>
      <w:r>
        <w:rPr>
          <w:rFonts w:hint="eastAsia" w:ascii="Noto Sans Lisu" w:hAnsi="Noto Sans Lisu" w:eastAsia="宋体" w:cs="Times New Roman"/>
          <w:sz w:val="18"/>
          <w:szCs w:val="18"/>
          <w:lang w:bidi="ar"/>
        </w:rPr>
        <w:t xml:space="preserve">                         </w:t>
      </w:r>
      <w:r>
        <w:rPr>
          <w:rFonts w:hint="eastAsia" w:ascii="宋体" w:hAnsi="宋体" w:eastAsia="宋体" w:cs="宋体"/>
          <w:sz w:val="18"/>
          <w:szCs w:val="18"/>
          <w:lang w:bidi="ar"/>
        </w:rPr>
        <w:t>固定电话：</w:t>
      </w:r>
      <w:r>
        <w:rPr>
          <w:rFonts w:hint="eastAsia" w:ascii="Noto Sans Lisu" w:hAnsi="Noto Sans Lisu" w:eastAsia="宋体" w:cs="Times New Roman"/>
          <w:sz w:val="18"/>
          <w:szCs w:val="18"/>
          <w:lang w:bidi="ar"/>
        </w:rPr>
        <w:t xml:space="preserve">                        </w:t>
      </w:r>
      <w:r>
        <w:rPr>
          <w:rFonts w:hint="eastAsia" w:ascii="宋体" w:hAnsi="宋体" w:eastAsia="宋体" w:cs="宋体"/>
          <w:sz w:val="18"/>
          <w:szCs w:val="18"/>
          <w:lang w:bidi="ar"/>
        </w:rPr>
        <w:t>手机：</w:t>
      </w:r>
    </w:p>
    <w:p/>
    <w:p>
      <w:pPr>
        <w:pStyle w:val="2"/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Lisu">
    <w:altName w:val="Segoe Print"/>
    <w:panose1 w:val="020B0502040504020204"/>
    <w:charset w:val="00"/>
    <w:family w:val="auto"/>
    <w:pitch w:val="default"/>
    <w:sig w:usb0="00000000" w:usb1="00000000" w:usb2="00000008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nTimes">
    <w:altName w:val="Traditional Arabic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00DD6"/>
    <w:rsid w:val="01700DD6"/>
    <w:rsid w:val="02792917"/>
    <w:rsid w:val="050C226E"/>
    <w:rsid w:val="1A501748"/>
    <w:rsid w:val="255350E4"/>
    <w:rsid w:val="38A4360E"/>
    <w:rsid w:val="43453138"/>
    <w:rsid w:val="510D40B4"/>
    <w:rsid w:val="51861A35"/>
    <w:rsid w:val="5A4B3496"/>
    <w:rsid w:val="66CA3387"/>
    <w:rsid w:val="6DB818A0"/>
    <w:rsid w:val="737F0D4E"/>
    <w:rsid w:val="795853E7"/>
    <w:rsid w:val="7C911030"/>
    <w:rsid w:val="7F8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方正仿宋-三号"/>
    <w:basedOn w:val="1"/>
    <w:qFormat/>
    <w:uiPriority w:val="0"/>
    <w:pPr>
      <w:spacing w:line="590" w:lineRule="exact"/>
      <w:ind w:firstLine="880" w:firstLineChars="200"/>
    </w:pPr>
    <w:rPr>
      <w:rFonts w:ascii="方正仿宋_GBK" w:hAnsi="方正仿宋_GBK" w:eastAsia="方正仿宋_GBK" w:cs="Times New Roman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 w:cs="Times New Roman"/>
      <w:sz w:val="28"/>
      <w:szCs w:val="32"/>
    </w:rPr>
  </w:style>
  <w:style w:type="paragraph" w:styleId="4">
    <w:name w:val="header"/>
    <w:basedOn w:val="1"/>
    <w:link w:val="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90" w:lineRule="exact"/>
      <w:jc w:val="left"/>
      <w:outlineLvl w:val="9"/>
    </w:pPr>
    <w:rPr>
      <w:rFonts w:ascii="方正仿宋_GBK" w:hAnsi="方正仿宋_GBK" w:eastAsia="宋体" w:cs="Times New Roman"/>
      <w:sz w:val="28"/>
      <w:szCs w:val="32"/>
    </w:rPr>
  </w:style>
  <w:style w:type="paragraph" w:customStyle="1" w:styleId="7">
    <w:name w:val="主标题-方正小标宋-二号"/>
    <w:basedOn w:val="1"/>
    <w:next w:val="2"/>
    <w:qFormat/>
    <w:uiPriority w:val="0"/>
    <w:pPr>
      <w:snapToGrid w:val="0"/>
      <w:ind w:firstLine="0" w:firstLineChars="0"/>
      <w:jc w:val="center"/>
    </w:pPr>
    <w:rPr>
      <w:rFonts w:ascii="方正仿宋_GBK" w:hAnsi="方正仿宋_GBK" w:eastAsia="方正小标宋_GBK" w:cs="Times New Roman"/>
      <w:sz w:val="44"/>
      <w:szCs w:val="32"/>
    </w:rPr>
  </w:style>
  <w:style w:type="paragraph" w:customStyle="1" w:styleId="8">
    <w:name w:val="一级标题-方正黑体-三号"/>
    <w:basedOn w:val="1"/>
    <w:next w:val="2"/>
    <w:qFormat/>
    <w:uiPriority w:val="0"/>
    <w:pPr>
      <w:spacing w:line="590" w:lineRule="exact"/>
      <w:ind w:firstLine="880" w:firstLineChars="200"/>
      <w:outlineLvl w:val="0"/>
    </w:pPr>
    <w:rPr>
      <w:rFonts w:ascii="方正仿宋_GBK" w:hAnsi="方正仿宋_GBK" w:eastAsia="方正黑体_GBK" w:cs="Times New Roman"/>
      <w:sz w:val="32"/>
      <w:szCs w:val="32"/>
    </w:rPr>
  </w:style>
  <w:style w:type="character" w:customStyle="1" w:styleId="9">
    <w:name w:val="页眉 Char"/>
    <w:link w:val="4"/>
    <w:qFormat/>
    <w:uiPriority w:val="0"/>
    <w:rPr>
      <w:rFonts w:ascii="方正仿宋_GBK" w:hAnsi="方正仿宋_GBK" w:eastAsia="宋体" w:cs="Times New Roman"/>
      <w:sz w:val="28"/>
      <w:szCs w:val="32"/>
    </w:rPr>
  </w:style>
  <w:style w:type="character" w:customStyle="1" w:styleId="10">
    <w:name w:val="三级标题-方正仿宋-加粗"/>
    <w:basedOn w:val="6"/>
    <w:qFormat/>
    <w:uiPriority w:val="0"/>
    <w:rPr>
      <w:rFonts w:ascii="Times New Roman" w:hAnsi="Times New Roman" w:eastAsia="方正仿宋_GBK"/>
      <w:b/>
      <w:sz w:val="32"/>
    </w:rPr>
  </w:style>
  <w:style w:type="character" w:customStyle="1" w:styleId="11">
    <w:name w:val="二级标题-方正楷体-三号"/>
    <w:basedOn w:val="6"/>
    <w:qFormat/>
    <w:uiPriority w:val="0"/>
    <w:rPr>
      <w:rFonts w:ascii="Times New Roman" w:hAnsi="Times New Roman" w:eastAsia="方正楷体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2021-08-13T01:36:00Z</dcterms:created>
  <dc:creator>刘学朴</dc:creator>
  <cp:lastModifiedBy>刘学朴</cp:lastModifiedBy>
  <dcterms:modified xsi:type="dcterms:W3CDTF">2021-08-13T01:37:01Z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