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LinTimes" w:hAnsi="LinTimes" w:eastAsia="仿宋_GB2312" w:cs="LinTimes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LinTimes" w:hAnsi="LinTimes" w:eastAsia="仿宋_GB2312" w:cs="LinTimes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LinTimes" w:hAnsi="LinTimes" w:eastAsia="仿宋_GB2312" w:cs="LinTimes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商贸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物流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高质量发展专项行动工作台账（模板）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</w:p>
    <w:tbl>
      <w:tblPr>
        <w:tblStyle w:val="6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941"/>
        <w:gridCol w:w="3164"/>
        <w:gridCol w:w="326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重点任务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落实举措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预期目标</w:t>
            </w:r>
          </w:p>
        </w:tc>
        <w:tc>
          <w:tcPr>
            <w:tcW w:w="32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完成时限</w:t>
            </w:r>
          </w:p>
        </w:tc>
        <w:tc>
          <w:tcPr>
            <w:tcW w:w="24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1.优化商贸物流网络布局</w:t>
            </w:r>
          </w:p>
        </w:tc>
        <w:tc>
          <w:tcPr>
            <w:tcW w:w="294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LinTimes" w:hAnsi="LinTimes" w:eastAsia="仿宋_GB2312" w:cs="LinTimes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推动新建或升级改造一批综合物流园区、配送（分拨）中心、末端配送网点</w:t>
            </w:r>
          </w:p>
        </w:tc>
        <w:tc>
          <w:tcPr>
            <w:tcW w:w="31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物流园区、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配送（分拨）中心</w:t>
            </w: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、末端配送网点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各达到</w:t>
            </w:r>
          </w:p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个、</w:t>
            </w: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个、</w:t>
            </w: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个。</w:t>
            </w:r>
          </w:p>
        </w:tc>
        <w:tc>
          <w:tcPr>
            <w:tcW w:w="326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2025年底</w:t>
            </w:r>
          </w:p>
        </w:tc>
        <w:tc>
          <w:tcPr>
            <w:tcW w:w="24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  <w:t>（2）...</w:t>
            </w:r>
          </w:p>
        </w:tc>
        <w:tc>
          <w:tcPr>
            <w:tcW w:w="31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2.提升商贸物流标准化水平</w:t>
            </w:r>
          </w:p>
        </w:tc>
        <w:tc>
          <w:tcPr>
            <w:tcW w:w="29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LinTimes" w:hAnsi="LinTimes" w:eastAsia="仿宋_GB2312" w:cs="LinTimes"/>
                <w:sz w:val="32"/>
                <w:szCs w:val="32"/>
                <w:lang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LinTimes" w:hAnsi="LinTimes" w:eastAsia="仿宋_GB2312" w:cs="LinTimes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推广应用标准托盘（1200mm×1000mm）、标准物流周转箱（筐）</w:t>
            </w:r>
          </w:p>
        </w:tc>
        <w:tc>
          <w:tcPr>
            <w:tcW w:w="31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  <w:t>标准托盘约有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u w:val="none"/>
                <w:lang w:val="en-US" w:eastAsia="zh-CN"/>
              </w:rPr>
              <w:t>万片，标准物流周转箱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（筐）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u w:val="none"/>
                <w:lang w:val="en-US" w:eastAsia="zh-CN"/>
              </w:rPr>
              <w:t>约有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u w:val="none"/>
                <w:lang w:val="en-US" w:eastAsia="zh-CN"/>
              </w:rPr>
              <w:t>万个，使用标准物流载具的商贸物流企业比率达到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u w:val="none"/>
                <w:lang w:val="en-US" w:eastAsia="zh-CN"/>
              </w:rPr>
              <w:t>%。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  <w:t>2025年底</w:t>
            </w:r>
          </w:p>
        </w:tc>
        <w:tc>
          <w:tcPr>
            <w:tcW w:w="24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1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</w:pP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29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</w:pPr>
          </w:p>
        </w:tc>
        <w:tc>
          <w:tcPr>
            <w:tcW w:w="31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</w:pP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4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29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</w:pPr>
          </w:p>
        </w:tc>
        <w:tc>
          <w:tcPr>
            <w:tcW w:w="31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</w:pP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4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LinTimes" w:hAnsi="LinTimes" w:eastAsia="仿宋_GB2312" w:cs="LinTimes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LinTimes" w:hAnsi="LinTimes" w:eastAsia="仿宋_GB2312" w:cs="LinTimes"/>
          <w:sz w:val="24"/>
          <w:szCs w:val="24"/>
          <w:lang w:val="en-US" w:eastAsia="zh-CN"/>
        </w:rPr>
        <w:t>注：各省级商务主管部门结合行动计划主要任务和本地实际情况，提出落实举措、预期目标和完成时限。</w:t>
      </w:r>
    </w:p>
    <w:p/>
    <w:sectPr>
      <w:pgSz w:w="16838" w:h="11906" w:orient="landscape"/>
      <w:pgMar w:top="1587" w:right="2041" w:bottom="1474" w:left="1304" w:header="1361" w:footer="11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nTimes">
    <w:altName w:val="Traditional Arabic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43926"/>
    <w:rsid w:val="02792917"/>
    <w:rsid w:val="050C226E"/>
    <w:rsid w:val="1A501748"/>
    <w:rsid w:val="1AD43926"/>
    <w:rsid w:val="255350E4"/>
    <w:rsid w:val="38A4360E"/>
    <w:rsid w:val="43453138"/>
    <w:rsid w:val="510D40B4"/>
    <w:rsid w:val="51861A35"/>
    <w:rsid w:val="5A4B3496"/>
    <w:rsid w:val="66CA3387"/>
    <w:rsid w:val="6DB818A0"/>
    <w:rsid w:val="737F0D4E"/>
    <w:rsid w:val="795853E7"/>
    <w:rsid w:val="7C911030"/>
    <w:rsid w:val="7F8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方正仿宋-三号"/>
    <w:basedOn w:val="1"/>
    <w:qFormat/>
    <w:uiPriority w:val="0"/>
    <w:pPr>
      <w:spacing w:line="590" w:lineRule="exact"/>
      <w:ind w:firstLine="880" w:firstLineChars="200"/>
    </w:pPr>
    <w:rPr>
      <w:rFonts w:ascii="方正仿宋_GBK" w:hAnsi="方正仿宋_GBK" w:eastAsia="方正仿宋_GBK" w:cs="Times New Roman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 w:cs="Times New Roman"/>
      <w:sz w:val="28"/>
      <w:szCs w:val="32"/>
    </w:rPr>
  </w:style>
  <w:style w:type="paragraph" w:styleId="4">
    <w:name w:val="header"/>
    <w:basedOn w:val="1"/>
    <w:link w:val="1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90" w:lineRule="exact"/>
      <w:jc w:val="left"/>
      <w:outlineLvl w:val="9"/>
    </w:pPr>
    <w:rPr>
      <w:rFonts w:ascii="方正仿宋_GBK" w:hAnsi="方正仿宋_GBK" w:eastAsia="宋体" w:cs="Times New Roman"/>
      <w:sz w:val="28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主标题-方正小标宋-二号"/>
    <w:basedOn w:val="1"/>
    <w:next w:val="2"/>
    <w:qFormat/>
    <w:uiPriority w:val="0"/>
    <w:pPr>
      <w:snapToGrid w:val="0"/>
      <w:ind w:firstLine="0" w:firstLineChars="0"/>
      <w:jc w:val="center"/>
    </w:pPr>
    <w:rPr>
      <w:rFonts w:ascii="方正仿宋_GBK" w:hAnsi="方正仿宋_GBK" w:eastAsia="方正小标宋_GBK" w:cs="Times New Roman"/>
      <w:sz w:val="44"/>
      <w:szCs w:val="32"/>
    </w:rPr>
  </w:style>
  <w:style w:type="paragraph" w:customStyle="1" w:styleId="9">
    <w:name w:val="一级标题-方正黑体-三号"/>
    <w:basedOn w:val="1"/>
    <w:next w:val="2"/>
    <w:qFormat/>
    <w:uiPriority w:val="0"/>
    <w:pPr>
      <w:spacing w:line="590" w:lineRule="exact"/>
      <w:ind w:firstLine="880" w:firstLineChars="200"/>
      <w:outlineLvl w:val="0"/>
    </w:pPr>
    <w:rPr>
      <w:rFonts w:ascii="方正仿宋_GBK" w:hAnsi="方正仿宋_GBK" w:eastAsia="方正黑体_GBK" w:cs="Times New Roman"/>
      <w:sz w:val="32"/>
      <w:szCs w:val="32"/>
    </w:rPr>
  </w:style>
  <w:style w:type="character" w:customStyle="1" w:styleId="10">
    <w:name w:val="页眉 Char"/>
    <w:link w:val="4"/>
    <w:qFormat/>
    <w:uiPriority w:val="0"/>
    <w:rPr>
      <w:rFonts w:ascii="方正仿宋_GBK" w:hAnsi="方正仿宋_GBK" w:eastAsia="宋体" w:cs="Times New Roman"/>
      <w:sz w:val="28"/>
      <w:szCs w:val="32"/>
    </w:rPr>
  </w:style>
  <w:style w:type="character" w:customStyle="1" w:styleId="11">
    <w:name w:val="三级标题-方正仿宋-加粗"/>
    <w:basedOn w:val="7"/>
    <w:qFormat/>
    <w:uiPriority w:val="0"/>
    <w:rPr>
      <w:rFonts w:ascii="Times New Roman" w:hAnsi="Times New Roman" w:eastAsia="方正仿宋_GBK"/>
      <w:b/>
      <w:sz w:val="32"/>
    </w:rPr>
  </w:style>
  <w:style w:type="character" w:customStyle="1" w:styleId="12">
    <w:name w:val="二级标题-方正楷体-三号"/>
    <w:basedOn w:val="7"/>
    <w:qFormat/>
    <w:uiPriority w:val="0"/>
    <w:rPr>
      <w:rFonts w:ascii="Times New Roman" w:hAnsi="Times New Roman" w:eastAsia="方正楷体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2021-08-13T01:35:00Z</dcterms:created>
  <dc:creator>刘学朴</dc:creator>
  <cp:lastModifiedBy>刘学朴</cp:lastModifiedBy>
  <dcterms:modified xsi:type="dcterms:W3CDTF">2021-08-13T01:36:27Z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