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群众信访举报转办和边督边改</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公开情况一览表 （第十</w:t>
      </w:r>
      <w:r>
        <w:rPr>
          <w:rFonts w:hint="eastAsia" w:ascii="方正小标宋_GBK" w:hAnsi="方正小标宋_GBK" w:eastAsia="方正小标宋_GBK" w:cs="方正小标宋_GBK"/>
          <w:sz w:val="44"/>
          <w:szCs w:val="44"/>
          <w:lang w:eastAsia="zh-CN"/>
        </w:rPr>
        <w:t>五</w:t>
      </w:r>
      <w:r>
        <w:rPr>
          <w:rFonts w:hint="eastAsia" w:ascii="方正小标宋_GBK" w:hAnsi="方正小标宋_GBK" w:eastAsia="方正小标宋_GBK" w:cs="方正小标宋_GBK"/>
          <w:sz w:val="44"/>
          <w:szCs w:val="44"/>
        </w:rPr>
        <w:t>批受理情况）</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Times New Roman" w:hAnsi="Times New Roman" w:eastAsia="方正仿宋_GBK" w:cs="Times New Roman"/>
          <w:sz w:val="32"/>
          <w:szCs w:val="32"/>
          <w:lang w:eastAsia="zh-CN"/>
        </w:rPr>
        <w:t>　　　　　　　　　　　　　　　</w:t>
      </w:r>
      <w:r>
        <w:rPr>
          <w:rFonts w:hint="default" w:ascii="Times New Roman" w:hAnsi="Times New Roman" w:eastAsia="方正仿宋_GBK" w:cs="Times New Roman"/>
          <w:sz w:val="32"/>
          <w:szCs w:val="32"/>
        </w:rPr>
        <w:t>日期：2021年4月</w:t>
      </w:r>
      <w:r>
        <w:rPr>
          <w:rFonts w:hint="eastAsia" w:ascii="Times New Roman" w:hAnsi="Times New Roman" w:eastAsia="方正仿宋_GBK" w:cs="Times New Roman"/>
          <w:sz w:val="32"/>
          <w:szCs w:val="32"/>
          <w:lang w:val="en-US" w:eastAsia="zh-CN"/>
        </w:rPr>
        <w:t>21</w:t>
      </w:r>
      <w:r>
        <w:rPr>
          <w:rFonts w:hint="default" w:ascii="Times New Roman" w:hAnsi="Times New Roman" w:eastAsia="方正仿宋_GBK" w:cs="Times New Roman"/>
          <w:sz w:val="32"/>
          <w:szCs w:val="32"/>
        </w:rPr>
        <w:t>日</w:t>
      </w:r>
    </w:p>
    <w:tbl>
      <w:tblPr>
        <w:tblStyle w:val="3"/>
        <w:tblpPr w:leftFromText="180" w:rightFromText="180" w:vertAnchor="text" w:horzAnchor="page" w:tblpX="1852" w:tblpY="21"/>
        <w:tblOverlap w:val="never"/>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0"/>
        <w:gridCol w:w="2068"/>
        <w:gridCol w:w="4980"/>
        <w:gridCol w:w="645"/>
        <w:gridCol w:w="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楷体_GBK" w:hAnsi="方正楷体_GBK" w:eastAsia="方正楷体_GBK" w:cs="方正楷体_GBK"/>
                <w:sz w:val="28"/>
                <w:szCs w:val="28"/>
                <w:vertAlign w:val="baseline"/>
                <w:lang w:eastAsia="zh-CN"/>
              </w:rPr>
            </w:pPr>
            <w:r>
              <w:rPr>
                <w:rFonts w:hint="eastAsia" w:ascii="方正楷体_GBK" w:hAnsi="方正楷体_GBK" w:eastAsia="方正楷体_GBK" w:cs="方正楷体_GBK"/>
                <w:sz w:val="28"/>
                <w:szCs w:val="28"/>
                <w:vertAlign w:val="baseline"/>
                <w:lang w:eastAsia="zh-CN"/>
              </w:rPr>
              <w:t>序号</w:t>
            </w:r>
          </w:p>
        </w:tc>
        <w:tc>
          <w:tcPr>
            <w:tcW w:w="206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楷体_GBK" w:hAnsi="方正楷体_GBK" w:eastAsia="方正楷体_GBK" w:cs="方正楷体_GBK"/>
                <w:sz w:val="28"/>
                <w:szCs w:val="28"/>
                <w:vertAlign w:val="baseline"/>
              </w:rPr>
            </w:pPr>
            <w:r>
              <w:rPr>
                <w:rFonts w:hint="eastAsia" w:ascii="方正楷体_GBK" w:hAnsi="方正楷体_GBK" w:eastAsia="方正楷体_GBK" w:cs="方正楷体_GBK"/>
                <w:sz w:val="28"/>
                <w:szCs w:val="28"/>
                <w:vertAlign w:val="baseline"/>
              </w:rPr>
              <w:t>受理编号</w:t>
            </w:r>
          </w:p>
        </w:tc>
        <w:tc>
          <w:tcPr>
            <w:tcW w:w="498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楷体_GBK" w:hAnsi="方正楷体_GBK" w:eastAsia="方正楷体_GBK" w:cs="方正楷体_GBK"/>
                <w:sz w:val="28"/>
                <w:szCs w:val="28"/>
                <w:vertAlign w:val="baseline"/>
              </w:rPr>
            </w:pPr>
            <w:r>
              <w:rPr>
                <w:rFonts w:hint="eastAsia" w:ascii="方正楷体_GBK" w:hAnsi="方正楷体_GBK" w:eastAsia="方正楷体_GBK" w:cs="方正楷体_GBK"/>
                <w:sz w:val="28"/>
                <w:szCs w:val="28"/>
                <w:vertAlign w:val="baseline"/>
              </w:rPr>
              <w:t>交办问题基本情况</w:t>
            </w:r>
          </w:p>
        </w:tc>
        <w:tc>
          <w:tcPr>
            <w:tcW w:w="64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楷体_GBK" w:hAnsi="方正楷体_GBK" w:eastAsia="方正楷体_GBK" w:cs="方正楷体_GBK"/>
                <w:sz w:val="28"/>
                <w:szCs w:val="28"/>
                <w:vertAlign w:val="baseline"/>
              </w:rPr>
            </w:pPr>
            <w:r>
              <w:rPr>
                <w:rFonts w:hint="eastAsia" w:ascii="方正楷体_GBK" w:hAnsi="方正楷体_GBK" w:eastAsia="方正楷体_GBK" w:cs="方正楷体_GBK"/>
                <w:sz w:val="28"/>
                <w:szCs w:val="28"/>
                <w:vertAlign w:val="baseline"/>
              </w:rPr>
              <w:t>行政区域</w:t>
            </w:r>
          </w:p>
        </w:tc>
        <w:tc>
          <w:tcPr>
            <w:tcW w:w="4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楷体_GBK" w:hAnsi="方正楷体_GBK" w:eastAsia="方正楷体_GBK" w:cs="方正楷体_GBK"/>
                <w:sz w:val="28"/>
                <w:szCs w:val="28"/>
                <w:vertAlign w:val="baseline"/>
                <w:lang w:eastAsia="zh-CN"/>
              </w:rPr>
            </w:pPr>
            <w:r>
              <w:rPr>
                <w:rFonts w:hint="eastAsia" w:ascii="方正楷体_GBK" w:hAnsi="方正楷体_GBK" w:eastAsia="方正楷体_GBK" w:cs="方正楷体_GBK"/>
                <w:sz w:val="28"/>
                <w:szCs w:val="28"/>
                <w:vertAlign w:val="baseline"/>
              </w:rPr>
              <w:t>污染类</w:t>
            </w:r>
            <w:r>
              <w:rPr>
                <w:rFonts w:hint="eastAsia" w:ascii="方正楷体_GBK" w:hAnsi="方正楷体_GBK" w:eastAsia="方正楷体_GBK" w:cs="方正楷体_GBK"/>
                <w:sz w:val="28"/>
                <w:szCs w:val="28"/>
                <w:vertAlign w:val="baseline"/>
                <w:lang w:eastAsia="zh-CN"/>
              </w:rPr>
              <w:t>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1</w:t>
            </w:r>
          </w:p>
        </w:tc>
        <w:tc>
          <w:tcPr>
            <w:tcW w:w="206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rPr>
            </w:pPr>
            <w:r>
              <w:rPr>
                <w:rFonts w:hint="default" w:ascii="Times New Roman" w:hAnsi="Times New Roman" w:eastAsia="方正仿宋_GBK" w:cs="Times New Roman"/>
                <w:sz w:val="21"/>
                <w:szCs w:val="21"/>
                <w:vertAlign w:val="baseline"/>
              </w:rPr>
              <w:t>X2YN202104210003</w:t>
            </w:r>
          </w:p>
        </w:tc>
        <w:tc>
          <w:tcPr>
            <w:tcW w:w="4980" w:type="dxa"/>
            <w:vAlign w:val="top"/>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方正仿宋_GBK" w:cs="Times New Roman"/>
                <w:sz w:val="21"/>
                <w:szCs w:val="21"/>
                <w:vertAlign w:val="baseline"/>
                <w:lang w:eastAsia="zh-CN"/>
              </w:rPr>
            </w:pPr>
            <w:r>
              <w:rPr>
                <w:rFonts w:hint="eastAsia" w:ascii="Times New Roman" w:hAnsi="Times New Roman" w:eastAsia="方正仿宋_GBK" w:cs="Times New Roman"/>
                <w:sz w:val="21"/>
                <w:szCs w:val="21"/>
                <w:vertAlign w:val="baseline"/>
              </w:rPr>
              <w:t>玉溪市红塔区玉溪易和环境技术有限公司非法处置人体胎盘，攫取巨额经济利益。</w:t>
            </w:r>
          </w:p>
        </w:tc>
        <w:tc>
          <w:tcPr>
            <w:tcW w:w="64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rPr>
              <w:t>红塔区</w:t>
            </w:r>
          </w:p>
        </w:tc>
        <w:tc>
          <w:tcPr>
            <w:tcW w:w="480"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ascii="Times New Roman" w:hAnsi="Times New Roman" w:eastAsia="方正仿宋_GBK" w:cs="Times New Roman"/>
                <w:sz w:val="21"/>
                <w:szCs w:val="21"/>
                <w:vertAlign w:val="baseline"/>
                <w:lang w:eastAsia="zh-CN"/>
              </w:rPr>
            </w:pPr>
            <w:r>
              <w:rPr>
                <w:rFonts w:hint="eastAsia" w:ascii="Times New Roman" w:hAnsi="Times New Roman" w:eastAsia="方正仿宋_GBK" w:cs="Times New Roman"/>
                <w:sz w:val="21"/>
                <w:szCs w:val="21"/>
                <w:vertAlign w:val="baseli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2</w:t>
            </w:r>
          </w:p>
        </w:tc>
        <w:tc>
          <w:tcPr>
            <w:tcW w:w="206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rPr>
            </w:pPr>
            <w:r>
              <w:rPr>
                <w:rFonts w:hint="default" w:ascii="Times New Roman" w:hAnsi="Times New Roman" w:eastAsia="方正仿宋_GBK" w:cs="Times New Roman"/>
                <w:sz w:val="21"/>
                <w:szCs w:val="21"/>
                <w:vertAlign w:val="baseline"/>
              </w:rPr>
              <w:t>D2YN202104200011</w:t>
            </w:r>
          </w:p>
        </w:tc>
        <w:tc>
          <w:tcPr>
            <w:tcW w:w="4980" w:type="dxa"/>
            <w:vAlign w:val="top"/>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方正仿宋_GBK" w:cs="Times New Roman"/>
                <w:sz w:val="21"/>
                <w:szCs w:val="21"/>
                <w:vertAlign w:val="baseline"/>
                <w:lang w:eastAsia="zh-CN"/>
              </w:rPr>
            </w:pPr>
            <w:r>
              <w:rPr>
                <w:rFonts w:hint="default" w:ascii="Times New Roman" w:hAnsi="Times New Roman" w:eastAsia="方正仿宋_GBK" w:cs="Times New Roman"/>
                <w:sz w:val="21"/>
                <w:szCs w:val="21"/>
                <w:vertAlign w:val="baseline"/>
              </w:rPr>
              <w:t>玉溪市江川区前卫镇业家山村七星山脚处的七星山庄涉嫌违法占用耕地；该镇业家山村口多户村民在基本农田上自建住房和商铺。</w:t>
            </w:r>
          </w:p>
        </w:tc>
        <w:tc>
          <w:tcPr>
            <w:tcW w:w="64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Times New Roman"/>
                <w:sz w:val="21"/>
                <w:szCs w:val="21"/>
                <w:vertAlign w:val="baseline"/>
                <w:lang w:eastAsia="zh-CN"/>
              </w:rPr>
            </w:pPr>
            <w:r>
              <w:rPr>
                <w:rFonts w:hint="eastAsia" w:ascii="Times New Roman" w:hAnsi="Times New Roman" w:eastAsia="方正仿宋_GBK" w:cs="Times New Roman"/>
                <w:sz w:val="21"/>
                <w:szCs w:val="21"/>
                <w:vertAlign w:val="baseline"/>
                <w:lang w:eastAsia="zh-CN"/>
              </w:rPr>
              <w:t>江川区</w:t>
            </w:r>
          </w:p>
        </w:tc>
        <w:tc>
          <w:tcPr>
            <w:tcW w:w="48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sz w:val="21"/>
                <w:szCs w:val="21"/>
                <w:vertAlign w:val="baseline"/>
              </w:rPr>
            </w:pPr>
            <w:r>
              <w:rPr>
                <w:rFonts w:hint="eastAsia" w:ascii="Times New Roman" w:hAnsi="Times New Roman" w:eastAsia="方正仿宋_GBK" w:cs="Times New Roman"/>
                <w:sz w:val="21"/>
                <w:szCs w:val="21"/>
                <w:vertAlign w:val="baseline"/>
                <w:lang w:eastAsia="zh-CN"/>
              </w:rPr>
              <w:t>生态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3</w:t>
            </w:r>
          </w:p>
        </w:tc>
        <w:tc>
          <w:tcPr>
            <w:tcW w:w="206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rPr>
            </w:pPr>
            <w:r>
              <w:rPr>
                <w:rFonts w:hint="default" w:ascii="Times New Roman" w:hAnsi="Times New Roman" w:eastAsia="方正仿宋_GBK" w:cs="Times New Roman"/>
                <w:sz w:val="21"/>
                <w:szCs w:val="21"/>
                <w:vertAlign w:val="baseline"/>
              </w:rPr>
              <w:t>X2YN202104200021</w:t>
            </w:r>
          </w:p>
        </w:tc>
        <w:tc>
          <w:tcPr>
            <w:tcW w:w="4980" w:type="dxa"/>
            <w:vAlign w:val="top"/>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方正仿宋_GBK" w:cs="Times New Roman"/>
                <w:sz w:val="21"/>
                <w:szCs w:val="21"/>
                <w:vertAlign w:val="baseline"/>
              </w:rPr>
            </w:pPr>
            <w:r>
              <w:rPr>
                <w:rFonts w:hint="default" w:ascii="Times New Roman" w:hAnsi="Times New Roman" w:eastAsia="方正仿宋_GBK" w:cs="Times New Roman"/>
                <w:sz w:val="21"/>
                <w:szCs w:val="21"/>
                <w:vertAlign w:val="baseline"/>
              </w:rPr>
              <w:t>玉溪市江川区建子山城市生活垃圾填埋场渗滤液处理站于2017年投入使用，其目前的处理能力无法满足运营要求，导致大量渗滤液积存在填埋区并溢出渗滤液调节池，污染周边地下水。</w:t>
            </w:r>
          </w:p>
        </w:tc>
        <w:tc>
          <w:tcPr>
            <w:tcW w:w="64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21"/>
                <w:szCs w:val="21"/>
                <w:vertAlign w:val="baseline"/>
              </w:rPr>
            </w:pPr>
            <w:r>
              <w:rPr>
                <w:rFonts w:hint="eastAsia" w:ascii="Times New Roman" w:hAnsi="Times New Roman" w:eastAsia="方正仿宋_GBK" w:cs="Times New Roman"/>
                <w:sz w:val="21"/>
                <w:szCs w:val="21"/>
                <w:vertAlign w:val="baseline"/>
                <w:lang w:eastAsia="zh-CN"/>
              </w:rPr>
              <w:t>江川区</w:t>
            </w:r>
          </w:p>
        </w:tc>
        <w:tc>
          <w:tcPr>
            <w:tcW w:w="48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imes New Roman" w:hAnsi="Times New Roman" w:eastAsia="方正仿宋_GBK" w:cs="Times New Roman"/>
                <w:sz w:val="21"/>
                <w:szCs w:val="21"/>
                <w:vertAlign w:val="baseline"/>
                <w:lang w:eastAsia="zh-CN"/>
              </w:rPr>
            </w:pPr>
            <w:r>
              <w:rPr>
                <w:rFonts w:hint="default" w:ascii="Times New Roman" w:hAnsi="Times New Roman" w:eastAsia="方正仿宋_GBK" w:cs="Times New Roman"/>
                <w:sz w:val="21"/>
                <w:szCs w:val="21"/>
                <w:vertAlign w:val="baseline"/>
              </w:rPr>
              <w:t>土壤,水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lang w:val="en-US" w:eastAsia="zh-CN"/>
              </w:rPr>
            </w:pPr>
            <w:r>
              <w:rPr>
                <w:rFonts w:hint="eastAsia" w:ascii="Times New Roman" w:hAnsi="Times New Roman" w:eastAsia="方正仿宋_GBK" w:cs="Times New Roman"/>
                <w:sz w:val="21"/>
                <w:szCs w:val="21"/>
                <w:vertAlign w:val="baseline"/>
                <w:lang w:val="en-US" w:eastAsia="zh-CN"/>
              </w:rPr>
              <w:t>4</w:t>
            </w:r>
          </w:p>
        </w:tc>
        <w:tc>
          <w:tcPr>
            <w:tcW w:w="206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rPr>
            </w:pPr>
            <w:r>
              <w:rPr>
                <w:rFonts w:hint="default" w:ascii="Times New Roman" w:hAnsi="Times New Roman" w:eastAsia="方正仿宋_GBK" w:cs="Times New Roman"/>
                <w:sz w:val="21"/>
                <w:szCs w:val="21"/>
                <w:vertAlign w:val="baseline"/>
              </w:rPr>
              <w:t>D2YN202104200055</w:t>
            </w:r>
          </w:p>
        </w:tc>
        <w:tc>
          <w:tcPr>
            <w:tcW w:w="4980" w:type="dxa"/>
            <w:vAlign w:val="top"/>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方正仿宋_GBK" w:cs="Times New Roman"/>
                <w:sz w:val="21"/>
                <w:szCs w:val="21"/>
                <w:vertAlign w:val="baseline"/>
              </w:rPr>
            </w:pPr>
            <w:r>
              <w:rPr>
                <w:rFonts w:hint="default" w:ascii="Times New Roman" w:hAnsi="Times New Roman" w:eastAsia="方正仿宋_GBK" w:cs="Times New Roman"/>
                <w:sz w:val="21"/>
                <w:szCs w:val="21"/>
                <w:vertAlign w:val="baseline"/>
              </w:rPr>
              <w:t>玉溪市通海县纳古镇白云小区23号隔壁露天厕所恶臭扰民，污染环境，举报人诉求予以拆除。</w:t>
            </w:r>
          </w:p>
        </w:tc>
        <w:tc>
          <w:tcPr>
            <w:tcW w:w="64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Times New Roman"/>
                <w:sz w:val="21"/>
                <w:szCs w:val="21"/>
                <w:vertAlign w:val="baseline"/>
                <w:lang w:eastAsia="zh-CN"/>
              </w:rPr>
            </w:pPr>
            <w:r>
              <w:rPr>
                <w:rFonts w:hint="eastAsia" w:ascii="Times New Roman" w:hAnsi="Times New Roman" w:eastAsia="方正仿宋_GBK" w:cs="Times New Roman"/>
                <w:sz w:val="21"/>
                <w:szCs w:val="21"/>
                <w:vertAlign w:val="baseline"/>
                <w:lang w:eastAsia="zh-CN"/>
              </w:rPr>
              <w:t>通海县</w:t>
            </w:r>
          </w:p>
        </w:tc>
        <w:tc>
          <w:tcPr>
            <w:tcW w:w="48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imes New Roman" w:hAnsi="Times New Roman" w:eastAsia="方正仿宋_GBK" w:cs="Times New Roman"/>
                <w:sz w:val="21"/>
                <w:szCs w:val="21"/>
                <w:vertAlign w:val="baseline"/>
                <w:lang w:eastAsia="zh-CN"/>
              </w:rPr>
            </w:pPr>
            <w:r>
              <w:rPr>
                <w:rFonts w:hint="eastAsia" w:ascii="Times New Roman" w:hAnsi="Times New Roman" w:eastAsia="方正仿宋_GBK" w:cs="Times New Roman"/>
                <w:sz w:val="21"/>
                <w:szCs w:val="21"/>
                <w:vertAlign w:val="baseline"/>
                <w:lang w:eastAsia="zh-CN"/>
              </w:rPr>
              <w:t>大气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lang w:val="en-US" w:eastAsia="zh-CN"/>
              </w:rPr>
            </w:pPr>
            <w:r>
              <w:rPr>
                <w:rFonts w:hint="eastAsia" w:ascii="Times New Roman" w:hAnsi="Times New Roman" w:eastAsia="方正仿宋_GBK" w:cs="Times New Roman"/>
                <w:sz w:val="21"/>
                <w:szCs w:val="21"/>
                <w:vertAlign w:val="baseline"/>
                <w:lang w:val="en-US" w:eastAsia="zh-CN"/>
              </w:rPr>
              <w:t>5</w:t>
            </w:r>
          </w:p>
        </w:tc>
        <w:tc>
          <w:tcPr>
            <w:tcW w:w="206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rPr>
            </w:pPr>
            <w:r>
              <w:rPr>
                <w:rFonts w:hint="default" w:ascii="Times New Roman" w:hAnsi="Times New Roman" w:eastAsia="方正仿宋_GBK" w:cs="Times New Roman"/>
                <w:sz w:val="21"/>
                <w:szCs w:val="21"/>
                <w:vertAlign w:val="baseline"/>
              </w:rPr>
              <w:t>D2YN202104200041</w:t>
            </w:r>
          </w:p>
        </w:tc>
        <w:tc>
          <w:tcPr>
            <w:tcW w:w="4980" w:type="dxa"/>
            <w:vAlign w:val="top"/>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方正仿宋_GBK" w:cs="Times New Roman"/>
                <w:sz w:val="21"/>
                <w:szCs w:val="21"/>
                <w:vertAlign w:val="baseline"/>
              </w:rPr>
            </w:pPr>
            <w:r>
              <w:rPr>
                <w:rFonts w:hint="default" w:ascii="Times New Roman" w:hAnsi="Times New Roman" w:eastAsia="方正仿宋_GBK" w:cs="Times New Roman"/>
                <w:sz w:val="21"/>
                <w:szCs w:val="21"/>
                <w:vertAlign w:val="baseline"/>
              </w:rPr>
              <w:t>玉溪市通海县高大乡库南河上游里山工业园区不定期排放工业废水至库南河，导致河面漂浮白色泡沫。</w:t>
            </w:r>
          </w:p>
        </w:tc>
        <w:tc>
          <w:tcPr>
            <w:tcW w:w="64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Times New Roman"/>
                <w:sz w:val="21"/>
                <w:szCs w:val="21"/>
                <w:vertAlign w:val="baseline"/>
                <w:lang w:eastAsia="zh-CN"/>
              </w:rPr>
            </w:pPr>
            <w:r>
              <w:rPr>
                <w:rFonts w:hint="eastAsia" w:ascii="Times New Roman" w:hAnsi="Times New Roman" w:eastAsia="方正仿宋_GBK" w:cs="Times New Roman"/>
                <w:sz w:val="21"/>
                <w:szCs w:val="21"/>
                <w:vertAlign w:val="baseline"/>
                <w:lang w:val="en-US" w:eastAsia="zh-CN"/>
              </w:rPr>
              <w:t>通海县</w:t>
            </w:r>
          </w:p>
        </w:tc>
        <w:tc>
          <w:tcPr>
            <w:tcW w:w="48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imes New Roman" w:hAnsi="Times New Roman" w:eastAsia="方正仿宋_GBK" w:cs="Times New Roman"/>
                <w:sz w:val="21"/>
                <w:szCs w:val="21"/>
                <w:vertAlign w:val="baseline"/>
                <w:lang w:eastAsia="zh-CN"/>
              </w:rPr>
            </w:pPr>
            <w:r>
              <w:rPr>
                <w:rFonts w:hint="eastAsia" w:ascii="Times New Roman" w:hAnsi="Times New Roman" w:eastAsia="方正仿宋_GBK" w:cs="Times New Roman"/>
                <w:sz w:val="21"/>
                <w:szCs w:val="21"/>
                <w:vertAlign w:val="baseline"/>
                <w:lang w:eastAsia="zh-CN"/>
              </w:rPr>
              <w:t>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lang w:val="en-US" w:eastAsia="zh-CN"/>
              </w:rPr>
            </w:pPr>
            <w:r>
              <w:rPr>
                <w:rFonts w:hint="eastAsia" w:ascii="Times New Roman" w:hAnsi="Times New Roman" w:eastAsia="方正仿宋_GBK" w:cs="Times New Roman"/>
                <w:sz w:val="21"/>
                <w:szCs w:val="21"/>
                <w:vertAlign w:val="baseline"/>
                <w:lang w:val="en-US" w:eastAsia="zh-CN"/>
              </w:rPr>
              <w:t>6</w:t>
            </w:r>
          </w:p>
        </w:tc>
        <w:tc>
          <w:tcPr>
            <w:tcW w:w="206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rPr>
            </w:pPr>
            <w:r>
              <w:rPr>
                <w:rFonts w:hint="default" w:ascii="Times New Roman" w:hAnsi="Times New Roman" w:eastAsia="方正仿宋_GBK" w:cs="Times New Roman"/>
                <w:sz w:val="21"/>
                <w:szCs w:val="21"/>
                <w:vertAlign w:val="baseline"/>
              </w:rPr>
              <w:t>X2YN202104200001</w:t>
            </w:r>
          </w:p>
        </w:tc>
        <w:tc>
          <w:tcPr>
            <w:tcW w:w="4980" w:type="dxa"/>
            <w:vAlign w:val="top"/>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方正仿宋_GBK" w:cs="Times New Roman"/>
                <w:sz w:val="21"/>
                <w:szCs w:val="21"/>
                <w:vertAlign w:val="baseline"/>
              </w:rPr>
            </w:pPr>
            <w:r>
              <w:rPr>
                <w:rFonts w:hint="default" w:ascii="Times New Roman" w:hAnsi="Times New Roman" w:eastAsia="方正仿宋_GBK" w:cs="Times New Roman"/>
                <w:sz w:val="21"/>
                <w:szCs w:val="21"/>
                <w:vertAlign w:val="baseline"/>
              </w:rPr>
              <w:t>举报人反映玉溪市通海县相关领导指派人员采用稀释、替换样品的方法对杞麓湖水质监测数据造假，以掩盖其在杞麓湖治理过程中的失职、渎职行为。</w:t>
            </w:r>
          </w:p>
        </w:tc>
        <w:tc>
          <w:tcPr>
            <w:tcW w:w="64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Times New Roman"/>
                <w:sz w:val="21"/>
                <w:szCs w:val="21"/>
                <w:vertAlign w:val="baseline"/>
                <w:lang w:eastAsia="zh-CN"/>
              </w:rPr>
            </w:pPr>
            <w:r>
              <w:rPr>
                <w:rFonts w:hint="eastAsia" w:ascii="Times New Roman" w:hAnsi="Times New Roman" w:eastAsia="方正仿宋_GBK" w:cs="Times New Roman"/>
                <w:sz w:val="21"/>
                <w:szCs w:val="21"/>
                <w:vertAlign w:val="baseline"/>
                <w:lang w:eastAsia="zh-CN"/>
              </w:rPr>
              <w:t>通海县</w:t>
            </w:r>
          </w:p>
        </w:tc>
        <w:tc>
          <w:tcPr>
            <w:tcW w:w="48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imes New Roman" w:hAnsi="Times New Roman" w:eastAsia="方正仿宋_GBK" w:cs="Times New Roman"/>
                <w:sz w:val="21"/>
                <w:szCs w:val="21"/>
                <w:vertAlign w:val="baseline"/>
                <w:lang w:eastAsia="zh-CN"/>
              </w:rPr>
            </w:pPr>
            <w:r>
              <w:rPr>
                <w:rFonts w:hint="eastAsia" w:ascii="Times New Roman" w:hAnsi="Times New Roman" w:eastAsia="方正仿宋_GBK" w:cs="Times New Roman"/>
                <w:sz w:val="21"/>
                <w:szCs w:val="21"/>
                <w:vertAlign w:val="baseline"/>
                <w:lang w:eastAsia="zh-CN"/>
              </w:rPr>
              <w:t>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lang w:val="en-US" w:eastAsia="zh-CN"/>
              </w:rPr>
            </w:pPr>
            <w:r>
              <w:rPr>
                <w:rFonts w:hint="eastAsia" w:ascii="Times New Roman" w:hAnsi="Times New Roman" w:eastAsia="方正仿宋_GBK" w:cs="Times New Roman"/>
                <w:sz w:val="21"/>
                <w:szCs w:val="21"/>
                <w:vertAlign w:val="baseline"/>
                <w:lang w:val="en-US" w:eastAsia="zh-CN"/>
              </w:rPr>
              <w:t>7</w:t>
            </w:r>
          </w:p>
        </w:tc>
        <w:tc>
          <w:tcPr>
            <w:tcW w:w="206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rPr>
            </w:pPr>
            <w:r>
              <w:rPr>
                <w:rFonts w:hint="default" w:ascii="Times New Roman" w:hAnsi="Times New Roman" w:eastAsia="方正仿宋_GBK" w:cs="Times New Roman"/>
                <w:sz w:val="21"/>
                <w:szCs w:val="21"/>
                <w:vertAlign w:val="baseline"/>
              </w:rPr>
              <w:t>D2YN202104200038</w:t>
            </w:r>
          </w:p>
        </w:tc>
        <w:tc>
          <w:tcPr>
            <w:tcW w:w="4980" w:type="dxa"/>
            <w:vAlign w:val="top"/>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方正仿宋_GBK" w:cs="Times New Roman"/>
                <w:sz w:val="21"/>
                <w:szCs w:val="21"/>
                <w:vertAlign w:val="baseline"/>
              </w:rPr>
            </w:pPr>
            <w:r>
              <w:rPr>
                <w:rFonts w:hint="eastAsia" w:ascii="Times New Roman" w:hAnsi="Times New Roman" w:eastAsia="方正仿宋_GBK" w:cs="Times New Roman"/>
                <w:sz w:val="21"/>
                <w:szCs w:val="21"/>
                <w:vertAlign w:val="baseline"/>
              </w:rPr>
              <w:t>玉溪市峨山县小街镇永昌小寨万和红砖厂粉尘扰民，生产废水直排色拉河。</w:t>
            </w:r>
          </w:p>
        </w:tc>
        <w:tc>
          <w:tcPr>
            <w:tcW w:w="64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Times New Roman"/>
                <w:sz w:val="21"/>
                <w:szCs w:val="21"/>
                <w:vertAlign w:val="baseline"/>
                <w:lang w:eastAsia="zh-CN"/>
              </w:rPr>
            </w:pPr>
            <w:r>
              <w:rPr>
                <w:rFonts w:hint="eastAsia" w:ascii="Times New Roman" w:hAnsi="Times New Roman" w:eastAsia="方正仿宋_GBK" w:cs="Times New Roman"/>
                <w:sz w:val="21"/>
                <w:szCs w:val="21"/>
                <w:vertAlign w:val="baseline"/>
                <w:lang w:eastAsia="zh-CN"/>
              </w:rPr>
              <w:t>峨山县</w:t>
            </w:r>
          </w:p>
        </w:tc>
        <w:tc>
          <w:tcPr>
            <w:tcW w:w="48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imes New Roman" w:hAnsi="Times New Roman" w:eastAsia="方正仿宋_GBK" w:cs="Times New Roman"/>
                <w:sz w:val="21"/>
                <w:szCs w:val="21"/>
                <w:vertAlign w:val="baseline"/>
                <w:lang w:eastAsia="zh-CN"/>
              </w:rPr>
            </w:pPr>
            <w:r>
              <w:rPr>
                <w:rFonts w:hint="eastAsia" w:ascii="Times New Roman" w:hAnsi="Times New Roman" w:eastAsia="方正仿宋_GBK" w:cs="Times New Roman"/>
                <w:sz w:val="21"/>
                <w:szCs w:val="21"/>
                <w:vertAlign w:val="baseline"/>
              </w:rPr>
              <w:t>水,大气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lang w:val="en-US" w:eastAsia="zh-CN"/>
              </w:rPr>
            </w:pPr>
            <w:r>
              <w:rPr>
                <w:rFonts w:hint="eastAsia" w:ascii="Times New Roman" w:hAnsi="Times New Roman" w:eastAsia="方正仿宋_GBK" w:cs="Times New Roman"/>
                <w:sz w:val="21"/>
                <w:szCs w:val="21"/>
                <w:vertAlign w:val="baseline"/>
                <w:lang w:val="en-US" w:eastAsia="zh-CN"/>
              </w:rPr>
              <w:t>8</w:t>
            </w:r>
          </w:p>
        </w:tc>
        <w:tc>
          <w:tcPr>
            <w:tcW w:w="206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rPr>
            </w:pPr>
            <w:r>
              <w:rPr>
                <w:rFonts w:hint="default" w:ascii="Times New Roman" w:hAnsi="Times New Roman" w:eastAsia="方正仿宋_GBK" w:cs="Times New Roman"/>
                <w:sz w:val="21"/>
                <w:szCs w:val="21"/>
                <w:vertAlign w:val="baseline"/>
              </w:rPr>
              <w:t>X2YN202104200041</w:t>
            </w:r>
          </w:p>
        </w:tc>
        <w:tc>
          <w:tcPr>
            <w:tcW w:w="4980" w:type="dxa"/>
            <w:vAlign w:val="top"/>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方正仿宋_GBK" w:cs="Times New Roman"/>
                <w:sz w:val="21"/>
                <w:szCs w:val="21"/>
                <w:vertAlign w:val="baseline"/>
              </w:rPr>
            </w:pPr>
            <w:r>
              <w:rPr>
                <w:rFonts w:hint="default" w:ascii="Times New Roman" w:hAnsi="Times New Roman" w:eastAsia="方正仿宋_GBK" w:cs="Times New Roman"/>
                <w:sz w:val="21"/>
                <w:szCs w:val="21"/>
                <w:vertAlign w:val="baseline"/>
              </w:rPr>
              <w:t>玉溪市新平县境内十余个砂厂采沙破坏河道，该县又新增出让26个河道采沙点的采砂权，不利于生态安全，且涉及绿孔雀栖息地绿汁江和红河干支流。举报人诉求取缔相关河道采砂点，红河干流涉及砂厂有：大麻浪砂厂、腊嘎底砂厂、白糯格砂厂、小河口砂厂、老鱼塘砂厂、小六库砂厂、阿迭砂厂；大春河流域涉及砂厂有：大麻卡上段砂厂（现刀村）、大麻卡下段砂厂、者竜乡1#砂厂、者竜乡2#砂厂、者竜乡3#砂厂、者竜乡4#砂厂、斗门河采砂点；小河底河流域涉及砂厂有：小河底1#采砂点、小河底2#采砂点、小河底3#采砂点、小河底4#采砂点、小河底5#采砂点、小河底6#采砂点；绿汁江流域涉及砂厂有：戛立莫1#、戛立莫2#；挖窖河流域涉及采砂点有：挖窖河四级电站沉砂池采砂点、中寨河老花桥段采砂点；麻阳河二级电站采砂点；达哈河采砂点。</w:t>
            </w:r>
          </w:p>
        </w:tc>
        <w:tc>
          <w:tcPr>
            <w:tcW w:w="64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21"/>
                <w:szCs w:val="21"/>
                <w:vertAlign w:val="baseline"/>
              </w:rPr>
            </w:pPr>
            <w:r>
              <w:rPr>
                <w:rFonts w:hint="eastAsia" w:ascii="Times New Roman" w:hAnsi="Times New Roman" w:eastAsia="方正仿宋_GBK" w:cs="Times New Roman"/>
                <w:sz w:val="21"/>
                <w:szCs w:val="21"/>
                <w:vertAlign w:val="baseline"/>
                <w:lang w:eastAsia="zh-CN"/>
              </w:rPr>
              <w:t>新平彝族傣族自治县</w:t>
            </w:r>
          </w:p>
        </w:tc>
        <w:tc>
          <w:tcPr>
            <w:tcW w:w="48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imes New Roman" w:hAnsi="Times New Roman" w:eastAsia="方正仿宋_GBK" w:cs="Times New Roman"/>
                <w:sz w:val="21"/>
                <w:szCs w:val="21"/>
                <w:vertAlign w:val="baseline"/>
                <w:lang w:eastAsia="zh-CN"/>
              </w:rPr>
            </w:pPr>
            <w:r>
              <w:rPr>
                <w:rFonts w:hint="eastAsia" w:ascii="Times New Roman" w:hAnsi="Times New Roman" w:eastAsia="方正仿宋_GBK" w:cs="Times New Roman"/>
                <w:sz w:val="21"/>
                <w:szCs w:val="21"/>
                <w:vertAlign w:val="baseline"/>
                <w:lang w:eastAsia="zh-CN"/>
              </w:rPr>
              <w:t>生态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lang w:val="en-US" w:eastAsia="zh-CN"/>
              </w:rPr>
            </w:pPr>
            <w:r>
              <w:rPr>
                <w:rFonts w:hint="eastAsia" w:ascii="Times New Roman" w:hAnsi="Times New Roman" w:eastAsia="方正仿宋_GBK" w:cs="Times New Roman"/>
                <w:sz w:val="21"/>
                <w:szCs w:val="21"/>
                <w:vertAlign w:val="baseline"/>
                <w:lang w:val="en-US" w:eastAsia="zh-CN"/>
              </w:rPr>
              <w:t>9</w:t>
            </w:r>
          </w:p>
        </w:tc>
        <w:tc>
          <w:tcPr>
            <w:tcW w:w="206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rPr>
            </w:pPr>
            <w:r>
              <w:rPr>
                <w:rFonts w:hint="default" w:ascii="Times New Roman" w:hAnsi="Times New Roman" w:eastAsia="方正仿宋_GBK" w:cs="Times New Roman"/>
                <w:sz w:val="21"/>
                <w:szCs w:val="21"/>
                <w:vertAlign w:val="baseline"/>
              </w:rPr>
              <w:t>X2YN202104210009</w:t>
            </w:r>
          </w:p>
        </w:tc>
        <w:tc>
          <w:tcPr>
            <w:tcW w:w="4980" w:type="dxa"/>
            <w:vAlign w:val="top"/>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方正仿宋_GBK" w:cs="Times New Roman"/>
                <w:sz w:val="21"/>
                <w:szCs w:val="21"/>
                <w:vertAlign w:val="baseline"/>
              </w:rPr>
            </w:pPr>
            <w:r>
              <w:rPr>
                <w:rFonts w:hint="default" w:ascii="Times New Roman" w:hAnsi="Times New Roman" w:eastAsia="方正仿宋_GBK" w:cs="Times New Roman"/>
                <w:sz w:val="21"/>
                <w:szCs w:val="21"/>
                <w:vertAlign w:val="baseline"/>
              </w:rPr>
              <w:t>三江口水电站（玉溪市新平县）因保护绿孔雀而被迫停工，造成重大损失。举报人诉求从保护与开发的利弊中综合研究，进一步调查了解该项目可行性。</w:t>
            </w:r>
          </w:p>
        </w:tc>
        <w:tc>
          <w:tcPr>
            <w:tcW w:w="64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Times New Roman"/>
                <w:sz w:val="21"/>
                <w:szCs w:val="21"/>
                <w:vertAlign w:val="baseline"/>
                <w:lang w:eastAsia="zh-CN"/>
              </w:rPr>
            </w:pPr>
            <w:r>
              <w:rPr>
                <w:rFonts w:hint="eastAsia" w:ascii="Times New Roman" w:hAnsi="Times New Roman" w:eastAsia="方正仿宋_GBK" w:cs="Times New Roman"/>
                <w:sz w:val="21"/>
                <w:szCs w:val="21"/>
                <w:vertAlign w:val="baseline"/>
                <w:lang w:eastAsia="zh-CN"/>
              </w:rPr>
              <w:t>新平彝族傣族自治县</w:t>
            </w:r>
          </w:p>
        </w:tc>
        <w:tc>
          <w:tcPr>
            <w:tcW w:w="48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imes New Roman" w:hAnsi="Times New Roman" w:eastAsia="方正仿宋_GBK" w:cs="Times New Roman"/>
                <w:sz w:val="21"/>
                <w:szCs w:val="21"/>
                <w:vertAlign w:val="baseline"/>
                <w:lang w:eastAsia="zh-CN"/>
              </w:rPr>
            </w:pPr>
            <w:r>
              <w:rPr>
                <w:rFonts w:hint="eastAsia" w:ascii="Times New Roman" w:hAnsi="Times New Roman" w:eastAsia="方正仿宋_GBK" w:cs="Times New Roman"/>
                <w:sz w:val="21"/>
                <w:szCs w:val="21"/>
                <w:vertAlign w:val="baseline"/>
                <w:lang w:eastAsia="zh-CN"/>
              </w:rPr>
              <w:t>其他</w:t>
            </w:r>
          </w:p>
        </w:tc>
      </w:tr>
    </w:tbl>
    <w:p>
      <w:pPr>
        <w:rPr>
          <w:rFonts w:hint="eastAsia" w:eastAsiaTheme="minorEastAsia"/>
          <w:sz w:val="21"/>
          <w:szCs w:val="21"/>
          <w:lang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A51BCD"/>
    <w:rsid w:val="066824F8"/>
    <w:rsid w:val="0B21258D"/>
    <w:rsid w:val="2EA45AFD"/>
    <w:rsid w:val="45F03BC3"/>
    <w:rsid w:val="46037C46"/>
    <w:rsid w:val="4C1C6BAE"/>
    <w:rsid w:val="4D1F11E1"/>
    <w:rsid w:val="4DE6072E"/>
    <w:rsid w:val="61A51BCD"/>
    <w:rsid w:val="7A1005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玉溪市直属党政机关单位</Company>
  <Pages>1</Pages>
  <Words>0</Words>
  <Characters>0</Characters>
  <Lines>0</Lines>
  <Paragraphs>0</Paragraphs>
  <TotalTime>11</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2021-04-18T10:13:00Z</dcterms:created>
  <dc:creator>古风</dc:creator>
  <cp:lastModifiedBy>张明云</cp:lastModifiedBy>
  <dcterms:modified xsi:type="dcterms:W3CDTF">2021-04-21T08:30:32Z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