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群众信访举报转办和边督边改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公开情况一览表 （第十</w:t>
      </w:r>
      <w:r>
        <w:rPr>
          <w:rFonts w:hint="eastAsia" w:ascii="方正小标宋_GBK" w:hAnsi="方正小标宋_GBK" w:eastAsia="方正小标宋_GBK" w:cs="方正小标宋_GBK"/>
          <w:sz w:val="44"/>
          <w:szCs w:val="44"/>
          <w:lang w:eastAsia="zh-CN"/>
        </w:rPr>
        <w:t>三</w:t>
      </w:r>
      <w:r>
        <w:rPr>
          <w:rFonts w:hint="eastAsia" w:ascii="方正小标宋_GBK" w:hAnsi="方正小标宋_GBK" w:eastAsia="方正小标宋_GBK" w:cs="方正小标宋_GBK"/>
          <w:sz w:val="44"/>
          <w:szCs w:val="44"/>
        </w:rPr>
        <w:t>批受理情况）</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日期：2021年4月1</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日</w:t>
      </w:r>
    </w:p>
    <w:p>
      <w:pPr>
        <w:rPr>
          <w:rFonts w:hint="eastAsia"/>
          <w:vertAlign w:val="baseline"/>
        </w:rPr>
      </w:pPr>
    </w:p>
    <w:tbl>
      <w:tblPr>
        <w:tblStyle w:val="3"/>
        <w:tblpPr w:leftFromText="180" w:rightFromText="180" w:vertAnchor="text" w:horzAnchor="page" w:tblpX="1852" w:tblpY="21"/>
        <w:tblOverlap w:val="never"/>
        <w:tblW w:w="8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2143"/>
        <w:gridCol w:w="4477"/>
        <w:gridCol w:w="690"/>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楷体_GBK" w:hAnsi="方正楷体_GBK" w:eastAsia="方正楷体_GBK" w:cs="方正楷体_GBK"/>
                <w:sz w:val="30"/>
                <w:szCs w:val="30"/>
                <w:vertAlign w:val="baseline"/>
              </w:rPr>
            </w:pPr>
            <w:r>
              <w:rPr>
                <w:rFonts w:hint="eastAsia" w:ascii="方正楷体_GBK" w:hAnsi="方正楷体_GBK" w:eastAsia="方正楷体_GBK" w:cs="方正楷体_GBK"/>
                <w:sz w:val="30"/>
                <w:szCs w:val="30"/>
                <w:vertAlign w:val="baseline"/>
              </w:rPr>
              <w:t>序号</w:t>
            </w:r>
          </w:p>
        </w:tc>
        <w:tc>
          <w:tcPr>
            <w:tcW w:w="21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楷体_GBK" w:hAnsi="方正楷体_GBK" w:eastAsia="方正楷体_GBK" w:cs="方正楷体_GBK"/>
                <w:sz w:val="30"/>
                <w:szCs w:val="30"/>
                <w:vertAlign w:val="baseline"/>
              </w:rPr>
            </w:pPr>
            <w:r>
              <w:rPr>
                <w:rFonts w:hint="eastAsia" w:ascii="方正楷体_GBK" w:hAnsi="方正楷体_GBK" w:eastAsia="方正楷体_GBK" w:cs="方正楷体_GBK"/>
                <w:sz w:val="30"/>
                <w:szCs w:val="30"/>
                <w:vertAlign w:val="baseline"/>
              </w:rPr>
              <w:t>受理编号</w:t>
            </w:r>
          </w:p>
        </w:tc>
        <w:tc>
          <w:tcPr>
            <w:tcW w:w="447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楷体_GBK" w:hAnsi="方正楷体_GBK" w:eastAsia="方正楷体_GBK" w:cs="方正楷体_GBK"/>
                <w:sz w:val="30"/>
                <w:szCs w:val="30"/>
                <w:vertAlign w:val="baseline"/>
              </w:rPr>
            </w:pPr>
            <w:r>
              <w:rPr>
                <w:rFonts w:hint="eastAsia" w:ascii="方正楷体_GBK" w:hAnsi="方正楷体_GBK" w:eastAsia="方正楷体_GBK" w:cs="方正楷体_GBK"/>
                <w:sz w:val="30"/>
                <w:szCs w:val="30"/>
                <w:vertAlign w:val="baseline"/>
              </w:rPr>
              <w:t>交办问题基本情况</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楷体_GBK" w:hAnsi="方正楷体_GBK" w:eastAsia="方正楷体_GBK" w:cs="方正楷体_GBK"/>
                <w:sz w:val="30"/>
                <w:szCs w:val="30"/>
                <w:vertAlign w:val="baseline"/>
              </w:rPr>
            </w:pPr>
            <w:r>
              <w:rPr>
                <w:rFonts w:hint="eastAsia" w:ascii="方正楷体_GBK" w:hAnsi="方正楷体_GBK" w:eastAsia="方正楷体_GBK" w:cs="方正楷体_GBK"/>
                <w:sz w:val="30"/>
                <w:szCs w:val="30"/>
                <w:vertAlign w:val="baseline"/>
              </w:rPr>
              <w:t>行政区域</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楷体_GBK" w:hAnsi="方正楷体_GBK" w:eastAsia="方正楷体_GBK" w:cs="方正楷体_GBK"/>
                <w:sz w:val="30"/>
                <w:szCs w:val="30"/>
                <w:vertAlign w:val="baseline"/>
                <w:lang w:eastAsia="zh-CN"/>
              </w:rPr>
            </w:pPr>
            <w:r>
              <w:rPr>
                <w:rFonts w:hint="eastAsia" w:ascii="方正楷体_GBK" w:hAnsi="方正楷体_GBK" w:eastAsia="方正楷体_GBK" w:cs="方正楷体_GBK"/>
                <w:sz w:val="30"/>
                <w:szCs w:val="30"/>
                <w:vertAlign w:val="baseline"/>
              </w:rPr>
              <w:t>污染类</w:t>
            </w:r>
            <w:r>
              <w:rPr>
                <w:rFonts w:hint="eastAsia" w:ascii="方正楷体_GBK" w:hAnsi="方正楷体_GBK" w:eastAsia="方正楷体_GBK" w:cs="方正楷体_GBK"/>
                <w:sz w:val="30"/>
                <w:szCs w:val="30"/>
                <w:vertAlign w:val="baseline"/>
                <w:lang w:eastAsia="zh-CN"/>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1</w:t>
            </w:r>
          </w:p>
        </w:tc>
        <w:tc>
          <w:tcPr>
            <w:tcW w:w="214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D2YN202104180058</w:t>
            </w:r>
          </w:p>
        </w:tc>
        <w:tc>
          <w:tcPr>
            <w:tcW w:w="4477" w:type="dxa"/>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rPr>
              <w:t>玉溪市红塔区新兴路63号玉溪市滇剧团职工宿舍隔壁快餐店经烟囱排放类似烧塑料气味的黑色气体，恶臭难闻。</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sz w:val="21"/>
                <w:szCs w:val="21"/>
                <w:vertAlign w:val="baseline"/>
                <w:lang w:eastAsia="zh-CN"/>
              </w:rPr>
            </w:pPr>
            <w:r>
              <w:rPr>
                <w:rFonts w:hint="eastAsia" w:ascii="Times New Roman" w:hAnsi="Times New Roman" w:eastAsia="方正仿宋_GBK" w:cs="Times New Roman"/>
                <w:sz w:val="21"/>
                <w:szCs w:val="21"/>
                <w:vertAlign w:val="baseline"/>
                <w:lang w:eastAsia="zh-CN"/>
              </w:rPr>
              <w:t>红塔区</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大气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2</w:t>
            </w:r>
          </w:p>
        </w:tc>
        <w:tc>
          <w:tcPr>
            <w:tcW w:w="214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X2YN202104180004</w:t>
            </w:r>
          </w:p>
        </w:tc>
        <w:tc>
          <w:tcPr>
            <w:tcW w:w="4477" w:type="dxa"/>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rPr>
              <w:t>易门亿顺陶粒制品有限公司（位于玉溪市易门县大椿树工业园区）长期排放烟尘和刺激性气体，严重影响周边居民生活。</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sz w:val="21"/>
                <w:szCs w:val="21"/>
                <w:vertAlign w:val="baseline"/>
                <w:lang w:eastAsia="zh-CN"/>
              </w:rPr>
            </w:pPr>
            <w:r>
              <w:rPr>
                <w:rFonts w:hint="eastAsia" w:ascii="Times New Roman" w:hAnsi="Times New Roman" w:eastAsia="方正仿宋_GBK" w:cs="Times New Roman"/>
                <w:sz w:val="21"/>
                <w:szCs w:val="21"/>
                <w:vertAlign w:val="baseline"/>
                <w:lang w:eastAsia="zh-CN"/>
              </w:rPr>
              <w:t>易门县</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大气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3</w:t>
            </w:r>
          </w:p>
        </w:tc>
        <w:tc>
          <w:tcPr>
            <w:tcW w:w="214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D2YN202104180010</w:t>
            </w:r>
          </w:p>
        </w:tc>
        <w:tc>
          <w:tcPr>
            <w:tcW w:w="4477" w:type="dxa"/>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玉溪市红塔区高仓街道玉山城小区附近的玉溪溶剂厂排放黄色颗粒物，严重影响周边居民生活。</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红塔区</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sz w:val="21"/>
                <w:szCs w:val="21"/>
                <w:vertAlign w:val="baseline"/>
                <w:lang w:eastAsia="zh-CN"/>
              </w:rPr>
            </w:pPr>
            <w:r>
              <w:rPr>
                <w:rFonts w:hint="eastAsia" w:ascii="Times New Roman" w:hAnsi="Times New Roman" w:eastAsia="方正仿宋_GBK" w:cs="Times New Roman"/>
                <w:sz w:val="21"/>
                <w:szCs w:val="21"/>
                <w:vertAlign w:val="baseline"/>
                <w:lang w:eastAsia="zh-CN"/>
              </w:rPr>
              <w:t>大气</w:t>
            </w:r>
          </w:p>
        </w:tc>
      </w:tr>
    </w:tbl>
    <w:p>
      <w:pPr>
        <w:rPr>
          <w:rFonts w:hint="eastAsia" w:eastAsiaTheme="minorEastAsia"/>
          <w:sz w:val="21"/>
          <w:szCs w:val="21"/>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A51BCD"/>
    <w:rsid w:val="2EA45AFD"/>
    <w:rsid w:val="45F03BC3"/>
    <w:rsid w:val="4C1C6BAE"/>
    <w:rsid w:val="61A51BCD"/>
    <w:rsid w:val="7A100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9</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2021-04-18T10:13:00Z</dcterms:created>
  <dc:creator>古风</dc:creator>
  <cp:lastModifiedBy>张明云</cp:lastModifiedBy>
  <dcterms:modified xsi:type="dcterms:W3CDTF">2021-04-19T01:57:04Z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